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b w:val="0"/>
          <w:bCs w:val="0"/>
          <w:color w:val="auto"/>
          <w:kern w:val="2"/>
          <w:sz w:val="24"/>
          <w:szCs w:val="24"/>
          <w:lang w:val="zh-CN"/>
        </w:rPr>
        <w:id w:val="-1488936518"/>
        <w:docPartObj>
          <w:docPartGallery w:val="Table of Contents"/>
          <w:docPartUnique/>
        </w:docPartObj>
      </w:sdtPr>
      <w:sdtEndPr>
        <w:rPr>
          <w:rFonts w:ascii="Times New Roman" w:hAnsi="Times New Roman" w:eastAsia="宋体" w:cs="Times New Roman"/>
          <w:b w:val="0"/>
          <w:bCs w:val="0"/>
          <w:color w:val="auto"/>
          <w:kern w:val="2"/>
          <w:sz w:val="24"/>
          <w:szCs w:val="24"/>
          <w:lang w:val="zh-CN"/>
        </w:rPr>
      </w:sdtEndPr>
      <w:sdtContent>
        <w:p>
          <w:pPr>
            <w:pStyle w:val="84"/>
            <w:ind w:firstLine="480"/>
            <w:jc w:val="center"/>
            <w:rPr>
              <w:color w:val="auto"/>
              <w:sz w:val="36"/>
              <w:szCs w:val="36"/>
            </w:rPr>
          </w:pPr>
          <w:bookmarkStart w:id="0" w:name="_Toc68166143"/>
          <w:r>
            <w:rPr>
              <w:color w:val="auto"/>
              <w:sz w:val="36"/>
              <w:szCs w:val="36"/>
              <w:lang w:val="zh-CN"/>
            </w:rPr>
            <w:t>目录</w:t>
          </w:r>
        </w:p>
        <w:p>
          <w:pPr>
            <w:pStyle w:val="16"/>
            <w:tabs>
              <w:tab w:val="right" w:leader="dot" w:pos="8834"/>
            </w:tabs>
            <w:ind w:firstLine="0" w:firstLineChars="0"/>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"_Toc105597204" </w:instrText>
          </w:r>
          <w:r>
            <w:fldChar w:fldCharType="separate"/>
          </w:r>
          <w:r>
            <w:rPr>
              <w:rStyle w:val="26"/>
              <w:rFonts w:hint="eastAsia"/>
              <w:snapToGrid w:val="0"/>
              <w:color w:val="auto"/>
            </w:rPr>
            <w:t>一、建设项目基本情况</w:t>
          </w:r>
          <w:r>
            <w:tab/>
          </w:r>
          <w:r>
            <w:fldChar w:fldCharType="begin"/>
          </w:r>
          <w:r>
            <w:instrText xml:space="preserve"> PAGEREF _Toc105597204 \h </w:instrText>
          </w:r>
          <w:r>
            <w:fldChar w:fldCharType="separate"/>
          </w:r>
          <w:r>
            <w:t>2</w:t>
          </w:r>
          <w:r>
            <w:fldChar w:fldCharType="end"/>
          </w:r>
          <w:r>
            <w:fldChar w:fldCharType="end"/>
          </w:r>
        </w:p>
        <w:p>
          <w:pPr>
            <w:pStyle w:val="16"/>
            <w:tabs>
              <w:tab w:val="right" w:leader="dot" w:pos="8834"/>
            </w:tabs>
            <w:ind w:firstLine="0" w:firstLineChars="0"/>
            <w:rPr>
              <w:rFonts w:asciiTheme="minorHAnsi" w:hAnsiTheme="minorHAnsi" w:eastAsiaTheme="minorEastAsia" w:cstheme="minorBidi"/>
              <w:sz w:val="21"/>
              <w:szCs w:val="22"/>
            </w:rPr>
          </w:pPr>
          <w:r>
            <w:fldChar w:fldCharType="begin"/>
          </w:r>
          <w:r>
            <w:instrText xml:space="preserve"> HYPERLINK \l "_Toc105597205" </w:instrText>
          </w:r>
          <w:r>
            <w:fldChar w:fldCharType="separate"/>
          </w:r>
          <w:r>
            <w:rPr>
              <w:rStyle w:val="26"/>
              <w:rFonts w:hint="eastAsia"/>
              <w:snapToGrid w:val="0"/>
              <w:color w:val="auto"/>
            </w:rPr>
            <w:t>二、建设项目工程分析</w:t>
          </w:r>
          <w:r>
            <w:tab/>
          </w:r>
          <w:r>
            <w:fldChar w:fldCharType="begin"/>
          </w:r>
          <w:r>
            <w:instrText xml:space="preserve"> PAGEREF _Toc105597205 \h </w:instrText>
          </w:r>
          <w:r>
            <w:fldChar w:fldCharType="separate"/>
          </w:r>
          <w:r>
            <w:t>23</w:t>
          </w:r>
          <w:r>
            <w:fldChar w:fldCharType="end"/>
          </w:r>
          <w:r>
            <w:fldChar w:fldCharType="end"/>
          </w:r>
        </w:p>
        <w:p>
          <w:pPr>
            <w:pStyle w:val="16"/>
            <w:tabs>
              <w:tab w:val="right" w:leader="dot" w:pos="8834"/>
            </w:tabs>
            <w:ind w:firstLine="0" w:firstLineChars="0"/>
            <w:rPr>
              <w:rFonts w:asciiTheme="minorHAnsi" w:hAnsiTheme="minorHAnsi" w:eastAsiaTheme="minorEastAsia" w:cstheme="minorBidi"/>
              <w:sz w:val="21"/>
              <w:szCs w:val="22"/>
            </w:rPr>
          </w:pPr>
          <w:r>
            <w:fldChar w:fldCharType="begin"/>
          </w:r>
          <w:r>
            <w:instrText xml:space="preserve"> HYPERLINK \l "_Toc105597206" </w:instrText>
          </w:r>
          <w:r>
            <w:fldChar w:fldCharType="separate"/>
          </w:r>
          <w:r>
            <w:rPr>
              <w:rStyle w:val="26"/>
              <w:rFonts w:hint="eastAsia"/>
              <w:snapToGrid w:val="0"/>
              <w:color w:val="auto"/>
            </w:rPr>
            <w:t>三、区域环境质量现状、环境保护目标及评价标准</w:t>
          </w:r>
          <w:r>
            <w:tab/>
          </w:r>
          <w:r>
            <w:fldChar w:fldCharType="begin"/>
          </w:r>
          <w:r>
            <w:instrText xml:space="preserve"> PAGEREF _Toc105597206 \h </w:instrText>
          </w:r>
          <w:r>
            <w:fldChar w:fldCharType="separate"/>
          </w:r>
          <w:r>
            <w:t>36</w:t>
          </w:r>
          <w:r>
            <w:fldChar w:fldCharType="end"/>
          </w:r>
          <w:r>
            <w:fldChar w:fldCharType="end"/>
          </w:r>
        </w:p>
        <w:p>
          <w:pPr>
            <w:pStyle w:val="16"/>
            <w:tabs>
              <w:tab w:val="right" w:leader="dot" w:pos="8834"/>
            </w:tabs>
            <w:ind w:firstLine="0" w:firstLineChars="0"/>
            <w:rPr>
              <w:rFonts w:asciiTheme="minorHAnsi" w:hAnsiTheme="minorHAnsi" w:eastAsiaTheme="minorEastAsia" w:cstheme="minorBidi"/>
              <w:sz w:val="21"/>
              <w:szCs w:val="22"/>
            </w:rPr>
          </w:pPr>
          <w:r>
            <w:fldChar w:fldCharType="begin"/>
          </w:r>
          <w:r>
            <w:instrText xml:space="preserve"> HYPERLINK \l "_Toc105597207" </w:instrText>
          </w:r>
          <w:r>
            <w:fldChar w:fldCharType="separate"/>
          </w:r>
          <w:r>
            <w:rPr>
              <w:rStyle w:val="26"/>
              <w:rFonts w:hint="eastAsia"/>
              <w:snapToGrid w:val="0"/>
              <w:color w:val="auto"/>
            </w:rPr>
            <w:t>四、主要环境影响和保护措施</w:t>
          </w:r>
          <w:r>
            <w:tab/>
          </w:r>
          <w:r>
            <w:fldChar w:fldCharType="begin"/>
          </w:r>
          <w:r>
            <w:instrText xml:space="preserve"> PAGEREF _Toc105597207 \h </w:instrText>
          </w:r>
          <w:r>
            <w:fldChar w:fldCharType="separate"/>
          </w:r>
          <w:r>
            <w:t>49</w:t>
          </w:r>
          <w:r>
            <w:fldChar w:fldCharType="end"/>
          </w:r>
          <w:r>
            <w:fldChar w:fldCharType="end"/>
          </w:r>
        </w:p>
        <w:p>
          <w:pPr>
            <w:pStyle w:val="16"/>
            <w:tabs>
              <w:tab w:val="right" w:leader="dot" w:pos="8834"/>
            </w:tabs>
            <w:ind w:firstLine="0" w:firstLineChars="0"/>
            <w:rPr>
              <w:rFonts w:asciiTheme="minorHAnsi" w:hAnsiTheme="minorHAnsi" w:eastAsiaTheme="minorEastAsia" w:cstheme="minorBidi"/>
              <w:sz w:val="21"/>
              <w:szCs w:val="22"/>
            </w:rPr>
          </w:pPr>
          <w:r>
            <w:fldChar w:fldCharType="begin"/>
          </w:r>
          <w:r>
            <w:instrText xml:space="preserve"> HYPERLINK \l "_Toc105597208" </w:instrText>
          </w:r>
          <w:r>
            <w:fldChar w:fldCharType="separate"/>
          </w:r>
          <w:r>
            <w:rPr>
              <w:rStyle w:val="26"/>
              <w:rFonts w:hint="eastAsia"/>
              <w:snapToGrid w:val="0"/>
              <w:color w:val="auto"/>
            </w:rPr>
            <w:t>五、环境保护措施监督检查清单</w:t>
          </w:r>
          <w:r>
            <w:tab/>
          </w:r>
          <w:r>
            <w:fldChar w:fldCharType="begin"/>
          </w:r>
          <w:r>
            <w:instrText xml:space="preserve"> PAGEREF _Toc105597208 \h </w:instrText>
          </w:r>
          <w:r>
            <w:fldChar w:fldCharType="separate"/>
          </w:r>
          <w:r>
            <w:t>75</w:t>
          </w:r>
          <w:r>
            <w:fldChar w:fldCharType="end"/>
          </w:r>
          <w:r>
            <w:fldChar w:fldCharType="end"/>
          </w:r>
        </w:p>
        <w:p>
          <w:pPr>
            <w:pStyle w:val="16"/>
            <w:tabs>
              <w:tab w:val="right" w:leader="dot" w:pos="8834"/>
            </w:tabs>
            <w:ind w:firstLine="0" w:firstLineChars="0"/>
            <w:rPr>
              <w:rFonts w:asciiTheme="minorHAnsi" w:hAnsiTheme="minorHAnsi" w:eastAsiaTheme="minorEastAsia" w:cstheme="minorBidi"/>
              <w:sz w:val="21"/>
              <w:szCs w:val="22"/>
            </w:rPr>
          </w:pPr>
          <w:r>
            <w:fldChar w:fldCharType="begin"/>
          </w:r>
          <w:r>
            <w:instrText xml:space="preserve"> HYPERLINK \l "_Toc105597209" </w:instrText>
          </w:r>
          <w:r>
            <w:fldChar w:fldCharType="separate"/>
          </w:r>
          <w:r>
            <w:rPr>
              <w:rStyle w:val="26"/>
              <w:rFonts w:hint="eastAsia"/>
              <w:snapToGrid w:val="0"/>
              <w:color w:val="auto"/>
            </w:rPr>
            <w:t>六、结论</w:t>
          </w:r>
          <w:r>
            <w:tab/>
          </w:r>
          <w:r>
            <w:fldChar w:fldCharType="begin"/>
          </w:r>
          <w:r>
            <w:instrText xml:space="preserve"> PAGEREF _Toc105597209 \h </w:instrText>
          </w:r>
          <w:r>
            <w:fldChar w:fldCharType="separate"/>
          </w:r>
          <w:r>
            <w:t>77</w:t>
          </w:r>
          <w:r>
            <w:fldChar w:fldCharType="end"/>
          </w:r>
          <w:r>
            <w:fldChar w:fldCharType="end"/>
          </w:r>
        </w:p>
        <w:p>
          <w:pPr>
            <w:pStyle w:val="16"/>
            <w:tabs>
              <w:tab w:val="right" w:leader="dot" w:pos="8834"/>
            </w:tabs>
            <w:ind w:firstLine="0" w:firstLineChars="0"/>
            <w:rPr>
              <w:rFonts w:asciiTheme="minorHAnsi" w:hAnsiTheme="minorHAnsi" w:eastAsiaTheme="minorEastAsia" w:cstheme="minorBidi"/>
              <w:sz w:val="21"/>
              <w:szCs w:val="22"/>
            </w:rPr>
          </w:pPr>
          <w:r>
            <w:fldChar w:fldCharType="begin"/>
          </w:r>
          <w:r>
            <w:instrText xml:space="preserve"> HYPERLINK \l "_Toc105597210" </w:instrText>
          </w:r>
          <w:r>
            <w:fldChar w:fldCharType="separate"/>
          </w:r>
          <w:r>
            <w:rPr>
              <w:rStyle w:val="26"/>
              <w:rFonts w:hint="eastAsia" w:eastAsia="黑体"/>
              <w:snapToGrid w:val="0"/>
              <w:color w:val="auto"/>
            </w:rPr>
            <w:t>附表</w:t>
          </w:r>
          <w:r>
            <w:tab/>
          </w:r>
          <w:r>
            <w:fldChar w:fldCharType="begin"/>
          </w:r>
          <w:r>
            <w:instrText xml:space="preserve"> PAGEREF _Toc105597210 \h </w:instrText>
          </w:r>
          <w:r>
            <w:fldChar w:fldCharType="separate"/>
          </w:r>
          <w:r>
            <w:t>78</w:t>
          </w:r>
          <w:r>
            <w:fldChar w:fldCharType="end"/>
          </w:r>
          <w:r>
            <w:fldChar w:fldCharType="end"/>
          </w:r>
        </w:p>
        <w:p>
          <w:pPr>
            <w:ind w:firstLine="482"/>
          </w:pPr>
          <w:r>
            <w:rPr>
              <w:b/>
              <w:bCs/>
              <w:lang w:val="zh-CN"/>
            </w:rPr>
            <w:fldChar w:fldCharType="end"/>
          </w:r>
        </w:p>
      </w:sdtContent>
    </w:sdt>
    <w:p>
      <w:pPr>
        <w:widowControl/>
        <w:ind w:firstLine="0" w:firstLineChars="0"/>
        <w:jc w:val="left"/>
        <w:rPr>
          <w:snapToGrid w:val="0"/>
        </w:rPr>
      </w:pPr>
      <w:r>
        <w:rPr>
          <w:rFonts w:hint="eastAsia"/>
          <w:snapToGrid w:val="0"/>
        </w:rPr>
        <w:t>附图：</w:t>
      </w:r>
    </w:p>
    <w:p>
      <w:pPr>
        <w:widowControl/>
        <w:ind w:firstLine="0" w:firstLineChars="0"/>
        <w:jc w:val="left"/>
        <w:rPr>
          <w:snapToGrid w:val="0"/>
        </w:rPr>
      </w:pPr>
      <w:r>
        <w:rPr>
          <w:rFonts w:hint="eastAsia"/>
          <w:snapToGrid w:val="0"/>
        </w:rPr>
        <w:t>1、项目区地理位置图</w:t>
      </w:r>
    </w:p>
    <w:p>
      <w:pPr>
        <w:widowControl/>
        <w:ind w:firstLine="0" w:firstLineChars="0"/>
        <w:jc w:val="left"/>
        <w:rPr>
          <w:snapToGrid w:val="0"/>
        </w:rPr>
      </w:pPr>
      <w:r>
        <w:rPr>
          <w:rFonts w:hint="eastAsia"/>
          <w:snapToGrid w:val="0"/>
        </w:rPr>
        <w:t>2、项目区水系图</w:t>
      </w:r>
    </w:p>
    <w:p>
      <w:pPr>
        <w:widowControl/>
        <w:ind w:firstLine="0" w:firstLineChars="0"/>
        <w:jc w:val="left"/>
        <w:rPr>
          <w:snapToGrid w:val="0"/>
        </w:rPr>
      </w:pPr>
      <w:r>
        <w:rPr>
          <w:rFonts w:hint="eastAsia"/>
          <w:snapToGrid w:val="0"/>
        </w:rPr>
        <w:t>3、周边关系图</w:t>
      </w:r>
    </w:p>
    <w:p>
      <w:pPr>
        <w:widowControl/>
        <w:ind w:firstLine="0" w:firstLineChars="0"/>
        <w:jc w:val="left"/>
        <w:rPr>
          <w:snapToGrid w:val="0"/>
        </w:rPr>
      </w:pPr>
      <w:r>
        <w:rPr>
          <w:rFonts w:hint="eastAsia"/>
          <w:snapToGrid w:val="0"/>
        </w:rPr>
        <w:t>4、监测点位图</w:t>
      </w:r>
    </w:p>
    <w:p>
      <w:pPr>
        <w:widowControl/>
        <w:ind w:firstLine="0" w:firstLineChars="0"/>
        <w:jc w:val="left"/>
        <w:rPr>
          <w:snapToGrid w:val="0"/>
        </w:rPr>
      </w:pPr>
      <w:r>
        <w:rPr>
          <w:rFonts w:hint="eastAsia"/>
          <w:snapToGrid w:val="0"/>
        </w:rPr>
        <w:t>5、平面布置图</w:t>
      </w:r>
    </w:p>
    <w:p>
      <w:pPr>
        <w:widowControl/>
        <w:ind w:firstLine="0" w:firstLineChars="0"/>
        <w:jc w:val="left"/>
        <w:rPr>
          <w:snapToGrid w:val="0"/>
        </w:rPr>
      </w:pPr>
      <w:r>
        <w:rPr>
          <w:rFonts w:hint="eastAsia"/>
          <w:snapToGrid w:val="0"/>
        </w:rPr>
        <w:t>6、分区防渗图</w:t>
      </w:r>
    </w:p>
    <w:p>
      <w:pPr>
        <w:widowControl/>
        <w:ind w:firstLine="0" w:firstLineChars="0"/>
        <w:jc w:val="left"/>
        <w:rPr>
          <w:snapToGrid w:val="0"/>
        </w:rPr>
      </w:pPr>
      <w:r>
        <w:rPr>
          <w:rFonts w:hint="eastAsia"/>
          <w:snapToGrid w:val="0"/>
        </w:rPr>
        <w:t>附件：</w:t>
      </w:r>
    </w:p>
    <w:p>
      <w:pPr>
        <w:widowControl/>
        <w:ind w:firstLine="0" w:firstLineChars="0"/>
        <w:jc w:val="left"/>
        <w:rPr>
          <w:snapToGrid w:val="0"/>
        </w:rPr>
      </w:pPr>
      <w:r>
        <w:rPr>
          <w:rFonts w:hint="eastAsia"/>
          <w:snapToGrid w:val="0"/>
        </w:rPr>
        <w:t>1、委托书</w:t>
      </w:r>
    </w:p>
    <w:p>
      <w:pPr>
        <w:widowControl/>
        <w:ind w:firstLine="0" w:firstLineChars="0"/>
        <w:jc w:val="left"/>
        <w:rPr>
          <w:snapToGrid w:val="0"/>
        </w:rPr>
      </w:pPr>
      <w:r>
        <w:rPr>
          <w:rFonts w:hint="eastAsia"/>
          <w:snapToGrid w:val="0"/>
        </w:rPr>
        <w:t>2、备案证</w:t>
      </w:r>
    </w:p>
    <w:p>
      <w:pPr>
        <w:widowControl/>
        <w:ind w:firstLine="0" w:firstLineChars="0"/>
        <w:jc w:val="left"/>
        <w:rPr>
          <w:rFonts w:hint="eastAsia"/>
          <w:snapToGrid w:val="0"/>
        </w:rPr>
      </w:pPr>
      <w:r>
        <w:rPr>
          <w:rFonts w:hint="eastAsia"/>
          <w:snapToGrid w:val="0"/>
        </w:rPr>
        <w:t>3、营业执照</w:t>
      </w:r>
    </w:p>
    <w:p>
      <w:pPr>
        <w:widowControl/>
        <w:ind w:firstLine="0" w:firstLineChars="0"/>
        <w:jc w:val="left"/>
        <w:rPr>
          <w:snapToGrid w:val="0"/>
        </w:rPr>
      </w:pPr>
      <w:r>
        <w:rPr>
          <w:rFonts w:hint="eastAsia"/>
          <w:snapToGrid w:val="0"/>
          <w:lang w:val="en-US" w:eastAsia="zh-CN"/>
        </w:rPr>
        <w:t>4、</w:t>
      </w:r>
      <w:r>
        <w:rPr>
          <w:rFonts w:hint="eastAsia"/>
          <w:snapToGrid w:val="0"/>
        </w:rPr>
        <w:t>法人身份证</w:t>
      </w:r>
    </w:p>
    <w:p>
      <w:pPr>
        <w:pStyle w:val="15"/>
        <w:pBdr>
          <w:bottom w:val="none" w:color="auto" w:sz="0" w:space="0"/>
        </w:pBdr>
        <w:ind w:firstLine="0" w:firstLineChars="0"/>
        <w:jc w:val="left"/>
        <w:rPr>
          <w:rFonts w:hint="default" w:eastAsia="宋体"/>
          <w:sz w:val="24"/>
          <w:szCs w:val="24"/>
          <w:lang w:val="en-US" w:eastAsia="zh-CN"/>
        </w:rPr>
      </w:pPr>
      <w:r>
        <w:rPr>
          <w:rFonts w:hint="eastAsia"/>
          <w:sz w:val="24"/>
          <w:szCs w:val="24"/>
          <w:lang w:val="en-US" w:eastAsia="zh-CN"/>
        </w:rPr>
        <w:t>5</w:t>
      </w:r>
      <w:r>
        <w:rPr>
          <w:rFonts w:hint="eastAsia"/>
          <w:sz w:val="24"/>
          <w:szCs w:val="24"/>
        </w:rPr>
        <w:t>、</w:t>
      </w:r>
      <w:r>
        <w:rPr>
          <w:rFonts w:hint="eastAsia"/>
          <w:sz w:val="24"/>
          <w:szCs w:val="24"/>
          <w:lang w:val="en-US" w:eastAsia="zh-CN"/>
        </w:rPr>
        <w:t>自然资源局对项目土地情况的回复意见</w:t>
      </w:r>
    </w:p>
    <w:p>
      <w:pPr>
        <w:widowControl/>
        <w:ind w:firstLine="0" w:firstLineChars="0"/>
        <w:jc w:val="left"/>
        <w:rPr>
          <w:rFonts w:hint="default"/>
          <w:snapToGrid w:val="0"/>
          <w:lang w:val="en-US" w:eastAsia="zh-CN"/>
        </w:rPr>
      </w:pPr>
      <w:r>
        <w:rPr>
          <w:rFonts w:hint="eastAsia"/>
          <w:snapToGrid w:val="0"/>
          <w:lang w:val="en-US" w:eastAsia="zh-CN"/>
        </w:rPr>
        <w:t>6、关于入驻工业园区的申请</w:t>
      </w:r>
    </w:p>
    <w:p>
      <w:pPr>
        <w:widowControl/>
        <w:ind w:firstLine="0" w:firstLineChars="0"/>
        <w:jc w:val="left"/>
        <w:rPr>
          <w:rFonts w:hint="default"/>
          <w:snapToGrid w:val="0"/>
          <w:lang w:val="en-US" w:eastAsia="zh-CN"/>
        </w:rPr>
      </w:pPr>
      <w:r>
        <w:rPr>
          <w:rFonts w:hint="eastAsia"/>
          <w:snapToGrid w:val="0"/>
          <w:lang w:val="en-US" w:eastAsia="zh-CN"/>
        </w:rPr>
        <w:t>7、工业园区关于入园申请的回复</w:t>
      </w:r>
    </w:p>
    <w:p>
      <w:pPr>
        <w:widowControl/>
        <w:ind w:firstLine="0" w:firstLineChars="0"/>
        <w:jc w:val="left"/>
        <w:rPr>
          <w:rFonts w:hint="default" w:eastAsia="宋体"/>
          <w:snapToGrid w:val="0"/>
          <w:lang w:val="en-US" w:eastAsia="zh-CN"/>
        </w:rPr>
      </w:pPr>
      <w:r>
        <w:rPr>
          <w:rFonts w:hint="eastAsia"/>
          <w:snapToGrid w:val="0"/>
          <w:lang w:val="en-US" w:eastAsia="zh-CN"/>
        </w:rPr>
        <w:t>8</w:t>
      </w:r>
      <w:r>
        <w:rPr>
          <w:rFonts w:hint="eastAsia"/>
          <w:snapToGrid w:val="0"/>
        </w:rPr>
        <w:t>、</w:t>
      </w:r>
      <w:r>
        <w:rPr>
          <w:rFonts w:hint="eastAsia"/>
          <w:snapToGrid w:val="0"/>
          <w:lang w:val="en-US" w:eastAsia="zh-CN"/>
        </w:rPr>
        <w:t>项目区空气质量现状监测报告</w:t>
      </w:r>
    </w:p>
    <w:p>
      <w:pPr>
        <w:widowControl/>
        <w:ind w:firstLine="0" w:firstLineChars="0"/>
        <w:jc w:val="left"/>
        <w:rPr>
          <w:rFonts w:hint="default"/>
          <w:snapToGrid w:val="0"/>
          <w:lang w:val="en-US" w:eastAsia="zh-CN"/>
        </w:rPr>
      </w:pPr>
      <w:r>
        <w:rPr>
          <w:rFonts w:hint="eastAsia"/>
          <w:snapToGrid w:val="0"/>
          <w:lang w:val="en-US" w:eastAsia="zh-CN"/>
        </w:rPr>
        <w:t>9、项目区土壤质量现状监测报告</w:t>
      </w:r>
    </w:p>
    <w:p>
      <w:pPr>
        <w:widowControl/>
        <w:ind w:firstLine="0" w:firstLineChars="0"/>
        <w:jc w:val="left"/>
        <w:rPr>
          <w:rFonts w:hint="eastAsia"/>
          <w:snapToGrid w:val="0"/>
        </w:rPr>
      </w:pPr>
      <w:r>
        <w:rPr>
          <w:rFonts w:hint="eastAsia"/>
          <w:snapToGrid w:val="0"/>
          <w:lang w:val="en-US" w:eastAsia="zh-CN"/>
        </w:rPr>
        <w:t>10-1</w:t>
      </w:r>
      <w:r>
        <w:rPr>
          <w:rFonts w:hint="eastAsia"/>
          <w:snapToGrid w:val="0"/>
        </w:rPr>
        <w:t>、</w:t>
      </w:r>
      <w:r>
        <w:rPr>
          <w:rFonts w:hint="eastAsia"/>
          <w:snapToGrid w:val="0"/>
          <w:lang w:val="en-US" w:eastAsia="zh-CN"/>
        </w:rPr>
        <w:t>引用的</w:t>
      </w:r>
      <w:r>
        <w:rPr>
          <w:rFonts w:hint="eastAsia"/>
          <w:snapToGrid w:val="0"/>
        </w:rPr>
        <w:t>现状监测报告</w:t>
      </w:r>
    </w:p>
    <w:p>
      <w:pPr>
        <w:pStyle w:val="2"/>
        <w:ind w:left="0" w:leftChars="0" w:firstLine="0" w:firstLineChars="0"/>
        <w:rPr>
          <w:rFonts w:hint="default" w:ascii="Times New Roman" w:hAnsi="Times New Roman" w:eastAsia="宋体" w:cs="Times New Roman"/>
          <w:snapToGrid w:val="0"/>
          <w:kern w:val="2"/>
          <w:sz w:val="24"/>
          <w:szCs w:val="24"/>
          <w:lang w:val="en-US" w:eastAsia="zh-CN" w:bidi="ar-SA"/>
        </w:rPr>
      </w:pPr>
      <w:r>
        <w:rPr>
          <w:rFonts w:hint="eastAsia" w:ascii="Times New Roman" w:hAnsi="Times New Roman" w:cs="Times New Roman"/>
          <w:snapToGrid w:val="0"/>
          <w:kern w:val="2"/>
          <w:sz w:val="24"/>
          <w:szCs w:val="24"/>
          <w:lang w:val="en-US" w:eastAsia="zh-CN" w:bidi="ar-SA"/>
        </w:rPr>
        <w:t>10</w:t>
      </w:r>
      <w:r>
        <w:rPr>
          <w:rFonts w:hint="eastAsia" w:ascii="Times New Roman" w:hAnsi="Times New Roman" w:eastAsia="宋体" w:cs="Times New Roman"/>
          <w:snapToGrid w:val="0"/>
          <w:kern w:val="2"/>
          <w:sz w:val="24"/>
          <w:szCs w:val="24"/>
          <w:lang w:val="en-US" w:eastAsia="zh-CN" w:bidi="ar-SA"/>
        </w:rPr>
        <w:t>-2</w:t>
      </w:r>
      <w:r>
        <w:rPr>
          <w:rFonts w:hint="eastAsia" w:ascii="Times New Roman" w:hAnsi="Times New Roman" w:cs="Times New Roman"/>
          <w:snapToGrid w:val="0"/>
          <w:kern w:val="2"/>
          <w:sz w:val="24"/>
          <w:szCs w:val="24"/>
          <w:lang w:val="en-US" w:eastAsia="zh-CN" w:bidi="ar-SA"/>
        </w:rPr>
        <w:t>、引用的现状补充监测报告</w:t>
      </w:r>
    </w:p>
    <w:p>
      <w:pPr>
        <w:pStyle w:val="4"/>
        <w:ind w:firstLine="602"/>
        <w:rPr>
          <w:snapToGrid w:val="0"/>
          <w:color w:val="auto"/>
        </w:rPr>
      </w:pPr>
      <w:bookmarkStart w:id="1" w:name="_Toc105597204"/>
      <w:r>
        <w:rPr>
          <w:snapToGrid w:val="0"/>
          <w:color w:val="auto"/>
        </w:rPr>
        <w:t>一、建设项目基本情况</w:t>
      </w:r>
      <w:bookmarkEnd w:id="0"/>
      <w:bookmarkEnd w:id="1"/>
    </w:p>
    <w:tbl>
      <w:tblPr>
        <w:tblStyle w:val="2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68"/>
        <w:gridCol w:w="1559"/>
        <w:gridCol w:w="1738"/>
        <w:gridCol w:w="2170"/>
        <w:gridCol w:w="27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27" w:type="dxa"/>
            <w:gridSpan w:val="2"/>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建设项目名称</w:t>
            </w:r>
          </w:p>
        </w:tc>
        <w:tc>
          <w:tcPr>
            <w:tcW w:w="6643"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eastAsia"/>
                <w:color w:val="auto"/>
                <w:szCs w:val="21"/>
              </w:rPr>
              <w:t>德宏沄实公司报废机动车回收拆解建设项目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27" w:type="dxa"/>
            <w:gridSpan w:val="2"/>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项目代码</w:t>
            </w:r>
          </w:p>
        </w:tc>
        <w:tc>
          <w:tcPr>
            <w:tcW w:w="6643"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eastAsia"/>
                <w:color w:val="auto"/>
                <w:szCs w:val="21"/>
              </w:rPr>
              <w:t>2205-533103-04-01-579729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27" w:type="dxa"/>
            <w:gridSpan w:val="2"/>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建设单位联系人</w:t>
            </w:r>
          </w:p>
        </w:tc>
        <w:tc>
          <w:tcPr>
            <w:tcW w:w="17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李香平</w:t>
            </w:r>
          </w:p>
        </w:tc>
        <w:tc>
          <w:tcPr>
            <w:tcW w:w="217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联系方式</w:t>
            </w:r>
          </w:p>
        </w:tc>
        <w:tc>
          <w:tcPr>
            <w:tcW w:w="273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eastAsia"/>
                <w:color w:val="auto"/>
                <w:szCs w:val="21"/>
              </w:rPr>
              <w:t>158</w:t>
            </w:r>
            <w:r>
              <w:rPr>
                <w:rFonts w:hint="eastAsia"/>
                <w:color w:val="auto"/>
                <w:szCs w:val="21"/>
                <w:lang w:val="en-US" w:eastAsia="zh-CN"/>
              </w:rPr>
              <w:t>*****</w:t>
            </w:r>
            <w:r>
              <w:rPr>
                <w:rFonts w:hint="eastAsia"/>
                <w:color w:val="auto"/>
                <w:szCs w:val="21"/>
              </w:rPr>
              <w:t>434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27" w:type="dxa"/>
            <w:gridSpan w:val="2"/>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建设地点</w:t>
            </w:r>
          </w:p>
        </w:tc>
        <w:tc>
          <w:tcPr>
            <w:tcW w:w="6643"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云南省</w:t>
            </w:r>
            <w:r>
              <w:rPr>
                <w:rFonts w:hint="eastAsia"/>
                <w:color w:val="auto"/>
                <w:szCs w:val="21"/>
              </w:rPr>
              <w:t>德宏州芒市</w:t>
            </w:r>
            <w:r>
              <w:rPr>
                <w:rFonts w:hint="eastAsia"/>
                <w:color w:val="auto"/>
                <w:szCs w:val="21"/>
                <w:lang w:val="en-US" w:eastAsia="zh-CN"/>
              </w:rPr>
              <w:t>风平</w:t>
            </w:r>
            <w:r>
              <w:rPr>
                <w:rFonts w:hint="eastAsia"/>
                <w:color w:val="auto"/>
                <w:szCs w:val="21"/>
              </w:rPr>
              <w:t>镇</w:t>
            </w:r>
            <w:r>
              <w:rPr>
                <w:rFonts w:hint="eastAsia"/>
                <w:color w:val="auto"/>
                <w:szCs w:val="21"/>
                <w:lang w:val="en-US" w:eastAsia="zh-CN"/>
              </w:rPr>
              <w:t>帕底</w:t>
            </w:r>
            <w:r>
              <w:rPr>
                <w:rFonts w:hint="eastAsia"/>
                <w:color w:val="auto"/>
                <w:szCs w:val="21"/>
              </w:rPr>
              <w:t>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27" w:type="dxa"/>
            <w:gridSpan w:val="2"/>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地理坐标</w:t>
            </w:r>
          </w:p>
        </w:tc>
        <w:tc>
          <w:tcPr>
            <w:tcW w:w="6643" w:type="dxa"/>
            <w:gridSpan w:val="3"/>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w:t>
            </w:r>
            <w:r>
              <w:rPr>
                <w:rFonts w:hint="eastAsia"/>
                <w:color w:val="auto"/>
                <w:szCs w:val="21"/>
                <w:u w:val="single"/>
              </w:rPr>
              <w:t>98</w:t>
            </w:r>
            <w:r>
              <w:rPr>
                <w:rFonts w:hint="default"/>
                <w:color w:val="auto"/>
                <w:szCs w:val="21"/>
              </w:rPr>
              <w:t>度</w:t>
            </w:r>
            <w:r>
              <w:rPr>
                <w:rFonts w:hint="eastAsia"/>
                <w:color w:val="auto"/>
                <w:szCs w:val="21"/>
                <w:u w:val="single"/>
                <w:lang w:val="en-US" w:eastAsia="zh-CN"/>
              </w:rPr>
              <w:t>25</w:t>
            </w:r>
            <w:r>
              <w:rPr>
                <w:rFonts w:hint="default"/>
                <w:color w:val="auto"/>
                <w:szCs w:val="21"/>
              </w:rPr>
              <w:t>分</w:t>
            </w:r>
            <w:r>
              <w:rPr>
                <w:rFonts w:hint="eastAsia"/>
                <w:color w:val="auto"/>
                <w:szCs w:val="21"/>
                <w:u w:val="single"/>
                <w:lang w:val="en-US" w:eastAsia="zh-CN"/>
              </w:rPr>
              <w:t>42.240</w:t>
            </w:r>
            <w:r>
              <w:rPr>
                <w:rFonts w:hint="default"/>
                <w:color w:val="auto"/>
                <w:szCs w:val="21"/>
              </w:rPr>
              <w:t>秒，</w:t>
            </w:r>
            <w:r>
              <w:rPr>
                <w:rFonts w:hint="eastAsia"/>
                <w:color w:val="auto"/>
                <w:szCs w:val="21"/>
                <w:u w:val="single"/>
              </w:rPr>
              <w:t>24</w:t>
            </w:r>
            <w:r>
              <w:rPr>
                <w:rFonts w:hint="default"/>
                <w:color w:val="auto"/>
                <w:szCs w:val="21"/>
              </w:rPr>
              <w:t>度</w:t>
            </w:r>
            <w:r>
              <w:rPr>
                <w:rFonts w:hint="eastAsia"/>
                <w:color w:val="auto"/>
                <w:szCs w:val="21"/>
                <w:u w:val="single"/>
              </w:rPr>
              <w:t>2</w:t>
            </w:r>
            <w:r>
              <w:rPr>
                <w:rFonts w:hint="eastAsia"/>
                <w:color w:val="auto"/>
                <w:szCs w:val="21"/>
                <w:u w:val="single"/>
                <w:lang w:val="en-US" w:eastAsia="zh-CN"/>
              </w:rPr>
              <w:t>3</w:t>
            </w:r>
            <w:r>
              <w:rPr>
                <w:rFonts w:hint="default"/>
                <w:color w:val="auto"/>
                <w:szCs w:val="21"/>
              </w:rPr>
              <w:t>分</w:t>
            </w:r>
            <w:r>
              <w:rPr>
                <w:rFonts w:hint="eastAsia"/>
                <w:color w:val="auto"/>
                <w:szCs w:val="21"/>
                <w:u w:val="single"/>
                <w:lang w:val="en-US" w:eastAsia="zh-CN"/>
              </w:rPr>
              <w:t>27.600</w:t>
            </w:r>
            <w:r>
              <w:rPr>
                <w:rFonts w:hint="default"/>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27" w:type="dxa"/>
            <w:gridSpan w:val="2"/>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国民经济</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行业类别</w:t>
            </w:r>
          </w:p>
        </w:tc>
        <w:tc>
          <w:tcPr>
            <w:tcW w:w="17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eastAsia"/>
                <w:color w:val="auto"/>
                <w:szCs w:val="21"/>
              </w:rPr>
              <w:t>C4210金属废料和碎屑加工处理</w:t>
            </w:r>
          </w:p>
        </w:tc>
        <w:tc>
          <w:tcPr>
            <w:tcW w:w="217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bookmarkStart w:id="2" w:name="_Hlk49843745"/>
            <w:r>
              <w:rPr>
                <w:rFonts w:hint="default"/>
                <w:color w:val="auto"/>
                <w:szCs w:val="21"/>
              </w:rPr>
              <w:t>建设项目</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行业类别</w:t>
            </w:r>
            <w:bookmarkEnd w:id="2"/>
          </w:p>
        </w:tc>
        <w:tc>
          <w:tcPr>
            <w:tcW w:w="273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三十九、废弃资源综合利用业；</w:t>
            </w:r>
            <w:r>
              <w:rPr>
                <w:rFonts w:hint="eastAsia"/>
                <w:color w:val="auto"/>
                <w:szCs w:val="21"/>
              </w:rPr>
              <w:t>85、金属废料和碎屑加工处理421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27" w:type="dxa"/>
            <w:gridSpan w:val="2"/>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建设性质</w:t>
            </w:r>
          </w:p>
        </w:tc>
        <w:tc>
          <w:tcPr>
            <w:tcW w:w="173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olor w:val="auto"/>
                <w:szCs w:val="21"/>
              </w:rPr>
            </w:pPr>
            <w:r>
              <w:rPr>
                <w:rFonts w:hint="eastAsia" w:ascii="MS Mincho" w:hAnsi="MS Mincho" w:eastAsia="MS Mincho" w:cs="MS Mincho"/>
                <w:color w:val="auto"/>
                <w:szCs w:val="21"/>
              </w:rPr>
              <w:sym w:font="Wingdings 2" w:char="F052"/>
            </w:r>
            <w:r>
              <w:rPr>
                <w:rFonts w:hint="default"/>
                <w:color w:val="auto"/>
                <w:szCs w:val="21"/>
              </w:rPr>
              <w:t>新建（迁建）</w:t>
            </w:r>
          </w:p>
          <w:p>
            <w:pPr>
              <w:keepNext w:val="0"/>
              <w:keepLines w:val="0"/>
              <w:suppressLineNumbers w:val="0"/>
              <w:spacing w:before="0" w:beforeAutospacing="0" w:after="0" w:afterAutospacing="0" w:line="240" w:lineRule="auto"/>
              <w:ind w:left="0" w:right="0" w:firstLine="0" w:firstLineChars="0"/>
              <w:jc w:val="left"/>
              <w:rPr>
                <w:rFonts w:hint="default"/>
                <w:color w:val="auto"/>
                <w:szCs w:val="21"/>
              </w:rPr>
            </w:pPr>
            <w:r>
              <w:rPr>
                <w:rFonts w:hint="default"/>
                <w:color w:val="auto"/>
                <w:szCs w:val="21"/>
              </w:rPr>
              <w:t>□改建</w:t>
            </w:r>
          </w:p>
          <w:p>
            <w:pPr>
              <w:keepNext w:val="0"/>
              <w:keepLines w:val="0"/>
              <w:suppressLineNumbers w:val="0"/>
              <w:spacing w:before="0" w:beforeAutospacing="0" w:after="0" w:afterAutospacing="0" w:line="240" w:lineRule="auto"/>
              <w:ind w:left="0" w:right="0" w:firstLine="0" w:firstLineChars="0"/>
              <w:jc w:val="left"/>
              <w:rPr>
                <w:rFonts w:hint="default"/>
                <w:color w:val="auto"/>
                <w:szCs w:val="21"/>
              </w:rPr>
            </w:pPr>
            <w:r>
              <w:rPr>
                <w:rFonts w:hint="default"/>
                <w:color w:val="auto"/>
                <w:szCs w:val="21"/>
              </w:rPr>
              <w:t>□扩建</w:t>
            </w:r>
          </w:p>
          <w:p>
            <w:pPr>
              <w:keepNext w:val="0"/>
              <w:keepLines w:val="0"/>
              <w:suppressLineNumbers w:val="0"/>
              <w:spacing w:before="0" w:beforeAutospacing="0" w:after="0" w:afterAutospacing="0" w:line="240" w:lineRule="auto"/>
              <w:ind w:left="0" w:right="0" w:firstLine="0" w:firstLineChars="0"/>
              <w:jc w:val="left"/>
              <w:rPr>
                <w:rFonts w:hint="default"/>
                <w:color w:val="auto"/>
                <w:szCs w:val="21"/>
              </w:rPr>
            </w:pPr>
            <w:r>
              <w:rPr>
                <w:rFonts w:hint="default"/>
                <w:color w:val="auto"/>
                <w:szCs w:val="21"/>
              </w:rPr>
              <w:t>□技术改造</w:t>
            </w:r>
          </w:p>
        </w:tc>
        <w:tc>
          <w:tcPr>
            <w:tcW w:w="217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建设项目</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申报情形</w:t>
            </w:r>
          </w:p>
        </w:tc>
        <w:tc>
          <w:tcPr>
            <w:tcW w:w="2735"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color w:val="auto"/>
                <w:szCs w:val="21"/>
              </w:rPr>
            </w:pPr>
            <w:r>
              <w:rPr>
                <w:rFonts w:hint="eastAsia" w:ascii="MS Mincho" w:hAnsi="MS Mincho" w:eastAsia="MS Mincho" w:cs="MS Mincho"/>
                <w:color w:val="auto"/>
                <w:szCs w:val="21"/>
              </w:rPr>
              <w:t>☑</w:t>
            </w:r>
            <w:r>
              <w:rPr>
                <w:rFonts w:hint="default"/>
                <w:color w:val="auto"/>
                <w:szCs w:val="21"/>
              </w:rPr>
              <w:t>首次申报项目</w:t>
            </w:r>
          </w:p>
          <w:p>
            <w:pPr>
              <w:keepNext w:val="0"/>
              <w:keepLines w:val="0"/>
              <w:suppressLineNumbers w:val="0"/>
              <w:spacing w:before="0" w:beforeAutospacing="0" w:after="0" w:afterAutospacing="0" w:line="240" w:lineRule="auto"/>
              <w:ind w:left="0" w:right="0" w:firstLine="0" w:firstLineChars="0"/>
              <w:jc w:val="left"/>
              <w:rPr>
                <w:rFonts w:hint="default"/>
                <w:color w:val="auto"/>
                <w:szCs w:val="21"/>
              </w:rPr>
            </w:pPr>
            <w:r>
              <w:rPr>
                <w:rFonts w:hint="default"/>
                <w:color w:val="auto"/>
                <w:szCs w:val="21"/>
              </w:rPr>
              <w:t>□不予批准后再次申报项目</w:t>
            </w:r>
          </w:p>
          <w:p>
            <w:pPr>
              <w:keepNext w:val="0"/>
              <w:keepLines w:val="0"/>
              <w:suppressLineNumbers w:val="0"/>
              <w:spacing w:before="0" w:beforeAutospacing="0" w:after="0" w:afterAutospacing="0" w:line="240" w:lineRule="auto"/>
              <w:ind w:left="0" w:right="0" w:firstLine="0" w:firstLineChars="0"/>
              <w:jc w:val="left"/>
              <w:rPr>
                <w:rFonts w:hint="default"/>
                <w:color w:val="auto"/>
                <w:szCs w:val="21"/>
              </w:rPr>
            </w:pPr>
            <w:r>
              <w:rPr>
                <w:rFonts w:hint="default"/>
                <w:color w:val="auto"/>
                <w:szCs w:val="21"/>
              </w:rPr>
              <w:t>□超五年重新审核项目</w:t>
            </w:r>
          </w:p>
          <w:p>
            <w:pPr>
              <w:keepNext w:val="0"/>
              <w:keepLines w:val="0"/>
              <w:suppressLineNumbers w:val="0"/>
              <w:spacing w:before="0" w:beforeAutospacing="0" w:after="0" w:afterAutospacing="0" w:line="240" w:lineRule="auto"/>
              <w:ind w:left="0" w:right="0" w:firstLine="0" w:firstLineChars="0"/>
              <w:jc w:val="left"/>
              <w:rPr>
                <w:rFonts w:hint="default"/>
                <w:color w:val="auto"/>
                <w:szCs w:val="21"/>
              </w:rPr>
            </w:pPr>
            <w:r>
              <w:rPr>
                <w:rFonts w:hint="default"/>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2227" w:type="dxa"/>
            <w:gridSpan w:val="2"/>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项目审批（核准/</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备案）部门（选填）</w:t>
            </w:r>
          </w:p>
        </w:tc>
        <w:tc>
          <w:tcPr>
            <w:tcW w:w="17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芒市发展和改革局</w:t>
            </w:r>
          </w:p>
        </w:tc>
        <w:tc>
          <w:tcPr>
            <w:tcW w:w="217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项目审批（核准/</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备案）文号（选填）</w:t>
            </w:r>
          </w:p>
        </w:tc>
        <w:tc>
          <w:tcPr>
            <w:tcW w:w="273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eastAsia"/>
                <w:color w:val="auto"/>
                <w:szCs w:val="21"/>
              </w:rPr>
              <w:t>2205-533103-04-01-579729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27" w:type="dxa"/>
            <w:gridSpan w:val="2"/>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总投资（万元）</w:t>
            </w:r>
          </w:p>
        </w:tc>
        <w:tc>
          <w:tcPr>
            <w:tcW w:w="17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eastAsia"/>
                <w:color w:val="auto"/>
                <w:szCs w:val="21"/>
              </w:rPr>
              <w:t>2688.06</w:t>
            </w:r>
          </w:p>
        </w:tc>
        <w:tc>
          <w:tcPr>
            <w:tcW w:w="2170"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环保投资（万元）</w:t>
            </w:r>
          </w:p>
        </w:tc>
        <w:tc>
          <w:tcPr>
            <w:tcW w:w="273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Cs w:val="21"/>
                <w:lang w:val="en-US" w:eastAsia="zh-CN"/>
              </w:rPr>
            </w:pPr>
            <w:r>
              <w:rPr>
                <w:rFonts w:hint="eastAsia"/>
                <w:color w:val="auto"/>
                <w:szCs w:val="21"/>
                <w:lang w:val="en-US" w:eastAsia="zh-CN"/>
              </w:rPr>
              <w:t>98.9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27" w:type="dxa"/>
            <w:gridSpan w:val="2"/>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环保投资占比（%）</w:t>
            </w:r>
          </w:p>
        </w:tc>
        <w:tc>
          <w:tcPr>
            <w:tcW w:w="17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Cs w:val="21"/>
                <w:lang w:val="en-US" w:eastAsia="zh-CN"/>
              </w:rPr>
            </w:pPr>
            <w:r>
              <w:rPr>
                <w:rFonts w:hint="eastAsia"/>
                <w:color w:val="auto"/>
                <w:szCs w:val="21"/>
              </w:rPr>
              <w:t>3.</w:t>
            </w:r>
            <w:r>
              <w:rPr>
                <w:rFonts w:hint="eastAsia"/>
                <w:color w:val="auto"/>
                <w:szCs w:val="21"/>
                <w:lang w:val="en-US" w:eastAsia="zh-CN"/>
              </w:rPr>
              <w:t>68</w:t>
            </w:r>
          </w:p>
        </w:tc>
        <w:tc>
          <w:tcPr>
            <w:tcW w:w="2170"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施工工期</w:t>
            </w:r>
          </w:p>
        </w:tc>
        <w:tc>
          <w:tcPr>
            <w:tcW w:w="273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eastAsia"/>
                <w:color w:val="auto"/>
                <w:szCs w:val="21"/>
                <w:lang w:val="en-US" w:eastAsia="zh-CN"/>
              </w:rPr>
              <w:t>12</w:t>
            </w:r>
            <w:r>
              <w:rPr>
                <w:rFonts w:hint="default"/>
                <w:color w:val="auto"/>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27" w:type="dxa"/>
            <w:gridSpan w:val="2"/>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t>是否开工建设</w:t>
            </w:r>
          </w:p>
        </w:tc>
        <w:tc>
          <w:tcPr>
            <w:tcW w:w="17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eastAsia" w:ascii="MS Mincho" w:hAnsi="MS Mincho" w:eastAsia="MS Mincho" w:cs="MS Mincho"/>
                <w:color w:val="auto"/>
                <w:szCs w:val="21"/>
              </w:rPr>
              <w:t>☑</w:t>
            </w:r>
            <w:r>
              <w:rPr>
                <w:rFonts w:hint="default"/>
                <w:color w:val="auto"/>
                <w:szCs w:val="21"/>
              </w:rPr>
              <w:t>否</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Cs w:val="21"/>
              </w:rPr>
            </w:pPr>
            <w:r>
              <w:rPr>
                <w:rFonts w:hint="default"/>
                <w:color w:val="auto"/>
                <w:szCs w:val="21"/>
              </w:rPr>
              <w:sym w:font="Wingdings 2" w:char="00A3"/>
            </w:r>
            <w:r>
              <w:rPr>
                <w:rFonts w:hint="default"/>
                <w:color w:val="auto"/>
                <w:szCs w:val="21"/>
              </w:rPr>
              <w:t>是</w:t>
            </w:r>
          </w:p>
        </w:tc>
        <w:tc>
          <w:tcPr>
            <w:tcW w:w="2170"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6"/>
                <w:szCs w:val="21"/>
              </w:rPr>
            </w:pPr>
            <w:r>
              <w:rPr>
                <w:rFonts w:hint="default"/>
                <w:color w:val="auto"/>
                <w:spacing w:val="-6"/>
                <w:szCs w:val="21"/>
              </w:rPr>
              <w:t>用地面积（m</w:t>
            </w:r>
            <w:r>
              <w:rPr>
                <w:rFonts w:hint="default"/>
                <w:color w:val="auto"/>
                <w:spacing w:val="-6"/>
                <w:szCs w:val="21"/>
                <w:vertAlign w:val="superscript"/>
              </w:rPr>
              <w:t>2</w:t>
            </w:r>
            <w:r>
              <w:rPr>
                <w:rFonts w:hint="default"/>
                <w:color w:val="auto"/>
                <w:spacing w:val="-6"/>
                <w:szCs w:val="21"/>
              </w:rPr>
              <w:t>）</w:t>
            </w:r>
          </w:p>
        </w:tc>
        <w:tc>
          <w:tcPr>
            <w:tcW w:w="273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auto"/>
                <w:szCs w:val="21"/>
                <w:lang w:val="en-US" w:eastAsia="zh-CN"/>
              </w:rPr>
            </w:pPr>
            <w:r>
              <w:rPr>
                <w:rFonts w:hint="eastAsia"/>
                <w:color w:val="auto"/>
                <w:szCs w:val="21"/>
                <w:lang w:val="en-US" w:eastAsia="zh-CN"/>
              </w:rPr>
              <w:t>13333.97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227" w:type="dxa"/>
            <w:gridSpan w:val="2"/>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kern w:val="0"/>
                <w:szCs w:val="21"/>
              </w:rPr>
            </w:pPr>
            <w:r>
              <w:rPr>
                <w:rFonts w:hint="default"/>
                <w:color w:val="auto"/>
                <w:kern w:val="0"/>
                <w:szCs w:val="21"/>
              </w:rPr>
              <w:t>专项评价设置情况</w:t>
            </w:r>
          </w:p>
        </w:tc>
        <w:tc>
          <w:tcPr>
            <w:tcW w:w="6643" w:type="dxa"/>
            <w:gridSpan w:val="3"/>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olor w:val="auto"/>
                <w:kern w:val="0"/>
                <w:szCs w:val="21"/>
              </w:rPr>
            </w:pPr>
            <w:r>
              <w:rPr>
                <w:rFonts w:hint="default"/>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27" w:type="dxa"/>
            <w:gridSpan w:val="2"/>
            <w:vAlign w:val="center"/>
          </w:tcPr>
          <w:p>
            <w:pPr>
              <w:pStyle w:val="69"/>
              <w:keepNext w:val="0"/>
              <w:keepLines w:val="0"/>
              <w:suppressLineNumbers w:val="0"/>
              <w:spacing w:before="0" w:beforeAutospacing="0" w:after="0" w:afterAutospacing="0"/>
              <w:ind w:left="0" w:right="0"/>
              <w:rPr>
                <w:rFonts w:hint="default"/>
                <w:color w:val="auto"/>
                <w:kern w:val="0"/>
                <w:sz w:val="24"/>
                <w:szCs w:val="24"/>
              </w:rPr>
            </w:pPr>
            <w:r>
              <w:rPr>
                <w:rFonts w:hint="default"/>
                <w:color w:val="auto"/>
                <w:sz w:val="24"/>
                <w:szCs w:val="24"/>
              </w:rPr>
              <w:t>规划情况</w:t>
            </w:r>
          </w:p>
        </w:tc>
        <w:tc>
          <w:tcPr>
            <w:tcW w:w="6643" w:type="dxa"/>
            <w:gridSpan w:val="3"/>
            <w:vAlign w:val="center"/>
          </w:tcPr>
          <w:p>
            <w:pPr>
              <w:pStyle w:val="51"/>
              <w:keepNext w:val="0"/>
              <w:keepLines w:val="0"/>
              <w:suppressLineNumbers w:val="0"/>
              <w:spacing w:before="0" w:beforeAutospacing="0" w:after="0" w:afterAutospacing="0"/>
              <w:ind w:left="0" w:right="0" w:firstLine="0" w:firstLineChars="0"/>
              <w:jc w:val="center"/>
              <w:rPr>
                <w:rFonts w:hint="default"/>
                <w:color w:val="auto"/>
              </w:rPr>
            </w:pPr>
            <w:r>
              <w:rPr>
                <w:rFonts w:hint="eastAsia"/>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227" w:type="dxa"/>
            <w:gridSpan w:val="2"/>
            <w:vAlign w:val="center"/>
          </w:tcPr>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规划环境影响</w:t>
            </w:r>
          </w:p>
          <w:p>
            <w:pPr>
              <w:pStyle w:val="69"/>
              <w:keepNext w:val="0"/>
              <w:keepLines w:val="0"/>
              <w:suppressLineNumbers w:val="0"/>
              <w:spacing w:before="0" w:beforeAutospacing="0" w:after="0" w:afterAutospacing="0"/>
              <w:ind w:left="0" w:right="0"/>
              <w:rPr>
                <w:rFonts w:hint="default"/>
                <w:color w:val="auto"/>
                <w:kern w:val="0"/>
                <w:sz w:val="24"/>
                <w:szCs w:val="24"/>
              </w:rPr>
            </w:pPr>
            <w:r>
              <w:rPr>
                <w:rFonts w:hint="default"/>
                <w:color w:val="auto"/>
                <w:sz w:val="24"/>
                <w:szCs w:val="24"/>
              </w:rPr>
              <w:t>评价情况</w:t>
            </w:r>
          </w:p>
        </w:tc>
        <w:tc>
          <w:tcPr>
            <w:tcW w:w="6643" w:type="dxa"/>
            <w:gridSpan w:val="3"/>
            <w:vAlign w:val="center"/>
          </w:tcPr>
          <w:p>
            <w:pPr>
              <w:pStyle w:val="51"/>
              <w:keepNext w:val="0"/>
              <w:keepLines w:val="0"/>
              <w:suppressLineNumbers w:val="0"/>
              <w:spacing w:before="0" w:beforeAutospacing="0" w:after="0" w:afterAutospacing="0"/>
              <w:ind w:left="0" w:right="0" w:firstLine="0" w:firstLineChars="0"/>
              <w:jc w:val="center"/>
              <w:rPr>
                <w:rFonts w:hint="default"/>
                <w:color w:val="auto"/>
              </w:rPr>
            </w:pPr>
            <w:r>
              <w:rPr>
                <w:rFonts w:hint="eastAsia"/>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27" w:type="dxa"/>
            <w:gridSpan w:val="2"/>
            <w:vAlign w:val="center"/>
          </w:tcPr>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规划及规划环境影响评价符合性分析</w:t>
            </w:r>
          </w:p>
        </w:tc>
        <w:tc>
          <w:tcPr>
            <w:tcW w:w="6643" w:type="dxa"/>
            <w:gridSpan w:val="3"/>
            <w:vAlign w:val="center"/>
          </w:tcPr>
          <w:p>
            <w:pPr>
              <w:pStyle w:val="51"/>
              <w:keepNext w:val="0"/>
              <w:keepLines w:val="0"/>
              <w:suppressLineNumbers w:val="0"/>
              <w:spacing w:before="0" w:beforeAutospacing="0" w:after="0" w:afterAutospacing="0"/>
              <w:ind w:left="0" w:right="0" w:firstLine="0" w:firstLineChars="0"/>
              <w:jc w:val="center"/>
              <w:rPr>
                <w:rFonts w:hint="default"/>
                <w:color w:val="auto"/>
                <w:szCs w:val="21"/>
              </w:rPr>
            </w:pPr>
            <w:r>
              <w:rPr>
                <w:rFonts w:hint="eastAsia"/>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61" w:hRule="atLeast"/>
          <w:jc w:val="center"/>
        </w:trPr>
        <w:tc>
          <w:tcPr>
            <w:tcW w:w="66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sz w:val="24"/>
                <w:szCs w:val="24"/>
              </w:rPr>
              <w:t>其他符合性分析</w:t>
            </w:r>
          </w:p>
        </w:tc>
        <w:tc>
          <w:tcPr>
            <w:tcW w:w="8202" w:type="dxa"/>
            <w:gridSpan w:val="4"/>
            <w:vAlign w:val="center"/>
          </w:tcPr>
          <w:p>
            <w:pPr>
              <w:pStyle w:val="51"/>
              <w:keepNext w:val="0"/>
              <w:keepLines w:val="0"/>
              <w:suppressLineNumbers w:val="0"/>
              <w:spacing w:before="0" w:beforeAutospacing="0" w:after="0" w:afterAutospacing="0"/>
              <w:ind w:left="0" w:right="0" w:firstLine="482"/>
              <w:rPr>
                <w:rFonts w:hint="default"/>
                <w:b/>
                <w:color w:val="auto"/>
              </w:rPr>
            </w:pPr>
            <w:r>
              <w:rPr>
                <w:rFonts w:hint="default"/>
                <w:b/>
                <w:color w:val="auto"/>
              </w:rPr>
              <w:t>（</w:t>
            </w:r>
            <w:r>
              <w:rPr>
                <w:rFonts w:hint="eastAsia"/>
                <w:b/>
                <w:color w:val="auto"/>
              </w:rPr>
              <w:t>1</w:t>
            </w:r>
            <w:r>
              <w:rPr>
                <w:rFonts w:hint="default"/>
                <w:b/>
                <w:color w:val="auto"/>
              </w:rPr>
              <w:t>）“三线一单”的符合性分析</w:t>
            </w:r>
          </w:p>
          <w:p>
            <w:pPr>
              <w:pStyle w:val="49"/>
              <w:keepNext w:val="0"/>
              <w:keepLines w:val="0"/>
              <w:suppressLineNumbers w:val="0"/>
              <w:spacing w:before="0" w:beforeAutospacing="0" w:after="0" w:afterAutospacing="0"/>
              <w:ind w:left="0" w:right="0"/>
              <w:rPr>
                <w:rFonts w:hint="default"/>
                <w:color w:val="auto"/>
              </w:rPr>
            </w:pPr>
            <w:r>
              <w:rPr>
                <w:rFonts w:hint="eastAsia"/>
                <w:color w:val="auto"/>
                <w:kern w:val="0"/>
              </w:rPr>
              <w:t>根据《德宏州人民政府关于印发德宏州“三线一单”生态环境分区管控实施方案的通知》，生态保护红线和一般生态空间、环境质量底线、资源利用上线和生态环境准入清单（以下简称“三线一单”）基本情况如下：</w:t>
            </w:r>
          </w:p>
          <w:p>
            <w:pPr>
              <w:pStyle w:val="76"/>
              <w:keepNext w:val="0"/>
              <w:keepLines w:val="0"/>
              <w:suppressLineNumbers w:val="0"/>
              <w:spacing w:before="0" w:beforeAutospacing="0" w:after="0" w:afterAutospacing="0"/>
              <w:ind w:left="0" w:right="0"/>
              <w:rPr>
                <w:rFonts w:hint="default"/>
                <w:color w:val="auto"/>
                <w:lang w:bidi="ar"/>
              </w:rPr>
            </w:pPr>
            <w:r>
              <w:rPr>
                <w:rFonts w:hint="default"/>
                <w:color w:val="auto"/>
                <w:lang w:bidi="ar"/>
              </w:rPr>
              <w:t>表1-1</w:t>
            </w:r>
            <w:r>
              <w:rPr>
                <w:rFonts w:hint="eastAsia"/>
                <w:color w:val="auto"/>
                <w:lang w:bidi="ar"/>
              </w:rPr>
              <w:t xml:space="preserve">  </w:t>
            </w:r>
            <w:r>
              <w:rPr>
                <w:rFonts w:hint="default"/>
                <w:color w:val="auto"/>
                <w:lang w:bidi="ar"/>
              </w:rPr>
              <w:t xml:space="preserve"> 项目与“三线一单”文件相符合性分析</w:t>
            </w:r>
          </w:p>
          <w:tbl>
            <w:tblPr>
              <w:tblStyle w:val="22"/>
              <w:tblW w:w="7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616"/>
              <w:gridCol w:w="3402"/>
              <w:gridCol w:w="2489"/>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pacing w:val="2"/>
                      <w:sz w:val="21"/>
                      <w:szCs w:val="20"/>
                    </w:rPr>
                  </w:pPr>
                  <w:r>
                    <w:rPr>
                      <w:rFonts w:hint="default"/>
                      <w:b/>
                      <w:color w:val="auto"/>
                      <w:spacing w:val="2"/>
                      <w:sz w:val="21"/>
                      <w:szCs w:val="20"/>
                    </w:rPr>
                    <w:t>类别</w:t>
                  </w: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pacing w:val="2"/>
                      <w:sz w:val="21"/>
                      <w:szCs w:val="20"/>
                    </w:rPr>
                  </w:pPr>
                  <w:r>
                    <w:rPr>
                      <w:rFonts w:hint="default"/>
                      <w:b/>
                      <w:color w:val="auto"/>
                      <w:spacing w:val="2"/>
                      <w:sz w:val="21"/>
                      <w:szCs w:val="20"/>
                    </w:rPr>
                    <w:t>文件内容</w:t>
                  </w:r>
                </w:p>
              </w:tc>
              <w:tc>
                <w:tcPr>
                  <w:tcW w:w="248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pacing w:val="2"/>
                      <w:sz w:val="21"/>
                      <w:szCs w:val="20"/>
                    </w:rPr>
                  </w:pPr>
                  <w:r>
                    <w:rPr>
                      <w:rFonts w:hint="default"/>
                      <w:b/>
                      <w:color w:val="auto"/>
                      <w:spacing w:val="2"/>
                      <w:sz w:val="21"/>
                      <w:szCs w:val="20"/>
                    </w:rPr>
                    <w:t>项目情况</w:t>
                  </w:r>
                </w:p>
              </w:tc>
              <w:tc>
                <w:tcPr>
                  <w:tcW w:w="86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pacing w:val="2"/>
                      <w:sz w:val="21"/>
                      <w:szCs w:val="20"/>
                    </w:rPr>
                  </w:pPr>
                  <w:r>
                    <w:rPr>
                      <w:rFonts w:hint="default"/>
                      <w:b/>
                      <w:color w:val="auto"/>
                      <w:spacing w:val="2"/>
                      <w:sz w:val="21"/>
                      <w:szCs w:val="20"/>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default"/>
                      <w:color w:val="auto"/>
                      <w:spacing w:val="2"/>
                      <w:sz w:val="21"/>
                      <w:szCs w:val="20"/>
                    </w:rPr>
                    <w:t>生态保护红线</w:t>
                  </w: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eastAsia"/>
                      <w:color w:val="auto"/>
                      <w:spacing w:val="2"/>
                      <w:sz w:val="21"/>
                      <w:szCs w:val="20"/>
                    </w:rPr>
                    <w:t>执行《云南省人民政府关于发布云南省生态保护红线的通知》（云政发〔2018〕32号），生态保护红线评估调整成果获批后，按照批准成果执行。将未划入生态保护红线的自然保护区、国家公园、森林公园、风景名胜区、湿地公园、重要湿地、集中式饮用水水源地等生态功能重要区域、生态环境敏感区域划入一般生态空间。</w:t>
                  </w:r>
                </w:p>
              </w:tc>
              <w:tc>
                <w:tcPr>
                  <w:tcW w:w="248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eastAsia"/>
                      <w:color w:val="auto"/>
                      <w:spacing w:val="2"/>
                      <w:sz w:val="21"/>
                      <w:szCs w:val="20"/>
                    </w:rPr>
                    <w:t>项目位于德宏州芒市</w:t>
                  </w:r>
                  <w:r>
                    <w:rPr>
                      <w:rFonts w:hint="eastAsia"/>
                      <w:color w:val="auto"/>
                      <w:spacing w:val="2"/>
                      <w:sz w:val="21"/>
                      <w:szCs w:val="20"/>
                      <w:lang w:val="en-US" w:eastAsia="zh-CN"/>
                    </w:rPr>
                    <w:t>风平镇帕底村</w:t>
                  </w:r>
                  <w:r>
                    <w:rPr>
                      <w:rFonts w:hint="eastAsia"/>
                      <w:color w:val="auto"/>
                      <w:spacing w:val="2"/>
                      <w:sz w:val="21"/>
                      <w:szCs w:val="20"/>
                    </w:rPr>
                    <w:t>，不属于风景名胜区、自然保护区、水源保护区和其他需要特别保护的区域内，不涉及基本农田，项目不压占生态保护红线范围</w:t>
                  </w:r>
                  <w:r>
                    <w:rPr>
                      <w:rFonts w:hint="eastAsia"/>
                      <w:color w:val="auto"/>
                      <w:spacing w:val="2"/>
                      <w:sz w:val="21"/>
                      <w:szCs w:val="20"/>
                      <w:lang w:eastAsia="zh-CN"/>
                    </w:rPr>
                    <w:t>、</w:t>
                  </w:r>
                  <w:r>
                    <w:rPr>
                      <w:rFonts w:hint="eastAsia"/>
                      <w:color w:val="auto"/>
                      <w:spacing w:val="2"/>
                      <w:sz w:val="21"/>
                      <w:szCs w:val="20"/>
                      <w:lang w:val="en-US" w:eastAsia="zh-CN"/>
                    </w:rPr>
                    <w:t>生态环境敏感区，</w:t>
                  </w:r>
                  <w:r>
                    <w:rPr>
                      <w:rFonts w:hint="eastAsia"/>
                      <w:color w:val="auto"/>
                      <w:spacing w:val="2"/>
                      <w:sz w:val="21"/>
                      <w:szCs w:val="20"/>
                    </w:rPr>
                    <w:t>生态红线查询的意见见附件，项目选址符合生态保护红线的要求。</w:t>
                  </w:r>
                </w:p>
              </w:tc>
              <w:tc>
                <w:tcPr>
                  <w:tcW w:w="86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default"/>
                      <w:color w:val="auto"/>
                      <w:spacing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default"/>
                      <w:color w:val="auto"/>
                      <w:spacing w:val="2"/>
                      <w:sz w:val="21"/>
                      <w:szCs w:val="21"/>
                    </w:rPr>
                    <w:t>环境质量底线</w:t>
                  </w:r>
                </w:p>
              </w:tc>
              <w:tc>
                <w:tcPr>
                  <w:tcW w:w="6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kern w:val="0"/>
                      <w:sz w:val="21"/>
                      <w:szCs w:val="21"/>
                      <w:lang w:bidi="ar"/>
                    </w:rPr>
                    <w:t>水环</w:t>
                  </w:r>
                </w:p>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kern w:val="0"/>
                      <w:sz w:val="21"/>
                      <w:szCs w:val="21"/>
                      <w:lang w:bidi="ar"/>
                    </w:rPr>
                    <w:t>境质</w:t>
                  </w:r>
                </w:p>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kern w:val="0"/>
                      <w:sz w:val="21"/>
                      <w:szCs w:val="21"/>
                      <w:lang w:bidi="ar"/>
                    </w:rPr>
                    <w:t>量底</w:t>
                  </w:r>
                </w:p>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default"/>
                      <w:color w:val="auto"/>
                      <w:kern w:val="0"/>
                      <w:sz w:val="21"/>
                      <w:szCs w:val="21"/>
                      <w:lang w:bidi="ar"/>
                    </w:rPr>
                    <w:t>线</w:t>
                  </w: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kern w:val="0"/>
                      <w:sz w:val="21"/>
                      <w:szCs w:val="21"/>
                      <w:lang w:bidi="ar"/>
                    </w:rPr>
                    <w:t>到2025年，全州水环境质量总体优良， 9个河流地表水断面中优良水体断面（达到或优于Ⅲ类）比例稳定达到100%，“十四五”新增监测断面水质达标率100%，水生生态系统功能进一步提升，县市及以上集中式饮用水水源水质巩固改善。到2035年，全州水环境质量持续优良，水生生态系统全面提升，实现“人水和谐”。</w:t>
                  </w:r>
                </w:p>
              </w:tc>
              <w:tc>
                <w:tcPr>
                  <w:tcW w:w="248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default"/>
                      <w:color w:val="auto"/>
                      <w:spacing w:val="2"/>
                      <w:sz w:val="21"/>
                      <w:szCs w:val="20"/>
                    </w:rPr>
                    <w:t>本项目</w:t>
                  </w:r>
                  <w:r>
                    <w:rPr>
                      <w:rFonts w:hint="eastAsia"/>
                      <w:color w:val="auto"/>
                      <w:spacing w:val="2"/>
                      <w:sz w:val="21"/>
                      <w:szCs w:val="20"/>
                    </w:rPr>
                    <w:t>用水量少，不产生生产废水，生活污水经隔油池及化粪池处理后</w:t>
                  </w:r>
                  <w:r>
                    <w:rPr>
                      <w:rFonts w:hint="eastAsia"/>
                      <w:color w:val="auto"/>
                      <w:spacing w:val="2"/>
                      <w:sz w:val="21"/>
                      <w:szCs w:val="20"/>
                      <w:lang w:val="en-US" w:eastAsia="zh-CN"/>
                    </w:rPr>
                    <w:t>回用于项目区绿化施肥</w:t>
                  </w:r>
                  <w:r>
                    <w:rPr>
                      <w:rFonts w:hint="default"/>
                      <w:color w:val="auto"/>
                      <w:spacing w:val="2"/>
                      <w:sz w:val="21"/>
                      <w:szCs w:val="20"/>
                    </w:rPr>
                    <w:t>。</w:t>
                  </w:r>
                  <w:r>
                    <w:rPr>
                      <w:rFonts w:hint="eastAsia"/>
                      <w:color w:val="auto"/>
                      <w:spacing w:val="2"/>
                      <w:sz w:val="21"/>
                      <w:szCs w:val="20"/>
                    </w:rPr>
                    <w:t>项目的建设不会突破水环境质量底线。</w:t>
                  </w:r>
                </w:p>
              </w:tc>
              <w:tc>
                <w:tcPr>
                  <w:tcW w:w="86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default"/>
                      <w:color w:val="auto"/>
                      <w:spacing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p>
              </w:tc>
              <w:tc>
                <w:tcPr>
                  <w:tcW w:w="6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kern w:val="0"/>
                      <w:sz w:val="21"/>
                      <w:szCs w:val="21"/>
                      <w:lang w:bidi="ar"/>
                    </w:rPr>
                    <w:t>大气</w:t>
                  </w:r>
                </w:p>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kern w:val="0"/>
                      <w:sz w:val="21"/>
                      <w:szCs w:val="21"/>
                      <w:lang w:bidi="ar"/>
                    </w:rPr>
                    <w:t>环境</w:t>
                  </w:r>
                </w:p>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kern w:val="0"/>
                      <w:sz w:val="21"/>
                      <w:szCs w:val="21"/>
                      <w:lang w:bidi="ar"/>
                    </w:rPr>
                    <w:t>质量</w:t>
                  </w:r>
                </w:p>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kern w:val="0"/>
                      <w:sz w:val="21"/>
                      <w:szCs w:val="21"/>
                      <w:lang w:bidi="ar"/>
                    </w:rPr>
                    <w:t>底线</w:t>
                  </w: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eastAsia"/>
                      <w:color w:val="auto"/>
                      <w:spacing w:val="2"/>
                      <w:kern w:val="0"/>
                      <w:sz w:val="21"/>
                      <w:szCs w:val="21"/>
                      <w:lang w:bidi="ar"/>
                    </w:rPr>
                    <w:t>到2025年，全州空气质量优良率达到省级要求，中心城市环境空气质量稳定达到国家二级标准。2035年，全州空气质量优良率保持稳定，中心城市、各县市城市环境空气质量稳定达到国家二级标准。</w:t>
                  </w:r>
                </w:p>
              </w:tc>
              <w:tc>
                <w:tcPr>
                  <w:tcW w:w="248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default"/>
                      <w:color w:val="auto"/>
                      <w:spacing w:val="2"/>
                      <w:sz w:val="21"/>
                      <w:szCs w:val="20"/>
                    </w:rPr>
                    <w:t>项目所在区域为环境空气质量达标区，</w:t>
                  </w:r>
                  <w:r>
                    <w:rPr>
                      <w:rFonts w:hint="eastAsia"/>
                      <w:color w:val="auto"/>
                      <w:spacing w:val="2"/>
                      <w:sz w:val="21"/>
                      <w:szCs w:val="20"/>
                    </w:rPr>
                    <w:t>根据分析可知，本项目产生的废气主要有颗粒物及非甲烷总烃，产生量较少，</w:t>
                  </w:r>
                  <w:r>
                    <w:rPr>
                      <w:rFonts w:hint="default"/>
                      <w:color w:val="auto"/>
                      <w:spacing w:val="2"/>
                      <w:sz w:val="21"/>
                      <w:szCs w:val="20"/>
                    </w:rPr>
                    <w:t>不会改变区域环境空气质量功能。</w:t>
                  </w:r>
                </w:p>
              </w:tc>
              <w:tc>
                <w:tcPr>
                  <w:tcW w:w="86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default"/>
                      <w:color w:val="auto"/>
                      <w:spacing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p>
              </w:tc>
              <w:tc>
                <w:tcPr>
                  <w:tcW w:w="6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kern w:val="0"/>
                      <w:sz w:val="21"/>
                      <w:szCs w:val="21"/>
                      <w:lang w:bidi="ar"/>
                    </w:rPr>
                    <w:t>土壤环境风险防控底线</w:t>
                  </w: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eastAsia"/>
                      <w:color w:val="auto"/>
                      <w:spacing w:val="2"/>
                      <w:kern w:val="0"/>
                      <w:sz w:val="21"/>
                      <w:szCs w:val="21"/>
                      <w:lang w:bidi="ar"/>
                    </w:rPr>
                    <w:t>到2025年，全州土壤环境质量保持优异，土壤环境风险管控水平不断提升，受污染耕地安全利用率达到85%以上，受污染建设用地地块安全利用率达到95%以上。2035年，全州土壤环境风险防范体系全面建立，农用地和建设用地土壤环境安全得到有效保障，土壤环境风险得到全面管控。</w:t>
                  </w:r>
                </w:p>
              </w:tc>
              <w:tc>
                <w:tcPr>
                  <w:tcW w:w="248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eastAsia"/>
                      <w:color w:val="auto"/>
                      <w:spacing w:val="2"/>
                      <w:sz w:val="21"/>
                      <w:szCs w:val="20"/>
                    </w:rPr>
                    <w:t>项目建设过程中采取分区防渗措施可有效防止风险物质下渗进入土壤，对土壤环境影响较小，符合土壤环境风险防控底线。</w:t>
                  </w:r>
                </w:p>
              </w:tc>
              <w:tc>
                <w:tcPr>
                  <w:tcW w:w="86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default"/>
                      <w:color w:val="auto"/>
                      <w:spacing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eastAsia"/>
                      <w:color w:val="auto"/>
                      <w:spacing w:val="2"/>
                      <w:sz w:val="21"/>
                      <w:szCs w:val="20"/>
                    </w:rPr>
                    <w:t>资源利用上限</w:t>
                  </w:r>
                </w:p>
              </w:tc>
              <w:tc>
                <w:tcPr>
                  <w:tcW w:w="61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kern w:val="0"/>
                      <w:sz w:val="21"/>
                      <w:szCs w:val="21"/>
                      <w:lang w:bidi="ar"/>
                    </w:rPr>
                    <w:t>资</w:t>
                  </w:r>
                </w:p>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kern w:val="0"/>
                      <w:sz w:val="21"/>
                      <w:szCs w:val="21"/>
                      <w:lang w:bidi="ar"/>
                    </w:rPr>
                    <w:t>源利</w:t>
                  </w:r>
                </w:p>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kern w:val="0"/>
                      <w:sz w:val="21"/>
                      <w:szCs w:val="21"/>
                      <w:lang w:bidi="ar"/>
                    </w:rPr>
                    <w:t>用上</w:t>
                  </w:r>
                </w:p>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default"/>
                      <w:color w:val="auto"/>
                      <w:kern w:val="0"/>
                      <w:sz w:val="21"/>
                      <w:szCs w:val="21"/>
                      <w:lang w:bidi="ar"/>
                    </w:rPr>
                    <w:t>线</w:t>
                  </w: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强化节约集约利用，持续提升资源能源利用效率，水资源、土地资源、能源消耗等达到云南省下达的总量和强度控制目标。</w:t>
                  </w:r>
                </w:p>
              </w:tc>
              <w:tc>
                <w:tcPr>
                  <w:tcW w:w="2489"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本项目</w:t>
                  </w:r>
                  <w:r>
                    <w:rPr>
                      <w:rFonts w:hint="eastAsia"/>
                      <w:color w:val="auto"/>
                    </w:rPr>
                    <w:t>用水量少，不产生生产废水，生活污水经隔油池及化粪池处理后</w:t>
                  </w:r>
                  <w:r>
                    <w:rPr>
                      <w:rFonts w:hint="eastAsia"/>
                      <w:color w:val="auto"/>
                      <w:lang w:val="en-US" w:eastAsia="zh-CN"/>
                    </w:rPr>
                    <w:t>回用于项目区绿化施肥</w:t>
                  </w:r>
                  <w:r>
                    <w:rPr>
                      <w:rFonts w:hint="default"/>
                      <w:color w:val="auto"/>
                    </w:rPr>
                    <w:t>。对当地水资源利用影响不明显，能满足水资源利用上线要求</w:t>
                  </w:r>
                  <w:r>
                    <w:rPr>
                      <w:rFonts w:hint="eastAsia"/>
                      <w:color w:val="auto"/>
                    </w:rPr>
                    <w:t>。</w:t>
                  </w:r>
                </w:p>
              </w:tc>
              <w:tc>
                <w:tcPr>
                  <w:tcW w:w="86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0"/>
                    </w:rPr>
                  </w:pPr>
                  <w:r>
                    <w:rPr>
                      <w:rFonts w:hint="default"/>
                      <w:color w:val="auto"/>
                      <w:spacing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63" w:type="dxa"/>
                  <w:gridSpan w:val="2"/>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kern w:val="0"/>
                      <w:sz w:val="21"/>
                      <w:szCs w:val="21"/>
                      <w:lang w:bidi="ar"/>
                    </w:rPr>
                  </w:pPr>
                  <w:r>
                    <w:rPr>
                      <w:rFonts w:hint="default"/>
                      <w:color w:val="auto"/>
                      <w:spacing w:val="2"/>
                      <w:kern w:val="0"/>
                      <w:sz w:val="21"/>
                      <w:szCs w:val="21"/>
                      <w:lang w:bidi="ar"/>
                    </w:rPr>
                    <w:t>生态环境准入清单</w:t>
                  </w: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芒市工业园区重点管控单元</w:t>
                  </w:r>
                </w:p>
              </w:tc>
              <w:tc>
                <w:tcPr>
                  <w:tcW w:w="2489" w:type="dxa"/>
                  <w:vMerge w:val="restart"/>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本项目属于废弃物资回收利用项目，位于芒市</w:t>
                  </w:r>
                  <w:r>
                    <w:rPr>
                      <w:rFonts w:hint="eastAsia"/>
                      <w:color w:val="auto"/>
                      <w:lang w:val="en-US" w:eastAsia="zh-CN"/>
                    </w:rPr>
                    <w:t>风平</w:t>
                  </w:r>
                  <w:r>
                    <w:rPr>
                      <w:rFonts w:hint="default"/>
                      <w:color w:val="auto"/>
                    </w:rPr>
                    <w:t>镇</w:t>
                  </w:r>
                  <w:r>
                    <w:rPr>
                      <w:rFonts w:hint="eastAsia"/>
                      <w:color w:val="auto"/>
                      <w:lang w:val="en-US" w:eastAsia="zh-CN"/>
                    </w:rPr>
                    <w:t>帕底村</w:t>
                  </w:r>
                  <w:r>
                    <w:rPr>
                      <w:rFonts w:hint="default"/>
                      <w:color w:val="auto"/>
                    </w:rPr>
                    <w:t>。项目所处位置不属于工业园区重点管控单元、大气环境弱扩散、矿产资源、农业面源污染重点管控单元</w:t>
                  </w:r>
                  <w:r>
                    <w:rPr>
                      <w:rFonts w:hint="eastAsia"/>
                      <w:color w:val="auto"/>
                    </w:rPr>
                    <w:t>。属于一般管控单元</w:t>
                  </w:r>
                </w:p>
              </w:tc>
              <w:tc>
                <w:tcPr>
                  <w:tcW w:w="868"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default"/>
                      <w:color w:val="auto"/>
                      <w:spacing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63" w:type="dxa"/>
                  <w:gridSpan w:val="2"/>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kern w:val="0"/>
                      <w:sz w:val="21"/>
                      <w:szCs w:val="21"/>
                      <w:lang w:bidi="ar"/>
                    </w:rPr>
                  </w:pP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芒市大气环境弱扩散重点管控单元</w:t>
                  </w:r>
                </w:p>
              </w:tc>
              <w:tc>
                <w:tcPr>
                  <w:tcW w:w="2489"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86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63" w:type="dxa"/>
                  <w:gridSpan w:val="2"/>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kern w:val="0"/>
                      <w:sz w:val="21"/>
                      <w:szCs w:val="21"/>
                      <w:lang w:bidi="ar"/>
                    </w:rPr>
                  </w:pP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芒市矿产资源重点管控单元</w:t>
                  </w:r>
                </w:p>
              </w:tc>
              <w:tc>
                <w:tcPr>
                  <w:tcW w:w="2489"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86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63" w:type="dxa"/>
                  <w:gridSpan w:val="2"/>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kern w:val="0"/>
                      <w:sz w:val="21"/>
                      <w:szCs w:val="21"/>
                      <w:lang w:bidi="ar"/>
                    </w:rPr>
                  </w:pP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芒市农业面源污染重点管控单元</w:t>
                  </w:r>
                </w:p>
              </w:tc>
              <w:tc>
                <w:tcPr>
                  <w:tcW w:w="2489"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868"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63" w:type="dxa"/>
                  <w:gridSpan w:val="2"/>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kern w:val="0"/>
                      <w:sz w:val="21"/>
                      <w:szCs w:val="21"/>
                      <w:lang w:bidi="ar"/>
                    </w:rPr>
                  </w:pPr>
                  <w:r>
                    <w:rPr>
                      <w:rFonts w:hint="eastAsia"/>
                      <w:color w:val="auto"/>
                      <w:spacing w:val="2"/>
                      <w:kern w:val="0"/>
                      <w:sz w:val="21"/>
                      <w:szCs w:val="21"/>
                      <w:lang w:bidi="ar"/>
                    </w:rPr>
                    <w:t>一般管控单元</w:t>
                  </w: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新建企业的布局应符合当地相关产业布局的要求；禁止在基本农田内从事非农业生产的活动。任何单位和个人不得改变或者占用基本农田保护区；禁止新建、改扩建中小水电（25万千瓦以下）项目，现有中小水电站应按照环评批复（环评批复未明确生态流量的根据来水量科学确定生态流量），确保连续稳定下泄生态流量</w:t>
                  </w:r>
                </w:p>
              </w:tc>
              <w:tc>
                <w:tcPr>
                  <w:tcW w:w="2489"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项目位于</w:t>
                  </w:r>
                  <w:r>
                    <w:rPr>
                      <w:rFonts w:hint="default"/>
                      <w:color w:val="auto"/>
                    </w:rPr>
                    <w:t>芒市</w:t>
                  </w:r>
                  <w:r>
                    <w:rPr>
                      <w:rFonts w:hint="eastAsia"/>
                      <w:color w:val="auto"/>
                      <w:lang w:val="en-US" w:eastAsia="zh-CN"/>
                    </w:rPr>
                    <w:t>风平</w:t>
                  </w:r>
                  <w:r>
                    <w:rPr>
                      <w:rFonts w:hint="default"/>
                      <w:color w:val="auto"/>
                    </w:rPr>
                    <w:t>镇</w:t>
                  </w:r>
                  <w:r>
                    <w:rPr>
                      <w:rFonts w:hint="eastAsia"/>
                      <w:color w:val="auto"/>
                      <w:lang w:val="en-US" w:eastAsia="zh-CN"/>
                    </w:rPr>
                    <w:t>帕底村</w:t>
                  </w:r>
                  <w:r>
                    <w:rPr>
                      <w:rFonts w:hint="eastAsia"/>
                      <w:color w:val="auto"/>
                    </w:rPr>
                    <w:t>，属于报废汽车回收处理，</w:t>
                  </w:r>
                  <w:r>
                    <w:rPr>
                      <w:rFonts w:hint="eastAsia"/>
                      <w:color w:val="auto"/>
                      <w:lang w:val="en-US" w:eastAsia="zh-CN"/>
                    </w:rPr>
                    <w:t>项目用地属于工业用地，</w:t>
                  </w:r>
                  <w:r>
                    <w:rPr>
                      <w:rFonts w:hint="eastAsia"/>
                      <w:color w:val="auto"/>
                    </w:rPr>
                    <w:t>不占用基本农田</w:t>
                  </w:r>
                </w:p>
              </w:tc>
              <w:tc>
                <w:tcPr>
                  <w:tcW w:w="86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63" w:type="dxa"/>
                  <w:gridSpan w:val="2"/>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kern w:val="0"/>
                      <w:sz w:val="21"/>
                      <w:szCs w:val="21"/>
                      <w:lang w:bidi="ar"/>
                    </w:rPr>
                  </w:pP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落实生态环境保护基本要求，项目建设和运行应满足产业准入、总量控制、排放标准等管理规定；现有工业企业应达标排放，逐步提升清洁生产水平，减少污染物排放量；加强农业面源污染治理，严格控制化肥农药施用量，合理水产养殖布局，控制水产养殖污染，逐步削减农业面源污染物排放量</w:t>
                  </w:r>
                </w:p>
              </w:tc>
              <w:tc>
                <w:tcPr>
                  <w:tcW w:w="2489"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项目在运行过程中采取了有效的污染防治措施，根据分析可知，项目排放的污染物均能达标排放</w:t>
                  </w:r>
                </w:p>
              </w:tc>
              <w:tc>
                <w:tcPr>
                  <w:tcW w:w="86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63" w:type="dxa"/>
                  <w:gridSpan w:val="2"/>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kern w:val="0"/>
                      <w:sz w:val="21"/>
                      <w:szCs w:val="21"/>
                      <w:lang w:bidi="ar"/>
                    </w:rPr>
                  </w:pP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加强环境风险防范应急体系建设，加强环境应急预案管理，定期开展应急演练，持续开展环境安全隐患排查整治，提升应急监测能力，加强应急物资管理；严格管控类农用地，不得在特定农产品禁止生产区域种植食用农产品。安全利用类农用地，应制定受污染耕地等安全利用方案，降低农产品超标风险</w:t>
                  </w:r>
                </w:p>
              </w:tc>
              <w:tc>
                <w:tcPr>
                  <w:tcW w:w="2489"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本项目还处于环评阶段，待项目建成后，建设单位将积极编制环境应急预案，定期开展应急演练，完善环境应急预案管理。</w:t>
                  </w:r>
                </w:p>
              </w:tc>
              <w:tc>
                <w:tcPr>
                  <w:tcW w:w="86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63" w:type="dxa"/>
                  <w:gridSpan w:val="2"/>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kern w:val="0"/>
                      <w:sz w:val="21"/>
                      <w:szCs w:val="21"/>
                      <w:lang w:bidi="ar"/>
                    </w:rPr>
                  </w:pPr>
                </w:p>
              </w:tc>
              <w:tc>
                <w:tcPr>
                  <w:tcW w:w="340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优化能源结构，加强能源清洁利用。提高土地利用效率，节约集约利用土地资源</w:t>
                  </w:r>
                </w:p>
              </w:tc>
              <w:tc>
                <w:tcPr>
                  <w:tcW w:w="2489"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本项目在运营过程中使用电等清洁能源，合理布局项目区平面布置，节约能源及土地资源</w:t>
                  </w:r>
                </w:p>
              </w:tc>
              <w:tc>
                <w:tcPr>
                  <w:tcW w:w="86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pacing w:val="2"/>
                      <w:sz w:val="21"/>
                      <w:szCs w:val="21"/>
                    </w:rPr>
                  </w:pPr>
                  <w:r>
                    <w:rPr>
                      <w:rFonts w:hint="eastAsia"/>
                      <w:color w:val="auto"/>
                      <w:spacing w:val="2"/>
                      <w:sz w:val="21"/>
                      <w:szCs w:val="21"/>
                    </w:rPr>
                    <w:t>符合</w:t>
                  </w:r>
                </w:p>
              </w:tc>
            </w:tr>
          </w:tbl>
          <w:p>
            <w:pPr>
              <w:pStyle w:val="69"/>
              <w:keepNext w:val="0"/>
              <w:keepLines w:val="0"/>
              <w:suppressLineNumbers w:val="0"/>
              <w:spacing w:before="0" w:beforeAutospacing="0" w:after="0" w:afterAutospacing="0"/>
              <w:ind w:left="0" w:right="0"/>
              <w:rPr>
                <w:rFonts w:hint="default"/>
                <w:color w:val="auto"/>
                <w:lang w:bidi="ar"/>
              </w:rPr>
            </w:pPr>
          </w:p>
          <w:p>
            <w:pPr>
              <w:pStyle w:val="51"/>
              <w:keepNext w:val="0"/>
              <w:keepLines w:val="0"/>
              <w:suppressLineNumbers w:val="0"/>
              <w:spacing w:before="0" w:beforeAutospacing="0" w:after="0" w:afterAutospacing="0"/>
              <w:ind w:left="0" w:right="0" w:firstLine="482"/>
              <w:rPr>
                <w:rFonts w:hint="default"/>
                <w:b/>
                <w:color w:val="auto"/>
              </w:rPr>
            </w:pPr>
          </w:p>
          <w:p>
            <w:pPr>
              <w:pStyle w:val="51"/>
              <w:keepNext w:val="0"/>
              <w:keepLines w:val="0"/>
              <w:suppressLineNumbers w:val="0"/>
              <w:spacing w:before="0" w:beforeAutospacing="0" w:after="0" w:afterAutospacing="0"/>
              <w:ind w:left="0" w:right="0" w:firstLine="482"/>
              <w:rPr>
                <w:rFonts w:hint="default"/>
                <w:b/>
                <w:color w:val="auto"/>
              </w:rPr>
            </w:pPr>
            <w:r>
              <w:rPr>
                <w:rFonts w:hint="eastAsia"/>
                <w:b/>
                <w:color w:val="auto"/>
              </w:rPr>
              <w:t>（2）行业规范符合性分析</w:t>
            </w:r>
          </w:p>
          <w:p>
            <w:pPr>
              <w:pStyle w:val="51"/>
              <w:keepNext w:val="0"/>
              <w:keepLines w:val="0"/>
              <w:suppressLineNumbers w:val="0"/>
              <w:spacing w:before="0" w:beforeAutospacing="0" w:after="0" w:afterAutospacing="0"/>
              <w:ind w:left="0" w:right="0" w:firstLine="482"/>
              <w:rPr>
                <w:rFonts w:hint="default"/>
                <w:b/>
                <w:color w:val="auto"/>
              </w:rPr>
            </w:pPr>
            <w:r>
              <w:rPr>
                <w:rFonts w:hint="default"/>
                <w:b/>
                <w:color w:val="auto"/>
              </w:rPr>
              <w:fldChar w:fldCharType="begin"/>
            </w:r>
            <w:r>
              <w:rPr>
                <w:rFonts w:hint="default"/>
                <w:b/>
                <w:color w:val="auto"/>
              </w:rPr>
              <w:instrText xml:space="preserve"> </w:instrText>
            </w:r>
            <w:r>
              <w:rPr>
                <w:rFonts w:hint="eastAsia"/>
                <w:b/>
                <w:color w:val="auto"/>
              </w:rPr>
              <w:instrText xml:space="preserve">= 1 \* GB3</w:instrText>
            </w:r>
            <w:r>
              <w:rPr>
                <w:rFonts w:hint="default"/>
                <w:b/>
                <w:color w:val="auto"/>
              </w:rPr>
              <w:instrText xml:space="preserve"> </w:instrText>
            </w:r>
            <w:r>
              <w:rPr>
                <w:rFonts w:hint="default"/>
                <w:b/>
                <w:color w:val="auto"/>
              </w:rPr>
              <w:fldChar w:fldCharType="separate"/>
            </w:r>
            <w:r>
              <w:rPr>
                <w:rFonts w:hint="eastAsia"/>
                <w:b/>
                <w:color w:val="auto"/>
              </w:rPr>
              <w:t>①</w:t>
            </w:r>
            <w:r>
              <w:rPr>
                <w:rFonts w:hint="default"/>
                <w:b/>
                <w:color w:val="auto"/>
              </w:rPr>
              <w:fldChar w:fldCharType="end"/>
            </w:r>
            <w:r>
              <w:rPr>
                <w:rFonts w:hint="default"/>
                <w:b/>
                <w:color w:val="auto"/>
              </w:rPr>
              <w:t>与</w:t>
            </w:r>
            <w:r>
              <w:rPr>
                <w:rFonts w:hint="eastAsia"/>
                <w:b/>
                <w:color w:val="auto"/>
              </w:rPr>
              <w:t>《报废汽车回收拆解企业技术规范》（GB22128-2019）符合性分析</w:t>
            </w:r>
          </w:p>
          <w:p>
            <w:pPr>
              <w:pStyle w:val="51"/>
              <w:keepNext w:val="0"/>
              <w:keepLines w:val="0"/>
              <w:suppressLineNumbers w:val="0"/>
              <w:spacing w:before="0" w:beforeAutospacing="0" w:after="0" w:afterAutospacing="0"/>
              <w:ind w:left="0" w:right="0" w:firstLine="480"/>
              <w:rPr>
                <w:rFonts w:hint="default"/>
                <w:color w:val="auto"/>
              </w:rPr>
            </w:pPr>
            <w:r>
              <w:rPr>
                <w:rFonts w:hint="eastAsia"/>
                <w:color w:val="auto"/>
              </w:rPr>
              <w:t>根据项目特点对照《报废汽车回收拆解企业技术规范》（GB22128-2019）对报废汽车拆解企业的要求，分析本项目符合性见下表。</w:t>
            </w:r>
          </w:p>
          <w:p>
            <w:pPr>
              <w:pStyle w:val="54"/>
              <w:keepNext w:val="0"/>
              <w:keepLines w:val="0"/>
              <w:suppressLineNumbers w:val="0"/>
              <w:spacing w:before="0" w:beforeAutospacing="0" w:afterAutospacing="0"/>
              <w:ind w:right="0"/>
              <w:rPr>
                <w:rFonts w:hint="default"/>
                <w:color w:val="auto"/>
              </w:rPr>
            </w:pPr>
            <w:r>
              <w:rPr>
                <w:rFonts w:hint="eastAsia"/>
                <w:color w:val="auto"/>
              </w:rPr>
              <w:t>表1-2  与《报废汽车回收拆解企业技术规范》（GB22128-2019）符合性分析</w:t>
            </w:r>
          </w:p>
          <w:tbl>
            <w:tblPr>
              <w:tblStyle w:val="22"/>
              <w:tblW w:w="7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95"/>
              <w:gridCol w:w="3283"/>
              <w:gridCol w:w="2997"/>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b/>
                      <w:color w:val="auto"/>
                    </w:rPr>
                  </w:pPr>
                  <w:r>
                    <w:rPr>
                      <w:rFonts w:hint="eastAsia"/>
                      <w:b/>
                      <w:color w:val="auto"/>
                    </w:rPr>
                    <w:t>序号</w:t>
                  </w:r>
                </w:p>
              </w:tc>
              <w:tc>
                <w:tcPr>
                  <w:tcW w:w="495" w:type="dxa"/>
                  <w:vAlign w:val="center"/>
                </w:tcPr>
                <w:p>
                  <w:pPr>
                    <w:pStyle w:val="69"/>
                    <w:keepNext w:val="0"/>
                    <w:keepLines w:val="0"/>
                    <w:suppressLineNumbers w:val="0"/>
                    <w:spacing w:before="0" w:beforeAutospacing="0" w:after="0" w:afterAutospacing="0"/>
                    <w:ind w:left="0" w:right="0"/>
                    <w:rPr>
                      <w:rFonts w:hint="default"/>
                      <w:b/>
                      <w:color w:val="auto"/>
                    </w:rPr>
                  </w:pPr>
                  <w:r>
                    <w:rPr>
                      <w:rFonts w:hint="eastAsia"/>
                      <w:b/>
                      <w:color w:val="auto"/>
                    </w:rPr>
                    <w:t>项目</w:t>
                  </w:r>
                </w:p>
              </w:tc>
              <w:tc>
                <w:tcPr>
                  <w:tcW w:w="3283" w:type="dxa"/>
                  <w:vAlign w:val="center"/>
                </w:tcPr>
                <w:p>
                  <w:pPr>
                    <w:pStyle w:val="69"/>
                    <w:keepNext w:val="0"/>
                    <w:keepLines w:val="0"/>
                    <w:suppressLineNumbers w:val="0"/>
                    <w:spacing w:before="0" w:beforeAutospacing="0" w:after="0" w:afterAutospacing="0"/>
                    <w:ind w:left="0" w:right="0"/>
                    <w:rPr>
                      <w:rFonts w:hint="default"/>
                      <w:b/>
                      <w:color w:val="auto"/>
                    </w:rPr>
                  </w:pPr>
                  <w:r>
                    <w:rPr>
                      <w:rFonts w:hint="default"/>
                      <w:b/>
                      <w:color w:val="auto"/>
                    </w:rPr>
                    <w:t>规范要求</w:t>
                  </w:r>
                </w:p>
              </w:tc>
              <w:tc>
                <w:tcPr>
                  <w:tcW w:w="2997" w:type="dxa"/>
                  <w:vAlign w:val="center"/>
                </w:tcPr>
                <w:p>
                  <w:pPr>
                    <w:pStyle w:val="69"/>
                    <w:keepNext w:val="0"/>
                    <w:keepLines w:val="0"/>
                    <w:suppressLineNumbers w:val="0"/>
                    <w:spacing w:before="0" w:beforeAutospacing="0" w:after="0" w:afterAutospacing="0"/>
                    <w:ind w:left="0" w:right="0"/>
                    <w:rPr>
                      <w:rFonts w:hint="default"/>
                      <w:b/>
                      <w:color w:val="auto"/>
                    </w:rPr>
                  </w:pPr>
                  <w:r>
                    <w:rPr>
                      <w:rFonts w:hint="eastAsia"/>
                      <w:b/>
                      <w:color w:val="auto"/>
                    </w:rPr>
                    <w:t>本项目情况</w:t>
                  </w:r>
                </w:p>
              </w:tc>
              <w:tc>
                <w:tcPr>
                  <w:tcW w:w="667" w:type="dxa"/>
                  <w:vAlign w:val="center"/>
                </w:tcPr>
                <w:p>
                  <w:pPr>
                    <w:pStyle w:val="69"/>
                    <w:keepNext w:val="0"/>
                    <w:keepLines w:val="0"/>
                    <w:suppressLineNumbers w:val="0"/>
                    <w:spacing w:before="0" w:beforeAutospacing="0" w:after="0" w:afterAutospacing="0"/>
                    <w:ind w:left="0" w:right="0"/>
                    <w:rPr>
                      <w:rFonts w:hint="default"/>
                      <w:b/>
                      <w:color w:val="auto"/>
                    </w:rPr>
                  </w:pPr>
                  <w:r>
                    <w:rPr>
                      <w:rFonts w:hint="eastAsia"/>
                      <w:b/>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w:t>
                  </w:r>
                </w:p>
              </w:tc>
              <w:tc>
                <w:tcPr>
                  <w:tcW w:w="495" w:type="dxa"/>
                  <w:vMerge w:val="restart"/>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企业要求</w:t>
                  </w: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4.1 拆解产能要求</w:t>
                  </w:r>
                </w:p>
                <w:p>
                  <w:pPr>
                    <w:pStyle w:val="69"/>
                    <w:keepNext w:val="0"/>
                    <w:keepLines w:val="0"/>
                    <w:suppressLineNumbers w:val="0"/>
                    <w:spacing w:before="0" w:beforeAutospacing="0" w:after="0" w:afterAutospacing="0"/>
                    <w:ind w:left="0" w:right="0"/>
                    <w:rPr>
                      <w:rFonts w:hint="default"/>
                      <w:color w:val="auto"/>
                    </w:rPr>
                  </w:pPr>
                  <w:r>
                    <w:rPr>
                      <w:rFonts w:hint="eastAsia"/>
                      <w:color w:val="auto"/>
                    </w:rPr>
                    <w:t>4.1.1 企业所在地（地级市）类型依据年机动车保有量确定，企业数量依据地区总拆解产能确定。地区年拆解产能按当地年机动车保有量的 4%-5%设定。</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根据</w:t>
                  </w:r>
                  <w:r>
                    <w:rPr>
                      <w:rFonts w:hint="eastAsia"/>
                      <w:color w:val="auto"/>
                    </w:rPr>
                    <w:t>《云南省统计年鉴 2019 年》，2018年德宏州汽车保有量为 19.53万辆。属于Ⅵ档，年总拆解产能按当地机动车保有量5%计算，德宏州年拆解产能为0.98万辆/年</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4.1.2 单个企业最低年拆解产能满足表 2要求。</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地区类型属于</w:t>
                  </w:r>
                  <w:r>
                    <w:rPr>
                      <w:rFonts w:hint="eastAsia" w:ascii="宋体" w:hAnsi="宋体" w:cs="宋体"/>
                      <w:color w:val="auto"/>
                    </w:rPr>
                    <w:t>Ⅵ</w:t>
                  </w:r>
                  <w:r>
                    <w:rPr>
                      <w:rFonts w:hint="default" w:ascii="宋体" w:hAnsi="宋体" w:cs="宋体"/>
                      <w:color w:val="auto"/>
                    </w:rPr>
                    <w:t>档，最低产能为</w:t>
                  </w:r>
                  <w:r>
                    <w:rPr>
                      <w:rFonts w:hint="eastAsia" w:ascii="宋体" w:hAnsi="宋体" w:cs="宋体"/>
                      <w:color w:val="auto"/>
                    </w:rPr>
                    <w:t>0.5万辆/年。本项目年拆解机动车5000辆，满足最低拆解产能。项目已取得芒市发展和改革局关于本项目的投资备案证，项目代码</w:t>
                  </w:r>
                  <w:r>
                    <w:rPr>
                      <w:rFonts w:hint="eastAsia" w:ascii="宋体" w:hAnsi="宋体" w:cs="宋体"/>
                      <w:color w:val="auto"/>
                      <w:highlight w:val="none"/>
                    </w:rPr>
                    <w:t>2205-533103-04-01-579729</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3</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符合所在地城市总体规划或国土空间规划；</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符合 GB50187、HJ348 的选址要求，不得建在城市居民区、商业区、饮用水水源保护区及其他环境敏感区内，且避开受环境威胁的地带、地段和地区；</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本项目位于芒市</w:t>
                  </w:r>
                  <w:r>
                    <w:rPr>
                      <w:rFonts w:hint="eastAsia"/>
                      <w:color w:val="auto"/>
                      <w:lang w:val="en-US" w:eastAsia="zh-CN"/>
                    </w:rPr>
                    <w:t>风平</w:t>
                  </w:r>
                  <w:r>
                    <w:rPr>
                      <w:rFonts w:hint="default"/>
                      <w:color w:val="auto"/>
                    </w:rPr>
                    <w:t>镇</w:t>
                  </w:r>
                  <w:r>
                    <w:rPr>
                      <w:rFonts w:hint="eastAsia"/>
                      <w:color w:val="auto"/>
                      <w:lang w:val="en-US" w:eastAsia="zh-CN"/>
                    </w:rPr>
                    <w:t>帕底村</w:t>
                  </w:r>
                  <w:r>
                    <w:rPr>
                      <w:rFonts w:hint="default"/>
                      <w:color w:val="auto"/>
                    </w:rPr>
                    <w:t>，本项目不涉及敏感区</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4</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4.2.2 企业最低经营面积(占地面积)应满足如下要求：</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a、I 档-Ⅱ档地区为 20000m</w:t>
                  </w:r>
                  <w:r>
                    <w:rPr>
                      <w:rFonts w:hint="eastAsia"/>
                      <w:color w:val="auto"/>
                      <w:vertAlign w:val="superscript"/>
                    </w:rPr>
                    <w:t>2</w:t>
                  </w:r>
                  <w:r>
                    <w:rPr>
                      <w:rFonts w:hint="eastAsia"/>
                      <w:color w:val="auto"/>
                    </w:rPr>
                    <w:t xml:space="preserve"> ，Ⅱ档-IV 档地 区为 15000m</w:t>
                  </w:r>
                  <w:r>
                    <w:rPr>
                      <w:rFonts w:hint="eastAsia"/>
                      <w:color w:val="auto"/>
                      <w:vertAlign w:val="superscript"/>
                    </w:rPr>
                    <w:t>2</w:t>
                  </w:r>
                  <w:r>
                    <w:rPr>
                      <w:rFonts w:hint="eastAsia"/>
                      <w:color w:val="auto"/>
                    </w:rPr>
                    <w:t>，V 档 -VI 档 地区 为10000m</w:t>
                  </w:r>
                  <w:r>
                    <w:rPr>
                      <w:rFonts w:hint="eastAsia"/>
                      <w:color w:val="auto"/>
                      <w:vertAlign w:val="superscript"/>
                    </w:rPr>
                    <w:t>2</w:t>
                  </w:r>
                  <w:r>
                    <w:rPr>
                      <w:rFonts w:hint="eastAsia"/>
                      <w:color w:val="auto"/>
                    </w:rPr>
                    <w:t>；</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b、其中作业场地(包括拆解和贮存场地)面积不低于经营面积的 60%。</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项目属于Ⅵ档地区，项目占地面积（经营面积）为1</w:t>
                  </w:r>
                  <w:r>
                    <w:rPr>
                      <w:rFonts w:hint="eastAsia"/>
                      <w:color w:val="auto"/>
                      <w:lang w:val="en-US" w:eastAsia="zh-CN"/>
                    </w:rPr>
                    <w:t>3333.97</w:t>
                  </w:r>
                  <w:r>
                    <w:rPr>
                      <w:rFonts w:hint="eastAsia"/>
                      <w:color w:val="auto"/>
                    </w:rPr>
                    <w:t>m</w:t>
                  </w:r>
                  <w:r>
                    <w:rPr>
                      <w:rFonts w:hint="eastAsia"/>
                      <w:color w:val="auto"/>
                      <w:vertAlign w:val="superscript"/>
                    </w:rPr>
                    <w:t>2</w:t>
                  </w:r>
                  <w:r>
                    <w:rPr>
                      <w:rFonts w:hint="eastAsia"/>
                      <w:color w:val="auto"/>
                    </w:rPr>
                    <w:t xml:space="preserve"> &gt;10000m</w:t>
                  </w:r>
                  <w:r>
                    <w:rPr>
                      <w:rFonts w:hint="eastAsia"/>
                      <w:color w:val="auto"/>
                      <w:vertAlign w:val="superscript"/>
                    </w:rPr>
                    <w:t>2</w:t>
                  </w:r>
                  <w:r>
                    <w:rPr>
                      <w:rFonts w:hint="eastAsia"/>
                      <w:color w:val="auto"/>
                    </w:rPr>
                    <w:t>，经营面积(占地面积)能满足厂区汽车拆解用地要求；本项目实际建成后的作业面积为12766m</w:t>
                  </w:r>
                  <w:r>
                    <w:rPr>
                      <w:rFonts w:hint="eastAsia"/>
                      <w:color w:val="auto"/>
                      <w:vertAlign w:val="superscript"/>
                    </w:rPr>
                    <w:t>2</w:t>
                  </w:r>
                  <w:r>
                    <w:rPr>
                      <w:rFonts w:hint="eastAsia"/>
                      <w:color w:val="auto"/>
                    </w:rPr>
                    <w:t>，高于经营面积的60%。</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5</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4.2.3 企业应严格执行《工业项目建设用地控制指标》建设用地标准，且场地建设符合HJ348 的企业建设环境保护要求。</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建设单位严格按照HJ348的要求建设</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6</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4.2.4 企业场地应具备拆解场地、贮存场地和办公场地。其中，拆解场地和贮存场地(包括临时贮存)的地面应硬化并防渗漏，满足 GB50037 的防油渗地面要求。</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厂区具备拆解场地、贮存场地和办公场地。项目建设报废车辆拆解车间、固废暂存间、仓库、危废暂存间等，其中各车间均进行地面硬化，拆解场地和贮存场地铺设防渗材料</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7</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4.2.5 拆解场地应为封闭或半封闭构建物，应通风、光线良好，安全环保设施设备齐全。</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拆解车间为半封闭厂房，通风、光线良好，并配备安全环保设施。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8</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4.2.6 贮存场地应分为报废机动车贮存场地、回用件贮存场地及固体废物贮存场地。固体废物贮存场地应具有满足GB18599 要求的一般工业固体废物贮存设施和满足 GB18597 要求的危险废物贮存设施。</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本项目贮存场地分为回收件车间、堆场区、危废综合暂存间、废旧电瓶暂存间。一般固体废物贮存区，满足 GB18599 一般工业固体废物贮存设施要求。危险废物贮存区，满足 GB18597 要求的危险废物贮存设施要求。</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9</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4.3 设施设备要求</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4.3.1 应具备以下一般拆解设施设备：</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a)车辆称重设备；</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b)室内或有防雨顶棚的拆解预处理平台；</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c)车架(车身)剪断、切制设备或压扁设备，不得仅以氧制设备代势；</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d)起重、运输或专用拖车等设备；</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e)总成拆解平台；</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f)气动拆解工具；</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g)简易拆解工具；</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①厂区配备车辆称重设备。</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②拆解车间为钢架厂房结构。</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③剪断、切制设备或压扁设备分别为龙门剪、液压剪、打包机等。</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④配备吊车、专用拖车；</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⑤设置变速箱总成拆解平台；</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⑥配备气动扳手。</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⑦配备液压剪、撕碎机等。</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10</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4.3.2 应具备以下安全设施设备：</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a)安全气囊直接引爆装置或者拆除、贮存、引保装置；</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b)满足 GB50016 规定的消防设施设备；</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c)应急救援设备。</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①配备安全气囊引爆装置。</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②配备消防设施。</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③配备应急救援设备灭火器等。</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11</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4.3.3 应具备以下环保设施设备：</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a)满足 HJ348 要求的油水分离器等企业建设环境保护设备；</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b)配有专用废液收集装置和分类存放各种废液的专用密闭容器；</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c)机动车空调制冷剂收集装置和分类存放各种制冷剂的密闭容器；</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d)分类存放机油滤清器和铅酸蓄电池的容器。</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①整个厂区实行清污分流，项目无生产废水产生。</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②配有专用密闭容器收集各种废液。</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③采用制冷剂回收机真空抽取压缩机中的制冷剂，密闭容器收集制冷剂。</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④采用专门容器存放机油滤清器；</w:t>
                  </w:r>
                  <w:r>
                    <w:rPr>
                      <w:rFonts w:hint="default"/>
                      <w:color w:val="auto"/>
                    </w:rPr>
                    <w:t xml:space="preserve"> </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12</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4.3.4 应具备电脑拍照设备,电子监控等设施设备。</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厂区拟配备电脑拍照设备、电子监控设备。</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13</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4.3.5 应建立设施设备管理制度，制定设备操作规范，并定期维护、更新。</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14</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4.4 技术人员要求</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4.4.1 企业技术人员应经过岗前培训,其专业技能应能满足规范拆解、环保作业、安全操作等相应要求，并配备专业安全生产管理人员和环保管理人员，国家有持证上岗规定的，应持证上岗。</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厂区配备21名专业技术人员，需持证上岗的岗位持证上岗。</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15</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4.5 信息管理要求</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4.5.1 应建立电子信息档案,记录报废机动车回收登记、固体废物信息</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16</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4.5.2 生产经营场所应设置全覆盖的电子监控系统,实时记录报废机动车回收和拆解过程。相关信息保存期限不应低于1年。</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17</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4.6 安全要求</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4.6.1 应实施满足 GB/T33000 要求的安全管理制度，具有水、电、气等安全使用说明，安全生产规程。防火、防汛、应急预案等。拆除的安全气囊组件应在易燃、易爆等危险品仓库及高压输电线路防护区域以外引爆，并在引爆区域设有爆炸物安全警示标志和隔离栏。</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18</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4.6.2 电动汽车拆解作业人员在带电作业过程中应进行安全防护，穿戴好绝缘工作服等必要的安全防护装备。使用的作业工具应是绝缘的或经绝缘处理的。作业时，应有专职监督人员实时监护。</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19</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4.6.3 厂内转移报废电动汽车和动力蓄电池应进行固定，防止碰撞、跌落。</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20</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4.6.4 场地内应设置相应的安全标志，安全标志的使用应满足 GB2894 中关于禁止、警告、指令、提示标志的要求。</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21</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4.6.5 应按照 GBZ188 的规定对接触汽油等有害化学因素，噪声、手传振动等有害物理因素的作业人员及粉尘、电工、压力容器等作业人员进行监护。</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22</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4.7 环保要求</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4.7.1 报废机动车拆解过程应满足 HJ348中所规定的清污分流、污水达标排放等环境保护和污染控制的相关要求。</w:t>
                  </w:r>
                </w:p>
              </w:tc>
              <w:tc>
                <w:tcPr>
                  <w:tcW w:w="2997" w:type="dxa"/>
                  <w:vAlign w:val="center"/>
                </w:tcPr>
                <w:p>
                  <w:pPr>
                    <w:pStyle w:val="69"/>
                    <w:keepNext w:val="0"/>
                    <w:keepLines w:val="0"/>
                    <w:suppressLineNumbers w:val="0"/>
                    <w:spacing w:before="0" w:beforeAutospacing="0" w:after="0" w:afterAutospacing="0"/>
                    <w:ind w:left="0" w:right="0"/>
                    <w:jc w:val="left"/>
                    <w:rPr>
                      <w:rFonts w:hint="default" w:eastAsia="宋体"/>
                      <w:color w:val="auto"/>
                      <w:lang w:val="en-US" w:eastAsia="zh-CN"/>
                    </w:rPr>
                  </w:pPr>
                  <w:r>
                    <w:rPr>
                      <w:rFonts w:hint="eastAsia"/>
                      <w:color w:val="auto"/>
                    </w:rPr>
                    <w:t>整个厂区实行清污分流，初期雨水</w:t>
                  </w:r>
                  <w:r>
                    <w:rPr>
                      <w:rFonts w:hint="eastAsia"/>
                      <w:color w:val="auto"/>
                      <w:lang w:val="en-US" w:eastAsia="zh-CN"/>
                    </w:rPr>
                    <w:t>进入初期雨水收集池收集后进入项目自建的污水处理站处理达标后回用于项目区绿化</w:t>
                  </w:r>
                  <w:r>
                    <w:rPr>
                      <w:rFonts w:hint="eastAsia"/>
                      <w:color w:val="auto"/>
                    </w:rPr>
                    <w:t>，用不完的排入项目区周边污水管网，生活污水经隔油池及化粪池处理后</w:t>
                  </w:r>
                  <w:r>
                    <w:rPr>
                      <w:rFonts w:hint="eastAsia"/>
                      <w:color w:val="auto"/>
                      <w:lang w:val="en-US" w:eastAsia="zh-CN"/>
                    </w:rPr>
                    <w:t>回用于项目区绿化施肥</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23</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4.7.2 应实施满足危险废物规范化管理要求的环境管理制度,其中对列入《国家危险废物名录》的危险废物应严格按照有关规定进行管理。</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24</w:t>
                  </w:r>
                </w:p>
              </w:tc>
              <w:tc>
                <w:tcPr>
                  <w:tcW w:w="495" w:type="dxa"/>
                  <w:vMerge w:val="restart"/>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回收技术要求</w:t>
                  </w: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5.1 收到报废机动车后，应检查发动机、散热器、变速器、差速器、油箱和燃料罐等总成部件的密封、破损情况。对于出现泄漏的总成部件，应采取适当的方式收集泄漏的液体或封住泄漏处,防止废液渗人地下。</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收到报废机动车后，对车辆进行检查，对于泄漏部件，采取优先拆解或者立即将泄漏液体用密闭容器进行收集。</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25</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5.2 对报废电动汽车，应检查动力蓄电池和驱动电机等部件的密封和破损情况。对于出现动力蓄电池破损、电极头和线束裸露等存在漏电风险的,应采取适当的方式进行绝缘处理。</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26</w:t>
                  </w:r>
                </w:p>
              </w:tc>
              <w:tc>
                <w:tcPr>
                  <w:tcW w:w="495" w:type="dxa"/>
                  <w:vMerge w:val="restart"/>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贮存技术要求</w:t>
                  </w: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6.1 报废机动车贮存</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6.1.1 所有车辆应避免侧放、倒放，电动汽车在动力蓄电池未拆卸前不应叠放。</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厂区报废动车禁止侧放、倒放。</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27</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6.1.2 机动车如需叠放,应使上下车辆的重心尽量重合,且不应超过3层。2层和3层叠放时,高度分别不应超过3m和4.5m。</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大型车辆应单层平置。采用框架结构存放的,要保证安全性，并易于装卸。</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28</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6.1.3 电动汽车在动力蓄电池未拆卸前应单独贮存,并采取防火、防水、绝缘、隔热等安全保障措施。</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29</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6.1.4 电动汽车中的事故车以及发生动力蓄电池破损的车辆应隔离贮存。</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30</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6.2 固体废物贮存</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6.2.1 固体废物的贮存设施建设应符合GB18599、GB18597、HJ2025 的要求。</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31</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6.2.2 一般工业固体废物贮存设施及包装物应按 GB15562.2 进行标识，危险废物贮 存 设 施 及 包 装 物 的 标 志 应 符 合GB18597 的要求。所有固体废物避免混合、混放。</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按照该条实施，对一般工业固体废物贮存区设置标识，分区明显。设置危废综合暂存间，包装物的标志明显。</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32</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6.2.3 妥善处置固体废物，不应非法转移、倾倒、利用和处置。</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妥善处置固体废物，危险固废委托有资质单位收集处置。</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33</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6.2.4 不同类型的制冷剂应分别回收,使用专门容器单独存放。</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制冷剂采用密闭容器收集，单独存放。</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34</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6.2.5 废弃电器、铅酸蓄电池贮存场地不得有明火。</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废弃电器、铅酸蓄电池贮存场地禁止明火，设立专用暂存间储存。</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35</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6.2.7 对拆解后的所有固体废物分类贮存和标识。</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对拆解固体废物分类贮存，并贴标识</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36</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6.3 回用件贮存</w:t>
                  </w:r>
                </w:p>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6.3.1 同用件应分类贮存和标识,存放在封闭或半封闭的贮存场地中</w:t>
                  </w:r>
                </w:p>
              </w:tc>
              <w:tc>
                <w:tcPr>
                  <w:tcW w:w="2997"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对拆解固体废物分类贮存，并贴标识，存放在半封闭的贮存场地</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37</w:t>
                  </w:r>
                </w:p>
              </w:tc>
              <w:tc>
                <w:tcPr>
                  <w:tcW w:w="495"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283" w:type="dxa"/>
                  <w:vAlign w:val="center"/>
                </w:tcPr>
                <w:p>
                  <w:pPr>
                    <w:pStyle w:val="69"/>
                    <w:keepNext w:val="0"/>
                    <w:keepLines w:val="0"/>
                    <w:suppressLineNumbers w:val="0"/>
                    <w:spacing w:before="0" w:beforeAutospacing="0" w:after="0" w:afterAutospacing="0"/>
                    <w:ind w:left="0" w:right="0"/>
                    <w:jc w:val="left"/>
                    <w:rPr>
                      <w:rFonts w:hint="default"/>
                      <w:color w:val="auto"/>
                    </w:rPr>
                  </w:pPr>
                  <w:r>
                    <w:rPr>
                      <w:rFonts w:hint="eastAsia"/>
                      <w:color w:val="auto"/>
                    </w:rPr>
                    <w:t>6.3.2 回用件贮存前应做清洁等处理。</w:t>
                  </w:r>
                </w:p>
              </w:tc>
              <w:tc>
                <w:tcPr>
                  <w:tcW w:w="299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按照该条实施</w:t>
                  </w:r>
                </w:p>
              </w:tc>
              <w:tc>
                <w:tcPr>
                  <w:tcW w:w="667" w:type="dxa"/>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符合</w:t>
                  </w:r>
                </w:p>
              </w:tc>
            </w:tr>
          </w:tbl>
          <w:p>
            <w:pPr>
              <w:pStyle w:val="51"/>
              <w:keepNext w:val="0"/>
              <w:keepLines w:val="0"/>
              <w:suppressLineNumbers w:val="0"/>
              <w:spacing w:before="0" w:beforeAutospacing="0" w:after="0" w:afterAutospacing="0"/>
              <w:ind w:left="0" w:right="0" w:firstLine="480"/>
              <w:rPr>
                <w:rFonts w:hint="default"/>
                <w:bCs/>
                <w:color w:val="auto"/>
              </w:rPr>
            </w:pPr>
            <w:r>
              <w:rPr>
                <w:rFonts w:hint="default"/>
                <w:bCs/>
                <w:color w:val="auto"/>
              </w:rPr>
              <w:t>通过上述分析可知，本项目满足</w:t>
            </w:r>
            <w:r>
              <w:rPr>
                <w:rFonts w:hint="eastAsia"/>
                <w:bCs/>
                <w:color w:val="auto"/>
              </w:rPr>
              <w:t>《报废汽车回收拆解企业技术规范》（GB22128-2019）的要求。</w:t>
            </w:r>
          </w:p>
          <w:p>
            <w:pPr>
              <w:pStyle w:val="51"/>
              <w:keepNext w:val="0"/>
              <w:keepLines w:val="0"/>
              <w:suppressLineNumbers w:val="0"/>
              <w:spacing w:before="0" w:beforeAutospacing="0" w:after="0" w:afterAutospacing="0"/>
              <w:ind w:left="0" w:right="0" w:firstLine="482"/>
              <w:rPr>
                <w:rFonts w:hint="default"/>
                <w:b/>
                <w:bCs/>
                <w:color w:val="auto"/>
              </w:rPr>
            </w:pPr>
            <w:r>
              <w:rPr>
                <w:rFonts w:hint="eastAsia"/>
                <w:b/>
                <w:bCs/>
                <w:color w:val="auto"/>
              </w:rPr>
              <w:t>②与《报废机动车拆解环境保护技术规范》（HJ348-20</w:t>
            </w:r>
            <w:r>
              <w:rPr>
                <w:rFonts w:hint="eastAsia"/>
                <w:b/>
                <w:bCs/>
                <w:color w:val="auto"/>
                <w:lang w:val="en-US" w:eastAsia="zh-CN"/>
              </w:rPr>
              <w:t>22</w:t>
            </w:r>
            <w:r>
              <w:rPr>
                <w:rFonts w:hint="eastAsia"/>
                <w:b/>
                <w:bCs/>
                <w:color w:val="auto"/>
              </w:rPr>
              <w:t>）符合性分析</w:t>
            </w:r>
          </w:p>
          <w:p>
            <w:pPr>
              <w:pStyle w:val="51"/>
              <w:keepNext w:val="0"/>
              <w:keepLines w:val="0"/>
              <w:suppressLineNumbers w:val="0"/>
              <w:spacing w:before="0" w:beforeAutospacing="0" w:after="0" w:afterAutospacing="0"/>
              <w:ind w:left="0" w:right="0" w:firstLine="480"/>
              <w:rPr>
                <w:rFonts w:hint="default"/>
                <w:bCs/>
                <w:color w:val="auto"/>
              </w:rPr>
            </w:pPr>
            <w:r>
              <w:rPr>
                <w:rFonts w:hint="eastAsia"/>
                <w:bCs/>
                <w:color w:val="auto"/>
              </w:rPr>
              <w:t>本项目建设与《报废机动车拆解环境保护技术规范》（HJ348-20</w:t>
            </w:r>
            <w:r>
              <w:rPr>
                <w:rFonts w:hint="eastAsia"/>
                <w:bCs/>
                <w:color w:val="auto"/>
                <w:lang w:val="en-US" w:eastAsia="zh-CN"/>
              </w:rPr>
              <w:t>22</w:t>
            </w:r>
            <w:r>
              <w:rPr>
                <w:rFonts w:hint="eastAsia"/>
                <w:bCs/>
                <w:color w:val="auto"/>
              </w:rPr>
              <w:t>）要求的相符性对照见下表。</w:t>
            </w:r>
          </w:p>
          <w:p>
            <w:pPr>
              <w:pStyle w:val="51"/>
              <w:keepNext w:val="0"/>
              <w:keepLines w:val="0"/>
              <w:suppressLineNumbers w:val="0"/>
              <w:spacing w:before="0" w:beforeAutospacing="0" w:after="0" w:afterAutospacing="0"/>
              <w:ind w:left="0" w:right="0" w:firstLine="482"/>
              <w:rPr>
                <w:rFonts w:hint="default"/>
                <w:b/>
                <w:bCs/>
                <w:color w:val="auto"/>
              </w:rPr>
            </w:pPr>
            <w:r>
              <w:rPr>
                <w:rFonts w:hint="eastAsia"/>
                <w:b/>
                <w:bCs/>
                <w:color w:val="auto"/>
              </w:rPr>
              <w:t>表 1-3 《报废机动车拆解环境保护技术规范》符合性分析</w:t>
            </w:r>
          </w:p>
          <w:tbl>
            <w:tblPr>
              <w:tblStyle w:val="23"/>
              <w:tblW w:w="7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3402"/>
              <w:gridCol w:w="2977"/>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gridSpan w:val="2"/>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报废机动车拆解环境保护技术规范要求内容</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default"/>
                      <w:b/>
                      <w:bCs/>
                      <w:color w:val="auto"/>
                      <w:sz w:val="21"/>
                      <w:szCs w:val="21"/>
                    </w:rPr>
                    <w:t>项目实际情况</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default"/>
                      <w:b/>
                      <w:bCs/>
                      <w:color w:val="auto"/>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总体要求</w:t>
                  </w: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 xml:space="preserve">4.1 </w:t>
                  </w:r>
                  <w:r>
                    <w:rPr>
                      <w:rFonts w:hint="eastAsia"/>
                      <w:bCs/>
                      <w:color w:val="auto"/>
                      <w:sz w:val="21"/>
                      <w:szCs w:val="21"/>
                      <w:lang w:val="en-US" w:eastAsia="zh-CN"/>
                    </w:rPr>
                    <w:t>报废机动车的拆解应遵循减量化、资源化和无害化的原则，优先采用回收率高、污染物排放量少的工艺设备</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企业报废机动车拆解的建设与运行以环境无害化方式进行，破碎机自带除尘装置，产生的颗粒物通过该集气罩（集气效率 80%）收集后，进入自带布袋除尘器（除尘效率 95%）除尘后，引至 15m 排气筒排放。</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 xml:space="preserve">4.2 </w:t>
                  </w:r>
                  <w:r>
                    <w:rPr>
                      <w:rFonts w:hint="eastAsia"/>
                      <w:bCs/>
                      <w:color w:val="auto"/>
                      <w:sz w:val="21"/>
                      <w:szCs w:val="21"/>
                      <w:lang w:val="en-US" w:eastAsia="zh-CN"/>
                    </w:rPr>
                    <w:t>选址不应位于生态保护红线区域、永久基本农田和其他特别需要保护的区域内</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本项目</w:t>
                  </w:r>
                  <w:r>
                    <w:rPr>
                      <w:rFonts w:hint="eastAsia"/>
                      <w:bCs/>
                      <w:color w:val="auto"/>
                      <w:sz w:val="21"/>
                      <w:szCs w:val="21"/>
                      <w:lang w:val="en-US" w:eastAsia="zh-CN"/>
                    </w:rPr>
                    <w:t>不占用生态保护红线、基本农田及其他需要保护的区域内</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 xml:space="preserve">4.3 </w:t>
                  </w:r>
                  <w:r>
                    <w:rPr>
                      <w:rFonts w:hint="eastAsia"/>
                      <w:bCs/>
                      <w:color w:val="auto"/>
                      <w:sz w:val="21"/>
                      <w:szCs w:val="21"/>
                      <w:lang w:val="en-US" w:eastAsia="zh-CN"/>
                    </w:rPr>
                    <w:t>回收拆解企业应具备集中的运营场地，并实行封闭式规划管理</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本项目在芒市风平镇帕底村租用场地并建设厂房，并在场地边界设置了围墙</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4.4企业应取得排污许可证，并按照排污许可证管理要求进行规范排污</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lang w:val="en-US" w:eastAsia="zh-CN"/>
                    </w:rPr>
                  </w:pPr>
                  <w:r>
                    <w:rPr>
                      <w:rFonts w:hint="eastAsia"/>
                      <w:bCs/>
                      <w:color w:val="auto"/>
                      <w:sz w:val="21"/>
                      <w:szCs w:val="21"/>
                      <w:lang w:val="en-US" w:eastAsia="zh-CN"/>
                    </w:rPr>
                    <w:t>本项目在建设完成之后及时申请排污许可证，并按照要求规范排污</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4.5应按照《报废汽车回收管理办法实施细则》等相关要求向机动车生产企业获取报废机动车拆解知道手册等，依规开展拆解工作</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lang w:val="en-US" w:eastAsia="zh-CN"/>
                    </w:rPr>
                  </w:pPr>
                  <w:r>
                    <w:rPr>
                      <w:rFonts w:hint="eastAsia"/>
                      <w:bCs/>
                      <w:color w:val="auto"/>
                      <w:sz w:val="21"/>
                      <w:szCs w:val="21"/>
                      <w:lang w:val="en-US" w:eastAsia="zh-CN"/>
                    </w:rPr>
                    <w:t>按照本条实施</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4.6不应露天拆解报废机动车，拆解产不应露天堆放</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lang w:val="en-US" w:eastAsia="zh-CN"/>
                    </w:rPr>
                  </w:pPr>
                  <w:r>
                    <w:rPr>
                      <w:rFonts w:hint="eastAsia"/>
                      <w:bCs/>
                      <w:color w:val="auto"/>
                      <w:sz w:val="21"/>
                      <w:szCs w:val="21"/>
                      <w:lang w:val="en-US" w:eastAsia="zh-CN"/>
                    </w:rPr>
                    <w:t>项目在厂房内进行拆解，拆解后的产物堆放在相应的仓库内</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4.7企业应具备与生产规模相匹配的环境保护设施，环境保护设施的设计、施工与运行应遵守“三同时”制度</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lang w:val="en-US" w:eastAsia="zh-CN"/>
                    </w:rPr>
                  </w:pPr>
                  <w:r>
                    <w:rPr>
                      <w:rFonts w:hint="eastAsia"/>
                      <w:bCs/>
                      <w:color w:val="auto"/>
                      <w:sz w:val="21"/>
                      <w:szCs w:val="21"/>
                      <w:lang w:val="en-US" w:eastAsia="zh-CN"/>
                    </w:rPr>
                    <w:t>项目在建设期间配套建设污水处理站、除尘器等，与主体工程同时设计、施工及运行</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4.8机动车在拆解及贮存过程除满足环境保护相关要求外，还应符合国家安全生产、职业健康、交通运输、消防等相关要求</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lang w:val="en-US" w:eastAsia="zh-CN"/>
                    </w:rPr>
                  </w:pPr>
                  <w:r>
                    <w:rPr>
                      <w:rFonts w:hint="eastAsia"/>
                      <w:bCs/>
                      <w:color w:val="auto"/>
                      <w:sz w:val="21"/>
                      <w:szCs w:val="21"/>
                      <w:lang w:val="en-US" w:eastAsia="zh-CN"/>
                    </w:rPr>
                    <w:t>按照项目的建设及运营符合相关要求</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lang w:val="en-US" w:eastAsia="zh-CN"/>
                    </w:rPr>
                    <w:t>基础设施污染控制要求</w:t>
                  </w: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 xml:space="preserve">5.1 </w:t>
                  </w:r>
                  <w:r>
                    <w:rPr>
                      <w:rFonts w:hint="eastAsia"/>
                      <w:bCs/>
                      <w:color w:val="auto"/>
                      <w:sz w:val="21"/>
                      <w:szCs w:val="21"/>
                      <w:lang w:val="en-US" w:eastAsia="zh-CN"/>
                    </w:rPr>
                    <w:t>报废机动车回收企业应划分不同的功能区，包括办公区和作业区</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本项目已按照要求对项目区进行分区</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lang w:val="en-US" w:eastAsia="zh-CN"/>
                    </w:rPr>
                  </w:pPr>
                  <w:r>
                    <w:rPr>
                      <w:rFonts w:hint="eastAsia"/>
                      <w:bCs/>
                      <w:color w:val="auto"/>
                      <w:sz w:val="21"/>
                      <w:szCs w:val="21"/>
                    </w:rPr>
                    <w:t xml:space="preserve">5.2 </w:t>
                  </w:r>
                  <w:r>
                    <w:rPr>
                      <w:rFonts w:hint="eastAsia"/>
                      <w:bCs/>
                      <w:color w:val="auto"/>
                      <w:sz w:val="21"/>
                      <w:szCs w:val="21"/>
                      <w:lang w:val="en-US" w:eastAsia="zh-CN"/>
                    </w:rPr>
                    <w:t>厂区内功能区的设计和建设应满足相应的要求</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按照规范要求建设</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 xml:space="preserve">5.3 </w:t>
                  </w:r>
                  <w:r>
                    <w:rPr>
                      <w:rFonts w:hint="eastAsia"/>
                      <w:bCs/>
                      <w:color w:val="auto"/>
                      <w:sz w:val="21"/>
                      <w:szCs w:val="21"/>
                      <w:lang w:val="en-US" w:eastAsia="zh-CN"/>
                    </w:rPr>
                    <w:t>厂区内的道路应采取硬化措施，如出现破损应及时维修</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厂区内部道路采取水泥硬化。</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 xml:space="preserve">5.4 </w:t>
                  </w:r>
                  <w:r>
                    <w:rPr>
                      <w:rFonts w:hint="eastAsia"/>
                      <w:bCs/>
                      <w:color w:val="auto"/>
                      <w:sz w:val="21"/>
                      <w:szCs w:val="21"/>
                      <w:lang w:val="en-US" w:eastAsia="zh-CN"/>
                    </w:rPr>
                    <w:t>厂区应采取雨污分流，在作业区产生的初期雨水、清洗水和其他非生活废水应设置专门的收集设施和污水处理设施</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项目区已进行雨污分流，产生的初期雨水经收集至初期雨水收集池后进入自建的污水处理站处理，之后回用于项目区绿化，生活污水经隔油池及化粪池处理后回用于项目区绿化施肥</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拆解过程污染控制要求</w:t>
                  </w: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 xml:space="preserve">6.1 </w:t>
                  </w:r>
                  <w:r>
                    <w:rPr>
                      <w:rFonts w:hint="eastAsia"/>
                      <w:bCs/>
                      <w:color w:val="auto"/>
                      <w:sz w:val="21"/>
                      <w:szCs w:val="21"/>
                      <w:lang w:val="en-US" w:eastAsia="zh-CN"/>
                    </w:rPr>
                    <w:t>传统燃料报废机动车在开展拆解作业前，应抽排燃油、发动机油、冷却液等，并使用专用容器回收贮存</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按照本条实施</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6.2 报废机动车</w:t>
                  </w:r>
                  <w:r>
                    <w:rPr>
                      <w:rFonts w:hint="eastAsia"/>
                      <w:bCs/>
                      <w:color w:val="auto"/>
                      <w:sz w:val="21"/>
                      <w:szCs w:val="21"/>
                      <w:lang w:val="en-US" w:eastAsia="zh-CN"/>
                    </w:rPr>
                    <w:t>进场检测时，变形或漏液、漏电等事故车辆应进行明显标识，及时隔离并优先处理</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按照本条实施</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 xml:space="preserve">6.3 </w:t>
                  </w:r>
                  <w:r>
                    <w:rPr>
                      <w:rFonts w:hint="eastAsia"/>
                      <w:bCs/>
                      <w:color w:val="auto"/>
                      <w:sz w:val="21"/>
                      <w:szCs w:val="21"/>
                      <w:lang w:val="en-US" w:eastAsia="zh-CN"/>
                    </w:rPr>
                    <w:t>开展拆解作业前，应彻底抽排制冷剂，并用专用容器回收储存</w:t>
                  </w:r>
                  <w:r>
                    <w:rPr>
                      <w:rFonts w:hint="eastAsia"/>
                      <w:bCs/>
                      <w:color w:val="auto"/>
                      <w:sz w:val="21"/>
                      <w:szCs w:val="21"/>
                    </w:rPr>
                    <w:t>。</w:t>
                  </w:r>
                  <w:r>
                    <w:rPr>
                      <w:rFonts w:hint="eastAsia"/>
                      <w:bCs/>
                      <w:color w:val="auto"/>
                      <w:sz w:val="21"/>
                      <w:szCs w:val="21"/>
                      <w:lang w:val="en-US" w:eastAsia="zh-CN"/>
                    </w:rPr>
                    <w:t>拆卸下来的动力蓄电池存在漏液、漏电、破损等情况应采用专用容器单独存放</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按照本条实施</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 xml:space="preserve">6.4 </w:t>
                  </w:r>
                  <w:r>
                    <w:rPr>
                      <w:rFonts w:hint="eastAsia"/>
                      <w:bCs/>
                      <w:color w:val="auto"/>
                      <w:sz w:val="21"/>
                      <w:szCs w:val="21"/>
                      <w:lang w:val="en-US" w:eastAsia="zh-CN"/>
                    </w:rPr>
                    <w:t>动力蓄电池与铅蓄电池不应混合储存</w:t>
                  </w:r>
                  <w:r>
                    <w:rPr>
                      <w:rFonts w:hint="eastAsia"/>
                      <w:bCs/>
                      <w:color w:val="auto"/>
                      <w:sz w:val="21"/>
                      <w:szCs w:val="21"/>
                    </w:rPr>
                    <w:t>。</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按照本条实施</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 xml:space="preserve">6.5 </w:t>
                  </w:r>
                  <w:r>
                    <w:rPr>
                      <w:rFonts w:hint="eastAsia"/>
                      <w:bCs/>
                      <w:color w:val="auto"/>
                      <w:sz w:val="21"/>
                      <w:szCs w:val="21"/>
                      <w:lang w:val="en-US" w:eastAsia="zh-CN"/>
                    </w:rPr>
                    <w:t>不应在未完成各项拆解作业前对机动车进行破碎或熔炼处理</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eastAsia" w:eastAsia="宋体"/>
                      <w:bCs/>
                      <w:color w:val="auto"/>
                      <w:sz w:val="21"/>
                      <w:szCs w:val="21"/>
                      <w:lang w:val="en-US" w:eastAsia="zh-CN"/>
                    </w:rPr>
                  </w:pPr>
                  <w:r>
                    <w:rPr>
                      <w:rFonts w:hint="eastAsia"/>
                      <w:bCs/>
                      <w:color w:val="auto"/>
                      <w:sz w:val="21"/>
                      <w:szCs w:val="21"/>
                    </w:rPr>
                    <w:t>本项目在</w:t>
                  </w:r>
                  <w:r>
                    <w:rPr>
                      <w:rFonts w:hint="eastAsia"/>
                      <w:bCs/>
                      <w:color w:val="auto"/>
                      <w:sz w:val="21"/>
                      <w:szCs w:val="21"/>
                      <w:lang w:val="en-US" w:eastAsia="zh-CN"/>
                    </w:rPr>
                    <w:t>预处理后才</w:t>
                  </w:r>
                  <w:r>
                    <w:rPr>
                      <w:rFonts w:hint="eastAsia"/>
                      <w:bCs/>
                      <w:color w:val="auto"/>
                      <w:sz w:val="21"/>
                      <w:szCs w:val="21"/>
                    </w:rPr>
                    <w:t>进行</w:t>
                  </w:r>
                  <w:r>
                    <w:rPr>
                      <w:rFonts w:hint="eastAsia"/>
                      <w:bCs/>
                      <w:color w:val="auto"/>
                      <w:sz w:val="21"/>
                      <w:szCs w:val="21"/>
                      <w:lang w:val="en-US" w:eastAsia="zh-CN"/>
                    </w:rPr>
                    <w:t>后续</w:t>
                  </w:r>
                  <w:r>
                    <w:rPr>
                      <w:rFonts w:hint="eastAsia"/>
                      <w:bCs/>
                      <w:color w:val="auto"/>
                      <w:sz w:val="21"/>
                      <w:szCs w:val="21"/>
                    </w:rPr>
                    <w:t>拆解</w:t>
                  </w:r>
                  <w:r>
                    <w:rPr>
                      <w:rFonts w:hint="eastAsia"/>
                      <w:bCs/>
                      <w:color w:val="auto"/>
                      <w:sz w:val="21"/>
                      <w:szCs w:val="21"/>
                      <w:lang w:val="en-US" w:eastAsia="zh-CN"/>
                    </w:rPr>
                    <w:t>工作</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 xml:space="preserve">6.6 </w:t>
                  </w:r>
                  <w:r>
                    <w:rPr>
                      <w:rFonts w:hint="eastAsia"/>
                      <w:bCs/>
                      <w:color w:val="auto"/>
                      <w:sz w:val="21"/>
                      <w:szCs w:val="21"/>
                      <w:lang w:val="en-US" w:eastAsia="zh-CN"/>
                    </w:rPr>
                    <w:t>不应焚烧拆解过程中产生的废电缆、轮胎和其他废物</w:t>
                  </w:r>
                  <w:r>
                    <w:rPr>
                      <w:rFonts w:hint="eastAsia"/>
                      <w:bCs/>
                      <w:color w:val="auto"/>
                      <w:sz w:val="21"/>
                      <w:szCs w:val="21"/>
                    </w:rPr>
                    <w:t>。</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拆解下来的废物均妥善处置，不进行焚烧</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 xml:space="preserve">6.7 </w:t>
                  </w:r>
                  <w:r>
                    <w:rPr>
                      <w:rFonts w:hint="eastAsia"/>
                      <w:bCs/>
                      <w:color w:val="auto"/>
                      <w:sz w:val="21"/>
                      <w:szCs w:val="21"/>
                      <w:lang w:val="en-US" w:eastAsia="zh-CN"/>
                    </w:rPr>
                    <w:t>拆解过程产生的废旧玻璃、破碎残余物等应避免危险废物的沾染，未沾染的应按照一般工业固废进行管理</w:t>
                  </w:r>
                  <w:r>
                    <w:rPr>
                      <w:rFonts w:hint="eastAsia"/>
                      <w:bCs/>
                      <w:color w:val="auto"/>
                      <w:sz w:val="21"/>
                      <w:szCs w:val="21"/>
                    </w:rPr>
                    <w:t>。</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按照本条实施</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 xml:space="preserve">6.8 </w:t>
                  </w:r>
                  <w:r>
                    <w:rPr>
                      <w:rFonts w:hint="eastAsia"/>
                      <w:bCs/>
                      <w:color w:val="auto"/>
                      <w:sz w:val="21"/>
                      <w:szCs w:val="21"/>
                      <w:lang w:val="en-US" w:eastAsia="zh-CN"/>
                    </w:rPr>
                    <w:t>拆解产生的废电池、废矿物油等属于危险废物的，应按照危险废物贮存管理相关要求分区、分类贮存</w:t>
                  </w:r>
                  <w:r>
                    <w:rPr>
                      <w:rFonts w:hint="eastAsia"/>
                      <w:bCs/>
                      <w:color w:val="auto"/>
                      <w:sz w:val="21"/>
                      <w:szCs w:val="21"/>
                    </w:rPr>
                    <w:t>。</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项目产生的危险废物分类储存在危废暂存间内</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 xml:space="preserve">6.9 </w:t>
                  </w:r>
                  <w:r>
                    <w:rPr>
                      <w:rFonts w:hint="eastAsia"/>
                      <w:bCs/>
                      <w:color w:val="auto"/>
                      <w:sz w:val="21"/>
                      <w:szCs w:val="21"/>
                      <w:lang w:val="en-US" w:eastAsia="zh-CN"/>
                    </w:rPr>
                    <w:t>企业不能倾倒电池内的电解液、铅块等废物</w:t>
                  </w:r>
                  <w:r>
                    <w:rPr>
                      <w:rFonts w:hint="eastAsia"/>
                      <w:bCs/>
                      <w:color w:val="auto"/>
                      <w:sz w:val="21"/>
                      <w:szCs w:val="21"/>
                    </w:rPr>
                    <w:t>。</w:t>
                  </w:r>
                  <w:r>
                    <w:rPr>
                      <w:rFonts w:hint="eastAsia"/>
                      <w:bCs/>
                      <w:color w:val="auto"/>
                      <w:sz w:val="21"/>
                      <w:szCs w:val="21"/>
                      <w:lang w:val="en-US" w:eastAsia="zh-CN"/>
                    </w:rPr>
                    <w:t>对于破损的电池，应单独贮存</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按照本条实施</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 xml:space="preserve">6.10 </w:t>
                  </w:r>
                  <w:r>
                    <w:rPr>
                      <w:rFonts w:hint="eastAsia"/>
                      <w:bCs/>
                      <w:color w:val="auto"/>
                      <w:sz w:val="21"/>
                      <w:szCs w:val="21"/>
                      <w:lang w:val="en-US" w:eastAsia="zh-CN"/>
                    </w:rPr>
                    <w:t>拆解产物和固体废物应合理分类，不能自行利用处置的，分别委托相关资质单位利用和处置</w:t>
                  </w:r>
                  <w:r>
                    <w:rPr>
                      <w:rFonts w:hint="eastAsia"/>
                      <w:bCs/>
                      <w:color w:val="auto"/>
                      <w:sz w:val="21"/>
                      <w:szCs w:val="21"/>
                    </w:rPr>
                    <w:t>。</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按照本条实施</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 xml:space="preserve">6.11 </w:t>
                  </w:r>
                  <w:r>
                    <w:rPr>
                      <w:rFonts w:hint="eastAsia"/>
                      <w:bCs/>
                      <w:color w:val="auto"/>
                      <w:sz w:val="21"/>
                      <w:szCs w:val="21"/>
                      <w:lang w:val="en-US" w:eastAsia="zh-CN"/>
                    </w:rPr>
                    <w:t>报废机动车邮箱中的燃料应分类收集</w:t>
                  </w:r>
                  <w:r>
                    <w:rPr>
                      <w:rFonts w:hint="eastAsia"/>
                      <w:bCs/>
                      <w:color w:val="auto"/>
                      <w:sz w:val="21"/>
                      <w:szCs w:val="21"/>
                    </w:rPr>
                    <w:t>。</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按照本条实施</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企业污染物排放要求</w:t>
                  </w: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 xml:space="preserve">7.1 </w:t>
                  </w:r>
                  <w:r>
                    <w:rPr>
                      <w:rFonts w:hint="eastAsia"/>
                      <w:bCs/>
                      <w:color w:val="auto"/>
                      <w:sz w:val="21"/>
                      <w:szCs w:val="21"/>
                      <w:lang w:val="en-US" w:eastAsia="zh-CN"/>
                    </w:rPr>
                    <w:t>厂区收集的初期雨水、清洗水和其他非生活污水等应通过收集管道等收集后进入污水处理设施进行处理，达到标准后方可排放。</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厂区初期雨水经过预售收集池收集后进入自建的污水处理站处理，之后回用于项目区绿化灌溉，生活污水经隔油池及化粪池处理后回用于项目区绿化施肥，不外排</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 xml:space="preserve">7.2 </w:t>
                  </w:r>
                  <w:r>
                    <w:rPr>
                      <w:rFonts w:hint="eastAsia"/>
                      <w:bCs/>
                      <w:color w:val="auto"/>
                      <w:sz w:val="21"/>
                      <w:szCs w:val="21"/>
                      <w:lang w:val="en-US" w:eastAsia="zh-CN"/>
                    </w:rPr>
                    <w:t>排放废气中颗粒物、会发现有机物等应符合GB16297、GB37822规定的排放要求。厂区易产生粉尘的生产环境采取有效的措施，对消耗臭氧层物质和氢氟碳化物进行分类回收，并交由专业单位进行利用或无害化处置</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按照本条实施</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7.3企业应采取隔音降噪措施，减小厂界噪声</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项目拆解工作设置在厂房内，并且在项目区边界设置了围墙</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p>
              </w:tc>
              <w:tc>
                <w:tcPr>
                  <w:tcW w:w="3402"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rPr>
                    <w:t>7.</w:t>
                  </w:r>
                  <w:r>
                    <w:rPr>
                      <w:rFonts w:hint="eastAsia"/>
                      <w:bCs/>
                      <w:color w:val="auto"/>
                      <w:sz w:val="21"/>
                      <w:szCs w:val="21"/>
                      <w:lang w:val="en-US" w:eastAsia="zh-CN"/>
                    </w:rPr>
                    <w:t>4一般工业固废中不应混入危险废物。拆解过程中产生的一般固体废物应满足GB18599的其他相关要求；危险废物应满足GB18597中的其他相关要求</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eastAsia="宋体"/>
                      <w:bCs/>
                      <w:color w:val="auto"/>
                      <w:sz w:val="21"/>
                      <w:szCs w:val="21"/>
                      <w:lang w:val="en-US" w:eastAsia="zh-CN"/>
                    </w:rPr>
                  </w:pPr>
                  <w:r>
                    <w:rPr>
                      <w:rFonts w:hint="eastAsia"/>
                      <w:bCs/>
                      <w:color w:val="auto"/>
                      <w:sz w:val="21"/>
                      <w:szCs w:val="21"/>
                      <w:lang w:val="en-US" w:eastAsia="zh-CN"/>
                    </w:rPr>
                    <w:t>产生的固体废物分类储存，并按照相关要求储存处置</w:t>
                  </w:r>
                </w:p>
              </w:tc>
              <w:tc>
                <w:tcPr>
                  <w:tcW w:w="65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bl>
          <w:p>
            <w:pPr>
              <w:pStyle w:val="51"/>
              <w:keepNext w:val="0"/>
              <w:keepLines w:val="0"/>
              <w:suppressLineNumbers w:val="0"/>
              <w:spacing w:before="0" w:beforeAutospacing="0" w:after="0" w:afterAutospacing="0"/>
              <w:ind w:left="0" w:right="0" w:firstLine="480"/>
              <w:rPr>
                <w:rFonts w:hint="default"/>
                <w:bCs/>
                <w:color w:val="auto"/>
              </w:rPr>
            </w:pPr>
            <w:r>
              <w:rPr>
                <w:rFonts w:hint="eastAsia"/>
                <w:bCs/>
                <w:color w:val="auto"/>
              </w:rPr>
              <w:t>通过上述分析可知，本项目在建设过程及运行过程中贯彻、落实《报废机动车拆解环境保护技术规范》（H1J348-20</w:t>
            </w:r>
            <w:r>
              <w:rPr>
                <w:rFonts w:hint="eastAsia"/>
                <w:bCs/>
                <w:color w:val="auto"/>
                <w:lang w:val="en-US" w:eastAsia="zh-CN"/>
              </w:rPr>
              <w:t>22</w:t>
            </w:r>
            <w:r>
              <w:rPr>
                <w:rFonts w:hint="eastAsia"/>
                <w:bCs/>
                <w:color w:val="auto"/>
              </w:rPr>
              <w:t>）提出的环境保护要求。</w:t>
            </w:r>
          </w:p>
          <w:p>
            <w:pPr>
              <w:pStyle w:val="51"/>
              <w:keepNext w:val="0"/>
              <w:keepLines w:val="0"/>
              <w:suppressLineNumbers w:val="0"/>
              <w:spacing w:before="0" w:beforeAutospacing="0" w:after="0" w:afterAutospacing="0"/>
              <w:ind w:left="0" w:right="0" w:firstLine="482"/>
              <w:rPr>
                <w:rFonts w:hint="default"/>
                <w:b/>
                <w:bCs/>
                <w:color w:val="auto"/>
              </w:rPr>
            </w:pPr>
            <w:r>
              <w:rPr>
                <w:rFonts w:hint="eastAsia"/>
                <w:b/>
                <w:bCs/>
                <w:color w:val="auto"/>
              </w:rPr>
              <w:t>③与《汽车产品回收利用技术政策》符合性分析</w:t>
            </w:r>
          </w:p>
          <w:p>
            <w:pPr>
              <w:pStyle w:val="51"/>
              <w:keepNext w:val="0"/>
              <w:keepLines w:val="0"/>
              <w:suppressLineNumbers w:val="0"/>
              <w:spacing w:before="0" w:beforeAutospacing="0" w:after="0" w:afterAutospacing="0"/>
              <w:ind w:left="0" w:right="0" w:firstLine="480"/>
              <w:rPr>
                <w:rFonts w:hint="default"/>
                <w:bCs/>
                <w:color w:val="auto"/>
              </w:rPr>
            </w:pPr>
            <w:r>
              <w:rPr>
                <w:rFonts w:hint="eastAsia"/>
                <w:bCs/>
                <w:color w:val="auto"/>
              </w:rPr>
              <w:t>本项目建设与《汽车产品回收利用技术政策》要求的相符性对照见下表。</w:t>
            </w:r>
          </w:p>
          <w:p>
            <w:pPr>
              <w:pStyle w:val="51"/>
              <w:keepNext w:val="0"/>
              <w:keepLines w:val="0"/>
              <w:suppressLineNumbers w:val="0"/>
              <w:spacing w:before="0" w:beforeAutospacing="0" w:after="0" w:afterAutospacing="0"/>
              <w:ind w:left="0" w:right="0" w:firstLine="482"/>
              <w:jc w:val="center"/>
              <w:rPr>
                <w:rFonts w:hint="default"/>
                <w:b/>
                <w:bCs/>
                <w:color w:val="auto"/>
              </w:rPr>
            </w:pPr>
            <w:r>
              <w:rPr>
                <w:rFonts w:hint="eastAsia"/>
                <w:b/>
                <w:bCs/>
                <w:color w:val="auto"/>
              </w:rPr>
              <w:t>表1-4  《汽车产品回收利用技术政策》符合性分析</w:t>
            </w:r>
          </w:p>
          <w:tbl>
            <w:tblPr>
              <w:tblStyle w:val="23"/>
              <w:tblW w:w="7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118"/>
              <w:gridCol w:w="3119"/>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default"/>
                      <w:b/>
                      <w:bCs/>
                      <w:color w:val="auto"/>
                      <w:sz w:val="21"/>
                      <w:szCs w:val="21"/>
                    </w:rPr>
                    <w:t>序号</w:t>
                  </w:r>
                </w:p>
              </w:tc>
              <w:tc>
                <w:tcPr>
                  <w:tcW w:w="311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default"/>
                      <w:b/>
                      <w:bCs/>
                      <w:color w:val="auto"/>
                      <w:sz w:val="21"/>
                      <w:szCs w:val="21"/>
                    </w:rPr>
                    <w:t>规范要求</w:t>
                  </w:r>
                </w:p>
              </w:tc>
              <w:tc>
                <w:tcPr>
                  <w:tcW w:w="311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default"/>
                      <w:b/>
                      <w:bCs/>
                      <w:color w:val="auto"/>
                      <w:sz w:val="21"/>
                      <w:szCs w:val="21"/>
                    </w:rPr>
                    <w:t>项目实际情况</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default"/>
                      <w:b/>
                      <w:bCs/>
                      <w:color w:val="auto"/>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1</w:t>
                  </w:r>
                </w:p>
              </w:tc>
              <w:tc>
                <w:tcPr>
                  <w:tcW w:w="311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拆卸及报废零部件，要分类收集存放，妥善保管，在政策允许的前提下，鼓励合格的拆卸零部件重新进入流通，作为维修零部件装车使用。</w:t>
                  </w:r>
                </w:p>
              </w:tc>
              <w:tc>
                <w:tcPr>
                  <w:tcW w:w="311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本项目拆卸及报废零的部件，分类收集存放，妥善保管，在政策允许的前提下，合格的拆卸零部件重新进入流通，作为维修零部件装车使用。</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2</w:t>
                  </w:r>
                </w:p>
              </w:tc>
              <w:tc>
                <w:tcPr>
                  <w:tcW w:w="311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对已不具备原设计性能，又无再制造价值的拆解及报废零部件，应分别交给相应的材料再生处理企业进行再生利用，不应以倾倒、抛洒、填埋等危害环境的方式处置。</w:t>
                  </w:r>
                </w:p>
              </w:tc>
              <w:tc>
                <w:tcPr>
                  <w:tcW w:w="311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对已不具备原设计性能，又无再制造价值的拆解及报废零部件，分别交给相应的材料再生处理企业进行再生利用，不以倾倒、抛洒、填埋等危害环境的方式处置。</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3</w:t>
                  </w:r>
                </w:p>
              </w:tc>
              <w:tc>
                <w:tcPr>
                  <w:tcW w:w="311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汽车维修过程中产生的蓄电池、催化转化器、废油、废液、废橡胶（含轮胎）及塑料件等要按规定分类回收、保管和运输，交给相关企业进行加工处理、改变用途使用，或作为能量再生使用。</w:t>
                  </w:r>
                </w:p>
              </w:tc>
              <w:tc>
                <w:tcPr>
                  <w:tcW w:w="311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本项目汽车维修过程中产生的蓄电池、催化转化器、废油、废液、废橡胶（含轮胎）及塑料件等按规定分类回收、保管和运输，交给相关企业进行加工处理、改变用途使用，或作为能量再生使用</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4</w:t>
                  </w:r>
                </w:p>
              </w:tc>
              <w:tc>
                <w:tcPr>
                  <w:tcW w:w="3118"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对含有有毒物质或对环境及人身有害的物质，如蓄电池、安全气囊、催化剂、制冷剂等，必须交由有资质的企业处理。</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危险废物的收集、储存、运输、处理应符合《危险废物贮存污染控制标准》、《危险废 物填埋污染控制标准》、《危险废物焚烧污染控制标准》等安全和环保要求。</w:t>
                  </w:r>
                </w:p>
              </w:tc>
              <w:tc>
                <w:tcPr>
                  <w:tcW w:w="311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本项目产生的蓄电池、安全气囊、催化剂、制冷剂等，交由有资质的单位处理。危险废物的收集、暂存在企业内进行，严格按照《危险废物贮存污染控制标准》等要求收集、暂存。运输、处理委托有资质</w:t>
                  </w:r>
                  <w:r>
                    <w:rPr>
                      <w:rFonts w:hint="eastAsia"/>
                      <w:bCs/>
                      <w:color w:val="auto"/>
                      <w:sz w:val="21"/>
                      <w:szCs w:val="21"/>
                      <w:lang w:eastAsia="zh-CN"/>
                    </w:rPr>
                    <w:t>的</w:t>
                  </w:r>
                  <w:r>
                    <w:rPr>
                      <w:rFonts w:hint="eastAsia"/>
                      <w:bCs/>
                      <w:color w:val="auto"/>
                      <w:sz w:val="21"/>
                      <w:szCs w:val="21"/>
                    </w:rPr>
                    <w:t>单位按相关规范要求进行处置</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5</w:t>
                  </w:r>
                </w:p>
              </w:tc>
              <w:tc>
                <w:tcPr>
                  <w:tcW w:w="3118"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回收拆解企业应有必要的专业技术人员，具备与处理能力相适应的专门设备、场地等</w:t>
                  </w:r>
                </w:p>
              </w:tc>
              <w:tc>
                <w:tcPr>
                  <w:tcW w:w="311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要求设置专业技术人员，并持证上岗，具备与处理能力相适应的专门设备、场地等。</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符合</w:t>
                  </w:r>
                </w:p>
              </w:tc>
            </w:tr>
          </w:tbl>
          <w:p>
            <w:pPr>
              <w:pStyle w:val="51"/>
              <w:keepNext w:val="0"/>
              <w:keepLines w:val="0"/>
              <w:suppressLineNumbers w:val="0"/>
              <w:spacing w:before="0" w:beforeAutospacing="0" w:after="0" w:afterAutospacing="0"/>
              <w:ind w:left="0" w:right="0" w:firstLine="480"/>
              <w:jc w:val="center"/>
              <w:rPr>
                <w:rFonts w:hint="default"/>
                <w:bCs/>
                <w:color w:val="auto"/>
              </w:rPr>
            </w:pPr>
            <w:r>
              <w:rPr>
                <w:rFonts w:hint="eastAsia"/>
                <w:bCs/>
                <w:color w:val="auto"/>
              </w:rPr>
              <w:t>根据上表分析，本项目符合《汽车产品回收利用技术政策》相关要求。</w:t>
            </w:r>
          </w:p>
          <w:p>
            <w:pPr>
              <w:pStyle w:val="51"/>
              <w:keepNext w:val="0"/>
              <w:keepLines w:val="0"/>
              <w:suppressLineNumbers w:val="0"/>
              <w:spacing w:before="0" w:beforeAutospacing="0" w:after="0" w:afterAutospacing="0"/>
              <w:ind w:left="0" w:right="0" w:firstLine="480"/>
              <w:jc w:val="left"/>
              <w:rPr>
                <w:rFonts w:hint="default"/>
                <w:bCs/>
                <w:color w:val="auto"/>
              </w:rPr>
            </w:pPr>
            <w:r>
              <w:rPr>
                <w:rFonts w:hint="eastAsia"/>
                <w:bCs/>
                <w:color w:val="auto"/>
              </w:rPr>
              <w:t>④与《报废机动车回收管理办法》（国务院令第 715 号）相关要求的符合性分析</w:t>
            </w:r>
          </w:p>
          <w:p>
            <w:pPr>
              <w:pStyle w:val="51"/>
              <w:keepNext w:val="0"/>
              <w:keepLines w:val="0"/>
              <w:suppressLineNumbers w:val="0"/>
              <w:spacing w:before="0" w:beforeAutospacing="0" w:after="0" w:afterAutospacing="0"/>
              <w:ind w:left="0" w:right="0" w:firstLine="482"/>
              <w:jc w:val="center"/>
              <w:rPr>
                <w:rFonts w:hint="default"/>
                <w:b/>
                <w:bCs/>
                <w:color w:val="auto"/>
              </w:rPr>
            </w:pPr>
            <w:r>
              <w:rPr>
                <w:rFonts w:hint="eastAsia"/>
                <w:b/>
                <w:bCs/>
                <w:color w:val="auto"/>
              </w:rPr>
              <w:t>表1-5  项目与《报废机动车回收管理办法》相关要求符合性</w:t>
            </w:r>
          </w:p>
          <w:tbl>
            <w:tblPr>
              <w:tblStyle w:val="23"/>
              <w:tblW w:w="7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220"/>
              <w:gridCol w:w="3017"/>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序号</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《报废机动车回收管理办法》</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本项目情况</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1</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具有企业法人资格</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建设单位已取得营业执照，具有企业法人资格</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2</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具有符合环境保护等有关法律、法规和强制性标准要求的存储、拆解场地，拆解设备、设施以及拆解操作规范</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库存车辆停放处理区、拆解车</w:t>
                  </w:r>
                </w:p>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间、破碎车间、回收件车间分别设置相应的环保设施，符合拆解操作规范</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3</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具有与报废机动车拆解活动相适应的专业技术人员</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本项目专业技术人员21人</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4</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拆解报废机动车，应当遵守环境保护法律、法规和强制性标准，采取有效措施保护环境，不得造成环境污染。</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本项目在运营期针对产生废气、废水、噪声、固废均采取相应治理措施</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bl>
          <w:p>
            <w:pPr>
              <w:pStyle w:val="51"/>
              <w:keepNext w:val="0"/>
              <w:keepLines w:val="0"/>
              <w:suppressLineNumbers w:val="0"/>
              <w:spacing w:before="0" w:beforeAutospacing="0" w:after="0" w:afterAutospacing="0"/>
              <w:ind w:left="0" w:right="0" w:firstLine="480"/>
              <w:jc w:val="center"/>
              <w:rPr>
                <w:rFonts w:hint="default"/>
                <w:bCs/>
                <w:color w:val="auto"/>
              </w:rPr>
            </w:pPr>
            <w:r>
              <w:rPr>
                <w:rFonts w:hint="eastAsia"/>
                <w:bCs/>
                <w:color w:val="auto"/>
              </w:rPr>
              <w:t>由上表可知，本项目符合《报废机动车回收管理办法》相关要求。</w:t>
            </w:r>
          </w:p>
          <w:p>
            <w:pPr>
              <w:pStyle w:val="51"/>
              <w:keepNext w:val="0"/>
              <w:keepLines w:val="0"/>
              <w:suppressLineNumbers w:val="0"/>
              <w:spacing w:before="0" w:beforeAutospacing="0" w:after="0" w:afterAutospacing="0"/>
              <w:ind w:left="0" w:right="0" w:firstLine="482"/>
              <w:jc w:val="left"/>
              <w:rPr>
                <w:rFonts w:hint="default"/>
                <w:b/>
                <w:bCs/>
                <w:color w:val="auto"/>
              </w:rPr>
            </w:pPr>
            <w:r>
              <w:rPr>
                <w:rFonts w:hint="eastAsia"/>
                <w:b/>
                <w:bCs/>
                <w:color w:val="auto"/>
              </w:rPr>
              <w:t>⑤与《危险废物贮存污染控制标准》（GB18597-2001）及其修改单的符合性</w:t>
            </w:r>
          </w:p>
          <w:p>
            <w:pPr>
              <w:pStyle w:val="51"/>
              <w:keepNext w:val="0"/>
              <w:keepLines w:val="0"/>
              <w:suppressLineNumbers w:val="0"/>
              <w:spacing w:before="0" w:beforeAutospacing="0" w:after="0" w:afterAutospacing="0"/>
              <w:ind w:left="0" w:right="0" w:firstLine="480"/>
              <w:jc w:val="left"/>
              <w:rPr>
                <w:rFonts w:hint="default"/>
                <w:bCs/>
                <w:color w:val="auto"/>
              </w:rPr>
            </w:pPr>
            <w:r>
              <w:rPr>
                <w:rFonts w:hint="eastAsia"/>
                <w:bCs/>
                <w:color w:val="auto"/>
              </w:rPr>
              <w:t>本项目废机动车拆解产生的危险废物包括废气罐、废蓄电池、废电容器、废尾气净化催化剂、废油液（包括汽油、柴油、机油、润滑剂、液压油、制动液、防冻剂等）、废空调制冷剂等属于危险废物。项目危险废物按 GBl8597-2001《危险废物贮存污染控制标准》执行，本项目与该标准相关的污染控制因素核对表见下表。</w:t>
            </w:r>
          </w:p>
          <w:p>
            <w:pPr>
              <w:pStyle w:val="51"/>
              <w:keepNext w:val="0"/>
              <w:keepLines w:val="0"/>
              <w:suppressLineNumbers w:val="0"/>
              <w:spacing w:before="0" w:beforeAutospacing="0" w:after="0" w:afterAutospacing="0"/>
              <w:ind w:left="0" w:right="0" w:firstLine="0" w:firstLineChars="0"/>
              <w:jc w:val="center"/>
              <w:rPr>
                <w:rFonts w:hint="default"/>
                <w:b/>
                <w:bCs/>
                <w:color w:val="auto"/>
              </w:rPr>
            </w:pPr>
            <w:r>
              <w:rPr>
                <w:rFonts w:hint="eastAsia"/>
                <w:b/>
                <w:bCs/>
                <w:color w:val="auto"/>
              </w:rPr>
              <w:t>表1-6   本项目与《危险废物贮存污染控制标准》的符合性对照表</w:t>
            </w:r>
          </w:p>
          <w:tbl>
            <w:tblPr>
              <w:tblStyle w:val="23"/>
              <w:tblW w:w="7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220"/>
              <w:gridCol w:w="3017"/>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项目</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建设项目</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本项目情况</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一般要求</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所有危险废物产生者和危险废物经营者应建造专用的危险废物贮存设施，也可利用原有构筑物改建成危险废物贮存设施；</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本项目为废旧汽车拆解项目，涉及危险废物为废气罐、废蓄电池、废电容器、废尾气净化催化剂、废油液（包括汽油、柴油、机油、润滑剂、液压油、制动液、防冻剂等）、废空调制冷剂的收集、贮存项目，设置单独的危废暂存间</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在常温常压下易爆、易燃及排出有毒气体的危险废物必须进行预处理，使之稳定后贮存，否则，按易爆、易燃危险品贮存；</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本项目产生的危险废物属于稳定物质，暂时贮存，在常温常压下不涉及易爆、易燃及排出有毒气体的危险废物；</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在常温常压下不水解、不挥发的固体危本项目收集、贮存废险废物可在贮存设施内分别堆放；</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本项目产生的危废分类存放，标识清晰。液态废物用不同的专用容器中分别贮存。在常温常压下不水解、不挥发。本项目在蓄电池拆解过程中，当蓄电池遇到破损导致废电解液泄漏时，可由废电解液收集桶收集后装入耐酸、耐腐蚀的不锈钢内衬 PE 材质密闭周转箱内， 暂存于废旧电瓶暂存间 内，最终委托资质单位清运处置 。</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禁止将不相容（相互反应）的危险废物在同一容器内混装；</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本项目产生的危废分类存放，不涉及相互反应和半固体危险废物；</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装载液体、半固体危险废物的容器内须留足够空间，容器顶部与液体表面之间保留100毫米以上的空间；</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贮存废机油的储罐均留有20%的容量</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盛装危险废物的容器上必须粘贴符合相应标准的标签；</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本项目产生的危废分类存放，出厂均按照要求分别粘贴标签；</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选址</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地质结构稳定，地震烈度不超过 7度；</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经调查，项目区地质结构稳定</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设施底部必须高于地下水最高水位</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本项目建设的各项设施均高于所在区域地下水最高水位；</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应避免建在溶洞区或易遭受严重自然灾害如洪水、滑坡，泥石流、潮汐等影响的地区</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项目选址不在上述区域内；</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应在易燃、易爆等危险品仓库、高压输电线路防护区域以外。</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项目选址不在上述区域内；</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应位于居民中心区常年最大风频的下风向。</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highlight w:val="none"/>
                    </w:rPr>
                    <w:t>离本项目最近的敏感点为</w:t>
                  </w:r>
                  <w:r>
                    <w:rPr>
                      <w:rFonts w:hint="eastAsia"/>
                      <w:bCs/>
                      <w:color w:val="auto"/>
                      <w:sz w:val="21"/>
                      <w:szCs w:val="21"/>
                      <w:highlight w:val="none"/>
                      <w:lang w:val="en-US" w:eastAsia="zh-CN"/>
                    </w:rPr>
                    <w:t>西北侧</w:t>
                  </w:r>
                  <w:r>
                    <w:rPr>
                      <w:rFonts w:hint="eastAsia"/>
                      <w:bCs/>
                      <w:color w:val="auto"/>
                      <w:sz w:val="21"/>
                      <w:szCs w:val="21"/>
                      <w:highlight w:val="none"/>
                    </w:rPr>
                    <w:t>3</w:t>
                  </w:r>
                  <w:r>
                    <w:rPr>
                      <w:rFonts w:hint="eastAsia"/>
                      <w:bCs/>
                      <w:color w:val="auto"/>
                      <w:sz w:val="21"/>
                      <w:szCs w:val="21"/>
                      <w:highlight w:val="none"/>
                      <w:lang w:val="en-US" w:eastAsia="zh-CN"/>
                    </w:rPr>
                    <w:t>2</w:t>
                  </w:r>
                  <w:r>
                    <w:rPr>
                      <w:rFonts w:hint="eastAsia"/>
                      <w:bCs/>
                      <w:color w:val="auto"/>
                      <w:sz w:val="21"/>
                      <w:szCs w:val="21"/>
                      <w:highlight w:val="none"/>
                    </w:rPr>
                    <w:t>0m的</w:t>
                  </w:r>
                  <w:r>
                    <w:rPr>
                      <w:rFonts w:hint="eastAsia"/>
                      <w:bCs/>
                      <w:color w:val="auto"/>
                      <w:sz w:val="21"/>
                      <w:szCs w:val="21"/>
                      <w:highlight w:val="none"/>
                      <w:lang w:val="en-US" w:eastAsia="zh-CN"/>
                    </w:rPr>
                    <w:t>遮相分场十二队</w:t>
                  </w:r>
                  <w:r>
                    <w:rPr>
                      <w:rFonts w:hint="eastAsia"/>
                      <w:bCs/>
                      <w:color w:val="auto"/>
                      <w:sz w:val="21"/>
                      <w:szCs w:val="21"/>
                      <w:highlight w:val="none"/>
                    </w:rPr>
                    <w:t>，位于项目区侧风向；</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贮存设施设计原则</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必须有泄漏液体收集装置；</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设置专用耐酸容器及备用储罐；</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用以存放装载液体、半固体危险废物容器的地方，必须有耐腐蚀的硬化地面，且表面无裂隙；</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项目贮存场所地面均做防渗、耐腐蚀处理，确保无裂隙；</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应设计堵截泄漏的裙脚，地面与裙脚所围建的容积不低于堵截最大容器的最大储量或总储量的五分之一；</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按要求实施</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不相容的危险废物必须分开存放，并设有隔离间隔断基础必须防渗；</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本项目产生的危险废物分开存放。贮存区均按要求作防渗处理；</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堆放</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基础必须防渗，防渗层为至少1米厚粘土层（渗透系数≤10</w:t>
                  </w:r>
                  <w:r>
                    <w:rPr>
                      <w:rFonts w:hint="eastAsia"/>
                      <w:bCs/>
                      <w:color w:val="auto"/>
                      <w:sz w:val="21"/>
                      <w:szCs w:val="21"/>
                      <w:vertAlign w:val="superscript"/>
                    </w:rPr>
                    <w:t>-7</w:t>
                  </w:r>
                  <w:r>
                    <w:rPr>
                      <w:rFonts w:hint="eastAsia"/>
                      <w:bCs/>
                      <w:color w:val="auto"/>
                      <w:sz w:val="21"/>
                      <w:szCs w:val="21"/>
                    </w:rPr>
                    <w:t>cm/s），或2mm厚高密度聚乙烯，或至少 2mm厚的其它人工材料，渗透系数≤10</w:t>
                  </w:r>
                  <w:r>
                    <w:rPr>
                      <w:rFonts w:hint="eastAsia"/>
                      <w:bCs/>
                      <w:color w:val="auto"/>
                      <w:sz w:val="21"/>
                      <w:szCs w:val="21"/>
                      <w:vertAlign w:val="superscript"/>
                    </w:rPr>
                    <w:t>-10</w:t>
                  </w:r>
                  <w:r>
                    <w:rPr>
                      <w:rFonts w:hint="eastAsia"/>
                      <w:bCs/>
                      <w:color w:val="auto"/>
                      <w:sz w:val="21"/>
                      <w:szCs w:val="21"/>
                    </w:rPr>
                    <w:t>cm/s</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项目污水管道、变速箱总成拆解区、废电池暂存间、危废综合暂存间、初期雨污水收集池、发动机堆放区为重点防渗区；危废综合暂存间地面采用防腐、防渗漏处理，墙面设置1.5m 高的防渗涂层；防渗效果达到等效黏土防渗层Mb≥6.0m，K≤1×10</w:t>
                  </w:r>
                  <w:r>
                    <w:rPr>
                      <w:rFonts w:hint="eastAsia"/>
                      <w:bCs/>
                      <w:color w:val="auto"/>
                      <w:sz w:val="21"/>
                      <w:szCs w:val="21"/>
                      <w:vertAlign w:val="superscript"/>
                    </w:rPr>
                    <w:t>-10</w:t>
                  </w:r>
                  <w:r>
                    <w:rPr>
                      <w:rFonts w:hint="eastAsia"/>
                      <w:bCs/>
                      <w:color w:val="auto"/>
                      <w:sz w:val="21"/>
                      <w:szCs w:val="21"/>
                    </w:rPr>
                    <w:t>cm/s。</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堆放危险废物的高度应根据地面承载能力确定</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按要求堆放；</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衬里放在一个基础或底座上；衬里要能够覆盖危险废物或其可溶出物可能</w:t>
                  </w:r>
                  <w:r>
                    <w:rPr>
                      <w:rFonts w:hint="eastAsia"/>
                      <w:bCs/>
                      <w:color w:val="auto"/>
                      <w:sz w:val="21"/>
                      <w:szCs w:val="21"/>
                      <w:lang w:eastAsia="zh-CN"/>
                    </w:rPr>
                    <w:t>涉及</w:t>
                  </w:r>
                  <w:r>
                    <w:rPr>
                      <w:rFonts w:hint="eastAsia"/>
                      <w:bCs/>
                      <w:color w:val="auto"/>
                      <w:sz w:val="21"/>
                      <w:szCs w:val="21"/>
                    </w:rPr>
                    <w:t>的范围；衬里材料与堆放危险废物相容；</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按要求堆放；衬里能覆盖危险废物及其可溶物；衬里材料与堆放的危险废物相容</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危险废物堆要防风、防雨、防晒</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危废综合暂存间位于室内并且密闭，做到“三防”要求；</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不相容的危险废物不能堆放在一起</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本项目产生的危险废物做到了分开存放和隔断</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在衬里上设计、建造浸出液收集清除系统</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default"/>
                      <w:bCs/>
                      <w:color w:val="auto"/>
                      <w:sz w:val="21"/>
                      <w:szCs w:val="21"/>
                    </w:rPr>
                    <w:t>按要求实施</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运行与管理</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危险废物贮存前应进行检验，确保同预定接收的危险废物一致，并登记注册；</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本项目仅收集、贮存废旧铅酸蓄电池、废机油，进场后进行检验，并登记注册；本项目为废旧汽车拆解项目，涉及危险废物为废气罐、废蓄电池、废电容器、废尾气净化催化剂、废油液（包括汽油、柴油、机油、润滑剂、液压油、制动液、</w:t>
                  </w:r>
                </w:p>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防冻剂等）、废空调制冷剂的收集、贮存，贮存前应检验，并进行登记。</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不得接收未粘贴标签或标签未按规定填写的危险废物</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本项目不接受未粘贴标签或标签未按规定填写的危险废物</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每个堆间应留有搬运通道</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每个堆间留有搬运通道</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不得将不相容的废物混合或合并存放</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本项目危废收集区之间用墙隔开，做到分开存放</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危险废物产生者和危险废物贮存设施经营者均须作好危险废物情况的记录，记录上须注明危险废物的名称、来源、数量、特性和包装容器的类别、入库日期</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公司帐台明确记录危废名称、数量、特性和包装容器的类别、入库日期</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必须定期对所贮存的危险废物包装容器及贮存设施进行检查、发现破损，应及时采取措施清理；</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公司环保、安全领导小组成员将定期对贮存设施进行检查，发现破损，应及时采取措施清理</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危险废物贮存设施必须按规定设置警示标志</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公司将按照要求设置警示标志；</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安全防护与监测</w:t>
                  </w: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危险废物贮存设施周围应设置围墙或其他防护栅栏</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项目周围设置围墙；</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危险废物贮存设施应配备通讯设施、照明设施、安全防护服装及工具，并设有应急防护措施</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公司将配备通讯设备、照明设施、安全防护服装及工具，并有应急防护设施</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8"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220"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按国家污染物管理要求对危险废物贮存设施进行监测</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rPr>
                      <w:rFonts w:hint="default"/>
                      <w:bCs/>
                      <w:color w:val="auto"/>
                      <w:sz w:val="21"/>
                      <w:szCs w:val="21"/>
                    </w:rPr>
                  </w:pPr>
                  <w:r>
                    <w:rPr>
                      <w:rFonts w:hint="eastAsia"/>
                      <w:bCs/>
                      <w:color w:val="auto"/>
                      <w:sz w:val="21"/>
                      <w:szCs w:val="21"/>
                    </w:rPr>
                    <w:t>建设单位将委托有资质的单位定期对危废综合暂存间进行监测</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bl>
          <w:p>
            <w:pPr>
              <w:pStyle w:val="51"/>
              <w:keepNext w:val="0"/>
              <w:keepLines w:val="0"/>
              <w:suppressLineNumbers w:val="0"/>
              <w:spacing w:before="0" w:beforeAutospacing="0" w:after="0" w:afterAutospacing="0"/>
              <w:ind w:left="0" w:right="0" w:firstLine="480"/>
              <w:jc w:val="left"/>
              <w:rPr>
                <w:rFonts w:hint="default"/>
                <w:bCs/>
                <w:color w:val="auto"/>
              </w:rPr>
            </w:pPr>
            <w:r>
              <w:rPr>
                <w:rFonts w:hint="eastAsia"/>
                <w:bCs/>
                <w:color w:val="auto"/>
              </w:rPr>
              <w:t>综上所述，本项目的建设与《危险废物贮存污染控制标准》（GB18597-2001）及其修改单的符合性相符。</w:t>
            </w:r>
          </w:p>
          <w:p>
            <w:pPr>
              <w:pStyle w:val="51"/>
              <w:keepNext w:val="0"/>
              <w:keepLines w:val="0"/>
              <w:suppressLineNumbers w:val="0"/>
              <w:spacing w:before="0" w:beforeAutospacing="0" w:after="0" w:afterAutospacing="0"/>
              <w:ind w:left="0" w:right="0" w:firstLine="482"/>
              <w:jc w:val="left"/>
              <w:rPr>
                <w:rFonts w:hint="default"/>
                <w:b/>
                <w:bCs/>
                <w:color w:val="auto"/>
              </w:rPr>
            </w:pPr>
            <w:r>
              <w:rPr>
                <w:rFonts w:hint="eastAsia"/>
                <w:b/>
                <w:bCs/>
                <w:color w:val="auto"/>
              </w:rPr>
              <w:t>⑥与《危险废物收集、贮存、运输技术规范》（HJ2025-2012）的符合性</w:t>
            </w:r>
          </w:p>
          <w:p>
            <w:pPr>
              <w:pStyle w:val="51"/>
              <w:keepNext w:val="0"/>
              <w:keepLines w:val="0"/>
              <w:suppressLineNumbers w:val="0"/>
              <w:spacing w:before="0" w:beforeAutospacing="0" w:after="0" w:afterAutospacing="0"/>
              <w:ind w:left="0" w:right="0" w:firstLine="480"/>
              <w:jc w:val="left"/>
              <w:rPr>
                <w:rFonts w:hint="default"/>
                <w:bCs/>
                <w:color w:val="auto"/>
              </w:rPr>
            </w:pPr>
            <w:r>
              <w:rPr>
                <w:rFonts w:hint="eastAsia"/>
                <w:bCs/>
                <w:color w:val="auto"/>
              </w:rPr>
              <w:t>本项目废机动车拆解产生的危险废物包括废气罐、废蓄电池、废电容器、废尾气净化催化剂、废油液（包括汽油、柴油、机油、润滑剂、液压油、制动液、防冻剂等）、废电解液（稀硫酸）、废空调制冷剂等属于危险废物。根据《危险废物收集贮存运输技术规范 HJ2025-2012》要求，本项目只针对其收集、贮存进行符合性分析，分析如下：</w:t>
            </w:r>
          </w:p>
          <w:p>
            <w:pPr>
              <w:pStyle w:val="51"/>
              <w:keepNext w:val="0"/>
              <w:keepLines w:val="0"/>
              <w:suppressLineNumbers w:val="0"/>
              <w:spacing w:before="0" w:beforeAutospacing="0" w:after="0" w:afterAutospacing="0"/>
              <w:ind w:left="0" w:right="0" w:firstLine="480"/>
              <w:jc w:val="left"/>
              <w:rPr>
                <w:rFonts w:hint="default"/>
                <w:bCs/>
                <w:color w:val="auto"/>
              </w:rPr>
            </w:pPr>
          </w:p>
          <w:p>
            <w:pPr>
              <w:pStyle w:val="51"/>
              <w:keepNext w:val="0"/>
              <w:keepLines w:val="0"/>
              <w:suppressLineNumbers w:val="0"/>
              <w:spacing w:before="0" w:beforeAutospacing="0" w:after="0" w:afterAutospacing="0"/>
              <w:ind w:left="0" w:right="0" w:firstLine="480"/>
              <w:jc w:val="left"/>
              <w:rPr>
                <w:rFonts w:hint="default"/>
                <w:bCs/>
                <w:color w:val="auto"/>
              </w:rPr>
            </w:pPr>
          </w:p>
          <w:p>
            <w:pPr>
              <w:pStyle w:val="51"/>
              <w:keepNext w:val="0"/>
              <w:keepLines w:val="0"/>
              <w:suppressLineNumbers w:val="0"/>
              <w:spacing w:before="0" w:beforeAutospacing="0" w:after="0" w:afterAutospacing="0"/>
              <w:ind w:left="0" w:right="0" w:firstLine="0" w:firstLineChars="0"/>
              <w:jc w:val="center"/>
              <w:rPr>
                <w:rFonts w:hint="default"/>
                <w:b/>
                <w:bCs/>
                <w:color w:val="auto"/>
                <w:sz w:val="21"/>
                <w:szCs w:val="21"/>
              </w:rPr>
            </w:pPr>
            <w:r>
              <w:rPr>
                <w:rFonts w:hint="eastAsia"/>
                <w:b/>
                <w:bCs/>
                <w:color w:val="auto"/>
                <w:sz w:val="21"/>
                <w:szCs w:val="21"/>
              </w:rPr>
              <w:t>表1-7 本项目与《危险废物收集贮存运输技术规范 HJ2025-2012》的符合性对照表</w:t>
            </w:r>
          </w:p>
          <w:tbl>
            <w:tblPr>
              <w:tblStyle w:val="23"/>
              <w:tblW w:w="7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3079"/>
              <w:gridCol w:w="3017"/>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项目</w:t>
                  </w: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规范要求</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本项目情况</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总体要求</w:t>
                  </w: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类管理制度、安全管理制度、污染防治措施等。</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为废旧汽车拆解项目，产生的危险废物暂存于厂区。现处于环评阶段，下一步按规定办理废旧汽车拆解许可证。在收集、贮存中按照有关规定危险废物暂存的规章制度和污染防治措施，包括危险废物分类管理制度、安全管理制度、污染防治措施等。</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危险废物转移过程严格《危险废物转移联单管理办法》执行</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本项目建成运营后，严格执行《危险废物转移联单管理办法》制度</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建成运营后，建设单位将建立规范的管理和技术人员培训制度，定期针对管理和技术人员进行培训。培训内容包括危险废物鉴别要求、危险废物经营许可证管理、危险废物转移联单管理、危险废物包装和标识、危险废物运输要求、危险废物事故应急方法等</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建成运营后，要求企业制定突发环境应急预案。应急预案编制参照《危险废物经营单位编制应急预案指南》，运输的相关内容符合交通行政主管部门的有关规定。同时，业主单位针对危险废物收集、贮存过程中的事故易发环节应定期组织应急演练</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危险废物收集、贮存、运输过程中一旦发生意外事故，收集、贮存、运输单位及相关部门应根据风险程度采取如下措施：</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（1）设立事故警戒线，启动应急预案，并按《环境保护行政主管部门突发环境事件信息报告办法（试行）》（环发【2006】50 号）要求进行报告。</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（2）若造成事故的危险废物具有剧毒性、易燃性、爆炸性或高传染性，应立即疏散人群，并请求环境保护、消防、医疗、公安等相关部门支援。</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（3）对事故现场受到污染的土壤和水体等环境介质应进行相应的清理和修复。</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（4）清理过程中产生的所有废物均应按危险废物进行管理和处置。</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（5）进入现场清理和包装危险废物的人员应受过专业培训，穿着防护服，并佩戴相应的防护用具。</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本项目产生的危废液体收集、贮存、运输过程中一旦发生意外事故，按照本条要求采取相应的措施</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危险废物收集、贮存、运输时应按腐蚀性、毒性、易燃性、反应性和感染性等危险特性对危险废物进行分类、包装并设置相应的标志及标签。危险废物特性应根据其产生源特性及 GB5085.1-7、HJ/T298 进行鉴别</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按要求执行</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收集</w:t>
                  </w: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本项目建成运营后，只收集和暂存本项目产生的危险废物。</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收集计划包括收集任务概述、收集目标及原则，危废收集量估算、收集作业范围和方法、收集设备与包装容器、安全生产与个人防护、工程防护与事故应急、进度安排与组织管理等</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危险废物的收集应制定详细的操作规程，内容至少应包括适用范围、操作程序和方法、专用设备和工具、转移和交接、安全保障和应急防护等</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本项目建成运营后，业主单位将制定详细的操作规程，包括适用范围、操作程序和方法、专用设备和工具、转移和交接、安全保障和应急防护等</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危险废物收集和转运作业人员应根据工作需要配备必要的个人防护装备，如手套、防护镜、防护服、防毒面具或口罩等</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危险废物收集和转运作业人员根据工作需要将配备必要的个人防护装备，如手套、防护镜、防护服、防毒面具或口罩等</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危险废物收集和转运过程中，应采取相应的安全防护和污染防治措施，包括防爆、防火、防中毒、防感染、防泄漏、防飞扬、防雨或其它防止污染环境的措施</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本项目建成运营后，危废的收集和转运过程中，采取相应的安全防护和污染防治措施，包括防爆、防火、防中毒、防感染、防泄露、防飞扬、防雨或其它防止污染环境的措施</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危险废物收集时应根据危险废物的种类、数量、危险特性、物理形态、运输要求等因素确定包装形式，具体包装应符合如下要求：</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（1）包装材质要与危险废物相容，可根据废物特性选择钢、铝、塑料等材质。</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（2）性质类似的废物可收集到同一容器中，性质不相容的危险废物不应混合包装。</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（3）危险废物包装应能有效隔断危险废物迁移扩散途径，并达到防渗、防漏要求。</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（4）包装好的危险废物应设置相应的标签，标签信息应填写完整翔实。</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（5）盛装过危险废物的包装袋或包装容器破损后应按危险废物进行管理和处置。</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（6）危险废物还应根据 GB12463 的有关要求进行运输包装</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根据危废的种类、数量、危险特性、物理形态、运输要求等因素确定包装形式，具体包装要求按照该条实施</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危险废物的收集作业应满足如下要求：</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（1）应根据收集设备、转运车辆以及现场人员等实际情况确定相应作业区域，同时要设置作业界限标志和警示牌。</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（2）作业区域内应设置危险废物收集专用通道和人员避险通道。</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（3）收集时应配备必要的收集工具和包装物，以及必要的应急监测设备及应急装备。</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（4）危险废物收集应参照本标准附录 A 填写记录表，并将记录表作为危险废物管理的重要档案妥善保存。</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（5）收集结束后应清理和恢复收集作业区域，确保作业区域环境整洁安全。</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（6）收集过危险废物的容器、设备、设施、场所及其它物品转作它用时，应消除污染，确保其使用安全</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本项目危废的收集作业满足如下要求：</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（1）根据收集设备、转运车辆以及现场人员等实际情况确定相应作业区域，同时设置作业界限标志和警示牌。</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（2）作业区域内设置危险废物收集专用通道和人员避险通道。</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（3）收集时配备必要的收集工具和包装物，以及必要的应急监测设备及应急装备。</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（4）危险废物收集参照本标准附录 A 填写记录表，并将记录表作为危险废物管理的重要档案妥善保存。</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（5）收集结束后清理和恢复收集作业区域，确保作业区域环境整洁安全。</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（6）收集过危险废物的容器、设备、设施、场所及其它物品转作它用时，消除污染，确保其使用安全</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危险废物内部转运作业应满足如下要求：</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（1）危险废物内部转运应综合考虑厂区的实际情况确定转运路线，尽量避开办公区和生活区。</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（2）危险废物内部转运作业应采用专用的工具，危险废物内部转运应参照本标准附录 B填写《危险废物厂内转运记录表》。</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（3）危险废物内部转运结束后，应对转运路线进行检查和清理，确保无危险废物遗失在转运路线上，并对转运工具进行清洗</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危险废物内部转运作业满足如下要求：</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（1）危险废物内部转运综合考虑仓库的实际情况确定转运路线，尽量避开办公区和生活区。</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（2）危险废物内部转运作业采用专用的工具，危险废物内部转运应参照本标准附录 B 填写《危险废物厂内转运记录表》。</w:t>
                  </w:r>
                </w:p>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（3）危险废物内部转运结束后，对转运路线进行检查和清理，确保无危险废物遗失在转运路线上，并对转运工具进行清洗</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贮存</w:t>
                  </w: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贮存可分为产生单位内部贮存、中转贮存及集中性贮存。所对应的贮存设施分别为：产生危险废物的单位用于暂时贮存的设施；拥有危险废物收集经营许可证的单位用于临时贮存废矿物油、废镍镉电池的设施；以及危险废物经营单位所配置的贮存设施</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本项目为危废的集中性贮存。所对应的贮存设施为：危险废物经营单位所配置的贮存设施</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危险废物贮存设施的选址、设计、建设、运行管理应满足 GB18597、GBZ1 和 GBZ2 的有关要求</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本项目贮存设施的选址、设计、建设、运行管理满足 GB18597、GBZ1 和 GBZ2 的有关要求</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危险废物贮存设施应配备通讯设施、照明设施和消防设施</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配备通讯设施、照明设施和消防设施</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贮存危险废物时应按照危险废物的特性进行分区贮存，每个贮存区区域之间宜设置挡墙间隔，并应设置防雨、防火、防雷、防扬尘装置</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本项目危废收集区之间用墙隔开，进行了分区贮存，每个贮存区区域之间设置了挡墙间隔，贮存仓库符合防雨、防火、防雷、防扬尘</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贮存易燃易爆危险废物应配置有机气体报警、火灾报警装置和导静电的接地装置</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eastAsia" w:eastAsia="宋体"/>
                      <w:bCs/>
                      <w:color w:val="auto"/>
                      <w:sz w:val="21"/>
                      <w:szCs w:val="21"/>
                      <w:lang w:eastAsia="zh-CN"/>
                    </w:rPr>
                  </w:pPr>
                  <w:r>
                    <w:rPr>
                      <w:rFonts w:hint="eastAsia"/>
                      <w:bCs/>
                      <w:color w:val="auto"/>
                      <w:sz w:val="21"/>
                      <w:szCs w:val="21"/>
                    </w:rPr>
                    <w:t>按照消防要求</w:t>
                  </w:r>
                  <w:r>
                    <w:rPr>
                      <w:rFonts w:hint="eastAsia"/>
                      <w:bCs/>
                      <w:color w:val="auto"/>
                      <w:sz w:val="21"/>
                      <w:szCs w:val="21"/>
                      <w:lang w:val="en-US" w:eastAsia="zh-CN"/>
                    </w:rPr>
                    <w:t>实施</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危险废物贮存单位应建立危险废物贮存的台账制度</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建立台账，加强管理</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危险废物贮存设施应根据贮存的危废种类和特性设置标志</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设置标识标牌</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p>
              </w:tc>
              <w:tc>
                <w:tcPr>
                  <w:tcW w:w="3079"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危 险 废 物 贮 存 设 施 的 关 闭 应 按 照GB18597-2001《危险废物贮存污染控制标准》和《危险废物经营许可证管理办法》的有关规定执行</w:t>
                  </w:r>
                </w:p>
              </w:tc>
              <w:tc>
                <w:tcPr>
                  <w:tcW w:w="3017" w:type="dxa"/>
                  <w:vAlign w:val="center"/>
                </w:tcPr>
                <w:p>
                  <w:pPr>
                    <w:pStyle w:val="51"/>
                    <w:keepNext w:val="0"/>
                    <w:keepLines w:val="0"/>
                    <w:suppressLineNumbers w:val="0"/>
                    <w:spacing w:before="0" w:beforeAutospacing="0" w:after="0" w:afterAutospacing="0" w:line="240" w:lineRule="auto"/>
                    <w:ind w:left="0" w:right="0" w:firstLine="0" w:firstLineChars="0"/>
                    <w:jc w:val="left"/>
                    <w:rPr>
                      <w:rFonts w:hint="default"/>
                      <w:bCs/>
                      <w:color w:val="auto"/>
                      <w:sz w:val="21"/>
                      <w:szCs w:val="21"/>
                    </w:rPr>
                  </w:pPr>
                  <w:r>
                    <w:rPr>
                      <w:rFonts w:hint="eastAsia"/>
                      <w:bCs/>
                      <w:color w:val="auto"/>
                      <w:sz w:val="21"/>
                      <w:szCs w:val="21"/>
                    </w:rPr>
                    <w:t>按要求办理相关手续</w:t>
                  </w:r>
                </w:p>
              </w:tc>
              <w:tc>
                <w:tcPr>
                  <w:tcW w:w="94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eastAsia"/>
                      <w:bCs/>
                      <w:color w:val="auto"/>
                      <w:sz w:val="21"/>
                      <w:szCs w:val="21"/>
                    </w:rPr>
                    <w:t>符合</w:t>
                  </w:r>
                </w:p>
              </w:tc>
            </w:tr>
          </w:tbl>
          <w:p>
            <w:pPr>
              <w:pStyle w:val="51"/>
              <w:keepNext w:val="0"/>
              <w:keepLines w:val="0"/>
              <w:suppressLineNumbers w:val="0"/>
              <w:spacing w:before="0" w:beforeAutospacing="0" w:after="0" w:afterAutospacing="0"/>
              <w:ind w:left="0" w:right="0" w:firstLine="480"/>
              <w:jc w:val="left"/>
              <w:rPr>
                <w:rFonts w:hint="default"/>
                <w:bCs/>
                <w:color w:val="auto"/>
              </w:rPr>
            </w:pPr>
            <w:r>
              <w:rPr>
                <w:rFonts w:hint="eastAsia"/>
                <w:bCs/>
                <w:color w:val="auto"/>
              </w:rPr>
              <w:t>综上所述，本项目的建设与《危险废物收集、贮存、运输技术规范》（HJ2025-2012）相符。</w:t>
            </w:r>
          </w:p>
          <w:p>
            <w:pPr>
              <w:pStyle w:val="51"/>
              <w:keepNext w:val="0"/>
              <w:keepLines w:val="0"/>
              <w:suppressLineNumbers w:val="0"/>
              <w:spacing w:before="0" w:beforeAutospacing="0" w:after="0" w:afterAutospacing="0"/>
              <w:ind w:left="0" w:right="0" w:firstLine="482"/>
              <w:jc w:val="left"/>
              <w:rPr>
                <w:rFonts w:hint="default"/>
                <w:b/>
                <w:bCs/>
                <w:color w:val="auto"/>
              </w:rPr>
            </w:pPr>
            <w:r>
              <w:rPr>
                <w:rFonts w:hint="default"/>
                <w:b/>
                <w:bCs/>
                <w:color w:val="auto"/>
              </w:rPr>
              <w:t>（</w:t>
            </w:r>
            <w:r>
              <w:rPr>
                <w:rFonts w:hint="eastAsia"/>
                <w:b/>
                <w:bCs/>
                <w:color w:val="auto"/>
              </w:rPr>
              <w:t>3</w:t>
            </w:r>
            <w:r>
              <w:rPr>
                <w:rFonts w:hint="default"/>
                <w:b/>
                <w:bCs/>
                <w:color w:val="auto"/>
              </w:rPr>
              <w:t>）与《云南省主体功能区规划》的符合性分析</w:t>
            </w:r>
          </w:p>
          <w:p>
            <w:pPr>
              <w:pStyle w:val="51"/>
              <w:keepNext w:val="0"/>
              <w:keepLines w:val="0"/>
              <w:suppressLineNumbers w:val="0"/>
              <w:spacing w:before="0" w:beforeAutospacing="0" w:after="0" w:afterAutospacing="0"/>
              <w:ind w:left="0" w:right="0" w:firstLine="480"/>
              <w:jc w:val="left"/>
              <w:rPr>
                <w:rFonts w:hint="default"/>
                <w:bCs/>
                <w:color w:val="auto"/>
              </w:rPr>
            </w:pPr>
            <w:r>
              <w:rPr>
                <w:rFonts w:hint="eastAsia"/>
                <w:bCs/>
                <w:color w:val="auto"/>
              </w:rPr>
              <w:t>在《云南省主体功能区规划》中，芒市</w:t>
            </w:r>
            <w:r>
              <w:rPr>
                <w:rFonts w:hint="default"/>
                <w:bCs/>
                <w:color w:val="auto"/>
              </w:rPr>
              <w:t>属于国家农产品主产区，经济发展水平较低。</w:t>
            </w:r>
            <w:r>
              <w:rPr>
                <w:rFonts w:hint="eastAsia"/>
                <w:bCs/>
                <w:color w:val="auto"/>
              </w:rPr>
              <w:t>本项目</w:t>
            </w:r>
            <w:r>
              <w:rPr>
                <w:rFonts w:hint="default"/>
                <w:bCs/>
                <w:color w:val="auto"/>
              </w:rPr>
              <w:t>为机动车回收拆解项目，属于废旧材料回收加工项目，可促进当地生态环境和经济发展，与《云南省主体功能区规划》不冲突。</w:t>
            </w:r>
          </w:p>
          <w:p>
            <w:pPr>
              <w:pStyle w:val="51"/>
              <w:keepNext w:val="0"/>
              <w:keepLines w:val="0"/>
              <w:suppressLineNumbers w:val="0"/>
              <w:spacing w:before="0" w:beforeAutospacing="0" w:after="0" w:afterAutospacing="0"/>
              <w:ind w:left="0" w:right="0" w:firstLine="482"/>
              <w:jc w:val="left"/>
              <w:rPr>
                <w:rFonts w:hint="default"/>
                <w:b/>
                <w:bCs/>
                <w:color w:val="auto"/>
              </w:rPr>
            </w:pPr>
            <w:r>
              <w:rPr>
                <w:rFonts w:hint="default"/>
                <w:b/>
                <w:bCs/>
                <w:color w:val="auto"/>
              </w:rPr>
              <w:t>（</w:t>
            </w:r>
            <w:r>
              <w:rPr>
                <w:rFonts w:hint="eastAsia"/>
                <w:b/>
                <w:bCs/>
                <w:color w:val="auto"/>
              </w:rPr>
              <w:t>4</w:t>
            </w:r>
            <w:r>
              <w:rPr>
                <w:rFonts w:hint="default"/>
                <w:b/>
                <w:bCs/>
                <w:color w:val="auto"/>
              </w:rPr>
              <w:t>）与《云南省生态功能区划》的符合性分析</w:t>
            </w:r>
          </w:p>
          <w:p>
            <w:pPr>
              <w:pStyle w:val="51"/>
              <w:keepNext w:val="0"/>
              <w:keepLines w:val="0"/>
              <w:suppressLineNumbers w:val="0"/>
              <w:spacing w:before="0" w:beforeAutospacing="0" w:after="0" w:afterAutospacing="0"/>
              <w:ind w:left="0" w:right="0" w:firstLine="480"/>
              <w:jc w:val="left"/>
              <w:rPr>
                <w:rFonts w:hint="default"/>
                <w:bCs/>
                <w:color w:val="auto"/>
              </w:rPr>
            </w:pPr>
            <w:r>
              <w:rPr>
                <w:rFonts w:hint="eastAsia"/>
                <w:bCs/>
                <w:color w:val="auto"/>
              </w:rPr>
              <w:t>根据《云南省生态功能区划》，本项目生态环境影响评价区隶属于“Ⅰ季风热带北缘热带雨林生态区”，生态亚区属“Ⅰ3滇西南中山宽谷半常绿季雨林生态亚区”，生态功能区属“Ⅰ3-1大盈江、南畹河下游中山丘陵农业生态功能区”，主要生态特征为以中山丘陵地貌为主，年降水量1400-1700毫米，地带性植被类型为季风常绿阔叶林。地带性土壤类型为赤红壤、红壤。主要生态环境问题是旅游业和不合理的热区开发带来的生态破坏。保护措施与发展方向是保护农业生态环境，防止水土流失和旅游和边境贸易带来的环境污染，推行清洁生产，加强国际大通道的建设。</w:t>
            </w:r>
          </w:p>
          <w:p>
            <w:pPr>
              <w:pStyle w:val="51"/>
              <w:keepNext w:val="0"/>
              <w:keepLines w:val="0"/>
              <w:suppressLineNumbers w:val="0"/>
              <w:spacing w:before="0" w:beforeAutospacing="0" w:after="0" w:afterAutospacing="0"/>
              <w:ind w:left="0" w:right="0" w:firstLine="480"/>
              <w:jc w:val="left"/>
              <w:rPr>
                <w:rFonts w:hint="default"/>
                <w:bCs/>
                <w:color w:val="auto"/>
              </w:rPr>
            </w:pPr>
            <w:r>
              <w:rPr>
                <w:rFonts w:hint="eastAsia"/>
                <w:bCs/>
                <w:color w:val="auto"/>
              </w:rPr>
              <w:t>本项目位于云南省德宏州芒市</w:t>
            </w:r>
            <w:r>
              <w:rPr>
                <w:rFonts w:hint="eastAsia"/>
                <w:bCs/>
                <w:color w:val="auto"/>
                <w:lang w:val="en-US" w:eastAsia="zh-CN"/>
              </w:rPr>
              <w:t>风平</w:t>
            </w:r>
            <w:r>
              <w:rPr>
                <w:rFonts w:hint="eastAsia"/>
                <w:bCs/>
                <w:color w:val="auto"/>
              </w:rPr>
              <w:t>镇</w:t>
            </w:r>
            <w:r>
              <w:rPr>
                <w:rFonts w:hint="eastAsia"/>
                <w:bCs/>
                <w:color w:val="auto"/>
                <w:lang w:val="en-US" w:eastAsia="zh-CN"/>
              </w:rPr>
              <w:t>帕底村</w:t>
            </w:r>
            <w:r>
              <w:rPr>
                <w:rFonts w:hint="eastAsia"/>
                <w:bCs/>
                <w:color w:val="auto"/>
              </w:rPr>
              <w:t>，项目区范围已是空地，项目的建设主要是在场地内建设厂房，项目建设配套有相应的环保设施，对周边环境的影响可以接受，不会对周边农田及耕地产生影响，因此该项目建设符合区域生态环境功能规划。</w:t>
            </w:r>
          </w:p>
          <w:p>
            <w:pPr>
              <w:pStyle w:val="51"/>
              <w:keepNext w:val="0"/>
              <w:keepLines w:val="0"/>
              <w:suppressLineNumbers w:val="0"/>
              <w:spacing w:before="0" w:beforeAutospacing="0" w:after="0" w:afterAutospacing="0"/>
              <w:ind w:left="0" w:right="0" w:firstLine="482"/>
              <w:jc w:val="left"/>
              <w:rPr>
                <w:rFonts w:hint="default"/>
                <w:b/>
                <w:bCs/>
                <w:color w:val="auto"/>
              </w:rPr>
            </w:pPr>
            <w:r>
              <w:rPr>
                <w:rFonts w:hint="default"/>
                <w:b/>
                <w:bCs/>
                <w:color w:val="auto"/>
              </w:rPr>
              <w:t>（</w:t>
            </w:r>
            <w:r>
              <w:rPr>
                <w:rFonts w:hint="eastAsia"/>
                <w:b/>
                <w:bCs/>
                <w:color w:val="auto"/>
              </w:rPr>
              <w:t>5</w:t>
            </w:r>
            <w:r>
              <w:rPr>
                <w:rFonts w:hint="default"/>
                <w:b/>
                <w:bCs/>
                <w:color w:val="auto"/>
              </w:rPr>
              <w:t>）产业政策符合性分析</w:t>
            </w:r>
          </w:p>
          <w:p>
            <w:pPr>
              <w:pStyle w:val="51"/>
              <w:keepNext w:val="0"/>
              <w:keepLines w:val="0"/>
              <w:suppressLineNumbers w:val="0"/>
              <w:spacing w:before="0" w:beforeAutospacing="0" w:after="0" w:afterAutospacing="0"/>
              <w:ind w:left="0" w:right="0" w:firstLine="480"/>
              <w:rPr>
                <w:rFonts w:hint="default"/>
                <w:bCs/>
                <w:color w:val="auto"/>
              </w:rPr>
            </w:pPr>
            <w:r>
              <w:rPr>
                <w:rFonts w:hint="default"/>
                <w:bCs/>
                <w:color w:val="auto"/>
              </w:rPr>
              <w:t>项目属于报废机动车回收拆解项目，根据查阅发展改革委《产业结构调整指导目录（2019年本）》可知</w:t>
            </w:r>
            <w:r>
              <w:rPr>
                <w:rFonts w:hint="eastAsia"/>
                <w:bCs/>
                <w:color w:val="auto"/>
              </w:rPr>
              <w:t>，</w:t>
            </w:r>
            <w:r>
              <w:rPr>
                <w:rFonts w:hint="default"/>
                <w:bCs/>
                <w:color w:val="auto"/>
              </w:rPr>
              <w:t>本项目属于</w:t>
            </w:r>
            <w:r>
              <w:rPr>
                <w:rFonts w:hint="eastAsia"/>
                <w:bCs/>
                <w:color w:val="auto"/>
              </w:rPr>
              <w:t>鼓励类“四十二、其他服务业中5、区域性废旧汽车、废旧电器电子产品、废旧船舶、废钢铁、废旧木材、废旧橡胶等资源循环利用基地建设”，且生产能力、工艺不再淘汰生产能力、工艺之列。因此</w:t>
            </w:r>
            <w:r>
              <w:rPr>
                <w:rFonts w:hint="default"/>
                <w:bCs/>
                <w:color w:val="auto"/>
              </w:rPr>
              <w:t>，本项目符合产业结构调整政策。本项目已取得芒市发展和改革局下发的投资项目备案证（项目代码：</w:t>
            </w:r>
            <w:r>
              <w:rPr>
                <w:rFonts w:hint="eastAsia"/>
                <w:bCs/>
                <w:color w:val="auto"/>
              </w:rPr>
              <w:t>2205-533103-04-01-579729</w:t>
            </w:r>
            <w:r>
              <w:rPr>
                <w:rFonts w:hint="default"/>
                <w:bCs/>
                <w:color w:val="auto"/>
              </w:rPr>
              <w:t>），同意该项目建设。</w:t>
            </w:r>
          </w:p>
          <w:p>
            <w:pPr>
              <w:pStyle w:val="51"/>
              <w:keepNext w:val="0"/>
              <w:keepLines w:val="0"/>
              <w:suppressLineNumbers w:val="0"/>
              <w:spacing w:before="0" w:beforeAutospacing="0" w:after="0" w:afterAutospacing="0"/>
              <w:ind w:left="0" w:right="0" w:firstLine="482"/>
              <w:jc w:val="left"/>
              <w:rPr>
                <w:rFonts w:hint="default"/>
                <w:b/>
                <w:bCs/>
                <w:color w:val="auto"/>
              </w:rPr>
            </w:pPr>
            <w:r>
              <w:rPr>
                <w:rFonts w:hint="default"/>
                <w:b/>
                <w:bCs/>
                <w:color w:val="auto"/>
              </w:rPr>
              <w:t>（</w:t>
            </w:r>
            <w:r>
              <w:rPr>
                <w:rFonts w:hint="eastAsia"/>
                <w:b/>
                <w:bCs/>
                <w:color w:val="auto"/>
              </w:rPr>
              <w:t>6</w:t>
            </w:r>
            <w:r>
              <w:rPr>
                <w:rFonts w:hint="default"/>
                <w:b/>
                <w:bCs/>
                <w:color w:val="auto"/>
              </w:rPr>
              <w:t>）选址符合性分析</w:t>
            </w:r>
          </w:p>
          <w:p>
            <w:pPr>
              <w:pStyle w:val="51"/>
              <w:keepNext w:val="0"/>
              <w:keepLines w:val="0"/>
              <w:suppressLineNumbers w:val="0"/>
              <w:spacing w:before="0" w:beforeAutospacing="0" w:after="0" w:afterAutospacing="0"/>
              <w:ind w:left="0" w:right="0" w:firstLine="480"/>
              <w:jc w:val="left"/>
              <w:rPr>
                <w:rFonts w:hint="default" w:eastAsia="宋体"/>
                <w:bCs/>
                <w:color w:val="auto"/>
                <w:lang w:val="en-US" w:eastAsia="zh-CN"/>
              </w:rPr>
            </w:pPr>
            <w:r>
              <w:rPr>
                <w:rFonts w:hint="eastAsia"/>
                <w:bCs/>
                <w:color w:val="auto"/>
              </w:rPr>
              <w:t>本项目位于云南省德宏州芒市</w:t>
            </w:r>
            <w:r>
              <w:rPr>
                <w:rFonts w:hint="eastAsia"/>
                <w:bCs/>
                <w:color w:val="auto"/>
                <w:lang w:val="en-US" w:eastAsia="zh-CN"/>
              </w:rPr>
              <w:t>风平</w:t>
            </w:r>
            <w:r>
              <w:rPr>
                <w:rFonts w:hint="eastAsia"/>
                <w:bCs/>
                <w:color w:val="auto"/>
              </w:rPr>
              <w:t>镇</w:t>
            </w:r>
            <w:r>
              <w:rPr>
                <w:rFonts w:hint="eastAsia"/>
                <w:bCs/>
                <w:color w:val="auto"/>
                <w:lang w:val="en-US" w:eastAsia="zh-CN"/>
              </w:rPr>
              <w:t>帕底村</w:t>
            </w:r>
            <w:r>
              <w:rPr>
                <w:rFonts w:hint="eastAsia"/>
                <w:bCs/>
                <w:color w:val="auto"/>
              </w:rPr>
              <w:t>，根据现场调查可知，项目区所在区域交通便利且供水、供电等基础设施完善，项目周边1km内无水源地保护区、自然保护区、风景名胜区，项目周边交通运输条件良好，具有便捷的公路路线，交通十分便利，适合项目的建设运营。</w:t>
            </w:r>
            <w:r>
              <w:rPr>
                <w:rFonts w:hint="eastAsia"/>
                <w:bCs/>
                <w:color w:val="auto"/>
                <w:lang w:val="en-US" w:eastAsia="zh-CN"/>
              </w:rPr>
              <w:t>项目北侧约20m为芒市大河，为了减少对河流的影响，本项目在用地红线范围内退让约10m建设厂房。</w:t>
            </w:r>
          </w:p>
          <w:p>
            <w:pPr>
              <w:pStyle w:val="51"/>
              <w:keepNext w:val="0"/>
              <w:keepLines w:val="0"/>
              <w:suppressLineNumbers w:val="0"/>
              <w:spacing w:before="0" w:beforeAutospacing="0" w:after="0" w:afterAutospacing="0"/>
              <w:ind w:left="0" w:right="0" w:firstLine="480"/>
              <w:jc w:val="left"/>
              <w:rPr>
                <w:rFonts w:hint="default"/>
                <w:bCs/>
                <w:color w:val="auto"/>
              </w:rPr>
            </w:pPr>
            <w:r>
              <w:rPr>
                <w:rFonts w:hint="default"/>
                <w:bCs/>
                <w:color w:val="auto"/>
              </w:rPr>
              <w:t>项目运行产生的废气、废水、噪声、固废在采取环评提出的各项污染防治对策措施下，产生的环境影响均可得到有效控制，能够满足当地环境保护的要求，且不会改变当地的环境功能，对保护目标及周围环境影响不大。</w:t>
            </w:r>
          </w:p>
          <w:p>
            <w:pPr>
              <w:pStyle w:val="51"/>
              <w:keepNext w:val="0"/>
              <w:keepLines w:val="0"/>
              <w:suppressLineNumbers w:val="0"/>
              <w:spacing w:before="0" w:beforeAutospacing="0" w:after="0" w:afterAutospacing="0"/>
              <w:ind w:left="0" w:right="0" w:firstLine="480"/>
              <w:jc w:val="left"/>
              <w:rPr>
                <w:rFonts w:hint="default"/>
                <w:bCs/>
                <w:color w:val="auto"/>
              </w:rPr>
            </w:pPr>
            <w:r>
              <w:rPr>
                <w:rFonts w:hint="default"/>
                <w:bCs/>
                <w:color w:val="auto"/>
              </w:rPr>
              <w:t>综上所述，项目的选址具备良好的建设条件，选址可行。</w:t>
            </w:r>
          </w:p>
          <w:p>
            <w:pPr>
              <w:keepNext/>
              <w:keepLines w:val="0"/>
              <w:suppressLineNumbers w:val="0"/>
              <w:spacing w:before="0" w:beforeAutospacing="0" w:after="0" w:afterAutospacing="0"/>
              <w:ind w:left="0" w:right="0" w:firstLine="0" w:firstLineChars="0"/>
              <w:rPr>
                <w:rFonts w:hint="default"/>
                <w:color w:val="auto"/>
              </w:rPr>
            </w:pPr>
          </w:p>
        </w:tc>
      </w:tr>
    </w:tbl>
    <w:p>
      <w:pPr>
        <w:ind w:firstLine="480"/>
        <w:rPr>
          <w:snapToGrid w:val="0"/>
        </w:rPr>
      </w:pPr>
      <w:bookmarkStart w:id="3" w:name="_Toc68166144"/>
      <w:bookmarkStart w:id="4" w:name="_Toc105597205"/>
      <w:r>
        <w:rPr>
          <w:snapToGrid w:val="0"/>
        </w:rPr>
        <w:br w:type="page"/>
      </w:r>
    </w:p>
    <w:p>
      <w:pPr>
        <w:pStyle w:val="4"/>
        <w:ind w:firstLine="602"/>
        <w:rPr>
          <w:snapToGrid w:val="0"/>
          <w:color w:val="auto"/>
        </w:rPr>
      </w:pPr>
      <w:r>
        <w:rPr>
          <w:snapToGrid w:val="0"/>
          <w:color w:val="auto"/>
        </w:rPr>
        <w:t>二、建设项目工程分析</w:t>
      </w:r>
      <w:bookmarkEnd w:id="3"/>
      <w:bookmarkEnd w:id="4"/>
    </w:p>
    <w:tbl>
      <w:tblPr>
        <w:tblStyle w:val="22"/>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1"/>
        <w:gridCol w:w="85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2" w:hRule="atLeast"/>
          <w:jc w:val="center"/>
        </w:trPr>
        <w:tc>
          <w:tcPr>
            <w:tcW w:w="461" w:type="dxa"/>
            <w:vAlign w:val="center"/>
          </w:tcPr>
          <w:p>
            <w:pPr>
              <w:pStyle w:val="69"/>
              <w:keepNext w:val="0"/>
              <w:keepLines w:val="0"/>
              <w:suppressLineNumbers w:val="0"/>
              <w:spacing w:before="0" w:beforeAutospacing="0" w:after="0" w:afterAutospacing="0"/>
              <w:ind w:left="0" w:right="0"/>
              <w:rPr>
                <w:rFonts w:hint="default"/>
              </w:rPr>
            </w:pPr>
            <w:r>
              <w:rPr>
                <w:rFonts w:hint="default"/>
                <w:sz w:val="24"/>
                <w:szCs w:val="24"/>
              </w:rPr>
              <w:t>建设内容</w:t>
            </w:r>
          </w:p>
        </w:tc>
        <w:tc>
          <w:tcPr>
            <w:tcW w:w="8599" w:type="dxa"/>
          </w:tcPr>
          <w:p>
            <w:pPr>
              <w:pStyle w:val="51"/>
              <w:keepNext w:val="0"/>
              <w:keepLines w:val="0"/>
              <w:suppressLineNumbers w:val="0"/>
              <w:spacing w:before="0" w:beforeAutospacing="0" w:after="0" w:afterAutospacing="0"/>
              <w:ind w:left="0" w:right="0" w:firstLine="480" w:firstLineChars="0"/>
              <w:rPr>
                <w:rFonts w:hint="default"/>
                <w:b/>
                <w:bCs/>
              </w:rPr>
            </w:pPr>
            <w:r>
              <w:rPr>
                <w:rFonts w:hint="eastAsia"/>
                <w:b/>
                <w:bCs/>
              </w:rPr>
              <w:t>1、项目由来</w:t>
            </w:r>
          </w:p>
          <w:p>
            <w:pPr>
              <w:pStyle w:val="8"/>
              <w:keepNext w:val="0"/>
              <w:keepLines w:val="0"/>
              <w:suppressLineNumbers w:val="0"/>
              <w:spacing w:before="0" w:beforeAutospacing="0" w:after="0" w:afterAutospacing="0"/>
              <w:ind w:left="0" w:right="0" w:firstLine="480"/>
              <w:rPr>
                <w:rFonts w:hint="default"/>
              </w:rPr>
            </w:pPr>
            <w:r>
              <w:rPr>
                <w:rFonts w:hint="eastAsia"/>
              </w:rPr>
              <w:t>随着经济快速发展，国民收入水平稳步提高，我国汽车产业已经进入快速发展期，巨大的汽车保有量、持续增长的销售量，带来巨大的报废汽车量。因此，市场需要报废汽车回收场所越来越多，在此背景下，建设单位拟投资2</w:t>
            </w:r>
            <w:r>
              <w:rPr>
                <w:rFonts w:hint="default"/>
              </w:rPr>
              <w:t>688.06</w:t>
            </w:r>
            <w:r>
              <w:rPr>
                <w:rFonts w:hint="eastAsia"/>
              </w:rPr>
              <w:t>万元在云南省德宏州芒市</w:t>
            </w:r>
            <w:r>
              <w:rPr>
                <w:rFonts w:hint="eastAsia"/>
                <w:bCs/>
                <w:lang w:val="en-US" w:eastAsia="zh-CN"/>
              </w:rPr>
              <w:t>风平</w:t>
            </w:r>
            <w:r>
              <w:rPr>
                <w:rFonts w:hint="eastAsia"/>
                <w:bCs/>
              </w:rPr>
              <w:t>镇</w:t>
            </w:r>
            <w:r>
              <w:rPr>
                <w:rFonts w:hint="eastAsia"/>
                <w:bCs/>
                <w:lang w:val="en-US" w:eastAsia="zh-CN"/>
              </w:rPr>
              <w:t>帕底村</w:t>
            </w:r>
            <w:r>
              <w:rPr>
                <w:rFonts w:hint="eastAsia"/>
              </w:rPr>
              <w:t>新建《德宏沄实公司报废机动车回收拆解建设项目》。</w:t>
            </w:r>
          </w:p>
          <w:p>
            <w:pPr>
              <w:pStyle w:val="8"/>
              <w:keepNext w:val="0"/>
              <w:keepLines w:val="0"/>
              <w:suppressLineNumbers w:val="0"/>
              <w:spacing w:before="0" w:beforeAutospacing="0" w:after="0" w:afterAutospacing="0"/>
              <w:ind w:left="0" w:right="0" w:firstLine="480"/>
              <w:rPr>
                <w:rFonts w:hint="default"/>
                <w:highlight w:val="yellow"/>
              </w:rPr>
            </w:pPr>
            <w:r>
              <w:rPr>
                <w:rFonts w:hint="eastAsia"/>
              </w:rPr>
              <w:t>根据《中华人民共和国环境影响评价法》（主席令 第4</w:t>
            </w:r>
            <w:r>
              <w:rPr>
                <w:rFonts w:hint="default"/>
              </w:rPr>
              <w:t>8</w:t>
            </w:r>
            <w:r>
              <w:rPr>
                <w:rFonts w:hint="eastAsia"/>
              </w:rPr>
              <w:t>号）、《建设项目环境保护管理条例》（国务院令 第6</w:t>
            </w:r>
            <w:r>
              <w:rPr>
                <w:rFonts w:hint="default"/>
              </w:rPr>
              <w:t>82</w:t>
            </w:r>
            <w:r>
              <w:rPr>
                <w:rFonts w:hint="eastAsia"/>
              </w:rPr>
              <w:t>号）等相关法律法规文件的要求，该项目需要进行环境影响评价。对照《建设项目环境影响评价分类管理名录2</w:t>
            </w:r>
            <w:r>
              <w:rPr>
                <w:rFonts w:hint="default"/>
              </w:rPr>
              <w:t>021</w:t>
            </w:r>
            <w:r>
              <w:rPr>
                <w:rFonts w:hint="eastAsia"/>
              </w:rPr>
              <w:t>年版》，本项目属于三十九、废弃资源综合利用业；85、金属废料和碎屑加工处理421，应编制环境影响报告表。我公司接受委托后，认真研究了该项目的有关资料，在踏勘现场、收集资料的基础上，根据项目所在区域的环境特征、结合工程实际污染特性等因素，编制完成了《德宏沄实公司报废机动车回收拆解建设项目环境影响报告表》。通过环境影响评价，阐明建设项目对周围环境影响的程度和范围，并进一步提出环境污染控制措施，报请主管部门审批。</w:t>
            </w:r>
          </w:p>
          <w:p>
            <w:pPr>
              <w:pStyle w:val="51"/>
              <w:keepNext w:val="0"/>
              <w:keepLines w:val="0"/>
              <w:suppressLineNumbers w:val="0"/>
              <w:spacing w:before="0" w:beforeAutospacing="0" w:after="0" w:afterAutospacing="0"/>
              <w:ind w:left="0" w:right="0" w:firstLine="482"/>
              <w:rPr>
                <w:rFonts w:hint="default"/>
                <w:b/>
                <w:bCs/>
              </w:rPr>
            </w:pPr>
            <w:r>
              <w:rPr>
                <w:rFonts w:hint="eastAsia"/>
                <w:b/>
                <w:bCs/>
              </w:rPr>
              <w:t>2</w:t>
            </w:r>
            <w:r>
              <w:rPr>
                <w:rFonts w:hint="default"/>
                <w:b/>
                <w:bCs/>
              </w:rPr>
              <w:t>、建设规模及内容</w:t>
            </w:r>
          </w:p>
          <w:p>
            <w:pPr>
              <w:keepNext w:val="0"/>
              <w:keepLines w:val="0"/>
              <w:suppressLineNumbers w:val="0"/>
              <w:spacing w:before="0" w:beforeAutospacing="0" w:after="0" w:afterAutospacing="0"/>
              <w:ind w:left="0" w:right="0" w:firstLine="480" w:firstLineChars="0"/>
              <w:rPr>
                <w:rFonts w:hint="default"/>
                <w:kern w:val="0"/>
              </w:rPr>
            </w:pPr>
            <w:r>
              <w:rPr>
                <w:rFonts w:hint="default"/>
                <w:kern w:val="0"/>
              </w:rPr>
              <w:t>本项目位于</w:t>
            </w:r>
            <w:r>
              <w:rPr>
                <w:rFonts w:hint="default"/>
                <w:szCs w:val="21"/>
              </w:rPr>
              <w:t>云南省</w:t>
            </w:r>
            <w:r>
              <w:rPr>
                <w:rFonts w:hint="eastAsia"/>
                <w:szCs w:val="21"/>
              </w:rPr>
              <w:t>德宏州芒市</w:t>
            </w:r>
            <w:r>
              <w:rPr>
                <w:rFonts w:hint="eastAsia"/>
                <w:szCs w:val="21"/>
                <w:lang w:val="en-US" w:eastAsia="zh-CN"/>
              </w:rPr>
              <w:t>风平镇帕底村</w:t>
            </w:r>
            <w:r>
              <w:rPr>
                <w:rFonts w:hint="eastAsia"/>
                <w:szCs w:val="21"/>
              </w:rPr>
              <w:t>，总占地面积</w:t>
            </w:r>
            <w:r>
              <w:rPr>
                <w:rFonts w:hint="eastAsia"/>
                <w:szCs w:val="21"/>
                <w:lang w:val="en-US" w:eastAsia="zh-CN"/>
              </w:rPr>
              <w:t>13333.97</w:t>
            </w:r>
            <w:r>
              <w:rPr>
                <w:rFonts w:hint="eastAsia"/>
                <w:szCs w:val="21"/>
              </w:rPr>
              <w:t>平方米，建筑面积</w:t>
            </w:r>
            <w:r>
              <w:rPr>
                <w:rFonts w:hint="eastAsia"/>
                <w:szCs w:val="21"/>
                <w:lang w:val="en-US" w:eastAsia="zh-CN"/>
              </w:rPr>
              <w:t>7509</w:t>
            </w:r>
            <w:r>
              <w:rPr>
                <w:rFonts w:hint="eastAsia"/>
                <w:szCs w:val="21"/>
              </w:rPr>
              <w:t>平方米</w:t>
            </w:r>
            <w:r>
              <w:rPr>
                <w:rFonts w:hint="default"/>
                <w:kern w:val="0"/>
              </w:rPr>
              <w:t>。</w:t>
            </w:r>
            <w:r>
              <w:rPr>
                <w:rFonts w:hint="eastAsia"/>
                <w:kern w:val="0"/>
              </w:rPr>
              <w:t>主要建设内容包括：拆解厂房、仓库、</w:t>
            </w:r>
            <w:r>
              <w:rPr>
                <w:rFonts w:hint="eastAsia"/>
                <w:kern w:val="0"/>
                <w:lang w:val="en-US" w:eastAsia="zh-CN"/>
              </w:rPr>
              <w:t>报废汽车堆场</w:t>
            </w:r>
            <w:r>
              <w:rPr>
                <w:rFonts w:hint="eastAsia"/>
                <w:kern w:val="0"/>
              </w:rPr>
              <w:t>、</w:t>
            </w:r>
            <w:r>
              <w:rPr>
                <w:rFonts w:hint="eastAsia"/>
                <w:kern w:val="0"/>
                <w:lang w:val="en-US" w:eastAsia="zh-CN"/>
              </w:rPr>
              <w:t>办公楼</w:t>
            </w:r>
            <w:r>
              <w:rPr>
                <w:rFonts w:hint="eastAsia"/>
                <w:kern w:val="0"/>
              </w:rPr>
              <w:t>等。具体位置见附图，</w:t>
            </w:r>
            <w:r>
              <w:rPr>
                <w:rFonts w:hint="default"/>
                <w:kern w:val="0"/>
              </w:rPr>
              <w:t>项目组成见表2-1。</w:t>
            </w:r>
          </w:p>
          <w:p>
            <w:pPr>
              <w:pStyle w:val="54"/>
              <w:keepNext w:val="0"/>
              <w:keepLines w:val="0"/>
              <w:suppressLineNumbers w:val="0"/>
              <w:spacing w:before="0" w:beforeAutospacing="0" w:afterAutospacing="0"/>
              <w:ind w:right="0"/>
              <w:rPr>
                <w:rFonts w:hint="default"/>
              </w:rPr>
            </w:pPr>
            <w:r>
              <w:rPr>
                <w:rFonts w:hint="default"/>
              </w:rPr>
              <w:t xml:space="preserve">表2-1 </w:t>
            </w:r>
            <w:r>
              <w:rPr>
                <w:rFonts w:hint="eastAsia"/>
              </w:rPr>
              <w:t xml:space="preserve">  </w:t>
            </w:r>
            <w:r>
              <w:rPr>
                <w:rFonts w:hint="default"/>
              </w:rPr>
              <w:t>建设内容一览表</w:t>
            </w:r>
          </w:p>
          <w:tbl>
            <w:tblPr>
              <w:tblStyle w:val="22"/>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708"/>
              <w:gridCol w:w="851"/>
              <w:gridCol w:w="4647"/>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96"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工程名称</w:t>
                  </w:r>
                </w:p>
              </w:tc>
              <w:tc>
                <w:tcPr>
                  <w:tcW w:w="6206" w:type="dxa"/>
                  <w:gridSpan w:val="3"/>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建设内容</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96"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主体工程</w:t>
                  </w:r>
                </w:p>
              </w:tc>
              <w:tc>
                <w:tcPr>
                  <w:tcW w:w="1559" w:type="dxa"/>
                  <w:gridSpan w:val="2"/>
                  <w:vAlign w:val="center"/>
                </w:tcPr>
                <w:p>
                  <w:pPr>
                    <w:pStyle w:val="69"/>
                    <w:keepNext w:val="0"/>
                    <w:keepLines w:val="0"/>
                    <w:suppressLineNumbers w:val="0"/>
                    <w:spacing w:before="0" w:beforeAutospacing="0" w:after="0" w:afterAutospacing="0"/>
                    <w:ind w:left="0" w:right="0"/>
                    <w:rPr>
                      <w:rFonts w:hint="default"/>
                    </w:rPr>
                  </w:pPr>
                  <w:r>
                    <w:rPr>
                      <w:rFonts w:hint="eastAsia"/>
                    </w:rPr>
                    <w:t>报废汽车堆场</w:t>
                  </w:r>
                </w:p>
              </w:tc>
              <w:tc>
                <w:tcPr>
                  <w:tcW w:w="4647" w:type="dxa"/>
                  <w:vAlign w:val="center"/>
                </w:tcPr>
                <w:p>
                  <w:pPr>
                    <w:pStyle w:val="69"/>
                    <w:keepNext w:val="0"/>
                    <w:keepLines w:val="0"/>
                    <w:suppressLineNumbers w:val="0"/>
                    <w:spacing w:before="0" w:beforeAutospacing="0" w:after="0" w:afterAutospacing="0"/>
                    <w:ind w:left="0" w:right="0"/>
                    <w:rPr>
                      <w:rFonts w:hint="default"/>
                    </w:rPr>
                  </w:pPr>
                  <w:r>
                    <w:rPr>
                      <w:rFonts w:hint="default"/>
                    </w:rPr>
                    <w:t>位于厂区</w:t>
                  </w:r>
                  <w:r>
                    <w:rPr>
                      <w:rFonts w:hint="eastAsia"/>
                      <w:lang w:val="en-US" w:eastAsia="zh-CN"/>
                    </w:rPr>
                    <w:t>中部</w:t>
                  </w:r>
                  <w:r>
                    <w:rPr>
                      <w:rFonts w:hint="default"/>
                    </w:rPr>
                    <w:t>，用于待拆解汽车的暂存，</w:t>
                  </w:r>
                  <w:r>
                    <w:rPr>
                      <w:rFonts w:hint="eastAsia"/>
                    </w:rPr>
                    <w:t>地面均进行了地面硬化，并设置顶棚防止雨淋，</w:t>
                  </w:r>
                  <w:r>
                    <w:rPr>
                      <w:rFonts w:hint="default"/>
                    </w:rPr>
                    <w:t>面积为</w:t>
                  </w:r>
                  <w:r>
                    <w:rPr>
                      <w:rFonts w:hint="eastAsia"/>
                      <w:lang w:val="en-US" w:eastAsia="zh-CN"/>
                    </w:rPr>
                    <w:t>1810</w:t>
                  </w:r>
                  <w:r>
                    <w:rPr>
                      <w:rFonts w:hint="eastAsia"/>
                    </w:rPr>
                    <w:t>m</w:t>
                  </w:r>
                  <w:r>
                    <w:rPr>
                      <w:rFonts w:hint="eastAsia"/>
                      <w:vertAlign w:val="superscript"/>
                    </w:rPr>
                    <w:t>2</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9" w:type="dxa"/>
                  <w:gridSpan w:val="2"/>
                  <w:vAlign w:val="center"/>
                </w:tcPr>
                <w:p>
                  <w:pPr>
                    <w:pStyle w:val="69"/>
                    <w:keepNext w:val="0"/>
                    <w:keepLines w:val="0"/>
                    <w:suppressLineNumbers w:val="0"/>
                    <w:spacing w:before="0" w:beforeAutospacing="0" w:after="0" w:afterAutospacing="0"/>
                    <w:ind w:left="0" w:right="0"/>
                    <w:rPr>
                      <w:rFonts w:hint="default"/>
                    </w:rPr>
                  </w:pPr>
                  <w:r>
                    <w:rPr>
                      <w:rFonts w:hint="eastAsia"/>
                    </w:rPr>
                    <w:t>拆解车间</w:t>
                  </w:r>
                </w:p>
              </w:tc>
              <w:tc>
                <w:tcPr>
                  <w:tcW w:w="4647" w:type="dxa"/>
                  <w:vAlign w:val="center"/>
                </w:tcPr>
                <w:p>
                  <w:pPr>
                    <w:pStyle w:val="69"/>
                    <w:keepNext w:val="0"/>
                    <w:keepLines w:val="0"/>
                    <w:suppressLineNumbers w:val="0"/>
                    <w:spacing w:before="0" w:beforeAutospacing="0" w:after="0" w:afterAutospacing="0"/>
                    <w:ind w:left="0" w:right="0"/>
                    <w:rPr>
                      <w:rFonts w:hint="default"/>
                    </w:rPr>
                  </w:pPr>
                  <w:r>
                    <w:rPr>
                      <w:rFonts w:hint="eastAsia"/>
                    </w:rPr>
                    <w:t>拆解车间位于厂区</w:t>
                  </w:r>
                  <w:r>
                    <w:rPr>
                      <w:rFonts w:hint="eastAsia"/>
                      <w:lang w:val="en-US" w:eastAsia="zh-CN"/>
                    </w:rPr>
                    <w:t>东侧</w:t>
                  </w:r>
                  <w:r>
                    <w:rPr>
                      <w:rFonts w:hint="eastAsia"/>
                    </w:rPr>
                    <w:t>，设置有三面围挡加顶棚，地面采用重点防渗，建筑面积为36</w:t>
                  </w:r>
                  <w:r>
                    <w:rPr>
                      <w:rFonts w:hint="eastAsia"/>
                      <w:lang w:val="en-US" w:eastAsia="zh-CN"/>
                    </w:rPr>
                    <w:t>85</w:t>
                  </w:r>
                  <w:r>
                    <w:rPr>
                      <w:rFonts w:hint="default"/>
                    </w:rPr>
                    <w:t>m</w:t>
                  </w:r>
                  <w:r>
                    <w:rPr>
                      <w:rFonts w:hint="default"/>
                      <w:vertAlign w:val="superscript"/>
                    </w:rPr>
                    <w:t>2</w:t>
                  </w:r>
                  <w:r>
                    <w:rPr>
                      <w:rFonts w:hint="eastAsia"/>
                    </w:rPr>
                    <w:t>，主要包括待拆解区、拆解区</w:t>
                  </w:r>
                  <w:r>
                    <w:rPr>
                      <w:rFonts w:hint="eastAsia"/>
                      <w:lang w:eastAsia="zh-CN"/>
                    </w:rPr>
                    <w:t>（</w:t>
                  </w:r>
                  <w:r>
                    <w:rPr>
                      <w:rFonts w:hint="eastAsia"/>
                      <w:lang w:val="en-US" w:eastAsia="zh-CN"/>
                    </w:rPr>
                    <w:t>包括汽车翻转平台、气囊引爆区、总拆解平台、剪切区、打包区等</w:t>
                  </w:r>
                  <w:r>
                    <w:rPr>
                      <w:rFonts w:hint="eastAsia"/>
                      <w:lang w:eastAsia="zh-CN"/>
                    </w:rPr>
                    <w:t>）</w:t>
                  </w:r>
                  <w:r>
                    <w:rPr>
                      <w:rFonts w:hint="eastAsia"/>
                    </w:rPr>
                    <w:t>。</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096" w:type="dxa"/>
                  <w:vAlign w:val="center"/>
                </w:tcPr>
                <w:p>
                  <w:pPr>
                    <w:pStyle w:val="69"/>
                    <w:keepNext w:val="0"/>
                    <w:keepLines w:val="0"/>
                    <w:suppressLineNumbers w:val="0"/>
                    <w:spacing w:before="0" w:beforeAutospacing="0" w:after="0" w:afterAutospacing="0"/>
                    <w:ind w:left="0" w:right="0"/>
                    <w:rPr>
                      <w:rFonts w:hint="default"/>
                    </w:rPr>
                  </w:pPr>
                  <w:r>
                    <w:rPr>
                      <w:rFonts w:hint="eastAsia"/>
                    </w:rPr>
                    <w:t>储存工程</w:t>
                  </w:r>
                </w:p>
              </w:tc>
              <w:tc>
                <w:tcPr>
                  <w:tcW w:w="1559" w:type="dxa"/>
                  <w:gridSpan w:val="2"/>
                  <w:vAlign w:val="center"/>
                </w:tcPr>
                <w:p>
                  <w:pPr>
                    <w:pStyle w:val="69"/>
                    <w:keepNext w:val="0"/>
                    <w:keepLines w:val="0"/>
                    <w:suppressLineNumbers w:val="0"/>
                    <w:spacing w:before="0" w:beforeAutospacing="0" w:after="0" w:afterAutospacing="0"/>
                    <w:ind w:left="0" w:right="0"/>
                    <w:rPr>
                      <w:rFonts w:hint="default"/>
                    </w:rPr>
                  </w:pPr>
                  <w:r>
                    <w:rPr>
                      <w:rFonts w:hint="eastAsia"/>
                    </w:rPr>
                    <w:t>仓库</w:t>
                  </w:r>
                </w:p>
              </w:tc>
              <w:tc>
                <w:tcPr>
                  <w:tcW w:w="4647" w:type="dxa"/>
                  <w:vAlign w:val="center"/>
                </w:tcPr>
                <w:p>
                  <w:pPr>
                    <w:pStyle w:val="69"/>
                    <w:keepNext w:val="0"/>
                    <w:keepLines w:val="0"/>
                    <w:suppressLineNumbers w:val="0"/>
                    <w:spacing w:before="0" w:beforeAutospacing="0" w:after="0" w:afterAutospacing="0"/>
                    <w:ind w:left="0" w:right="0"/>
                    <w:rPr>
                      <w:rFonts w:hint="default"/>
                    </w:rPr>
                  </w:pPr>
                  <w:r>
                    <w:rPr>
                      <w:rFonts w:hint="default"/>
                    </w:rPr>
                    <w:t>位于</w:t>
                  </w:r>
                  <w:r>
                    <w:rPr>
                      <w:rFonts w:hint="eastAsia"/>
                    </w:rPr>
                    <w:t>拆解</w:t>
                  </w:r>
                  <w:r>
                    <w:rPr>
                      <w:rFonts w:hint="default"/>
                    </w:rPr>
                    <w:t>车间南侧</w:t>
                  </w:r>
                  <w:r>
                    <w:rPr>
                      <w:rFonts w:hint="eastAsia"/>
                    </w:rPr>
                    <w:t>（车间内）</w:t>
                  </w:r>
                  <w:r>
                    <w:rPr>
                      <w:rFonts w:hint="default"/>
                    </w:rPr>
                    <w:t>，主要用于存放回收的金属</w:t>
                  </w:r>
                  <w:r>
                    <w:rPr>
                      <w:rFonts w:hint="eastAsia"/>
                      <w:lang w:eastAsia="zh-CN"/>
                    </w:rPr>
                    <w:t>及</w:t>
                  </w:r>
                  <w:r>
                    <w:rPr>
                      <w:rFonts w:hint="default"/>
                    </w:rPr>
                    <w:t>其他回收物料，</w:t>
                  </w:r>
                  <w:r>
                    <w:rPr>
                      <w:rFonts w:hint="eastAsia"/>
                    </w:rPr>
                    <w:t>地面采用一般防渗处理，</w:t>
                  </w:r>
                  <w:r>
                    <w:rPr>
                      <w:rFonts w:hint="default"/>
                    </w:rPr>
                    <w:t>面积为</w:t>
                  </w:r>
                  <w:r>
                    <w:rPr>
                      <w:rFonts w:hint="eastAsia"/>
                    </w:rPr>
                    <w:t>1</w:t>
                  </w:r>
                  <w:r>
                    <w:rPr>
                      <w:rFonts w:hint="eastAsia"/>
                      <w:lang w:val="en-US" w:eastAsia="zh-CN"/>
                    </w:rPr>
                    <w:t>037.5</w:t>
                  </w:r>
                  <w:r>
                    <w:rPr>
                      <w:rFonts w:hint="default"/>
                    </w:rPr>
                    <w:t>m</w:t>
                  </w:r>
                  <w:r>
                    <w:rPr>
                      <w:rFonts w:hint="default"/>
                      <w:vertAlign w:val="superscript"/>
                    </w:rPr>
                    <w:t>2</w:t>
                  </w:r>
                  <w:r>
                    <w:rPr>
                      <w:rFonts w:hint="default"/>
                    </w:rPr>
                    <w:t>。</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96"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辅助工程</w:t>
                  </w:r>
                </w:p>
              </w:tc>
              <w:tc>
                <w:tcPr>
                  <w:tcW w:w="1559" w:type="dxa"/>
                  <w:gridSpan w:val="2"/>
                  <w:vAlign w:val="center"/>
                </w:tcPr>
                <w:p>
                  <w:pPr>
                    <w:pStyle w:val="69"/>
                    <w:keepNext w:val="0"/>
                    <w:keepLines w:val="0"/>
                    <w:suppressLineNumbers w:val="0"/>
                    <w:spacing w:before="0" w:beforeAutospacing="0" w:after="0" w:afterAutospacing="0"/>
                    <w:ind w:left="0" w:right="0"/>
                    <w:rPr>
                      <w:rFonts w:hint="default"/>
                    </w:rPr>
                  </w:pPr>
                  <w:r>
                    <w:rPr>
                      <w:rFonts w:hint="eastAsia"/>
                    </w:rPr>
                    <w:t>办公室</w:t>
                  </w:r>
                </w:p>
              </w:tc>
              <w:tc>
                <w:tcPr>
                  <w:tcW w:w="4647" w:type="dxa"/>
                  <w:vAlign w:val="center"/>
                </w:tcPr>
                <w:p>
                  <w:pPr>
                    <w:pStyle w:val="69"/>
                    <w:keepNext w:val="0"/>
                    <w:keepLines w:val="0"/>
                    <w:suppressLineNumbers w:val="0"/>
                    <w:spacing w:before="0" w:beforeAutospacing="0" w:after="0" w:afterAutospacing="0"/>
                    <w:ind w:left="0" w:right="0"/>
                    <w:rPr>
                      <w:rFonts w:hint="default"/>
                    </w:rPr>
                  </w:pPr>
                  <w:r>
                    <w:rPr>
                      <w:rFonts w:hint="eastAsia"/>
                    </w:rPr>
                    <w:t>位于项目区</w:t>
                  </w:r>
                  <w:r>
                    <w:rPr>
                      <w:rFonts w:hint="eastAsia"/>
                      <w:lang w:val="en-US" w:eastAsia="zh-CN"/>
                    </w:rPr>
                    <w:t>西</w:t>
                  </w:r>
                  <w:r>
                    <w:rPr>
                      <w:rFonts w:hint="eastAsia"/>
                    </w:rPr>
                    <w:t>侧，3层，食堂及宿舍均设置在办公楼内，建筑面积为812 m</w:t>
                  </w:r>
                  <w:r>
                    <w:rPr>
                      <w:rFonts w:hint="eastAsia"/>
                      <w:vertAlign w:val="superscript"/>
                    </w:rPr>
                    <w:t>2</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9" w:type="dxa"/>
                  <w:gridSpan w:val="2"/>
                  <w:vAlign w:val="center"/>
                </w:tcPr>
                <w:p>
                  <w:pPr>
                    <w:pStyle w:val="69"/>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消防水池</w:t>
                  </w:r>
                </w:p>
              </w:tc>
              <w:tc>
                <w:tcPr>
                  <w:tcW w:w="4647" w:type="dxa"/>
                  <w:vAlign w:val="center"/>
                </w:tcPr>
                <w:p>
                  <w:pPr>
                    <w:pStyle w:val="69"/>
                    <w:keepNext w:val="0"/>
                    <w:keepLines w:val="0"/>
                    <w:suppressLineNumbers w:val="0"/>
                    <w:spacing w:before="0" w:beforeAutospacing="0" w:after="0" w:afterAutospacing="0"/>
                    <w:ind w:left="0" w:right="0"/>
                    <w:rPr>
                      <w:rFonts w:hint="eastAsia" w:eastAsia="宋体"/>
                      <w:vertAlign w:val="superscript"/>
                      <w:lang w:val="en-US" w:eastAsia="zh-CN"/>
                    </w:rPr>
                  </w:pPr>
                  <w:r>
                    <w:rPr>
                      <w:rFonts w:hint="eastAsia"/>
                      <w:lang w:val="en-US" w:eastAsia="zh-CN"/>
                    </w:rPr>
                    <w:t>办公楼南侧设置一个消防水池，容积约为160</w:t>
                  </w:r>
                  <w:r>
                    <w:rPr>
                      <w:rFonts w:hint="eastAsia"/>
                    </w:rPr>
                    <w:t xml:space="preserve"> m</w:t>
                  </w:r>
                  <w:r>
                    <w:rPr>
                      <w:rFonts w:hint="eastAsia"/>
                      <w:vertAlign w:val="superscript"/>
                      <w:lang w:val="en-US" w:eastAsia="zh-CN"/>
                    </w:rPr>
                    <w:t>3</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96"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公用工程</w:t>
                  </w:r>
                </w:p>
              </w:tc>
              <w:tc>
                <w:tcPr>
                  <w:tcW w:w="1559"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给水</w:t>
                  </w:r>
                </w:p>
              </w:tc>
              <w:tc>
                <w:tcPr>
                  <w:tcW w:w="4647" w:type="dxa"/>
                  <w:vAlign w:val="center"/>
                </w:tcPr>
                <w:p>
                  <w:pPr>
                    <w:pStyle w:val="69"/>
                    <w:keepNext w:val="0"/>
                    <w:keepLines w:val="0"/>
                    <w:suppressLineNumbers w:val="0"/>
                    <w:spacing w:before="0" w:beforeAutospacing="0" w:after="0" w:afterAutospacing="0"/>
                    <w:ind w:left="0" w:right="0"/>
                    <w:rPr>
                      <w:rFonts w:hint="default"/>
                    </w:rPr>
                  </w:pPr>
                  <w:r>
                    <w:rPr>
                      <w:rFonts w:hint="default"/>
                    </w:rPr>
                    <w:t>由区域给水管网供给，其给水水压、用水量及水质均能满足</w:t>
                  </w:r>
                  <w:r>
                    <w:rPr>
                      <w:rFonts w:hint="eastAsia"/>
                    </w:rPr>
                    <w:t>生产</w:t>
                  </w:r>
                  <w:r>
                    <w:rPr>
                      <w:rFonts w:hint="default"/>
                    </w:rPr>
                    <w:t>用水需求</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9"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排水</w:t>
                  </w:r>
                </w:p>
              </w:tc>
              <w:tc>
                <w:tcPr>
                  <w:tcW w:w="4647" w:type="dxa"/>
                  <w:vAlign w:val="center"/>
                </w:tcPr>
                <w:p>
                  <w:pPr>
                    <w:pStyle w:val="69"/>
                    <w:keepNext w:val="0"/>
                    <w:keepLines w:val="0"/>
                    <w:suppressLineNumbers w:val="0"/>
                    <w:spacing w:before="0" w:beforeAutospacing="0" w:after="0" w:afterAutospacing="0"/>
                    <w:ind w:left="0" w:right="0"/>
                    <w:rPr>
                      <w:rFonts w:hint="default" w:eastAsia="宋体"/>
                      <w:lang w:val="en-US" w:eastAsia="zh-CN"/>
                    </w:rPr>
                  </w:pPr>
                  <w:r>
                    <w:rPr>
                      <w:rFonts w:hint="eastAsia"/>
                    </w:rPr>
                    <w:t>项目区实行雨污分流制，</w:t>
                  </w:r>
                  <w:r>
                    <w:rPr>
                      <w:rFonts w:hint="eastAsia"/>
                      <w:lang w:val="en-US" w:eastAsia="zh-CN"/>
                    </w:rPr>
                    <w:t>初期雨水经雨水收集池收集后进入自建污水处理站处理，之后回用于项目区绿化</w:t>
                  </w:r>
                  <w:r>
                    <w:rPr>
                      <w:rFonts w:hint="eastAsia"/>
                    </w:rPr>
                    <w:t>，生活污水经隔油池及化粪池</w:t>
                  </w:r>
                  <w:r>
                    <w:rPr>
                      <w:rFonts w:hint="eastAsia"/>
                      <w:lang w:val="en-US" w:eastAsia="zh-CN"/>
                    </w:rPr>
                    <w:t>处理后回用于项目区绿化施肥</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9"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供电</w:t>
                  </w:r>
                </w:p>
              </w:tc>
              <w:tc>
                <w:tcPr>
                  <w:tcW w:w="4647" w:type="dxa"/>
                  <w:vAlign w:val="center"/>
                </w:tcPr>
                <w:p>
                  <w:pPr>
                    <w:pStyle w:val="69"/>
                    <w:keepNext w:val="0"/>
                    <w:keepLines w:val="0"/>
                    <w:suppressLineNumbers w:val="0"/>
                    <w:spacing w:before="0" w:beforeAutospacing="0" w:after="0" w:afterAutospacing="0"/>
                    <w:ind w:left="0" w:right="0"/>
                    <w:rPr>
                      <w:rFonts w:hint="default"/>
                    </w:rPr>
                  </w:pPr>
                  <w:r>
                    <w:rPr>
                      <w:rFonts w:hint="default"/>
                    </w:rPr>
                    <w:t>项目区</w:t>
                  </w:r>
                  <w:r>
                    <w:rPr>
                      <w:rFonts w:hint="eastAsia"/>
                    </w:rPr>
                    <w:t>由片区</w:t>
                  </w:r>
                  <w:r>
                    <w:rPr>
                      <w:rFonts w:hint="default"/>
                    </w:rPr>
                    <w:t>供电网提供。</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96"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环保工程</w:t>
                  </w:r>
                </w:p>
              </w:tc>
              <w:tc>
                <w:tcPr>
                  <w:tcW w:w="1559" w:type="dxa"/>
                  <w:gridSpan w:val="2"/>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废水处理</w:t>
                  </w:r>
                </w:p>
              </w:tc>
              <w:tc>
                <w:tcPr>
                  <w:tcW w:w="4647" w:type="dxa"/>
                  <w:vAlign w:val="center"/>
                </w:tcPr>
                <w:p>
                  <w:pPr>
                    <w:pStyle w:val="69"/>
                    <w:keepNext w:val="0"/>
                    <w:keepLines w:val="0"/>
                    <w:suppressLineNumbers w:val="0"/>
                    <w:spacing w:before="0" w:beforeAutospacing="0" w:after="0" w:afterAutospacing="0"/>
                    <w:ind w:left="0" w:right="0"/>
                    <w:rPr>
                      <w:rFonts w:hint="default"/>
                      <w:szCs w:val="21"/>
                    </w:rPr>
                  </w:pPr>
                  <w:r>
                    <w:rPr>
                      <w:rFonts w:hint="default"/>
                      <w:szCs w:val="21"/>
                    </w:rPr>
                    <w:t>生活污水经</w:t>
                  </w:r>
                  <w:r>
                    <w:rPr>
                      <w:rFonts w:hint="eastAsia"/>
                      <w:szCs w:val="21"/>
                      <w:lang w:val="en-US" w:eastAsia="zh-CN"/>
                    </w:rPr>
                    <w:t>隔油池（0.2m</w:t>
                  </w:r>
                  <w:r>
                    <w:rPr>
                      <w:rFonts w:hint="eastAsia"/>
                      <w:szCs w:val="21"/>
                      <w:vertAlign w:val="superscript"/>
                      <w:lang w:val="en-US" w:eastAsia="zh-CN"/>
                    </w:rPr>
                    <w:t>3</w:t>
                  </w:r>
                  <w:r>
                    <w:rPr>
                      <w:rFonts w:hint="eastAsia"/>
                      <w:szCs w:val="21"/>
                      <w:lang w:val="en-US" w:eastAsia="zh-CN"/>
                    </w:rPr>
                    <w:t>）及</w:t>
                  </w:r>
                  <w:r>
                    <w:rPr>
                      <w:rFonts w:hint="default"/>
                      <w:szCs w:val="21"/>
                    </w:rPr>
                    <w:t>化粪池</w:t>
                  </w:r>
                  <w:r>
                    <w:rPr>
                      <w:rFonts w:hint="eastAsia"/>
                      <w:szCs w:val="21"/>
                      <w:lang w:eastAsia="zh-CN"/>
                    </w:rPr>
                    <w:t>（</w:t>
                  </w:r>
                  <w:r>
                    <w:rPr>
                      <w:rFonts w:hint="eastAsia"/>
                      <w:szCs w:val="21"/>
                      <w:lang w:val="en-US" w:eastAsia="zh-CN"/>
                    </w:rPr>
                    <w:t>3m</w:t>
                  </w:r>
                  <w:r>
                    <w:rPr>
                      <w:rFonts w:hint="eastAsia"/>
                      <w:szCs w:val="21"/>
                      <w:vertAlign w:val="superscript"/>
                      <w:lang w:val="en-US" w:eastAsia="zh-CN"/>
                    </w:rPr>
                    <w:t>3</w:t>
                  </w:r>
                  <w:r>
                    <w:rPr>
                      <w:rFonts w:hint="eastAsia"/>
                      <w:szCs w:val="21"/>
                      <w:lang w:eastAsia="zh-CN"/>
                    </w:rPr>
                    <w:t>）</w:t>
                  </w:r>
                  <w:r>
                    <w:rPr>
                      <w:rFonts w:hint="eastAsia"/>
                      <w:lang w:val="en-US" w:eastAsia="zh-CN"/>
                    </w:rPr>
                    <w:t>处理后回用于项目区绿化施肥</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9" w:type="dxa"/>
                  <w:gridSpan w:val="2"/>
                  <w:vMerge w:val="continue"/>
                  <w:vAlign w:val="center"/>
                </w:tcPr>
                <w:p>
                  <w:pPr>
                    <w:pStyle w:val="69"/>
                    <w:keepNext w:val="0"/>
                    <w:keepLines w:val="0"/>
                    <w:suppressLineNumbers w:val="0"/>
                    <w:spacing w:before="0" w:beforeAutospacing="0" w:after="0" w:afterAutospacing="0"/>
                    <w:ind w:left="0" w:right="0"/>
                    <w:rPr>
                      <w:rFonts w:hint="default"/>
                    </w:rPr>
                  </w:pPr>
                </w:p>
              </w:tc>
              <w:tc>
                <w:tcPr>
                  <w:tcW w:w="4647" w:type="dxa"/>
                  <w:vAlign w:val="center"/>
                </w:tcPr>
                <w:p>
                  <w:pPr>
                    <w:pStyle w:val="69"/>
                    <w:keepNext w:val="0"/>
                    <w:keepLines w:val="0"/>
                    <w:suppressLineNumbers w:val="0"/>
                    <w:spacing w:before="0" w:beforeAutospacing="0" w:after="0" w:afterAutospacing="0"/>
                    <w:ind w:left="0" w:right="0"/>
                    <w:rPr>
                      <w:rFonts w:hint="default"/>
                      <w:szCs w:val="21"/>
                    </w:rPr>
                  </w:pPr>
                  <w:r>
                    <w:rPr>
                      <w:rFonts w:hint="default"/>
                      <w:szCs w:val="21"/>
                    </w:rPr>
                    <w:t>项目建设</w:t>
                  </w:r>
                  <w:r>
                    <w:rPr>
                      <w:rFonts w:hint="eastAsia"/>
                      <w:szCs w:val="21"/>
                    </w:rPr>
                    <w:t>1个容积为</w:t>
                  </w:r>
                  <w:r>
                    <w:rPr>
                      <w:rFonts w:hint="eastAsia"/>
                      <w:szCs w:val="21"/>
                      <w:lang w:val="en-US" w:eastAsia="zh-CN"/>
                    </w:rPr>
                    <w:t>4</w:t>
                  </w:r>
                  <w:r>
                    <w:rPr>
                      <w:rFonts w:hint="eastAsia"/>
                      <w:szCs w:val="21"/>
                    </w:rPr>
                    <w:t>0m</w:t>
                  </w:r>
                  <w:r>
                    <w:rPr>
                      <w:rFonts w:hint="eastAsia"/>
                      <w:szCs w:val="21"/>
                      <w:vertAlign w:val="superscript"/>
                    </w:rPr>
                    <w:t>3</w:t>
                  </w:r>
                  <w:r>
                    <w:rPr>
                      <w:rFonts w:hint="eastAsia"/>
                      <w:szCs w:val="21"/>
                    </w:rPr>
                    <w:t>的</w:t>
                  </w:r>
                  <w:r>
                    <w:rPr>
                      <w:rFonts w:hint="eastAsia"/>
                      <w:szCs w:val="21"/>
                      <w:lang w:val="en-US" w:eastAsia="zh-CN"/>
                    </w:rPr>
                    <w:t>初期雨水</w:t>
                  </w:r>
                  <w:r>
                    <w:rPr>
                      <w:rFonts w:hint="eastAsia"/>
                      <w:szCs w:val="21"/>
                    </w:rPr>
                    <w:t>收集池</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9" w:type="dxa"/>
                  <w:gridSpan w:val="2"/>
                  <w:vMerge w:val="continue"/>
                  <w:vAlign w:val="center"/>
                </w:tcPr>
                <w:p>
                  <w:pPr>
                    <w:pStyle w:val="69"/>
                    <w:keepNext w:val="0"/>
                    <w:keepLines w:val="0"/>
                    <w:suppressLineNumbers w:val="0"/>
                    <w:spacing w:before="0" w:beforeAutospacing="0" w:after="0" w:afterAutospacing="0"/>
                    <w:ind w:left="0" w:right="0"/>
                    <w:rPr>
                      <w:rFonts w:hint="default"/>
                    </w:rPr>
                  </w:pPr>
                </w:p>
              </w:tc>
              <w:tc>
                <w:tcPr>
                  <w:tcW w:w="4647" w:type="dxa"/>
                  <w:vAlign w:val="center"/>
                </w:tcPr>
                <w:p>
                  <w:pPr>
                    <w:pStyle w:val="69"/>
                    <w:keepNext w:val="0"/>
                    <w:keepLines w:val="0"/>
                    <w:suppressLineNumbers w:val="0"/>
                    <w:spacing w:before="0" w:beforeAutospacing="0" w:after="0" w:afterAutospacing="0"/>
                    <w:ind w:left="0" w:right="0"/>
                    <w:rPr>
                      <w:rFonts w:hint="default" w:eastAsia="宋体"/>
                      <w:szCs w:val="21"/>
                      <w:lang w:val="en-US" w:eastAsia="zh-CN"/>
                    </w:rPr>
                  </w:pPr>
                  <w:r>
                    <w:rPr>
                      <w:rFonts w:hint="eastAsia"/>
                      <w:szCs w:val="21"/>
                      <w:lang w:val="en-US" w:eastAsia="zh-CN"/>
                    </w:rPr>
                    <w:t>建设1座20</w:t>
                  </w:r>
                  <w:r>
                    <w:rPr>
                      <w:rFonts w:hint="eastAsia"/>
                      <w:szCs w:val="21"/>
                    </w:rPr>
                    <w:t>m</w:t>
                  </w:r>
                  <w:r>
                    <w:rPr>
                      <w:rFonts w:hint="eastAsia"/>
                      <w:szCs w:val="21"/>
                      <w:vertAlign w:val="superscript"/>
                    </w:rPr>
                    <w:t>3</w:t>
                  </w:r>
                  <w:r>
                    <w:rPr>
                      <w:rFonts w:hint="eastAsia"/>
                      <w:szCs w:val="21"/>
                      <w:vertAlign w:val="baseline"/>
                      <w:lang w:val="en-US" w:eastAsia="zh-CN"/>
                    </w:rPr>
                    <w:t>/d</w:t>
                  </w:r>
                  <w:r>
                    <w:rPr>
                      <w:rFonts w:hint="eastAsia"/>
                      <w:szCs w:val="21"/>
                    </w:rPr>
                    <w:t>的</w:t>
                  </w:r>
                  <w:r>
                    <w:rPr>
                      <w:rFonts w:hint="eastAsia"/>
                      <w:szCs w:val="21"/>
                      <w:lang w:val="en-US" w:eastAsia="zh-CN"/>
                    </w:rPr>
                    <w:t>污水处理站</w:t>
                  </w:r>
                </w:p>
              </w:tc>
              <w:tc>
                <w:tcPr>
                  <w:tcW w:w="1072" w:type="dxa"/>
                  <w:vAlign w:val="center"/>
                </w:tcPr>
                <w:p>
                  <w:pPr>
                    <w:pStyle w:val="69"/>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9" w:type="dxa"/>
                  <w:gridSpan w:val="2"/>
                  <w:vAlign w:val="center"/>
                </w:tcPr>
                <w:p>
                  <w:pPr>
                    <w:pStyle w:val="69"/>
                    <w:keepNext w:val="0"/>
                    <w:keepLines w:val="0"/>
                    <w:suppressLineNumbers w:val="0"/>
                    <w:spacing w:before="0" w:beforeAutospacing="0" w:after="0" w:afterAutospacing="0"/>
                    <w:ind w:left="0" w:right="0"/>
                    <w:rPr>
                      <w:rFonts w:hint="default"/>
                    </w:rPr>
                  </w:pPr>
                  <w:r>
                    <w:rPr>
                      <w:rFonts w:hint="eastAsia"/>
                    </w:rPr>
                    <w:t>废气处理</w:t>
                  </w:r>
                </w:p>
              </w:tc>
              <w:tc>
                <w:tcPr>
                  <w:tcW w:w="4647" w:type="dxa"/>
                  <w:vAlign w:val="center"/>
                </w:tcPr>
                <w:p>
                  <w:pPr>
                    <w:pStyle w:val="69"/>
                    <w:keepNext w:val="0"/>
                    <w:keepLines w:val="0"/>
                    <w:suppressLineNumbers w:val="0"/>
                    <w:spacing w:before="0" w:beforeAutospacing="0" w:after="0" w:afterAutospacing="0"/>
                    <w:ind w:left="0" w:right="0"/>
                    <w:rPr>
                      <w:rFonts w:hint="default"/>
                    </w:rPr>
                  </w:pPr>
                  <w:r>
                    <w:rPr>
                      <w:rFonts w:hint="default"/>
                    </w:rPr>
                    <w:t>破碎机粉尘经上方集气罩收集后经布袋除尘器处理，后经不低于</w:t>
                  </w:r>
                  <w:r>
                    <w:rPr>
                      <w:rFonts w:hint="eastAsia"/>
                    </w:rPr>
                    <w:t>15m的排气筒排放</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9"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噪声处理措施</w:t>
                  </w:r>
                </w:p>
              </w:tc>
              <w:tc>
                <w:tcPr>
                  <w:tcW w:w="4647" w:type="dxa"/>
                  <w:vAlign w:val="center"/>
                </w:tcPr>
                <w:p>
                  <w:pPr>
                    <w:pStyle w:val="69"/>
                    <w:keepNext w:val="0"/>
                    <w:keepLines w:val="0"/>
                    <w:suppressLineNumbers w:val="0"/>
                    <w:spacing w:before="0" w:beforeAutospacing="0" w:after="0" w:afterAutospacing="0"/>
                    <w:ind w:left="0" w:right="0"/>
                    <w:rPr>
                      <w:rFonts w:hint="default"/>
                    </w:rPr>
                  </w:pPr>
                  <w:r>
                    <w:rPr>
                      <w:rFonts w:hint="eastAsia"/>
                    </w:rPr>
                    <w:t>厂房隔音、基座减震、</w:t>
                  </w:r>
                  <w:r>
                    <w:rPr>
                      <w:rFonts w:hint="default"/>
                    </w:rPr>
                    <w:t>加强管理、绿化吸收等</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708"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固废处</w:t>
                  </w:r>
                  <w:r>
                    <w:rPr>
                      <w:rFonts w:hint="eastAsia"/>
                    </w:rPr>
                    <w:t>理</w:t>
                  </w:r>
                  <w:r>
                    <w:rPr>
                      <w:rFonts w:hint="default"/>
                    </w:rPr>
                    <w:t>措施</w:t>
                  </w:r>
                </w:p>
              </w:tc>
              <w:tc>
                <w:tcPr>
                  <w:tcW w:w="851" w:type="dxa"/>
                  <w:vAlign w:val="center"/>
                </w:tcPr>
                <w:p>
                  <w:pPr>
                    <w:pStyle w:val="69"/>
                    <w:keepNext w:val="0"/>
                    <w:keepLines w:val="0"/>
                    <w:suppressLineNumbers w:val="0"/>
                    <w:spacing w:before="0" w:beforeAutospacing="0" w:after="0" w:afterAutospacing="0"/>
                    <w:ind w:left="0" w:right="0"/>
                    <w:rPr>
                      <w:rFonts w:hint="default"/>
                    </w:rPr>
                  </w:pPr>
                  <w:r>
                    <w:rPr>
                      <w:rFonts w:hint="default"/>
                    </w:rPr>
                    <w:t>一般固废</w:t>
                  </w:r>
                </w:p>
              </w:tc>
              <w:tc>
                <w:tcPr>
                  <w:tcW w:w="4647" w:type="dxa"/>
                  <w:vAlign w:val="center"/>
                </w:tcPr>
                <w:p>
                  <w:pPr>
                    <w:pStyle w:val="69"/>
                    <w:keepNext w:val="0"/>
                    <w:keepLines w:val="0"/>
                    <w:suppressLineNumbers w:val="0"/>
                    <w:spacing w:before="0" w:beforeAutospacing="0" w:after="0" w:afterAutospacing="0"/>
                    <w:ind w:left="0" w:right="0"/>
                    <w:rPr>
                      <w:rFonts w:hint="default"/>
                    </w:rPr>
                  </w:pPr>
                  <w:r>
                    <w:rPr>
                      <w:rFonts w:hint="eastAsia"/>
                      <w:szCs w:val="24"/>
                    </w:rPr>
                    <w:t>位于车间南侧，面积为150m</w:t>
                  </w:r>
                  <w:r>
                    <w:rPr>
                      <w:rFonts w:hint="eastAsia"/>
                      <w:szCs w:val="24"/>
                      <w:vertAlign w:val="superscript"/>
                    </w:rPr>
                    <w:t>2</w:t>
                  </w:r>
                  <w:r>
                    <w:rPr>
                      <w:rFonts w:hint="eastAsia"/>
                      <w:szCs w:val="24"/>
                    </w:rPr>
                    <w:t>，废塑料、废玻璃、废橡胶等分类收集暂存于一般固废暂存仓库，定期外售给回收部门回收利用。</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708"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851" w:type="dxa"/>
                  <w:vAlign w:val="center"/>
                </w:tcPr>
                <w:p>
                  <w:pPr>
                    <w:pStyle w:val="69"/>
                    <w:keepNext w:val="0"/>
                    <w:keepLines w:val="0"/>
                    <w:suppressLineNumbers w:val="0"/>
                    <w:spacing w:before="0" w:beforeAutospacing="0" w:after="0" w:afterAutospacing="0"/>
                    <w:ind w:left="0" w:right="0"/>
                    <w:rPr>
                      <w:rFonts w:hint="default"/>
                    </w:rPr>
                  </w:pPr>
                  <w:r>
                    <w:rPr>
                      <w:rFonts w:hint="default"/>
                    </w:rPr>
                    <w:t>危险废物</w:t>
                  </w:r>
                </w:p>
              </w:tc>
              <w:tc>
                <w:tcPr>
                  <w:tcW w:w="4647" w:type="dxa"/>
                  <w:vAlign w:val="center"/>
                </w:tcPr>
                <w:p>
                  <w:pPr>
                    <w:pStyle w:val="69"/>
                    <w:keepNext w:val="0"/>
                    <w:keepLines w:val="0"/>
                    <w:suppressLineNumbers w:val="0"/>
                    <w:spacing w:before="0" w:beforeAutospacing="0" w:after="0" w:afterAutospacing="0"/>
                    <w:ind w:left="0" w:right="0"/>
                    <w:rPr>
                      <w:rFonts w:hint="default"/>
                      <w:szCs w:val="24"/>
                    </w:rPr>
                  </w:pPr>
                  <w:r>
                    <w:rPr>
                      <w:rFonts w:hint="eastAsia"/>
                      <w:szCs w:val="24"/>
                    </w:rPr>
                    <w:t>在拆解车间</w:t>
                  </w:r>
                  <w:r>
                    <w:rPr>
                      <w:rFonts w:hint="eastAsia"/>
                      <w:szCs w:val="24"/>
                      <w:lang w:val="en-US" w:eastAsia="zh-CN"/>
                    </w:rPr>
                    <w:t>东</w:t>
                  </w:r>
                  <w:r>
                    <w:rPr>
                      <w:rFonts w:hint="eastAsia"/>
                      <w:szCs w:val="24"/>
                    </w:rPr>
                    <w:t>侧设置</w:t>
                  </w:r>
                  <w:r>
                    <w:rPr>
                      <w:rFonts w:hint="eastAsia"/>
                      <w:szCs w:val="24"/>
                      <w:lang w:val="en-US" w:eastAsia="zh-CN"/>
                    </w:rPr>
                    <w:t>8</w:t>
                  </w:r>
                  <w:r>
                    <w:rPr>
                      <w:rFonts w:hint="eastAsia"/>
                      <w:szCs w:val="24"/>
                    </w:rPr>
                    <w:t>个危废暂存间，</w:t>
                  </w:r>
                  <w:r>
                    <w:rPr>
                      <w:rFonts w:hint="eastAsia"/>
                      <w:szCs w:val="24"/>
                      <w:lang w:val="en-US" w:eastAsia="zh-CN"/>
                    </w:rPr>
                    <w:t>总</w:t>
                  </w:r>
                  <w:r>
                    <w:rPr>
                      <w:rFonts w:hint="eastAsia"/>
                      <w:szCs w:val="24"/>
                    </w:rPr>
                    <w:t>面积为</w:t>
                  </w:r>
                  <w:r>
                    <w:rPr>
                      <w:rFonts w:hint="eastAsia"/>
                      <w:szCs w:val="24"/>
                      <w:lang w:val="en-US" w:eastAsia="zh-CN"/>
                    </w:rPr>
                    <w:t>497</w:t>
                  </w:r>
                  <w:r>
                    <w:rPr>
                      <w:rFonts w:hint="eastAsia"/>
                      <w:szCs w:val="24"/>
                    </w:rPr>
                    <w:t>m</w:t>
                  </w:r>
                  <w:r>
                    <w:rPr>
                      <w:rFonts w:hint="eastAsia"/>
                      <w:szCs w:val="24"/>
                      <w:vertAlign w:val="superscript"/>
                    </w:rPr>
                    <w:t>2</w:t>
                  </w:r>
                  <w:r>
                    <w:rPr>
                      <w:rFonts w:hint="eastAsia"/>
                      <w:szCs w:val="24"/>
                    </w:rPr>
                    <w:t>，地面及墙裙进行防渗处理，用于储存废电容器（桶装）、废液（桶装）、废空调制冷剂（罐装）、含有毒物质部件（桶装）、废电路板（桶装）</w:t>
                  </w:r>
                  <w:r>
                    <w:rPr>
                      <w:rFonts w:hint="eastAsia"/>
                      <w:szCs w:val="24"/>
                      <w:lang w:eastAsia="zh-CN"/>
                    </w:rPr>
                    <w:t>、</w:t>
                  </w:r>
                  <w:r>
                    <w:rPr>
                      <w:rFonts w:hint="eastAsia"/>
                      <w:szCs w:val="24"/>
                      <w:lang w:val="en-US" w:eastAsia="zh-CN"/>
                    </w:rPr>
                    <w:t>废矿物油等</w:t>
                  </w:r>
                  <w:r>
                    <w:rPr>
                      <w:rFonts w:hint="eastAsia"/>
                      <w:szCs w:val="24"/>
                    </w:rPr>
                    <w:t>。危废暂存间内部设置导流围堰，地面按要求重点防渗，采用防渗性能与厚度Mb≥6.0m，渗透系数K≤1×10</w:t>
                  </w:r>
                  <w:r>
                    <w:rPr>
                      <w:rFonts w:hint="eastAsia"/>
                      <w:szCs w:val="24"/>
                      <w:vertAlign w:val="superscript"/>
                    </w:rPr>
                    <w:t>-10</w:t>
                  </w:r>
                  <w:r>
                    <w:rPr>
                      <w:rFonts w:hint="eastAsia"/>
                      <w:szCs w:val="24"/>
                    </w:rPr>
                    <w:t xml:space="preserve"> cm/s，粘土防渗层等效防渗结构</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eastAsia"/>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708"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851" w:type="dxa"/>
                  <w:vAlign w:val="center"/>
                </w:tcPr>
                <w:p>
                  <w:pPr>
                    <w:pStyle w:val="69"/>
                    <w:keepNext w:val="0"/>
                    <w:keepLines w:val="0"/>
                    <w:suppressLineNumbers w:val="0"/>
                    <w:spacing w:before="0" w:beforeAutospacing="0" w:after="0" w:afterAutospacing="0"/>
                    <w:ind w:left="0" w:right="0"/>
                    <w:rPr>
                      <w:rFonts w:hint="default"/>
                    </w:rPr>
                  </w:pPr>
                  <w:r>
                    <w:rPr>
                      <w:rFonts w:hint="default"/>
                    </w:rPr>
                    <w:t>生活垃圾</w:t>
                  </w:r>
                </w:p>
              </w:tc>
              <w:tc>
                <w:tcPr>
                  <w:tcW w:w="4647" w:type="dxa"/>
                  <w:vAlign w:val="center"/>
                </w:tcPr>
                <w:p>
                  <w:pPr>
                    <w:pStyle w:val="69"/>
                    <w:keepNext w:val="0"/>
                    <w:keepLines w:val="0"/>
                    <w:suppressLineNumbers w:val="0"/>
                    <w:spacing w:before="0" w:beforeAutospacing="0" w:after="0" w:afterAutospacing="0"/>
                    <w:ind w:left="0" w:right="0"/>
                    <w:rPr>
                      <w:rFonts w:hint="default"/>
                      <w:szCs w:val="24"/>
                    </w:rPr>
                  </w:pPr>
                  <w:r>
                    <w:rPr>
                      <w:rFonts w:hint="eastAsia"/>
                      <w:szCs w:val="24"/>
                    </w:rPr>
                    <w:t>设3个带盖垃圾桶收集，定期交由环卫部门处置</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eastAsia"/>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9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9"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绿化</w:t>
                  </w:r>
                </w:p>
              </w:tc>
              <w:tc>
                <w:tcPr>
                  <w:tcW w:w="4647" w:type="dxa"/>
                  <w:vAlign w:val="center"/>
                </w:tcPr>
                <w:p>
                  <w:pPr>
                    <w:pStyle w:val="69"/>
                    <w:keepNext w:val="0"/>
                    <w:keepLines w:val="0"/>
                    <w:suppressLineNumbers w:val="0"/>
                    <w:spacing w:before="0" w:beforeAutospacing="0" w:after="0" w:afterAutospacing="0"/>
                    <w:ind w:left="0" w:right="0"/>
                    <w:rPr>
                      <w:rFonts w:hint="default"/>
                      <w:szCs w:val="24"/>
                    </w:rPr>
                  </w:pPr>
                  <w:r>
                    <w:rPr>
                      <w:rFonts w:hint="eastAsia"/>
                      <w:szCs w:val="24"/>
                    </w:rPr>
                    <w:t>项目区内种植面积为</w:t>
                  </w:r>
                  <w:r>
                    <w:rPr>
                      <w:rFonts w:hint="eastAsia"/>
                      <w:szCs w:val="24"/>
                      <w:lang w:val="en-US" w:eastAsia="zh-CN"/>
                    </w:rPr>
                    <w:t>2100</w:t>
                  </w:r>
                  <w:r>
                    <w:rPr>
                      <w:rFonts w:hint="eastAsia"/>
                      <w:szCs w:val="24"/>
                    </w:rPr>
                    <w:t>m</w:t>
                  </w:r>
                  <w:r>
                    <w:rPr>
                      <w:rFonts w:hint="eastAsia"/>
                      <w:szCs w:val="24"/>
                      <w:vertAlign w:val="superscript"/>
                    </w:rPr>
                    <w:t>2</w:t>
                  </w:r>
                  <w:r>
                    <w:rPr>
                      <w:rFonts w:hint="eastAsia"/>
                      <w:szCs w:val="24"/>
                    </w:rPr>
                    <w:t>的绿化</w:t>
                  </w:r>
                </w:p>
              </w:tc>
              <w:tc>
                <w:tcPr>
                  <w:tcW w:w="1072" w:type="dxa"/>
                  <w:vAlign w:val="center"/>
                </w:tcPr>
                <w:p>
                  <w:pPr>
                    <w:pStyle w:val="69"/>
                    <w:keepNext w:val="0"/>
                    <w:keepLines w:val="0"/>
                    <w:suppressLineNumbers w:val="0"/>
                    <w:spacing w:before="0" w:beforeAutospacing="0" w:after="0" w:afterAutospacing="0"/>
                    <w:ind w:left="0" w:right="0"/>
                    <w:rPr>
                      <w:rFonts w:hint="default"/>
                    </w:rPr>
                  </w:pPr>
                  <w:r>
                    <w:rPr>
                      <w:rFonts w:hint="eastAsia"/>
                    </w:rPr>
                    <w:t>设计提出</w:t>
                  </w:r>
                </w:p>
              </w:tc>
            </w:tr>
          </w:tbl>
          <w:p>
            <w:pPr>
              <w:pStyle w:val="69"/>
              <w:keepNext w:val="0"/>
              <w:keepLines w:val="0"/>
              <w:suppressLineNumbers w:val="0"/>
              <w:spacing w:before="0" w:beforeAutospacing="0" w:after="0" w:afterAutospacing="0"/>
              <w:ind w:left="0" w:right="0"/>
              <w:rPr>
                <w:rFonts w:hint="default"/>
              </w:rPr>
            </w:pPr>
          </w:p>
          <w:p>
            <w:pPr>
              <w:pStyle w:val="51"/>
              <w:keepNext w:val="0"/>
              <w:keepLines w:val="0"/>
              <w:suppressLineNumbers w:val="0"/>
              <w:spacing w:before="0" w:beforeAutospacing="0" w:after="0" w:afterAutospacing="0"/>
              <w:ind w:left="0" w:right="0" w:firstLine="482"/>
              <w:rPr>
                <w:rFonts w:hint="default"/>
                <w:b/>
              </w:rPr>
            </w:pPr>
            <w:r>
              <w:rPr>
                <w:rFonts w:hint="eastAsia"/>
                <w:b/>
              </w:rPr>
              <w:t>3、主要生产设施</w:t>
            </w:r>
          </w:p>
          <w:p>
            <w:pPr>
              <w:pStyle w:val="51"/>
              <w:keepNext w:val="0"/>
              <w:keepLines w:val="0"/>
              <w:suppressLineNumbers w:val="0"/>
              <w:spacing w:before="0" w:beforeAutospacing="0" w:after="0" w:afterAutospacing="0"/>
              <w:ind w:left="0" w:right="0" w:firstLine="480"/>
              <w:rPr>
                <w:rFonts w:hint="default"/>
              </w:rPr>
            </w:pPr>
            <w:r>
              <w:rPr>
                <w:rFonts w:hint="eastAsia"/>
              </w:rPr>
              <w:t>本项目主要生产设备详见表2-2。</w:t>
            </w:r>
          </w:p>
          <w:p>
            <w:pPr>
              <w:pStyle w:val="51"/>
              <w:keepNext w:val="0"/>
              <w:keepLines w:val="0"/>
              <w:suppressLineNumbers w:val="0"/>
              <w:spacing w:before="0" w:beforeAutospacing="0" w:after="0" w:afterAutospacing="0"/>
              <w:ind w:left="0" w:right="0" w:firstLine="482"/>
              <w:jc w:val="center"/>
              <w:rPr>
                <w:rFonts w:hint="default"/>
                <w:b/>
              </w:rPr>
            </w:pPr>
            <w:r>
              <w:rPr>
                <w:rFonts w:hint="eastAsia"/>
                <w:b/>
              </w:rPr>
              <w:t>表2-2   项目主要生产设备清单</w:t>
            </w:r>
          </w:p>
          <w:tbl>
            <w:tblPr>
              <w:tblStyle w:val="23"/>
              <w:tblW w:w="8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977"/>
              <w:gridCol w:w="850"/>
              <w:gridCol w:w="940"/>
              <w:gridCol w:w="1395"/>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eastAsia"/>
                      <w:b/>
                      <w:sz w:val="21"/>
                      <w:szCs w:val="21"/>
                    </w:rPr>
                    <w:t>序号</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eastAsia"/>
                      <w:b/>
                      <w:sz w:val="21"/>
                      <w:szCs w:val="21"/>
                    </w:rPr>
                    <w:t>设备名称</w:t>
                  </w:r>
                </w:p>
              </w:tc>
              <w:tc>
                <w:tcPr>
                  <w:tcW w:w="85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eastAsia"/>
                      <w:b/>
                      <w:sz w:val="21"/>
                      <w:szCs w:val="21"/>
                    </w:rPr>
                    <w:t>数量</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eastAsia"/>
                      <w:b/>
                      <w:sz w:val="21"/>
                      <w:szCs w:val="21"/>
                    </w:rPr>
                    <w:t>单位</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eastAsia"/>
                      <w:b/>
                      <w:sz w:val="21"/>
                      <w:szCs w:val="21"/>
                    </w:rPr>
                    <w:t>型号</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default"/>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升降平台</w:t>
                  </w:r>
                </w:p>
              </w:tc>
              <w:tc>
                <w:tcPr>
                  <w:tcW w:w="85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套</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PM15</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液压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玻璃拆卸刀具</w:t>
                  </w:r>
                </w:p>
              </w:tc>
              <w:tc>
                <w:tcPr>
                  <w:tcW w:w="85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只</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TVP</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3</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液压剪</w:t>
                  </w:r>
                </w:p>
              </w:tc>
              <w:tc>
                <w:tcPr>
                  <w:tcW w:w="85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只</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125/T</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4</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气动排液系统</w:t>
                  </w:r>
                </w:p>
              </w:tc>
              <w:tc>
                <w:tcPr>
                  <w:tcW w:w="85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套</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IBC-1</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5</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油液抽排系统</w:t>
                  </w:r>
                </w:p>
              </w:tc>
              <w:tc>
                <w:tcPr>
                  <w:tcW w:w="85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套</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12-8</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6</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轮胎拆卸设备</w:t>
                  </w:r>
                </w:p>
              </w:tc>
              <w:tc>
                <w:tcPr>
                  <w:tcW w:w="85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SR系列</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7</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翻转平台</w:t>
                  </w:r>
                </w:p>
              </w:tc>
              <w:tc>
                <w:tcPr>
                  <w:tcW w:w="85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套</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BB/T</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8</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油液抽排系统</w:t>
                  </w:r>
                </w:p>
              </w:tc>
              <w:tc>
                <w:tcPr>
                  <w:tcW w:w="85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套</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2V21</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9</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油液排放凿孔器</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402</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10</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油水分离器</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021</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11</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排液臂</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VT12</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12</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氟利昂回收设备</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套</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BGF</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13</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柴油汽油储存罐</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只</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SBG</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14</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残余油气回收装置</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套</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MRG</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15</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拆解流水线</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套</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BML-01</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16</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废钢破碎机</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PSX-200</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17</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金属打包机</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Y46-1</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18</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金属屑压块机</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Y46-2</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19</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除尘设备</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CCD</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20</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自动加料机</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非标</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21</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皮带输送机</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非标</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22</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螺旋输送机</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非标</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23</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垂直提升机</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非标</w:t>
                  </w: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24</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电动桥式起重机</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25</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双梁门式起重机</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26</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门式剪切机</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27</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收集车</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28</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收集设备</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29</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分拣设备</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30</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压实处理设备</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31</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破碎处理设备</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32</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固化处理设备</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33</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包装设备</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34</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配电设备</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35</w:t>
                  </w:r>
                </w:p>
              </w:tc>
              <w:tc>
                <w:tcPr>
                  <w:tcW w:w="297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装载铲车</w:t>
                  </w:r>
                </w:p>
              </w:tc>
              <w:tc>
                <w:tcPr>
                  <w:tcW w:w="85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940" w:type="dxa"/>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台</w:t>
                  </w:r>
                </w:p>
              </w:tc>
              <w:tc>
                <w:tcPr>
                  <w:tcW w:w="1395"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396"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r>
          </w:tbl>
          <w:p>
            <w:pPr>
              <w:pStyle w:val="51"/>
              <w:keepNext w:val="0"/>
              <w:keepLines w:val="0"/>
              <w:suppressLineNumbers w:val="0"/>
              <w:spacing w:before="0" w:beforeAutospacing="0" w:after="0" w:afterAutospacing="0"/>
              <w:ind w:left="0" w:right="0" w:firstLine="482"/>
              <w:jc w:val="left"/>
              <w:rPr>
                <w:rFonts w:hint="default"/>
                <w:b/>
              </w:rPr>
            </w:pPr>
          </w:p>
          <w:p>
            <w:pPr>
              <w:pStyle w:val="51"/>
              <w:keepNext w:val="0"/>
              <w:keepLines w:val="0"/>
              <w:suppressLineNumbers w:val="0"/>
              <w:spacing w:before="0" w:beforeAutospacing="0" w:after="0" w:afterAutospacing="0"/>
              <w:ind w:left="0" w:right="0" w:firstLine="482"/>
              <w:jc w:val="left"/>
              <w:rPr>
                <w:rFonts w:hint="default"/>
                <w:b/>
              </w:rPr>
            </w:pPr>
            <w:r>
              <w:rPr>
                <w:rFonts w:hint="eastAsia"/>
                <w:b/>
              </w:rPr>
              <w:t>4、主要原辅材料及燃料</w:t>
            </w:r>
          </w:p>
          <w:p>
            <w:pPr>
              <w:pStyle w:val="51"/>
              <w:keepNext w:val="0"/>
              <w:keepLines w:val="0"/>
              <w:suppressLineNumbers w:val="0"/>
              <w:spacing w:before="0" w:beforeAutospacing="0" w:after="0" w:afterAutospacing="0"/>
              <w:ind w:left="0" w:right="0" w:firstLine="480"/>
              <w:rPr>
                <w:rFonts w:hint="default"/>
              </w:rPr>
            </w:pPr>
            <w:r>
              <w:rPr>
                <w:rFonts w:hint="eastAsia"/>
              </w:rPr>
              <w:t>根据建设单位提供的资料，项目建成后，拆解能力达到5000辆/年，主要原辅材料见下表：</w:t>
            </w:r>
          </w:p>
          <w:p>
            <w:pPr>
              <w:pStyle w:val="76"/>
              <w:keepNext w:val="0"/>
              <w:keepLines w:val="0"/>
              <w:suppressLineNumbers w:val="0"/>
              <w:spacing w:before="0" w:beforeAutospacing="0" w:after="0" w:afterAutospacing="0"/>
              <w:ind w:left="0" w:right="0"/>
              <w:rPr>
                <w:rFonts w:hint="default"/>
              </w:rPr>
            </w:pPr>
            <w:r>
              <w:rPr>
                <w:rFonts w:hint="default"/>
              </w:rPr>
              <w:t>表2-</w:t>
            </w:r>
            <w:r>
              <w:rPr>
                <w:rFonts w:hint="eastAsia"/>
              </w:rPr>
              <w:t>3</w:t>
            </w:r>
            <w:r>
              <w:rPr>
                <w:rFonts w:hint="default"/>
              </w:rPr>
              <w:t xml:space="preserve"> </w:t>
            </w:r>
            <w:r>
              <w:rPr>
                <w:rFonts w:hint="eastAsia"/>
              </w:rPr>
              <w:t xml:space="preserve">  </w:t>
            </w:r>
            <w:r>
              <w:rPr>
                <w:rFonts w:hint="default"/>
              </w:rPr>
              <w:t>项目主要原辅材料使用情况一览表</w:t>
            </w:r>
          </w:p>
          <w:tbl>
            <w:tblPr>
              <w:tblStyle w:val="23"/>
              <w:tblW w:w="8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2267"/>
              <w:gridCol w:w="1701"/>
              <w:gridCol w:w="1701"/>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default"/>
                      <w:b/>
                      <w:sz w:val="21"/>
                      <w:szCs w:val="21"/>
                    </w:rPr>
                    <w:t>序号</w:t>
                  </w:r>
                </w:p>
              </w:tc>
              <w:tc>
                <w:tcPr>
                  <w:tcW w:w="226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default"/>
                      <w:b/>
                      <w:sz w:val="21"/>
                      <w:szCs w:val="21"/>
                    </w:rPr>
                    <w:t>名称</w:t>
                  </w:r>
                </w:p>
              </w:tc>
              <w:tc>
                <w:tcPr>
                  <w:tcW w:w="1701"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default"/>
                      <w:b/>
                      <w:sz w:val="21"/>
                      <w:szCs w:val="21"/>
                    </w:rPr>
                    <w:t>数量</w:t>
                  </w:r>
                </w:p>
              </w:tc>
              <w:tc>
                <w:tcPr>
                  <w:tcW w:w="1701"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default"/>
                      <w:b/>
                      <w:sz w:val="21"/>
                      <w:szCs w:val="21"/>
                    </w:rPr>
                    <w:t>单位</w:t>
                  </w:r>
                </w:p>
              </w:tc>
              <w:tc>
                <w:tcPr>
                  <w:tcW w:w="18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default"/>
                      <w:b/>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226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报废汽车</w:t>
                  </w:r>
                </w:p>
              </w:tc>
              <w:tc>
                <w:tcPr>
                  <w:tcW w:w="1701"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5000</w:t>
                  </w:r>
                </w:p>
              </w:tc>
              <w:tc>
                <w:tcPr>
                  <w:tcW w:w="1701"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辆</w:t>
                  </w:r>
                  <w:r>
                    <w:rPr>
                      <w:rFonts w:hint="eastAsia"/>
                      <w:sz w:val="21"/>
                      <w:szCs w:val="21"/>
                    </w:rPr>
                    <w:t>/a</w:t>
                  </w:r>
                </w:p>
              </w:tc>
              <w:tc>
                <w:tcPr>
                  <w:tcW w:w="18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芒市及其周边合法报废汽车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w:t>
                  </w:r>
                </w:p>
              </w:tc>
              <w:tc>
                <w:tcPr>
                  <w:tcW w:w="226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水</w:t>
                  </w:r>
                </w:p>
              </w:tc>
              <w:tc>
                <w:tcPr>
                  <w:tcW w:w="1701"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2500</w:t>
                  </w:r>
                </w:p>
              </w:tc>
              <w:tc>
                <w:tcPr>
                  <w:tcW w:w="1701"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m</w:t>
                  </w:r>
                  <w:r>
                    <w:rPr>
                      <w:rFonts w:hint="eastAsia"/>
                      <w:sz w:val="21"/>
                      <w:szCs w:val="21"/>
                      <w:vertAlign w:val="superscript"/>
                    </w:rPr>
                    <w:t>3</w:t>
                  </w:r>
                  <w:r>
                    <w:rPr>
                      <w:rFonts w:hint="eastAsia"/>
                      <w:sz w:val="21"/>
                      <w:szCs w:val="21"/>
                    </w:rPr>
                    <w:t>/a</w:t>
                  </w:r>
                </w:p>
              </w:tc>
              <w:tc>
                <w:tcPr>
                  <w:tcW w:w="18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3</w:t>
                  </w:r>
                </w:p>
              </w:tc>
              <w:tc>
                <w:tcPr>
                  <w:tcW w:w="226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电</w:t>
                  </w:r>
                </w:p>
              </w:tc>
              <w:tc>
                <w:tcPr>
                  <w:tcW w:w="1701"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12</w:t>
                  </w:r>
                </w:p>
              </w:tc>
              <w:tc>
                <w:tcPr>
                  <w:tcW w:w="1701"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万</w:t>
                  </w:r>
                  <w:r>
                    <w:rPr>
                      <w:rFonts w:hint="eastAsia"/>
                      <w:sz w:val="21"/>
                      <w:szCs w:val="21"/>
                    </w:rPr>
                    <w:t>kWh/a</w:t>
                  </w:r>
                </w:p>
              </w:tc>
              <w:tc>
                <w:tcPr>
                  <w:tcW w:w="18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4</w:t>
                  </w:r>
                </w:p>
              </w:tc>
              <w:tc>
                <w:tcPr>
                  <w:tcW w:w="2267"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液化气</w:t>
                  </w:r>
                </w:p>
              </w:tc>
              <w:tc>
                <w:tcPr>
                  <w:tcW w:w="1701"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600</w:t>
                  </w:r>
                </w:p>
              </w:tc>
              <w:tc>
                <w:tcPr>
                  <w:tcW w:w="1701"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瓶/a</w:t>
                  </w:r>
                </w:p>
              </w:tc>
              <w:tc>
                <w:tcPr>
                  <w:tcW w:w="18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default"/>
                      <w:sz w:val="21"/>
                      <w:szCs w:val="21"/>
                    </w:rPr>
                    <w:t>外购，储存于液化气暂存间</w:t>
                  </w:r>
                </w:p>
              </w:tc>
            </w:tr>
          </w:tbl>
          <w:p>
            <w:pPr>
              <w:pStyle w:val="76"/>
              <w:keepNext w:val="0"/>
              <w:keepLines w:val="0"/>
              <w:suppressLineNumbers w:val="0"/>
              <w:spacing w:before="0" w:beforeAutospacing="0" w:after="0" w:afterAutospacing="0"/>
              <w:ind w:left="0" w:right="0" w:firstLine="480" w:firstLineChars="200"/>
              <w:jc w:val="left"/>
              <w:rPr>
                <w:rFonts w:hint="default"/>
                <w:b w:val="0"/>
              </w:rPr>
            </w:pPr>
            <w:r>
              <w:rPr>
                <w:rFonts w:hint="eastAsia"/>
                <w:b w:val="0"/>
              </w:rPr>
              <w:t>贮存堆放要求：</w:t>
            </w:r>
          </w:p>
          <w:p>
            <w:pPr>
              <w:pStyle w:val="76"/>
              <w:keepNext w:val="0"/>
              <w:keepLines w:val="0"/>
              <w:suppressLineNumbers w:val="0"/>
              <w:spacing w:before="0" w:beforeAutospacing="0" w:after="0" w:afterAutospacing="0"/>
              <w:ind w:left="0" w:right="0" w:firstLine="480" w:firstLineChars="200"/>
              <w:jc w:val="left"/>
              <w:rPr>
                <w:rFonts w:hint="default"/>
                <w:b w:val="0"/>
              </w:rPr>
            </w:pPr>
            <w:r>
              <w:rPr>
                <w:rFonts w:hint="eastAsia"/>
                <w:b w:val="0"/>
              </w:rPr>
              <w:t>（1）所有车辆应避免侧放、倒放。</w:t>
            </w:r>
          </w:p>
          <w:p>
            <w:pPr>
              <w:pStyle w:val="76"/>
              <w:keepNext w:val="0"/>
              <w:keepLines w:val="0"/>
              <w:suppressLineNumbers w:val="0"/>
              <w:spacing w:before="0" w:beforeAutospacing="0" w:after="0" w:afterAutospacing="0"/>
              <w:ind w:left="0" w:right="0" w:firstLine="480" w:firstLineChars="200"/>
              <w:jc w:val="left"/>
              <w:rPr>
                <w:rFonts w:hint="default"/>
                <w:b w:val="0"/>
              </w:rPr>
            </w:pPr>
            <w:r>
              <w:rPr>
                <w:rFonts w:hint="eastAsia"/>
                <w:b w:val="0"/>
              </w:rPr>
              <w:t>（2）机动车如需叠放，应使上下车辆的重心尽量重合，且不应超过 3 层。2 层和3层叠放时，高度分别不应超过3m和4.5m。大型车辆应单层平置。采用框架结构存放的，要保证安全性，并易于装卸。</w:t>
            </w:r>
          </w:p>
          <w:p>
            <w:pPr>
              <w:pStyle w:val="76"/>
              <w:keepNext w:val="0"/>
              <w:keepLines w:val="0"/>
              <w:suppressLineNumbers w:val="0"/>
              <w:spacing w:before="0" w:beforeAutospacing="0" w:after="0" w:afterAutospacing="0"/>
              <w:ind w:left="0" w:right="0" w:firstLine="480" w:firstLineChars="200"/>
              <w:jc w:val="left"/>
              <w:rPr>
                <w:rFonts w:hint="default"/>
                <w:b w:val="0"/>
              </w:rPr>
            </w:pPr>
            <w:r>
              <w:rPr>
                <w:rFonts w:hint="eastAsia"/>
                <w:b w:val="0"/>
              </w:rPr>
              <w:t>（3）电动汽车在动力蓄电池未拆卸前应单独贮存，并采取防火、防水、绝缘、隔热等安全保障措施。</w:t>
            </w:r>
          </w:p>
          <w:p>
            <w:pPr>
              <w:pStyle w:val="76"/>
              <w:keepNext w:val="0"/>
              <w:keepLines w:val="0"/>
              <w:suppressLineNumbers w:val="0"/>
              <w:spacing w:before="0" w:beforeAutospacing="0" w:after="0" w:afterAutospacing="0"/>
              <w:ind w:left="0" w:right="0" w:firstLine="482" w:firstLineChars="200"/>
              <w:jc w:val="left"/>
              <w:rPr>
                <w:rFonts w:hint="default"/>
              </w:rPr>
            </w:pPr>
            <w:r>
              <w:rPr>
                <w:rFonts w:hint="eastAsia"/>
              </w:rPr>
              <w:t>5、拆解产物</w:t>
            </w:r>
          </w:p>
          <w:p>
            <w:pPr>
              <w:pStyle w:val="76"/>
              <w:keepNext w:val="0"/>
              <w:keepLines w:val="0"/>
              <w:suppressLineNumbers w:val="0"/>
              <w:spacing w:before="0" w:beforeAutospacing="0" w:after="0" w:afterAutospacing="0"/>
              <w:ind w:left="0" w:right="0" w:firstLine="480"/>
              <w:jc w:val="left"/>
              <w:rPr>
                <w:rFonts w:hint="default"/>
                <w:b w:val="0"/>
              </w:rPr>
            </w:pPr>
            <w:r>
              <w:rPr>
                <w:rFonts w:hint="eastAsia"/>
                <w:b w:val="0"/>
              </w:rPr>
              <w:t>项目建成后实现年拆解机动车5000辆，其产生的物品为报废汽车拆解下来的各种可用物品、零配件及废品。根据《汽车报废拆解和材料回收利用》及《汽车产品回收利用技术政策》中相关资料、建设单位提供资料以及同类型企业经验数据的类比分析，报废机动车拆解后得到的产品明细见下表：</w:t>
            </w:r>
          </w:p>
          <w:p>
            <w:pPr>
              <w:pStyle w:val="76"/>
              <w:keepNext w:val="0"/>
              <w:keepLines w:val="0"/>
              <w:suppressLineNumbers w:val="0"/>
              <w:spacing w:before="0" w:beforeAutospacing="0" w:after="0" w:afterAutospacing="0"/>
              <w:ind w:left="0" w:right="0" w:firstLine="480"/>
              <w:rPr>
                <w:rFonts w:hint="default"/>
              </w:rPr>
            </w:pPr>
            <w:r>
              <w:rPr>
                <w:rFonts w:hint="eastAsia"/>
              </w:rPr>
              <w:t>表2-4   项目机动车拆解产品明细表</w:t>
            </w:r>
          </w:p>
          <w:tbl>
            <w:tblPr>
              <w:tblStyle w:val="23"/>
              <w:tblW w:w="8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843"/>
              <w:gridCol w:w="1559"/>
              <w:gridCol w:w="2623"/>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pStyle w:val="76"/>
                    <w:keepNext w:val="0"/>
                    <w:keepLines w:val="0"/>
                    <w:suppressLineNumbers w:val="0"/>
                    <w:spacing w:before="0" w:beforeAutospacing="0" w:after="0" w:afterAutospacing="0" w:line="240" w:lineRule="auto"/>
                    <w:ind w:left="0" w:right="0"/>
                    <w:rPr>
                      <w:rFonts w:hint="default"/>
                      <w:sz w:val="21"/>
                      <w:szCs w:val="21"/>
                    </w:rPr>
                  </w:pPr>
                  <w:r>
                    <w:rPr>
                      <w:rFonts w:hint="eastAsia"/>
                      <w:sz w:val="21"/>
                      <w:szCs w:val="21"/>
                    </w:rPr>
                    <w:t>序号</w:t>
                  </w:r>
                </w:p>
              </w:tc>
              <w:tc>
                <w:tcPr>
                  <w:tcW w:w="1843" w:type="dxa"/>
                  <w:vAlign w:val="center"/>
                </w:tcPr>
                <w:p>
                  <w:pPr>
                    <w:pStyle w:val="76"/>
                    <w:keepNext w:val="0"/>
                    <w:keepLines w:val="0"/>
                    <w:suppressLineNumbers w:val="0"/>
                    <w:spacing w:before="0" w:beforeAutospacing="0" w:after="0" w:afterAutospacing="0" w:line="240" w:lineRule="auto"/>
                    <w:ind w:left="0" w:right="0"/>
                    <w:rPr>
                      <w:rFonts w:hint="default"/>
                      <w:sz w:val="21"/>
                      <w:szCs w:val="21"/>
                    </w:rPr>
                  </w:pPr>
                  <w:r>
                    <w:rPr>
                      <w:rFonts w:hint="eastAsia"/>
                      <w:sz w:val="21"/>
                      <w:szCs w:val="21"/>
                    </w:rPr>
                    <w:t>产品</w:t>
                  </w:r>
                </w:p>
              </w:tc>
              <w:tc>
                <w:tcPr>
                  <w:tcW w:w="1559" w:type="dxa"/>
                  <w:vAlign w:val="center"/>
                </w:tcPr>
                <w:p>
                  <w:pPr>
                    <w:pStyle w:val="76"/>
                    <w:keepNext w:val="0"/>
                    <w:keepLines w:val="0"/>
                    <w:suppressLineNumbers w:val="0"/>
                    <w:spacing w:before="0" w:beforeAutospacing="0" w:after="0" w:afterAutospacing="0" w:line="240" w:lineRule="auto"/>
                    <w:ind w:left="0" w:right="0"/>
                    <w:rPr>
                      <w:rFonts w:hint="default"/>
                      <w:sz w:val="21"/>
                      <w:szCs w:val="21"/>
                    </w:rPr>
                  </w:pPr>
                  <w:r>
                    <w:rPr>
                      <w:rFonts w:hint="eastAsia"/>
                      <w:sz w:val="21"/>
                      <w:szCs w:val="21"/>
                    </w:rPr>
                    <w:t>产生量（t/a）</w:t>
                  </w:r>
                </w:p>
              </w:tc>
              <w:tc>
                <w:tcPr>
                  <w:tcW w:w="2623" w:type="dxa"/>
                  <w:vAlign w:val="center"/>
                </w:tcPr>
                <w:p>
                  <w:pPr>
                    <w:pStyle w:val="76"/>
                    <w:keepNext w:val="0"/>
                    <w:keepLines w:val="0"/>
                    <w:suppressLineNumbers w:val="0"/>
                    <w:spacing w:before="0" w:beforeAutospacing="0" w:after="0" w:afterAutospacing="0" w:line="240" w:lineRule="auto"/>
                    <w:ind w:left="0" w:right="0"/>
                    <w:rPr>
                      <w:rFonts w:hint="default"/>
                      <w:sz w:val="21"/>
                      <w:szCs w:val="21"/>
                    </w:rPr>
                  </w:pPr>
                  <w:r>
                    <w:rPr>
                      <w:rFonts w:hint="eastAsia"/>
                      <w:sz w:val="21"/>
                      <w:szCs w:val="21"/>
                    </w:rPr>
                    <w:t>备注</w:t>
                  </w:r>
                </w:p>
              </w:tc>
              <w:tc>
                <w:tcPr>
                  <w:tcW w:w="1675" w:type="dxa"/>
                  <w:vAlign w:val="center"/>
                </w:tcPr>
                <w:p>
                  <w:pPr>
                    <w:pStyle w:val="76"/>
                    <w:keepNext w:val="0"/>
                    <w:keepLines w:val="0"/>
                    <w:suppressLineNumbers w:val="0"/>
                    <w:spacing w:before="0" w:beforeAutospacing="0" w:after="0" w:afterAutospacing="0" w:line="240" w:lineRule="auto"/>
                    <w:ind w:left="0" w:right="0"/>
                    <w:rPr>
                      <w:rFonts w:hint="default"/>
                      <w:sz w:val="21"/>
                      <w:szCs w:val="21"/>
                    </w:rPr>
                  </w:pPr>
                  <w:r>
                    <w:rPr>
                      <w:rFonts w:hint="eastAsia"/>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1</w:t>
                  </w:r>
                </w:p>
              </w:tc>
              <w:tc>
                <w:tcPr>
                  <w:tcW w:w="184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废钢</w:t>
                  </w:r>
                </w:p>
              </w:tc>
              <w:tc>
                <w:tcPr>
                  <w:tcW w:w="1559"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10000</w:t>
                  </w:r>
                </w:p>
              </w:tc>
              <w:tc>
                <w:tcPr>
                  <w:tcW w:w="262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含可用零部件</w:t>
                  </w:r>
                </w:p>
              </w:tc>
              <w:tc>
                <w:tcPr>
                  <w:tcW w:w="1675" w:type="dxa"/>
                  <w:vMerge w:val="restart"/>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按流程拆解、分类收集，外售给回收单位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2</w:t>
                  </w:r>
                </w:p>
              </w:tc>
              <w:tc>
                <w:tcPr>
                  <w:tcW w:w="184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有色金属</w:t>
                  </w:r>
                </w:p>
              </w:tc>
              <w:tc>
                <w:tcPr>
                  <w:tcW w:w="1559"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96</w:t>
                  </w:r>
                </w:p>
              </w:tc>
              <w:tc>
                <w:tcPr>
                  <w:tcW w:w="262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铝、铜、来源于轮毂、窗框、水箱等</w:t>
                  </w:r>
                </w:p>
              </w:tc>
              <w:tc>
                <w:tcPr>
                  <w:tcW w:w="1675" w:type="dxa"/>
                  <w:vMerge w:val="continue"/>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3</w:t>
                  </w:r>
                </w:p>
              </w:tc>
              <w:tc>
                <w:tcPr>
                  <w:tcW w:w="184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废塑料</w:t>
                  </w:r>
                </w:p>
              </w:tc>
              <w:tc>
                <w:tcPr>
                  <w:tcW w:w="1559"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110</w:t>
                  </w:r>
                </w:p>
              </w:tc>
              <w:tc>
                <w:tcPr>
                  <w:tcW w:w="262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w:t>
                  </w:r>
                </w:p>
              </w:tc>
              <w:tc>
                <w:tcPr>
                  <w:tcW w:w="1675" w:type="dxa"/>
                  <w:vMerge w:val="continue"/>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4</w:t>
                  </w:r>
                </w:p>
              </w:tc>
              <w:tc>
                <w:tcPr>
                  <w:tcW w:w="184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废橡胶</w:t>
                  </w:r>
                </w:p>
              </w:tc>
              <w:tc>
                <w:tcPr>
                  <w:tcW w:w="1559"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600</w:t>
                  </w:r>
                </w:p>
              </w:tc>
              <w:tc>
                <w:tcPr>
                  <w:tcW w:w="262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w:t>
                  </w:r>
                </w:p>
              </w:tc>
              <w:tc>
                <w:tcPr>
                  <w:tcW w:w="1675" w:type="dxa"/>
                  <w:vMerge w:val="continue"/>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5</w:t>
                  </w:r>
                </w:p>
              </w:tc>
              <w:tc>
                <w:tcPr>
                  <w:tcW w:w="184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废玻璃</w:t>
                  </w:r>
                </w:p>
              </w:tc>
              <w:tc>
                <w:tcPr>
                  <w:tcW w:w="1559"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65</w:t>
                  </w:r>
                </w:p>
              </w:tc>
              <w:tc>
                <w:tcPr>
                  <w:tcW w:w="262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w:t>
                  </w:r>
                </w:p>
              </w:tc>
              <w:tc>
                <w:tcPr>
                  <w:tcW w:w="1675" w:type="dxa"/>
                  <w:vMerge w:val="continue"/>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6</w:t>
                  </w:r>
                </w:p>
              </w:tc>
              <w:tc>
                <w:tcPr>
                  <w:tcW w:w="184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废电线电缆</w:t>
                  </w:r>
                </w:p>
              </w:tc>
              <w:tc>
                <w:tcPr>
                  <w:tcW w:w="1559"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35</w:t>
                  </w:r>
                </w:p>
              </w:tc>
              <w:tc>
                <w:tcPr>
                  <w:tcW w:w="2623" w:type="dxa"/>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r>
                    <w:rPr>
                      <w:rFonts w:hint="eastAsia"/>
                      <w:b w:val="0"/>
                      <w:sz w:val="21"/>
                      <w:szCs w:val="21"/>
                    </w:rPr>
                    <w:t>/</w:t>
                  </w:r>
                </w:p>
              </w:tc>
              <w:tc>
                <w:tcPr>
                  <w:tcW w:w="1675" w:type="dxa"/>
                  <w:vMerge w:val="continue"/>
                  <w:vAlign w:val="center"/>
                </w:tcPr>
                <w:p>
                  <w:pPr>
                    <w:pStyle w:val="76"/>
                    <w:keepNext w:val="0"/>
                    <w:keepLines w:val="0"/>
                    <w:suppressLineNumbers w:val="0"/>
                    <w:spacing w:before="0" w:beforeAutospacing="0" w:after="0" w:afterAutospacing="0" w:line="240" w:lineRule="auto"/>
                    <w:ind w:left="0" w:right="0"/>
                    <w:rPr>
                      <w:rFonts w:hint="default"/>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1" w:type="dxa"/>
                  <w:gridSpan w:val="5"/>
                  <w:vAlign w:val="center"/>
                </w:tcPr>
                <w:p>
                  <w:pPr>
                    <w:pStyle w:val="76"/>
                    <w:keepNext w:val="0"/>
                    <w:keepLines w:val="0"/>
                    <w:suppressLineNumbers w:val="0"/>
                    <w:spacing w:before="0" w:beforeAutospacing="0" w:after="0" w:afterAutospacing="0" w:line="240" w:lineRule="auto"/>
                    <w:ind w:left="0" w:right="0"/>
                    <w:jc w:val="left"/>
                    <w:rPr>
                      <w:rFonts w:hint="default"/>
                      <w:b w:val="0"/>
                      <w:sz w:val="21"/>
                      <w:szCs w:val="21"/>
                    </w:rPr>
                  </w:pPr>
                  <w:r>
                    <w:rPr>
                      <w:rFonts w:hint="eastAsia"/>
                      <w:b w:val="0"/>
                      <w:sz w:val="21"/>
                      <w:szCs w:val="21"/>
                    </w:rPr>
                    <w:t>备注：本项目仅接受一般性质使用车辆的拆解，不接受槽罐车、危险化学品运输车等特殊装备车辆。</w:t>
                  </w:r>
                </w:p>
              </w:tc>
            </w:tr>
          </w:tbl>
          <w:p>
            <w:pPr>
              <w:pStyle w:val="76"/>
              <w:keepNext w:val="0"/>
              <w:keepLines w:val="0"/>
              <w:suppressLineNumbers w:val="0"/>
              <w:spacing w:before="0" w:beforeAutospacing="0" w:after="0" w:afterAutospacing="0"/>
              <w:ind w:left="0" w:right="0" w:firstLine="480" w:firstLineChars="200"/>
              <w:jc w:val="left"/>
              <w:rPr>
                <w:rFonts w:hint="default"/>
                <w:b w:val="0"/>
              </w:rPr>
            </w:pPr>
            <w:r>
              <w:rPr>
                <w:rFonts w:hint="eastAsia"/>
                <w:b w:val="0"/>
              </w:rPr>
              <w:t>本项目不涉及发动机、方向机等部件的回收再造，不涉及回收产品的再加工，拆解产生的零部件(包括发动机、方向机、变速器、前后桥、车架等)按照国家有关规定出售给具有再制造能力的企业经过再制造予以循环利用，不具备再制造条件的，钢铁、有色金属、塑料、玻璃、橡胶等物品出售给钢铁企业、废旧物品回收公司回收综合利用，剩余物品中属国家规定危险固废的委托危废资质单位处置，属于一般固废的清运至相关管理部门指定地点处置。</w:t>
            </w:r>
          </w:p>
          <w:p>
            <w:pPr>
              <w:pStyle w:val="51"/>
              <w:keepNext w:val="0"/>
              <w:keepLines w:val="0"/>
              <w:suppressLineNumbers w:val="0"/>
              <w:spacing w:before="0" w:beforeAutospacing="0" w:after="0" w:afterAutospacing="0"/>
              <w:ind w:left="0" w:right="0" w:firstLine="482"/>
              <w:rPr>
                <w:rFonts w:hint="default"/>
                <w:b/>
              </w:rPr>
            </w:pPr>
            <w:r>
              <w:rPr>
                <w:rFonts w:hint="eastAsia"/>
                <w:b/>
              </w:rPr>
              <w:t>6</w:t>
            </w:r>
            <w:r>
              <w:rPr>
                <w:rFonts w:hint="default"/>
                <w:b/>
              </w:rPr>
              <w:t>、劳动定员及工作制度</w:t>
            </w:r>
          </w:p>
          <w:p>
            <w:pPr>
              <w:pStyle w:val="51"/>
              <w:keepNext w:val="0"/>
              <w:keepLines w:val="0"/>
              <w:suppressLineNumbers w:val="0"/>
              <w:spacing w:before="0" w:beforeAutospacing="0" w:after="0" w:afterAutospacing="0"/>
              <w:ind w:left="0" w:right="0" w:firstLine="480"/>
              <w:rPr>
                <w:rFonts w:hint="default"/>
              </w:rPr>
            </w:pPr>
            <w:r>
              <w:rPr>
                <w:rFonts w:hint="default"/>
              </w:rPr>
              <w:t>运营期劳动定员</w:t>
            </w:r>
            <w:r>
              <w:rPr>
                <w:rFonts w:hint="eastAsia"/>
              </w:rPr>
              <w:t>21人，采用一班制，每班8小时，年工作300天，均在厂区食宿</w:t>
            </w:r>
            <w:r>
              <w:rPr>
                <w:rFonts w:hint="default"/>
              </w:rPr>
              <w:t>。</w:t>
            </w:r>
          </w:p>
          <w:p>
            <w:pPr>
              <w:pStyle w:val="51"/>
              <w:keepNext w:val="0"/>
              <w:keepLines w:val="0"/>
              <w:suppressLineNumbers w:val="0"/>
              <w:spacing w:before="0" w:beforeAutospacing="0" w:after="0" w:afterAutospacing="0"/>
              <w:ind w:left="0" w:right="0" w:firstLine="482"/>
              <w:rPr>
                <w:rFonts w:hint="default"/>
                <w:b/>
              </w:rPr>
            </w:pPr>
            <w:r>
              <w:rPr>
                <w:rFonts w:hint="eastAsia"/>
                <w:b/>
              </w:rPr>
              <w:t>7</w:t>
            </w:r>
            <w:r>
              <w:rPr>
                <w:rFonts w:hint="default"/>
                <w:b/>
              </w:rPr>
              <w:t>、总投资及环保投资</w:t>
            </w:r>
          </w:p>
          <w:p>
            <w:pPr>
              <w:keepNext w:val="0"/>
              <w:keepLines/>
              <w:suppressLineNumbers w:val="0"/>
              <w:spacing w:before="0" w:beforeAutospacing="0" w:after="0" w:afterAutospacing="0"/>
              <w:ind w:left="0" w:right="0" w:firstLine="480"/>
              <w:rPr>
                <w:rFonts w:hint="default"/>
              </w:rPr>
            </w:pPr>
            <w:r>
              <w:rPr>
                <w:rFonts w:hint="default"/>
              </w:rPr>
              <w:t>本项目总投资</w:t>
            </w:r>
            <w:r>
              <w:rPr>
                <w:rFonts w:hint="eastAsia"/>
              </w:rPr>
              <w:t>2688.06</w:t>
            </w:r>
            <w:r>
              <w:rPr>
                <w:rFonts w:hint="default"/>
              </w:rPr>
              <w:t>万元，环保投资为</w:t>
            </w:r>
            <w:r>
              <w:rPr>
                <w:rFonts w:hint="eastAsia"/>
                <w:lang w:val="en-US" w:eastAsia="zh-CN"/>
              </w:rPr>
              <w:t>98.9</w:t>
            </w:r>
            <w:r>
              <w:rPr>
                <w:rFonts w:hint="default"/>
              </w:rPr>
              <w:t>万元，占总投资</w:t>
            </w:r>
            <w:r>
              <w:rPr>
                <w:rFonts w:hint="eastAsia"/>
              </w:rPr>
              <w:t>3.</w:t>
            </w:r>
            <w:r>
              <w:rPr>
                <w:rFonts w:hint="eastAsia"/>
                <w:lang w:val="en-US" w:eastAsia="zh-CN"/>
              </w:rPr>
              <w:t>68</w:t>
            </w:r>
            <w:r>
              <w:rPr>
                <w:rFonts w:hint="default"/>
              </w:rPr>
              <w:t>%。</w:t>
            </w:r>
          </w:p>
          <w:p>
            <w:pPr>
              <w:pStyle w:val="54"/>
              <w:keepNext w:val="0"/>
              <w:keepLines w:val="0"/>
              <w:suppressLineNumbers w:val="0"/>
              <w:spacing w:before="0" w:beforeAutospacing="0" w:afterAutospacing="0"/>
              <w:ind w:right="0"/>
              <w:rPr>
                <w:rFonts w:hint="default"/>
              </w:rPr>
            </w:pPr>
            <w:r>
              <w:rPr>
                <w:rFonts w:hint="eastAsia"/>
              </w:rPr>
              <w:t>表2-5  环保投资一览表 单位：万元</w:t>
            </w:r>
          </w:p>
          <w:tbl>
            <w:tblPr>
              <w:tblStyle w:val="22"/>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81"/>
              <w:gridCol w:w="993"/>
              <w:gridCol w:w="2794"/>
              <w:gridCol w:w="1135"/>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Align w:val="center"/>
                </w:tcPr>
                <w:p>
                  <w:pPr>
                    <w:pStyle w:val="69"/>
                    <w:keepNext w:val="0"/>
                    <w:keepLines w:val="0"/>
                    <w:suppressLineNumbers w:val="0"/>
                    <w:spacing w:before="0" w:beforeAutospacing="0" w:after="0" w:afterAutospacing="0"/>
                    <w:ind w:left="0" w:right="0"/>
                    <w:rPr>
                      <w:rFonts w:hint="default"/>
                      <w:b/>
                    </w:rPr>
                  </w:pPr>
                  <w:r>
                    <w:rPr>
                      <w:rFonts w:hint="default"/>
                      <w:b/>
                    </w:rPr>
                    <w:t>类别</w:t>
                  </w:r>
                </w:p>
              </w:tc>
              <w:tc>
                <w:tcPr>
                  <w:tcW w:w="1681" w:type="dxa"/>
                  <w:vAlign w:val="center"/>
                </w:tcPr>
                <w:p>
                  <w:pPr>
                    <w:pStyle w:val="69"/>
                    <w:keepNext w:val="0"/>
                    <w:keepLines w:val="0"/>
                    <w:suppressLineNumbers w:val="0"/>
                    <w:spacing w:before="0" w:beforeAutospacing="0" w:after="0" w:afterAutospacing="0"/>
                    <w:ind w:left="0" w:right="0"/>
                    <w:rPr>
                      <w:rFonts w:hint="default"/>
                      <w:b/>
                    </w:rPr>
                  </w:pPr>
                  <w:r>
                    <w:rPr>
                      <w:rFonts w:hint="default"/>
                      <w:b/>
                    </w:rPr>
                    <w:t>保护对象</w:t>
                  </w:r>
                </w:p>
              </w:tc>
              <w:tc>
                <w:tcPr>
                  <w:tcW w:w="3787" w:type="dxa"/>
                  <w:gridSpan w:val="2"/>
                  <w:vAlign w:val="center"/>
                </w:tcPr>
                <w:p>
                  <w:pPr>
                    <w:pStyle w:val="69"/>
                    <w:keepNext w:val="0"/>
                    <w:keepLines w:val="0"/>
                    <w:suppressLineNumbers w:val="0"/>
                    <w:spacing w:before="0" w:beforeAutospacing="0" w:after="0" w:afterAutospacing="0"/>
                    <w:ind w:left="0" w:right="0"/>
                    <w:rPr>
                      <w:rFonts w:hint="default"/>
                      <w:b/>
                    </w:rPr>
                  </w:pPr>
                  <w:r>
                    <w:rPr>
                      <w:rFonts w:hint="default"/>
                      <w:b/>
                    </w:rPr>
                    <w:t>处置措施或处置设施</w:t>
                  </w:r>
                </w:p>
              </w:tc>
              <w:tc>
                <w:tcPr>
                  <w:tcW w:w="1135" w:type="dxa"/>
                  <w:vAlign w:val="center"/>
                </w:tcPr>
                <w:p>
                  <w:pPr>
                    <w:pStyle w:val="69"/>
                    <w:keepNext w:val="0"/>
                    <w:keepLines w:val="0"/>
                    <w:suppressLineNumbers w:val="0"/>
                    <w:spacing w:before="0" w:beforeAutospacing="0" w:after="0" w:afterAutospacing="0"/>
                    <w:ind w:left="0" w:right="0"/>
                    <w:rPr>
                      <w:rFonts w:hint="default"/>
                      <w:b/>
                    </w:rPr>
                  </w:pPr>
                  <w:r>
                    <w:rPr>
                      <w:rFonts w:hint="default"/>
                      <w:b/>
                    </w:rPr>
                    <w:t>投资估算（万元）</w:t>
                  </w:r>
                </w:p>
              </w:tc>
              <w:tc>
                <w:tcPr>
                  <w:tcW w:w="1081" w:type="dxa"/>
                  <w:vAlign w:val="center"/>
                </w:tcPr>
                <w:p>
                  <w:pPr>
                    <w:pStyle w:val="69"/>
                    <w:keepNext w:val="0"/>
                    <w:keepLines w:val="0"/>
                    <w:suppressLineNumbers w:val="0"/>
                    <w:spacing w:before="0" w:beforeAutospacing="0" w:after="0" w:afterAutospacing="0"/>
                    <w:ind w:left="0" w:right="0"/>
                    <w:rPr>
                      <w:rFonts w:hint="default"/>
                      <w:b/>
                    </w:rPr>
                  </w:pPr>
                  <w:r>
                    <w:rPr>
                      <w:rFonts w:hint="default"/>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施工期</w:t>
                  </w:r>
                </w:p>
              </w:tc>
              <w:tc>
                <w:tcPr>
                  <w:tcW w:w="1681"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大气环境</w:t>
                  </w: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施工期场地内洒水降尘、建材篷布遮盖</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1.0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材料堆存篷布遮盖、运输遮盖土工布等</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0.5</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Align w:val="center"/>
                </w:tcPr>
                <w:p>
                  <w:pPr>
                    <w:pStyle w:val="69"/>
                    <w:keepNext w:val="0"/>
                    <w:keepLines w:val="0"/>
                    <w:suppressLineNumbers w:val="0"/>
                    <w:spacing w:before="0" w:beforeAutospacing="0" w:after="0" w:afterAutospacing="0"/>
                    <w:ind w:left="0" w:right="0"/>
                    <w:rPr>
                      <w:rFonts w:hint="default"/>
                    </w:rPr>
                  </w:pPr>
                  <w:r>
                    <w:rPr>
                      <w:rFonts w:hint="default"/>
                    </w:rPr>
                    <w:t>水环境</w:t>
                  </w: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eastAsia"/>
                    </w:rPr>
                    <w:t>1个10m</w:t>
                  </w:r>
                  <w:r>
                    <w:rPr>
                      <w:rFonts w:hint="eastAsia"/>
                      <w:vertAlign w:val="superscript"/>
                    </w:rPr>
                    <w:t>2</w:t>
                  </w:r>
                  <w:r>
                    <w:rPr>
                      <w:rFonts w:hint="eastAsia"/>
                    </w:rPr>
                    <w:t>的临时沉砂池</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1.0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Align w:val="center"/>
                </w:tcPr>
                <w:p>
                  <w:pPr>
                    <w:pStyle w:val="69"/>
                    <w:keepNext w:val="0"/>
                    <w:keepLines w:val="0"/>
                    <w:suppressLineNumbers w:val="0"/>
                    <w:spacing w:before="0" w:beforeAutospacing="0" w:after="0" w:afterAutospacing="0"/>
                    <w:ind w:left="0" w:right="0"/>
                    <w:rPr>
                      <w:rFonts w:hint="default"/>
                    </w:rPr>
                  </w:pPr>
                  <w:r>
                    <w:rPr>
                      <w:rFonts w:hint="default"/>
                    </w:rPr>
                    <w:t>声环境</w:t>
                  </w: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机械降噪措施、加强管理、文明施工等</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1.0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Align w:val="center"/>
                </w:tcPr>
                <w:p>
                  <w:pPr>
                    <w:pStyle w:val="69"/>
                    <w:keepNext w:val="0"/>
                    <w:keepLines w:val="0"/>
                    <w:suppressLineNumbers w:val="0"/>
                    <w:spacing w:before="0" w:beforeAutospacing="0" w:after="0" w:afterAutospacing="0"/>
                    <w:ind w:left="0" w:right="0"/>
                    <w:rPr>
                      <w:rFonts w:hint="default"/>
                    </w:rPr>
                  </w:pPr>
                  <w:r>
                    <w:rPr>
                      <w:rFonts w:hint="default"/>
                    </w:rPr>
                    <w:t>固体废物</w:t>
                  </w: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垃圾桶</w:t>
                  </w:r>
                  <w:r>
                    <w:rPr>
                      <w:rFonts w:hint="eastAsia"/>
                    </w:rPr>
                    <w:t>2个</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0.2</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运营期</w:t>
                  </w:r>
                </w:p>
              </w:tc>
              <w:tc>
                <w:tcPr>
                  <w:tcW w:w="1681" w:type="dxa"/>
                  <w:vAlign w:val="center"/>
                </w:tcPr>
                <w:p>
                  <w:pPr>
                    <w:pStyle w:val="69"/>
                    <w:keepNext w:val="0"/>
                    <w:keepLines w:val="0"/>
                    <w:suppressLineNumbers w:val="0"/>
                    <w:spacing w:before="0" w:beforeAutospacing="0" w:after="0" w:afterAutospacing="0"/>
                    <w:ind w:left="0" w:right="0"/>
                    <w:rPr>
                      <w:rFonts w:hint="default"/>
                    </w:rPr>
                  </w:pPr>
                  <w:r>
                    <w:rPr>
                      <w:rFonts w:hint="default"/>
                    </w:rPr>
                    <w:t>大气环境</w:t>
                  </w: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eastAsia"/>
                    </w:rPr>
                    <w:t>1套破碎机粉尘除尘系统：集气罩+破碎机布袋除尘器+15m排气筒排放</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5.0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地表水环境</w:t>
                  </w: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厂区雨污分流系统</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4.0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食堂隔油池</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0.5</w:t>
                  </w:r>
                </w:p>
              </w:tc>
              <w:tc>
                <w:tcPr>
                  <w:tcW w:w="1081" w:type="dxa"/>
                  <w:vAlign w:val="center"/>
                </w:tcPr>
                <w:p>
                  <w:pPr>
                    <w:pStyle w:val="69"/>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化粪池</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2.0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3787" w:type="dxa"/>
                  <w:gridSpan w:val="2"/>
                  <w:vAlign w:val="center"/>
                </w:tcPr>
                <w:p>
                  <w:pPr>
                    <w:pStyle w:val="69"/>
                    <w:keepNext w:val="0"/>
                    <w:keepLines w:val="0"/>
                    <w:suppressLineNumbers w:val="0"/>
                    <w:spacing w:before="0" w:beforeAutospacing="0" w:after="0" w:afterAutospacing="0"/>
                    <w:ind w:left="0" w:right="0"/>
                    <w:rPr>
                      <w:rFonts w:hint="eastAsia" w:eastAsia="宋体"/>
                      <w:lang w:val="en-US" w:eastAsia="zh-CN" w:bidi="ar"/>
                    </w:rPr>
                  </w:pPr>
                  <w:r>
                    <w:rPr>
                      <w:rFonts w:hint="default"/>
                      <w:lang w:bidi="ar"/>
                    </w:rPr>
                    <w:t>初期雨水收集池</w:t>
                  </w:r>
                  <w:r>
                    <w:rPr>
                      <w:rFonts w:hint="eastAsia"/>
                      <w:lang w:eastAsia="zh-CN" w:bidi="ar"/>
                    </w:rPr>
                    <w:t>（</w:t>
                  </w:r>
                  <w:r>
                    <w:rPr>
                      <w:rFonts w:hint="eastAsia"/>
                      <w:lang w:val="en-US" w:eastAsia="zh-CN" w:bidi="ar"/>
                    </w:rPr>
                    <w:t>40m</w:t>
                  </w:r>
                  <w:r>
                    <w:rPr>
                      <w:rFonts w:hint="eastAsia"/>
                      <w:vertAlign w:val="superscript"/>
                      <w:lang w:val="en-US" w:eastAsia="zh-CN" w:bidi="ar"/>
                    </w:rPr>
                    <w:t>3</w:t>
                  </w:r>
                  <w:r>
                    <w:rPr>
                      <w:rFonts w:hint="eastAsia"/>
                      <w:lang w:eastAsia="zh-CN" w:bidi="ar"/>
                    </w:rPr>
                    <w:t>）</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3.0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continue"/>
                  <w:vAlign w:val="center"/>
                </w:tcPr>
                <w:p>
                  <w:pPr>
                    <w:pStyle w:val="69"/>
                    <w:keepNext w:val="0"/>
                    <w:keepLines w:val="0"/>
                    <w:suppressLineNumbers w:val="0"/>
                    <w:spacing w:before="0" w:beforeAutospacing="0" w:after="0" w:afterAutospacing="0"/>
                    <w:ind w:left="0" w:right="0"/>
                    <w:rPr>
                      <w:rFonts w:hint="default" w:cs="宋体"/>
                      <w:lang w:bidi="ar"/>
                    </w:rPr>
                  </w:pPr>
                </w:p>
              </w:tc>
              <w:tc>
                <w:tcPr>
                  <w:tcW w:w="3787" w:type="dxa"/>
                  <w:gridSpan w:val="2"/>
                  <w:vAlign w:val="center"/>
                </w:tcPr>
                <w:p>
                  <w:pPr>
                    <w:pStyle w:val="69"/>
                    <w:keepNext w:val="0"/>
                    <w:keepLines w:val="0"/>
                    <w:suppressLineNumbers w:val="0"/>
                    <w:spacing w:before="0" w:beforeAutospacing="0" w:after="0" w:afterAutospacing="0"/>
                    <w:ind w:left="0" w:right="0"/>
                    <w:rPr>
                      <w:rFonts w:hint="default" w:eastAsia="宋体"/>
                      <w:lang w:val="en-US" w:eastAsia="zh-CN" w:bidi="ar"/>
                    </w:rPr>
                  </w:pPr>
                  <w:r>
                    <w:rPr>
                      <w:rFonts w:hint="eastAsia"/>
                      <w:lang w:val="en-US" w:eastAsia="zh-CN" w:bidi="ar"/>
                    </w:rPr>
                    <w:t>一体化污水处理站（20m</w:t>
                  </w:r>
                  <w:r>
                    <w:rPr>
                      <w:rFonts w:hint="eastAsia"/>
                      <w:vertAlign w:val="superscript"/>
                      <w:lang w:val="en-US" w:eastAsia="zh-CN" w:bidi="ar"/>
                    </w:rPr>
                    <w:t>3</w:t>
                  </w:r>
                  <w:r>
                    <w:rPr>
                      <w:rFonts w:hint="eastAsia"/>
                      <w:lang w:val="en-US" w:eastAsia="zh-CN" w:bidi="ar"/>
                    </w:rPr>
                    <w:t>）</w:t>
                  </w:r>
                </w:p>
              </w:tc>
              <w:tc>
                <w:tcPr>
                  <w:tcW w:w="1135" w:type="dxa"/>
                  <w:vAlign w:val="center"/>
                </w:tcPr>
                <w:p>
                  <w:pPr>
                    <w:pStyle w:val="69"/>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20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声环境</w:t>
                  </w: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eastAsia"/>
                    </w:rPr>
                    <w:t>选用低噪声设备，所有设备均设置在车间内； 切割机、破碎机、压实等噪声设备设置隔声（厂界设置实体围墙）、减振设施；机械设备定期维护保养</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3.0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进场道路及厂内设置限速、禁鸣标志</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0.5</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固体废物</w:t>
                  </w: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eastAsia"/>
                    </w:rPr>
                    <w:t>废油液收集桶5个、废油液密闭收集箱5个</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4.0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一般固废暂存间（</w:t>
                  </w:r>
                  <w:r>
                    <w:rPr>
                      <w:rFonts w:hint="eastAsia"/>
                    </w:rPr>
                    <w:t>150m</w:t>
                  </w:r>
                  <w:r>
                    <w:rPr>
                      <w:rFonts w:hint="eastAsia"/>
                      <w:vertAlign w:val="superscript"/>
                    </w:rPr>
                    <w:t>2</w:t>
                  </w:r>
                  <w:r>
                    <w:rPr>
                      <w:rFonts w:hint="default"/>
                    </w:rPr>
                    <w:t>）</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4.0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危废综合暂存间（</w:t>
                  </w:r>
                  <w:r>
                    <w:rPr>
                      <w:rFonts w:hint="eastAsia"/>
                      <w:lang w:val="en-US" w:eastAsia="zh-CN"/>
                    </w:rPr>
                    <w:t>分为多个区，共497</w:t>
                  </w:r>
                  <w:r>
                    <w:rPr>
                      <w:rFonts w:hint="eastAsia"/>
                    </w:rPr>
                    <w:t>m</w:t>
                  </w:r>
                  <w:r>
                    <w:rPr>
                      <w:rFonts w:hint="eastAsia"/>
                      <w:vertAlign w:val="superscript"/>
                    </w:rPr>
                    <w:t>2</w:t>
                  </w:r>
                  <w:r>
                    <w:rPr>
                      <w:rFonts w:hint="default"/>
                    </w:rPr>
                    <w:t>）</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6.0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垃圾桶若干</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0.2</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地下水环境</w:t>
                  </w:r>
                </w:p>
              </w:tc>
              <w:tc>
                <w:tcPr>
                  <w:tcW w:w="993" w:type="dxa"/>
                  <w:vAlign w:val="center"/>
                </w:tcPr>
                <w:p>
                  <w:pPr>
                    <w:pStyle w:val="69"/>
                    <w:keepNext w:val="0"/>
                    <w:keepLines w:val="0"/>
                    <w:suppressLineNumbers w:val="0"/>
                    <w:spacing w:before="0" w:beforeAutospacing="0" w:after="0" w:afterAutospacing="0"/>
                    <w:ind w:left="0" w:right="0"/>
                    <w:rPr>
                      <w:rFonts w:hint="default"/>
                    </w:rPr>
                  </w:pPr>
                  <w:r>
                    <w:rPr>
                      <w:rFonts w:hint="default"/>
                    </w:rPr>
                    <w:t>重点防渗区</w:t>
                  </w:r>
                </w:p>
              </w:tc>
              <w:tc>
                <w:tcPr>
                  <w:tcW w:w="2794" w:type="dxa"/>
                  <w:vAlign w:val="center"/>
                </w:tcPr>
                <w:p>
                  <w:pPr>
                    <w:pStyle w:val="69"/>
                    <w:keepNext w:val="0"/>
                    <w:keepLines w:val="0"/>
                    <w:suppressLineNumbers w:val="0"/>
                    <w:spacing w:before="0" w:beforeAutospacing="0" w:after="0" w:afterAutospacing="0"/>
                    <w:ind w:left="0" w:right="0"/>
                    <w:rPr>
                      <w:rFonts w:hint="default"/>
                    </w:rPr>
                  </w:pPr>
                  <w:r>
                    <w:rPr>
                      <w:rFonts w:hint="default"/>
                    </w:rPr>
                    <w:t>拆解车间、隔油池、危废暂存间等重点防渗区；</w:t>
                  </w:r>
                  <w:r>
                    <w:rPr>
                      <w:rFonts w:hint="eastAsia"/>
                    </w:rPr>
                    <w:t>防渗效果达到等效黏土防渗层Mb≥6.0m，K≤1×10</w:t>
                  </w:r>
                  <w:r>
                    <w:rPr>
                      <w:rFonts w:hint="eastAsia"/>
                      <w:vertAlign w:val="superscript"/>
                    </w:rPr>
                    <w:t>-10</w:t>
                  </w:r>
                  <w:r>
                    <w:rPr>
                      <w:rFonts w:hint="eastAsia"/>
                    </w:rPr>
                    <w:t>cm/s。</w:t>
                  </w:r>
                </w:p>
              </w:tc>
              <w:tc>
                <w:tcPr>
                  <w:tcW w:w="1135"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eastAsia"/>
                    </w:rPr>
                    <w:t>30.0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993" w:type="dxa"/>
                  <w:vAlign w:val="center"/>
                </w:tcPr>
                <w:p>
                  <w:pPr>
                    <w:pStyle w:val="69"/>
                    <w:keepNext w:val="0"/>
                    <w:keepLines w:val="0"/>
                    <w:suppressLineNumbers w:val="0"/>
                    <w:spacing w:before="0" w:beforeAutospacing="0" w:after="0" w:afterAutospacing="0"/>
                    <w:ind w:left="0" w:right="0"/>
                    <w:rPr>
                      <w:rFonts w:hint="default"/>
                    </w:rPr>
                  </w:pPr>
                  <w:r>
                    <w:rPr>
                      <w:rFonts w:hint="default"/>
                    </w:rPr>
                    <w:t>一般防渗区</w:t>
                  </w:r>
                </w:p>
              </w:tc>
              <w:tc>
                <w:tcPr>
                  <w:tcW w:w="2794" w:type="dxa"/>
                  <w:vAlign w:val="center"/>
                </w:tcPr>
                <w:p>
                  <w:pPr>
                    <w:pStyle w:val="69"/>
                    <w:keepNext w:val="0"/>
                    <w:keepLines w:val="0"/>
                    <w:suppressLineNumbers w:val="0"/>
                    <w:spacing w:before="0" w:beforeAutospacing="0" w:after="0" w:afterAutospacing="0"/>
                    <w:ind w:left="0" w:right="0"/>
                    <w:rPr>
                      <w:rFonts w:hint="default"/>
                    </w:rPr>
                  </w:pPr>
                  <w:r>
                    <w:rPr>
                      <w:rFonts w:hint="default"/>
                    </w:rPr>
                    <w:t>车辆停车场为一般防渗区；</w:t>
                  </w:r>
                  <w:r>
                    <w:rPr>
                      <w:rFonts w:hint="eastAsia"/>
                    </w:rPr>
                    <w:t>防渗措施为铺设防渗层，Mb≥1.5m，渗透系数≤1.0×10</w:t>
                  </w:r>
                  <w:r>
                    <w:rPr>
                      <w:rFonts w:hint="eastAsia"/>
                      <w:vertAlign w:val="superscript"/>
                    </w:rPr>
                    <w:t>-7</w:t>
                  </w:r>
                  <w:r>
                    <w:rPr>
                      <w:rFonts w:hint="eastAsia"/>
                    </w:rPr>
                    <w:t>cm/s</w:t>
                  </w:r>
                </w:p>
              </w:tc>
              <w:tc>
                <w:tcPr>
                  <w:tcW w:w="113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环境风险</w:t>
                  </w: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eastAsia"/>
                    </w:rPr>
                    <w:t>1个消防水池（1</w:t>
                  </w:r>
                  <w:r>
                    <w:rPr>
                      <w:rFonts w:hint="eastAsia"/>
                      <w:lang w:val="en-US" w:eastAsia="zh-CN"/>
                    </w:rPr>
                    <w:t>60</w:t>
                  </w:r>
                  <w:r>
                    <w:rPr>
                      <w:rFonts w:hint="eastAsia"/>
                    </w:rPr>
                    <w:t>m</w:t>
                  </w:r>
                  <w:r>
                    <w:rPr>
                      <w:rFonts w:hint="eastAsia"/>
                      <w:vertAlign w:val="superscript"/>
                    </w:rPr>
                    <w:t>2</w:t>
                  </w:r>
                  <w:r>
                    <w:rPr>
                      <w:rFonts w:hint="eastAsia"/>
                    </w:rPr>
                    <w:t>）</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3.0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90"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681" w:type="dxa"/>
                  <w:vAlign w:val="center"/>
                </w:tcPr>
                <w:p>
                  <w:pPr>
                    <w:pStyle w:val="69"/>
                    <w:keepNext w:val="0"/>
                    <w:keepLines w:val="0"/>
                    <w:suppressLineNumbers w:val="0"/>
                    <w:spacing w:before="0" w:beforeAutospacing="0" w:after="0" w:afterAutospacing="0"/>
                    <w:ind w:left="0" w:right="0"/>
                    <w:rPr>
                      <w:rFonts w:hint="default"/>
                    </w:rPr>
                  </w:pPr>
                  <w:r>
                    <w:rPr>
                      <w:rFonts w:hint="default"/>
                    </w:rPr>
                    <w:t>其他</w:t>
                  </w:r>
                </w:p>
              </w:tc>
              <w:tc>
                <w:tcPr>
                  <w:tcW w:w="3787" w:type="dxa"/>
                  <w:gridSpan w:val="2"/>
                  <w:vAlign w:val="center"/>
                </w:tcPr>
                <w:p>
                  <w:pPr>
                    <w:pStyle w:val="69"/>
                    <w:keepNext w:val="0"/>
                    <w:keepLines w:val="0"/>
                    <w:suppressLineNumbers w:val="0"/>
                    <w:spacing w:before="0" w:beforeAutospacing="0" w:after="0" w:afterAutospacing="0"/>
                    <w:ind w:left="0" w:right="0"/>
                    <w:rPr>
                      <w:rFonts w:hint="default"/>
                    </w:rPr>
                  </w:pPr>
                  <w:r>
                    <w:rPr>
                      <w:rFonts w:hint="default"/>
                    </w:rPr>
                    <w:t>环境管理、监测</w:t>
                  </w:r>
                </w:p>
              </w:tc>
              <w:tc>
                <w:tcPr>
                  <w:tcW w:w="1135" w:type="dxa"/>
                  <w:vAlign w:val="center"/>
                </w:tcPr>
                <w:p>
                  <w:pPr>
                    <w:pStyle w:val="69"/>
                    <w:keepNext w:val="0"/>
                    <w:keepLines w:val="0"/>
                    <w:suppressLineNumbers w:val="0"/>
                    <w:spacing w:before="0" w:beforeAutospacing="0" w:after="0" w:afterAutospacing="0"/>
                    <w:ind w:left="0" w:right="0"/>
                    <w:rPr>
                      <w:rFonts w:hint="default"/>
                    </w:rPr>
                  </w:pPr>
                  <w:r>
                    <w:rPr>
                      <w:rFonts w:hint="eastAsia"/>
                    </w:rPr>
                    <w:t>10</w:t>
                  </w:r>
                </w:p>
              </w:tc>
              <w:tc>
                <w:tcPr>
                  <w:tcW w:w="1081" w:type="dxa"/>
                  <w:vAlign w:val="center"/>
                </w:tcPr>
                <w:p>
                  <w:pPr>
                    <w:pStyle w:val="69"/>
                    <w:keepNext w:val="0"/>
                    <w:keepLines w:val="0"/>
                    <w:suppressLineNumbers w:val="0"/>
                    <w:spacing w:before="0" w:beforeAutospacing="0" w:after="0" w:afterAutospacing="0"/>
                    <w:ind w:left="0" w:right="0"/>
                    <w:rPr>
                      <w:rFonts w:hint="default"/>
                    </w:rPr>
                  </w:pPr>
                  <w:r>
                    <w:rPr>
                      <w:rFonts w:hint="default"/>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6158" w:type="dxa"/>
                  <w:gridSpan w:val="4"/>
                  <w:vAlign w:val="center"/>
                </w:tcPr>
                <w:p>
                  <w:pPr>
                    <w:pStyle w:val="69"/>
                    <w:keepNext w:val="0"/>
                    <w:keepLines w:val="0"/>
                    <w:suppressLineNumbers w:val="0"/>
                    <w:spacing w:before="0" w:beforeAutospacing="0" w:after="0" w:afterAutospacing="0"/>
                    <w:ind w:left="0" w:right="0"/>
                    <w:rPr>
                      <w:rFonts w:hint="default"/>
                    </w:rPr>
                  </w:pPr>
                  <w:r>
                    <w:rPr>
                      <w:rFonts w:hint="default"/>
                    </w:rPr>
                    <w:t>合计</w:t>
                  </w:r>
                </w:p>
              </w:tc>
              <w:tc>
                <w:tcPr>
                  <w:tcW w:w="1135" w:type="dxa"/>
                  <w:vAlign w:val="center"/>
                </w:tcPr>
                <w:p>
                  <w:pPr>
                    <w:pStyle w:val="69"/>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98.9</w:t>
                  </w:r>
                </w:p>
              </w:tc>
              <w:tc>
                <w:tcPr>
                  <w:tcW w:w="1081" w:type="dxa"/>
                  <w:vAlign w:val="center"/>
                </w:tcPr>
                <w:p>
                  <w:pPr>
                    <w:pStyle w:val="69"/>
                    <w:keepNext w:val="0"/>
                    <w:keepLines w:val="0"/>
                    <w:suppressLineNumbers w:val="0"/>
                    <w:spacing w:before="0" w:beforeAutospacing="0" w:after="0" w:afterAutospacing="0"/>
                    <w:ind w:left="0" w:right="0"/>
                    <w:rPr>
                      <w:rFonts w:hint="default"/>
                    </w:rPr>
                  </w:pPr>
                </w:p>
              </w:tc>
            </w:tr>
          </w:tbl>
          <w:p>
            <w:pPr>
              <w:pStyle w:val="51"/>
              <w:keepNext w:val="0"/>
              <w:keepLines w:val="0"/>
              <w:suppressLineNumbers w:val="0"/>
              <w:spacing w:before="0" w:beforeAutospacing="0" w:after="0" w:afterAutospacing="0"/>
              <w:ind w:left="0" w:right="0" w:firstLine="480"/>
              <w:rPr>
                <w:rFonts w:hint="default"/>
              </w:rPr>
            </w:pPr>
          </w:p>
          <w:p>
            <w:pPr>
              <w:pStyle w:val="51"/>
              <w:keepNext w:val="0"/>
              <w:keepLines w:val="0"/>
              <w:suppressLineNumbers w:val="0"/>
              <w:spacing w:before="0" w:beforeAutospacing="0" w:after="0" w:afterAutospacing="0"/>
              <w:ind w:left="0" w:right="0" w:firstLine="480"/>
              <w:rPr>
                <w:rFonts w:hint="default"/>
              </w:rPr>
            </w:pPr>
            <w:r>
              <w:rPr>
                <w:rFonts w:hint="eastAsia"/>
              </w:rPr>
              <w:t>8、厂区总平面布置图</w:t>
            </w:r>
          </w:p>
          <w:p>
            <w:pPr>
              <w:pStyle w:val="51"/>
              <w:keepNext w:val="0"/>
              <w:keepLines w:val="0"/>
              <w:suppressLineNumbers w:val="0"/>
              <w:spacing w:before="0" w:beforeAutospacing="0" w:after="0" w:afterAutospacing="0"/>
              <w:ind w:left="0" w:right="0" w:firstLine="480"/>
              <w:rPr>
                <w:rFonts w:hint="default"/>
              </w:rPr>
            </w:pPr>
            <w:r>
              <w:rPr>
                <w:rFonts w:hint="eastAsia"/>
              </w:rPr>
              <w:t>根据项目平面布置图可知，项目区进出口位于项目</w:t>
            </w:r>
            <w:r>
              <w:rPr>
                <w:rFonts w:hint="eastAsia"/>
                <w:lang w:val="en-US" w:eastAsia="zh-CN"/>
              </w:rPr>
              <w:t>西</w:t>
            </w:r>
            <w:r>
              <w:rPr>
                <w:rFonts w:hint="eastAsia"/>
              </w:rPr>
              <w:t>侧，紧邻乡村道路，办公楼位于项目区</w:t>
            </w:r>
            <w:r>
              <w:rPr>
                <w:rFonts w:hint="eastAsia"/>
                <w:lang w:val="en-US" w:eastAsia="zh-CN"/>
              </w:rPr>
              <w:t>西</w:t>
            </w:r>
            <w:r>
              <w:rPr>
                <w:rFonts w:hint="eastAsia"/>
              </w:rPr>
              <w:t>侧，拆解区位于项目</w:t>
            </w:r>
            <w:r>
              <w:rPr>
                <w:rFonts w:hint="eastAsia"/>
                <w:lang w:val="en-US" w:eastAsia="zh-CN"/>
              </w:rPr>
              <w:t>东侧</w:t>
            </w:r>
            <w:r>
              <w:rPr>
                <w:rFonts w:hint="eastAsia"/>
              </w:rPr>
              <w:t>，报废车停车场位于项目</w:t>
            </w:r>
            <w:r>
              <w:rPr>
                <w:rFonts w:hint="eastAsia"/>
                <w:lang w:val="en-US" w:eastAsia="zh-CN"/>
              </w:rPr>
              <w:t>区中部</w:t>
            </w:r>
            <w:r>
              <w:rPr>
                <w:rFonts w:hint="eastAsia"/>
              </w:rPr>
              <w:t>，仓库位于车间南侧，详见项目区平面布置图。</w:t>
            </w:r>
          </w:p>
          <w:p>
            <w:pPr>
              <w:pStyle w:val="51"/>
              <w:keepNext w:val="0"/>
              <w:keepLines w:val="0"/>
              <w:suppressLineNumbers w:val="0"/>
              <w:spacing w:before="0" w:beforeAutospacing="0" w:after="0" w:afterAutospacing="0"/>
              <w:ind w:left="0" w:right="0" w:firstLine="48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61" w:type="dxa"/>
            <w:vAlign w:val="center"/>
          </w:tcPr>
          <w:p>
            <w:pPr>
              <w:pStyle w:val="69"/>
              <w:keepNext w:val="0"/>
              <w:keepLines w:val="0"/>
              <w:suppressLineNumbers w:val="0"/>
              <w:spacing w:before="0" w:beforeAutospacing="0" w:after="0" w:afterAutospacing="0"/>
              <w:ind w:left="0" w:right="0"/>
              <w:rPr>
                <w:rFonts w:hint="default"/>
              </w:rPr>
            </w:pPr>
            <w:r>
              <w:rPr>
                <w:rFonts w:hint="default"/>
                <w:sz w:val="24"/>
                <w:szCs w:val="24"/>
              </w:rPr>
              <w:t>工艺流程和产排污环节</w:t>
            </w:r>
          </w:p>
        </w:tc>
        <w:tc>
          <w:tcPr>
            <w:tcW w:w="8599" w:type="dxa"/>
          </w:tcPr>
          <w:p>
            <w:pPr>
              <w:pStyle w:val="51"/>
              <w:keepNext w:val="0"/>
              <w:keepLines w:val="0"/>
              <w:suppressLineNumbers w:val="0"/>
              <w:spacing w:before="0" w:beforeAutospacing="0" w:after="0" w:afterAutospacing="0"/>
              <w:ind w:left="0" w:right="0" w:firstLine="482"/>
              <w:rPr>
                <w:rFonts w:hint="default"/>
                <w:b/>
              </w:rPr>
            </w:pPr>
            <w:r>
              <w:rPr>
                <w:rFonts w:hint="default"/>
                <w:b/>
              </w:rPr>
              <w:t>一、施工期</w:t>
            </w:r>
          </w:p>
          <w:p>
            <w:pPr>
              <w:pStyle w:val="51"/>
              <w:keepNext w:val="0"/>
              <w:keepLines w:val="0"/>
              <w:suppressLineNumbers w:val="0"/>
              <w:spacing w:before="0" w:beforeAutospacing="0" w:after="0" w:afterAutospacing="0"/>
              <w:ind w:left="0" w:right="0" w:firstLine="480"/>
              <w:rPr>
                <w:rFonts w:hint="default"/>
              </w:rPr>
            </w:pPr>
            <w:r>
              <w:rPr>
                <w:rFonts w:hint="default"/>
              </w:rPr>
              <w:t>1、施工期工艺流程</w:t>
            </w:r>
          </w:p>
          <w:p>
            <w:pPr>
              <w:pStyle w:val="51"/>
              <w:keepNext w:val="0"/>
              <w:keepLines w:val="0"/>
              <w:suppressLineNumbers w:val="0"/>
              <w:spacing w:before="0" w:beforeAutospacing="0" w:after="0" w:afterAutospacing="0"/>
              <w:ind w:left="0" w:right="0" w:firstLine="480"/>
              <w:rPr>
                <w:rFonts w:hint="default"/>
              </w:rPr>
            </w:pPr>
            <w:r>
              <w:rPr>
                <w:rFonts w:hint="eastAsia"/>
              </w:rPr>
              <w:t>本项目的施工期主要指生产车间、厂房、综合楼等建设及设备安装阶段，具体包括：基础开挖、场地平整、基础工程、主体建筑及配套设施建设、硬化、防渗处理、设备安装调试等。</w:t>
            </w:r>
          </w:p>
          <w:p>
            <w:pPr>
              <w:pStyle w:val="8"/>
              <w:keepNext w:val="0"/>
              <w:keepLines w:val="0"/>
              <w:suppressLineNumbers w:val="0"/>
              <w:spacing w:before="0" w:beforeAutospacing="0" w:after="0" w:afterAutospacing="0"/>
              <w:ind w:left="0" w:right="0" w:firstLine="0" w:firstLineChars="0"/>
              <w:rPr>
                <w:rFonts w:hint="default"/>
              </w:rPr>
            </w:pPr>
            <w:r>
              <w:rPr>
                <w:rFonts w:hint="default"/>
              </w:rPr>
              <w:drawing>
                <wp:inline distT="0" distB="0" distL="0" distR="0">
                  <wp:extent cx="5299075" cy="1476375"/>
                  <wp:effectExtent l="0" t="0" r="0" b="9525"/>
                  <wp:docPr id="5" name="图片 5" descr="C:\Users\ADMINI~1\AppData\Local\Temp\16499204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164992048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3591" cy="1480837"/>
                          </a:xfrm>
                          <a:prstGeom prst="rect">
                            <a:avLst/>
                          </a:prstGeom>
                          <a:noFill/>
                          <a:ln>
                            <a:noFill/>
                          </a:ln>
                        </pic:spPr>
                      </pic:pic>
                    </a:graphicData>
                  </a:graphic>
                </wp:inline>
              </w:drawing>
            </w:r>
          </w:p>
          <w:p>
            <w:pPr>
              <w:pStyle w:val="76"/>
              <w:keepNext w:val="0"/>
              <w:keepLines w:val="0"/>
              <w:suppressLineNumbers w:val="0"/>
              <w:spacing w:before="0" w:beforeAutospacing="0" w:after="0" w:afterAutospacing="0"/>
              <w:ind w:left="0" w:right="0"/>
              <w:rPr>
                <w:rFonts w:hint="default"/>
              </w:rPr>
            </w:pPr>
            <w:r>
              <w:rPr>
                <w:rFonts w:hint="default"/>
              </w:rPr>
              <w:t>图2-</w:t>
            </w:r>
            <w:r>
              <w:rPr>
                <w:rFonts w:hint="eastAsia"/>
              </w:rPr>
              <w:t>1</w:t>
            </w:r>
            <w:r>
              <w:rPr>
                <w:rFonts w:hint="default"/>
              </w:rPr>
              <w:t xml:space="preserve"> </w:t>
            </w:r>
            <w:r>
              <w:rPr>
                <w:rFonts w:hint="eastAsia"/>
              </w:rPr>
              <w:t xml:space="preserve">  </w:t>
            </w:r>
            <w:r>
              <w:rPr>
                <w:rFonts w:hint="default"/>
              </w:rPr>
              <w:t>施工期工艺流程及产污环节图</w:t>
            </w:r>
          </w:p>
          <w:p>
            <w:pPr>
              <w:pStyle w:val="49"/>
              <w:keepNext w:val="0"/>
              <w:keepLines w:val="0"/>
              <w:suppressLineNumbers w:val="0"/>
              <w:spacing w:before="0" w:beforeAutospacing="0" w:after="0" w:afterAutospacing="0"/>
              <w:ind w:left="0" w:right="0"/>
              <w:rPr>
                <w:rFonts w:hint="default"/>
              </w:rPr>
            </w:pPr>
            <w:r>
              <w:rPr>
                <w:rFonts w:hint="eastAsia"/>
              </w:rPr>
              <w:t>2、施工进度</w:t>
            </w:r>
          </w:p>
          <w:p>
            <w:pPr>
              <w:pStyle w:val="49"/>
              <w:keepNext w:val="0"/>
              <w:keepLines w:val="0"/>
              <w:suppressLineNumbers w:val="0"/>
              <w:spacing w:before="0" w:beforeAutospacing="0" w:after="0" w:afterAutospacing="0"/>
              <w:ind w:left="0" w:right="0"/>
              <w:rPr>
                <w:rFonts w:hint="default"/>
              </w:rPr>
            </w:pPr>
            <w:r>
              <w:rPr>
                <w:rFonts w:hint="eastAsia"/>
              </w:rPr>
              <w:t>项目工程拟于202</w:t>
            </w:r>
            <w:r>
              <w:rPr>
                <w:rFonts w:hint="eastAsia"/>
                <w:lang w:val="en-US" w:eastAsia="zh-CN"/>
              </w:rPr>
              <w:t>3</w:t>
            </w:r>
            <w:r>
              <w:rPr>
                <w:rFonts w:hint="eastAsia"/>
              </w:rPr>
              <w:t>年</w:t>
            </w:r>
            <w:r>
              <w:rPr>
                <w:rFonts w:hint="eastAsia"/>
                <w:lang w:val="en-US" w:eastAsia="zh-CN"/>
              </w:rPr>
              <w:t>1</w:t>
            </w:r>
            <w:r>
              <w:rPr>
                <w:rFonts w:hint="eastAsia"/>
              </w:rPr>
              <w:t>月开始施工建设，截止到202</w:t>
            </w:r>
            <w:r>
              <w:rPr>
                <w:rFonts w:hint="eastAsia"/>
                <w:lang w:val="en-US" w:eastAsia="zh-CN"/>
              </w:rPr>
              <w:t>3</w:t>
            </w:r>
            <w:r>
              <w:rPr>
                <w:rFonts w:hint="eastAsia"/>
              </w:rPr>
              <w:t>年12月，建设工期</w:t>
            </w:r>
            <w:r>
              <w:rPr>
                <w:rFonts w:hint="eastAsia"/>
                <w:lang w:val="en-US" w:eastAsia="zh-CN"/>
              </w:rPr>
              <w:t>12</w:t>
            </w:r>
            <w:r>
              <w:rPr>
                <w:rFonts w:hint="eastAsia"/>
              </w:rPr>
              <w:t xml:space="preserve"> 个月，预计 202</w:t>
            </w:r>
            <w:r>
              <w:rPr>
                <w:rFonts w:hint="eastAsia"/>
                <w:lang w:val="en-US" w:eastAsia="zh-CN"/>
              </w:rPr>
              <w:t>4</w:t>
            </w:r>
            <w:r>
              <w:rPr>
                <w:rFonts w:hint="eastAsia"/>
              </w:rPr>
              <w:t>年1月投产。</w:t>
            </w:r>
          </w:p>
          <w:p>
            <w:pPr>
              <w:keepNext/>
              <w:keepLines/>
              <w:suppressLineNumbers w:val="0"/>
              <w:spacing w:before="0" w:beforeAutospacing="0" w:after="0" w:afterAutospacing="0"/>
              <w:ind w:left="0" w:right="0" w:firstLine="480"/>
              <w:jc w:val="left"/>
              <w:rPr>
                <w:rFonts w:hint="default"/>
              </w:rPr>
            </w:pPr>
            <w:r>
              <w:rPr>
                <w:rFonts w:hint="eastAsia"/>
              </w:rPr>
              <w:t>3、施工工艺</w:t>
            </w:r>
          </w:p>
          <w:p>
            <w:pPr>
              <w:keepNext/>
              <w:keepLines/>
              <w:suppressLineNumbers w:val="0"/>
              <w:spacing w:before="0" w:beforeAutospacing="0" w:after="0" w:afterAutospacing="0"/>
              <w:ind w:left="0" w:right="0" w:firstLine="480"/>
              <w:jc w:val="left"/>
              <w:rPr>
                <w:rFonts w:hint="default"/>
              </w:rPr>
            </w:pPr>
            <w:r>
              <w:rPr>
                <w:rFonts w:hint="eastAsia"/>
              </w:rPr>
              <w:t>施工工艺过程分为场地平整、基础压实、主体建筑及配套设施土建施工、道路绿化等公共设施建设及室内外装修、设备安装。</w:t>
            </w:r>
          </w:p>
          <w:p>
            <w:pPr>
              <w:pStyle w:val="85"/>
              <w:keepNext/>
              <w:keepLines/>
              <w:numPr>
                <w:ilvl w:val="0"/>
                <w:numId w:val="1"/>
              </w:numPr>
              <w:suppressLineNumbers w:val="0"/>
              <w:spacing w:before="0" w:beforeAutospacing="0" w:after="0" w:afterAutospacing="0"/>
              <w:ind w:left="0" w:right="0" w:firstLine="480"/>
              <w:jc w:val="left"/>
              <w:rPr>
                <w:rFonts w:hint="default"/>
              </w:rPr>
            </w:pPr>
            <w:r>
              <w:rPr>
                <w:rFonts w:hint="eastAsia"/>
              </w:rPr>
              <w:t>场地平整：场地平整采用挖掘机、铲车、推土机、自卸汽车、振动碾、压路机等机械施工方式，配合人工局部平整，表土剥离临时堆存于项目区内，作为场地填平。项目不产生永久弃渣。场地平整主要是清理场地内原有植物和杂物，进行初步平整及压实，场地平整阶段开挖土石方全部用于项目区回填，无弃土弃渣产生。</w:t>
            </w:r>
          </w:p>
          <w:p>
            <w:pPr>
              <w:keepNext/>
              <w:keepLines/>
              <w:suppressLineNumbers w:val="0"/>
              <w:spacing w:before="0" w:beforeAutospacing="0" w:after="0" w:afterAutospacing="0"/>
              <w:ind w:left="0" w:right="0" w:firstLine="480"/>
              <w:jc w:val="left"/>
              <w:rPr>
                <w:rFonts w:hint="default"/>
              </w:rPr>
            </w:pPr>
            <w:r>
              <w:rPr>
                <w:rFonts w:hint="eastAsia"/>
              </w:rPr>
              <w:t>②道路：项目道路设计路宽6m，采用混凝土结构。</w:t>
            </w:r>
          </w:p>
          <w:p>
            <w:pPr>
              <w:keepNext/>
              <w:keepLines/>
              <w:suppressLineNumbers w:val="0"/>
              <w:spacing w:before="0" w:beforeAutospacing="0" w:after="0" w:afterAutospacing="0"/>
              <w:ind w:left="0" w:right="0" w:firstLine="480"/>
              <w:jc w:val="left"/>
              <w:rPr>
                <w:rFonts w:hint="default"/>
              </w:rPr>
            </w:pPr>
            <w:r>
              <w:rPr>
                <w:rFonts w:hint="eastAsia"/>
              </w:rPr>
              <w:t>③挡护工程：人工进行砌筑。</w:t>
            </w:r>
          </w:p>
          <w:p>
            <w:pPr>
              <w:keepNext/>
              <w:keepLines/>
              <w:suppressLineNumbers w:val="0"/>
              <w:spacing w:before="0" w:beforeAutospacing="0" w:after="0" w:afterAutospacing="0"/>
              <w:ind w:left="0" w:right="0" w:firstLine="480"/>
              <w:jc w:val="left"/>
              <w:rPr>
                <w:rFonts w:hint="default"/>
              </w:rPr>
            </w:pPr>
            <w:r>
              <w:rPr>
                <w:rFonts w:hint="eastAsia"/>
              </w:rPr>
              <w:t>④填方工程：汽车运输，机械碾压。</w:t>
            </w:r>
          </w:p>
          <w:p>
            <w:pPr>
              <w:pStyle w:val="49"/>
              <w:keepNext w:val="0"/>
              <w:keepLines w:val="0"/>
              <w:suppressLineNumbers w:val="0"/>
              <w:spacing w:before="0" w:beforeAutospacing="0" w:after="0" w:afterAutospacing="0"/>
              <w:ind w:left="0" w:right="0"/>
              <w:rPr>
                <w:rFonts w:hint="default"/>
              </w:rPr>
            </w:pPr>
            <w:r>
              <w:rPr>
                <w:rFonts w:hint="eastAsia"/>
              </w:rPr>
              <w:t>⑤地面防渗处理：对生产区、收集沟、雨水收集池、隔油池、危废综合暂存间等进行地面防渗处理。</w:t>
            </w:r>
          </w:p>
          <w:p>
            <w:pPr>
              <w:pStyle w:val="49"/>
              <w:keepNext w:val="0"/>
              <w:keepLines w:val="0"/>
              <w:suppressLineNumbers w:val="0"/>
              <w:spacing w:before="0" w:beforeAutospacing="0" w:after="0" w:afterAutospacing="0"/>
              <w:ind w:left="0" w:right="0"/>
              <w:rPr>
                <w:rFonts w:hint="default"/>
              </w:rPr>
            </w:pPr>
            <w:r>
              <w:rPr>
                <w:rFonts w:hint="eastAsia"/>
              </w:rPr>
              <w:t>⑥对车辆接待区、报废车辆存放区、拆解加工车间、拆解材料存放区、危废综合暂存间等区域设置彩钢棚顶。</w:t>
            </w:r>
          </w:p>
          <w:p>
            <w:pPr>
              <w:pStyle w:val="49"/>
              <w:keepNext w:val="0"/>
              <w:keepLines w:val="0"/>
              <w:suppressLineNumbers w:val="0"/>
              <w:spacing w:before="0" w:beforeAutospacing="0" w:after="0" w:afterAutospacing="0"/>
              <w:ind w:left="0" w:right="0"/>
              <w:rPr>
                <w:rFonts w:hint="default"/>
              </w:rPr>
            </w:pPr>
            <w:r>
              <w:rPr>
                <w:rFonts w:hint="eastAsia"/>
              </w:rPr>
              <w:t>⑦完成设备的安装及调试。</w:t>
            </w:r>
          </w:p>
          <w:p>
            <w:pPr>
              <w:pStyle w:val="49"/>
              <w:keepNext w:val="0"/>
              <w:keepLines w:val="0"/>
              <w:suppressLineNumbers w:val="0"/>
              <w:spacing w:before="0" w:beforeAutospacing="0" w:after="0" w:afterAutospacing="0"/>
              <w:ind w:left="0" w:right="0" w:firstLine="482"/>
              <w:rPr>
                <w:rFonts w:hint="default"/>
                <w:b/>
              </w:rPr>
            </w:pPr>
            <w:r>
              <w:rPr>
                <w:rFonts w:hint="default"/>
                <w:b/>
              </w:rPr>
              <w:t>二、运营期</w:t>
            </w:r>
          </w:p>
          <w:p>
            <w:pPr>
              <w:pStyle w:val="49"/>
              <w:keepNext w:val="0"/>
              <w:keepLines w:val="0"/>
              <w:suppressLineNumbers w:val="0"/>
              <w:spacing w:before="0" w:beforeAutospacing="0" w:after="0" w:afterAutospacing="0"/>
              <w:ind w:left="0" w:right="0"/>
              <w:rPr>
                <w:rFonts w:hint="default"/>
              </w:rPr>
            </w:pPr>
            <w:r>
              <w:rPr>
                <w:rFonts w:hint="eastAsia"/>
              </w:rPr>
              <w:t>本项目回收拆解的报废汽车车型虽然不同，但各车辆均由几种主要的部件组成，本项目严格按照《汽车产品回收利用技术政策》、《报废机动车拆解环境保护技术规范》等规定要求，报废汽车拆解可分为两个层次，第一层次拆解是从车上直接拆解部件；第二层次拆解是对拆卸下来的部件进行更细致的拆解。本项目不对蓄电池和含多氯联苯的废电容器进行第二层次的拆解，对拆解下来后经检查可回用的零件不进行清洗，直接销售。报废汽车在拆解过程中遵循由上到下、由表到里、由附件到主机，先由整车拆成总成，由总成拆成部件，再由部件拆成零件的原则，同时遵循环保和循环利用的原则，在汽车拆解前培训员工掌握《汽车拆解指导手册》，按照《手册》步骤进行拆解，主要工艺流程及排污节点图具体见下如：</w:t>
            </w:r>
          </w:p>
          <w:p>
            <w:pPr>
              <w:pStyle w:val="69"/>
              <w:keepNext w:val="0"/>
              <w:keepLines w:val="0"/>
              <w:suppressLineNumbers w:val="0"/>
              <w:spacing w:before="0" w:beforeAutospacing="0" w:after="0" w:afterAutospacing="0"/>
              <w:ind w:left="0" w:right="0"/>
              <w:rPr>
                <w:rFonts w:hint="default"/>
              </w:rPr>
            </w:pPr>
            <w:r>
              <w:rPr>
                <w:rFonts w:hint="default"/>
              </w:rPr>
              <w:object>
                <v:shape id="_x0000_i1025" o:spt="75" type="#_x0000_t75" style="height:585.5pt;width:419.75pt;" o:ole="t" filled="f" o:preferrelative="t" stroked="f" coordsize="21600,21600">
                  <v:path/>
                  <v:fill on="f" focussize="0,0"/>
                  <v:stroke on="f" joinstyle="miter"/>
                  <v:imagedata r:id="rId15" o:title=""/>
                  <o:lock v:ext="edit" aspectratio="t"/>
                  <w10:wrap type="none"/>
                  <w10:anchorlock/>
                </v:shape>
                <o:OLEObject Type="Embed" ProgID="Visio.Drawing.11" ShapeID="_x0000_i1025" DrawAspect="Content" ObjectID="_1468075725" r:id="rId14">
                  <o:LockedField>false</o:LockedField>
                </o:OLEObject>
              </w:object>
            </w:r>
          </w:p>
          <w:p>
            <w:pPr>
              <w:pStyle w:val="76"/>
              <w:keepNext w:val="0"/>
              <w:keepLines w:val="0"/>
              <w:suppressLineNumbers w:val="0"/>
              <w:spacing w:before="0" w:beforeAutospacing="0" w:after="0" w:afterAutospacing="0"/>
              <w:ind w:left="0" w:right="0"/>
              <w:rPr>
                <w:rFonts w:hint="default"/>
              </w:rPr>
            </w:pPr>
            <w:r>
              <w:rPr>
                <w:rFonts w:hint="eastAsia"/>
              </w:rPr>
              <w:t>图2-2   工艺流程图及产污节点图</w:t>
            </w:r>
          </w:p>
          <w:p>
            <w:pPr>
              <w:pStyle w:val="78"/>
              <w:keepNext w:val="0"/>
              <w:keepLines w:val="0"/>
              <w:suppressLineNumbers w:val="0"/>
              <w:adjustRightInd/>
              <w:snapToGrid/>
              <w:spacing w:before="0" w:beforeAutospacing="0" w:after="0" w:afterAutospacing="0" w:line="360" w:lineRule="auto"/>
              <w:ind w:left="0" w:right="0" w:firstLine="482"/>
              <w:rPr>
                <w:rFonts w:hint="default"/>
                <w:szCs w:val="24"/>
              </w:rPr>
            </w:pPr>
            <w:r>
              <w:rPr>
                <w:rFonts w:hint="eastAsia"/>
                <w:b/>
                <w:bCs/>
                <w:szCs w:val="24"/>
              </w:rPr>
              <w:t>1、</w:t>
            </w:r>
            <w:r>
              <w:rPr>
                <w:rFonts w:hint="default"/>
                <w:b/>
                <w:bCs/>
                <w:szCs w:val="24"/>
              </w:rPr>
              <w:t>生产工艺流程简述</w:t>
            </w:r>
            <w:r>
              <w:rPr>
                <w:rFonts w:hint="default"/>
                <w:szCs w:val="24"/>
              </w:rPr>
              <w:t>：</w:t>
            </w:r>
          </w:p>
          <w:p>
            <w:pPr>
              <w:pStyle w:val="78"/>
              <w:keepNext w:val="0"/>
              <w:keepLines w:val="0"/>
              <w:suppressLineNumbers w:val="0"/>
              <w:adjustRightInd/>
              <w:snapToGrid/>
              <w:spacing w:before="0" w:beforeAutospacing="0" w:after="0" w:afterAutospacing="0" w:line="360" w:lineRule="auto"/>
              <w:ind w:left="0" w:right="0" w:firstLine="480"/>
              <w:rPr>
                <w:rFonts w:hint="default"/>
                <w:szCs w:val="24"/>
              </w:rPr>
            </w:pPr>
            <w:r>
              <w:rPr>
                <w:rFonts w:hint="eastAsia"/>
                <w:szCs w:val="24"/>
              </w:rPr>
              <w:t>（1）报废汽车 储存、检查和登记</w:t>
            </w:r>
          </w:p>
          <w:p>
            <w:pPr>
              <w:pStyle w:val="78"/>
              <w:keepNext w:val="0"/>
              <w:keepLines w:val="0"/>
              <w:suppressLineNumbers w:val="0"/>
              <w:adjustRightInd/>
              <w:snapToGrid/>
              <w:spacing w:before="0" w:beforeAutospacing="0" w:after="0" w:afterAutospacing="0" w:line="360" w:lineRule="auto"/>
              <w:ind w:left="0" w:right="0" w:firstLine="480"/>
              <w:rPr>
                <w:rFonts w:hint="default"/>
                <w:szCs w:val="24"/>
              </w:rPr>
            </w:pPr>
            <w:r>
              <w:rPr>
                <w:rFonts w:hint="eastAsia"/>
                <w:szCs w:val="24"/>
              </w:rPr>
              <w:t>报废机动车进厂后存储于项目报废汽车停放区，先完成主要部件检查，进行登记注册、拍照，信息录入微机，车身粘贴信息标签，到交警部门完成报废机动车车籍注销及向车主发放《报废汽车回收证明》、结算等案头工作。对报废机动车进行编号后，在报废汽车堆场暂存。接收或收购的报废机动车均在三个月内拆解完毕。</w:t>
            </w:r>
          </w:p>
          <w:p>
            <w:pPr>
              <w:pStyle w:val="78"/>
              <w:keepNext w:val="0"/>
              <w:keepLines w:val="0"/>
              <w:suppressLineNumbers w:val="0"/>
              <w:adjustRightInd/>
              <w:snapToGrid/>
              <w:spacing w:before="0" w:beforeAutospacing="0" w:after="0" w:afterAutospacing="0" w:line="360" w:lineRule="auto"/>
              <w:ind w:left="0" w:right="0" w:firstLine="480"/>
              <w:rPr>
                <w:rFonts w:hint="default"/>
                <w:szCs w:val="24"/>
              </w:rPr>
            </w:pPr>
            <w:r>
              <w:rPr>
                <w:rFonts w:hint="default"/>
                <w:szCs w:val="24"/>
              </w:rPr>
              <w:fldChar w:fldCharType="begin"/>
            </w:r>
            <w:r>
              <w:rPr>
                <w:rFonts w:hint="default"/>
                <w:szCs w:val="24"/>
              </w:rPr>
              <w:instrText xml:space="preserve"> </w:instrText>
            </w:r>
            <w:r>
              <w:rPr>
                <w:rFonts w:hint="eastAsia"/>
                <w:szCs w:val="24"/>
              </w:rPr>
              <w:instrText xml:space="preserve">= 1 \* GB3</w:instrText>
            </w:r>
            <w:r>
              <w:rPr>
                <w:rFonts w:hint="default"/>
                <w:szCs w:val="24"/>
              </w:rPr>
              <w:instrText xml:space="preserve"> </w:instrText>
            </w:r>
            <w:r>
              <w:rPr>
                <w:rFonts w:hint="default"/>
                <w:szCs w:val="24"/>
              </w:rPr>
              <w:fldChar w:fldCharType="separate"/>
            </w:r>
            <w:r>
              <w:rPr>
                <w:rFonts w:hint="eastAsia"/>
                <w:szCs w:val="24"/>
              </w:rPr>
              <w:t>①</w:t>
            </w:r>
            <w:r>
              <w:rPr>
                <w:rFonts w:hint="default"/>
                <w:szCs w:val="24"/>
              </w:rPr>
              <w:fldChar w:fldCharType="end"/>
            </w:r>
            <w:r>
              <w:rPr>
                <w:rFonts w:hint="eastAsia"/>
                <w:szCs w:val="24"/>
              </w:rPr>
              <w:t>查报废机动车发动机、散热器、变速器、差速器、油箱等总成部件的密封、破损情况。对于出现泄漏的总成部件的车辆立即进行拆解。若不能立即拆解，并设置容器可收集泄漏的液体，防止废液渗入地下。</w:t>
            </w:r>
          </w:p>
          <w:p>
            <w:pPr>
              <w:pStyle w:val="78"/>
              <w:keepNext w:val="0"/>
              <w:keepLines w:val="0"/>
              <w:suppressLineNumbers w:val="0"/>
              <w:adjustRightInd/>
              <w:snapToGrid/>
              <w:spacing w:before="0" w:beforeAutospacing="0" w:after="0" w:afterAutospacing="0" w:line="360" w:lineRule="auto"/>
              <w:ind w:left="0" w:right="0" w:firstLine="480"/>
              <w:rPr>
                <w:rFonts w:hint="default"/>
                <w:szCs w:val="24"/>
              </w:rPr>
            </w:pPr>
            <w:r>
              <w:rPr>
                <w:rFonts w:hint="eastAsia"/>
                <w:szCs w:val="24"/>
              </w:rPr>
              <w:t>②对报废机动车进行登记注册并拍照，将其主要信息录入电脑数据库并在车身醒目位置贴上显示信息的标签。</w:t>
            </w:r>
          </w:p>
          <w:p>
            <w:pPr>
              <w:pStyle w:val="78"/>
              <w:keepNext w:val="0"/>
              <w:keepLines w:val="0"/>
              <w:suppressLineNumbers w:val="0"/>
              <w:adjustRightInd/>
              <w:snapToGrid/>
              <w:spacing w:before="0" w:beforeAutospacing="0" w:after="0" w:afterAutospacing="0" w:line="360" w:lineRule="auto"/>
              <w:ind w:left="0" w:right="0" w:firstLine="480"/>
              <w:rPr>
                <w:rFonts w:hint="default"/>
                <w:szCs w:val="24"/>
              </w:rPr>
            </w:pPr>
            <w:r>
              <w:rPr>
                <w:rFonts w:hint="eastAsia"/>
                <w:szCs w:val="24"/>
              </w:rPr>
              <w:t>③前款提到的主要信息包括：报废机动车车主（单位或个人）名称、证件号码、牌照号码、车型、品牌型号、车身颜色、重量、发动机号、车辆识别代号（或车架号）、出厂年份、接收或收购日期。</w:t>
            </w:r>
          </w:p>
          <w:p>
            <w:pPr>
              <w:pStyle w:val="78"/>
              <w:keepNext w:val="0"/>
              <w:keepLines w:val="0"/>
              <w:suppressLineNumbers w:val="0"/>
              <w:adjustRightInd/>
              <w:snapToGrid/>
              <w:spacing w:before="0" w:beforeAutospacing="0" w:after="0" w:afterAutospacing="0" w:line="360" w:lineRule="auto"/>
              <w:ind w:left="0" w:right="0" w:firstLine="480"/>
              <w:rPr>
                <w:rFonts w:hint="default"/>
                <w:szCs w:val="24"/>
              </w:rPr>
            </w:pPr>
            <w:r>
              <w:rPr>
                <w:rFonts w:hint="eastAsia"/>
                <w:szCs w:val="24"/>
              </w:rPr>
              <w:t>④将报废机动车的机动车登记证书、号牌、行驶证交公安机关交通管理部门办理注销登记。</w:t>
            </w:r>
          </w:p>
          <w:p>
            <w:pPr>
              <w:pStyle w:val="78"/>
              <w:keepNext w:val="0"/>
              <w:keepLines w:val="0"/>
              <w:suppressLineNumbers w:val="0"/>
              <w:adjustRightInd/>
              <w:snapToGrid/>
              <w:spacing w:before="0" w:beforeAutospacing="0" w:after="0" w:afterAutospacing="0" w:line="360" w:lineRule="auto"/>
              <w:ind w:left="0" w:right="0" w:firstLine="480"/>
              <w:rPr>
                <w:rFonts w:hint="default"/>
                <w:szCs w:val="24"/>
              </w:rPr>
            </w:pPr>
            <w:r>
              <w:rPr>
                <w:rFonts w:hint="eastAsia"/>
                <w:szCs w:val="24"/>
              </w:rPr>
              <w:t>⑤向报废机动车车主发放《报废汽车回收证明》及有关注销书面材料</w:t>
            </w:r>
            <w:r>
              <w:rPr>
                <w:rFonts w:hint="default"/>
                <w:szCs w:val="24"/>
              </w:rPr>
              <w:t>。</w:t>
            </w:r>
          </w:p>
          <w:p>
            <w:pPr>
              <w:pStyle w:val="78"/>
              <w:keepNext w:val="0"/>
              <w:keepLines w:val="0"/>
              <w:suppressLineNumbers w:val="0"/>
              <w:adjustRightInd/>
              <w:snapToGrid/>
              <w:spacing w:before="0" w:beforeAutospacing="0" w:after="0" w:afterAutospacing="0" w:line="360" w:lineRule="auto"/>
              <w:ind w:left="0" w:right="0" w:firstLine="480"/>
              <w:rPr>
                <w:rFonts w:hint="default"/>
                <w:szCs w:val="24"/>
              </w:rPr>
            </w:pPr>
            <w:r>
              <w:rPr>
                <w:rFonts w:hint="eastAsia"/>
                <w:szCs w:val="24"/>
              </w:rPr>
              <w:t>（2）报废车预处理</w:t>
            </w:r>
          </w:p>
          <w:p>
            <w:pPr>
              <w:pStyle w:val="78"/>
              <w:keepNext w:val="0"/>
              <w:keepLines w:val="0"/>
              <w:suppressLineNumbers w:val="0"/>
              <w:adjustRightInd/>
              <w:snapToGrid/>
              <w:spacing w:before="0" w:beforeAutospacing="0" w:after="0" w:afterAutospacing="0" w:line="360" w:lineRule="auto"/>
              <w:ind w:left="0" w:right="0" w:firstLine="480"/>
              <w:rPr>
                <w:rFonts w:hint="default"/>
                <w:szCs w:val="24"/>
              </w:rPr>
            </w:pPr>
            <w:r>
              <w:rPr>
                <w:rFonts w:hint="eastAsia"/>
                <w:szCs w:val="24"/>
              </w:rPr>
              <w:t>对登记完成报废汽车进行预处理。</w:t>
            </w:r>
          </w:p>
          <w:p>
            <w:pPr>
              <w:pStyle w:val="78"/>
              <w:keepNext w:val="0"/>
              <w:keepLines w:val="0"/>
              <w:suppressLineNumbers w:val="0"/>
              <w:adjustRightInd/>
              <w:snapToGrid/>
              <w:spacing w:before="0" w:beforeAutospacing="0" w:after="0" w:afterAutospacing="0" w:line="360" w:lineRule="auto"/>
              <w:ind w:left="0" w:right="0" w:firstLine="480"/>
              <w:rPr>
                <w:rFonts w:hint="default"/>
                <w:szCs w:val="24"/>
              </w:rPr>
            </w:pPr>
            <w:r>
              <w:rPr>
                <w:rFonts w:hint="eastAsia"/>
                <w:szCs w:val="24"/>
              </w:rPr>
              <w:t>①采用相应工具将报废汽车油箱内燃油放空，排出残留的各种废油液（发动机油、变速器油、离合器油、差速器油、制动器油、动力转向油、冷却液、防冻液、挡风玻璃洗涤液），项目采用抽取机将各废油液抽至到专用的密闭收集箱内进行收集贮存，抽出的废油液属危险废物，统一收集后委托相关资质单位清运处置。此工序产污节点为无组织废气非甲烷总烃（T1）、危险废物废液油（S1），废液油暂存于危废综合暂存区，委托有资质单位清运处置。</w:t>
            </w:r>
          </w:p>
          <w:p>
            <w:pPr>
              <w:pStyle w:val="78"/>
              <w:keepNext w:val="0"/>
              <w:keepLines w:val="0"/>
              <w:suppressLineNumbers w:val="0"/>
              <w:adjustRightInd/>
              <w:snapToGrid/>
              <w:spacing w:before="0" w:beforeAutospacing="0" w:after="0" w:afterAutospacing="0" w:line="360" w:lineRule="auto"/>
              <w:ind w:left="0" w:right="0" w:firstLine="0" w:firstLineChars="0"/>
              <w:jc w:val="center"/>
              <w:rPr>
                <w:rFonts w:hint="default"/>
                <w:szCs w:val="24"/>
              </w:rPr>
            </w:pPr>
            <w:r>
              <w:rPr>
                <w:rFonts w:hint="default"/>
              </w:rPr>
              <w:drawing>
                <wp:inline distT="0" distB="0" distL="0" distR="0">
                  <wp:extent cx="4962525" cy="17716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4962525" cy="1771650"/>
                          </a:xfrm>
                          <a:prstGeom prst="rect">
                            <a:avLst/>
                          </a:prstGeom>
                        </pic:spPr>
                      </pic:pic>
                    </a:graphicData>
                  </a:graphic>
                </wp:inline>
              </w:drawing>
            </w:r>
          </w:p>
          <w:p>
            <w:pPr>
              <w:pStyle w:val="78"/>
              <w:keepNext w:val="0"/>
              <w:keepLines w:val="0"/>
              <w:suppressLineNumbers w:val="0"/>
              <w:adjustRightInd/>
              <w:snapToGrid/>
              <w:spacing w:before="0" w:beforeAutospacing="0" w:after="0" w:afterAutospacing="0" w:line="360" w:lineRule="auto"/>
              <w:ind w:left="0" w:right="0" w:firstLine="482"/>
              <w:jc w:val="center"/>
              <w:rPr>
                <w:rFonts w:hint="default"/>
                <w:b/>
                <w:szCs w:val="24"/>
              </w:rPr>
            </w:pPr>
            <w:r>
              <w:rPr>
                <w:rFonts w:hint="eastAsia"/>
                <w:b/>
                <w:szCs w:val="24"/>
              </w:rPr>
              <w:t>图2-3   预处理时液体抽排示意图</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②拆除蓄电池，拆除液化气钢瓶（油气两用机动车具有液化气钢瓶）。拆下蓄电池正、负极接线，拆下蓄电池固定卡，取下蓄电池。搬动蓄电池时，要轻拿轻放，不可歪斜，以免电解液泼溅到衣服或皮肤上，引起腐烂烧伤。蓄电池暂存于项目废旧电池暂存间，委托相关资质单位进行处置。此工序产污节点为危险废物蓄电池（S2）。项目建成投运后，正常情况下无铅酸蓄电池泄漏液挥发的硫酸雾排放，仅在收集、装卸、暂存过程中，出现破损废旧铅酸蓄电池时，进行电解液转移作业时产生少量的无组织废气硫酸雾（T2），蓄电池暂存于废旧电瓶暂存间，委托有资质单位清运处置。</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③安全气囊由专用拆卸引爆装置拆除，项目所采用引爆装置主要采用电流模拟气囊组件中电控单元所产生的电讯号，在安全可控装置内引爆气囊。引爆后的安全气囊不再具有环境风险，可作为一般固废委托有资质单位清运处置。此工序产污节点为无组织安全气囊废气（T3）、一般固废安全气囊（S3）、N1。引爆后安全气囊不具有爆炸性质，是尼龙织布，不属于危险废物，出售尼龙企业回收。</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④拆除废电子元件及电子产品和尾气净化催化装置；</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拆除各种电子电器部件，包括仪表盘、音响、车载电台电话、电子导航设备、电动机和发电机、电线电缆以及其他电子电器，（此步骤为各部件直接整体拆解下来，整体送往有资质单位进行处理处置，本企业不进行进一步精细拆解）。此工序产物回收部件经分类收集后外售给各相关企业回收利用。此工序产污节点为危险废物电容器（S4）、危险废物催化剂（尾气净化器 S5）、机油滤清器（S6）。电容器和催化剂（尾气净化器）、机油滤清器暂存于危废综合暂存区，委托有资质单位清运处置。</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⑤拆除空调器，收集汽车空气制冷剂；</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制冷剂回收：在车用空调压缩机拆解之前，采用制冷剂回收机真空抽取压缩机中的制冷剂。制冷剂回收系统与压缩机系统连接处密闭效果好，制冷剂无外泄。回收过程电子计量、精确控制，回收完毕自动停机。标配20kg大容量储液罐，以收贮回收的制冷剂。（此步骤将制冷剂直接回收，送往有资质单位进行处理处置）。此工序产污节点为危险废物制冷剂（S7）、无组织废气氟利昂（T4）。制冷剂暂存于危废综合暂存区，委托有资质单位清运处置。</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（3）报废汽车拆解</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①外部拆解</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外部拆解主要包括车门、挡泥板、保险杠、挡风玻璃、车灯（整体拆解下来后，不进行进一步破拆）、发动机罩、轮胎等。轮胎拆解时将轮毂和橡胶部分分开处置。此工序产物废钢铁、橡胶、玻璃、陶瓷、泡沫，经分类收集后外售给各相关企业回收利用。此工序产污节点为汽车拆解产生的无用材料（S9），委托有资质单位清运处置，以及N2、无组织废气颗粒物T5。</w:t>
            </w:r>
          </w:p>
          <w:p>
            <w:pPr>
              <w:pStyle w:val="78"/>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right="0" w:firstLineChars="0"/>
              <w:textAlignment w:val="auto"/>
              <w:rPr>
                <w:rFonts w:hint="default"/>
                <w:szCs w:val="24"/>
              </w:rPr>
            </w:pPr>
            <w:r>
              <w:rPr>
                <w:rFonts w:hint="eastAsia"/>
                <w:szCs w:val="24"/>
              </w:rPr>
              <w:t>内部拆解</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内部拆解主要包括座椅、水箱、起动机、冷凝器、压缩机、风扇、座椅、离合器和部分有色金属。发动机拆解在拆解平台上进行，可有效集中收集废油。此工序产物为有色金属、塑料，经分类收集后外售给各相关企业回收利用。</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③总成拆解、剪切</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五大总成，包括发动机、变速箱、方向机、前后桥（前后桥为铸钢件，含铜、铝等材料单独分类）和车架。发动机关联部分在发动机拆解平台上进行。对可利用的零部件，拆解后分类存放。此工序产污节点为N3、无组织废气颗粒物（切割粉尘T6）。拆解过程中滴落在车间地面上的机油用抹布擦拭，沾上油污的手套、抹布均属于危险废物。该部分废物需单独收集后，暂存于危废综合暂存区，委托有资质单位清运处置。</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④剪断、压块、打包</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机动车拆解完成后剩下钢铁框架，采用液压剪剪断设备按照规定尺寸切成几大块。剪切后的铁块根据回收钢铁客户的需要进行压实、打包。此工序产污节点为N3、无组织废气颗粒物（切割粉尘T6）。</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⑤分类暂存</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报废机动车拆解后的产物分为产品、一般工业固废和危险废物。产品和一般固废经分类收集后堆存于回收件车间堆存。危险废物经收集后分类堆存于危废综合暂存间。</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（4）破碎工艺</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主要是对汽车拆解废钢首先进行分拣，然后根据废钢种类的不同，将废钢送入破碎机进行破碎成一定规格的破碎钢。</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①分拣</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对汽车拆解废钢进行分拣，分拣出重型废钢、中型废钢、小型废钢、薄型废钢并分类存储。</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②分类破碎</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根据分拣出的废钢按种类进行破碎。钢破碎加工即利用破碎机对废钢进行破碎，其工作原理就是在高速、大扭矩电机的连续驱动下，破碎机转子上的锤头轮流击打进入容腔内废钢，在强大的冲击作用下，废钢被撕裂和挤压成一定规格的破碎钢。此工序产污节点为有组织破碎粉尘（G1）、人工拣选噪声、破碎噪声（N4）以及少量无组织破碎粉尘（T7）。</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项目配置一台破碎机，产生的颗粒物通过该集气罩（集气效率80%）收集后进入布袋除尘器（除尘效率95%，风量为5000m</w:t>
            </w:r>
            <w:r>
              <w:rPr>
                <w:rFonts w:hint="eastAsia"/>
                <w:szCs w:val="24"/>
                <w:vertAlign w:val="superscript"/>
              </w:rPr>
              <w:t>3</w:t>
            </w:r>
            <w:r>
              <w:rPr>
                <w:rFonts w:hint="eastAsia"/>
                <w:szCs w:val="24"/>
              </w:rPr>
              <w:t>/h）除尘后，引至 15m 排气筒排放。未被收集的粉尘通过加强车间管理，定期清扫。</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除了得到优质破碎钢之外，还会有少量不可利用材料产生，均为一般工业固废。不可利用材料收集后委托有资质单位清运处置。</w:t>
            </w:r>
          </w:p>
          <w:p>
            <w:pPr>
              <w:pStyle w:val="7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szCs w:val="24"/>
              </w:rPr>
            </w:pPr>
            <w:r>
              <w:rPr>
                <w:rFonts w:hint="eastAsia"/>
                <w:szCs w:val="24"/>
              </w:rPr>
              <w:t>本项目运营期污染因素具体见下表。</w:t>
            </w:r>
          </w:p>
          <w:p>
            <w:pPr>
              <w:pStyle w:val="78"/>
              <w:keepNext w:val="0"/>
              <w:keepLines w:val="0"/>
              <w:suppressLineNumbers w:val="0"/>
              <w:spacing w:before="0" w:beforeAutospacing="0" w:after="0" w:afterAutospacing="0"/>
              <w:ind w:left="0" w:right="0" w:firstLine="482"/>
              <w:jc w:val="center"/>
              <w:rPr>
                <w:rFonts w:hint="default"/>
                <w:b/>
                <w:szCs w:val="24"/>
              </w:rPr>
            </w:pPr>
            <w:r>
              <w:rPr>
                <w:rFonts w:hint="eastAsia"/>
                <w:b/>
                <w:szCs w:val="24"/>
              </w:rPr>
              <w:t>表2-6   本项目运营期主要污染工序一览表</w:t>
            </w:r>
          </w:p>
          <w:tbl>
            <w:tblPr>
              <w:tblStyle w:val="23"/>
              <w:tblW w:w="8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851"/>
              <w:gridCol w:w="1843"/>
              <w:gridCol w:w="2126"/>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eastAsia"/>
                      <w:b/>
                      <w:sz w:val="21"/>
                      <w:szCs w:val="21"/>
                    </w:rPr>
                    <w:t>序号</w:t>
                  </w:r>
                </w:p>
              </w:tc>
              <w:tc>
                <w:tcPr>
                  <w:tcW w:w="2694" w:type="dxa"/>
                  <w:gridSpan w:val="2"/>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eastAsia"/>
                      <w:b/>
                      <w:sz w:val="21"/>
                      <w:szCs w:val="21"/>
                    </w:rPr>
                    <w:t>污染源类别</w:t>
                  </w:r>
                </w:p>
              </w:tc>
              <w:tc>
                <w:tcPr>
                  <w:tcW w:w="2126"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eastAsia"/>
                      <w:b/>
                      <w:sz w:val="21"/>
                      <w:szCs w:val="21"/>
                    </w:rPr>
                    <w:t>主要污染物</w:t>
                  </w:r>
                </w:p>
              </w:tc>
              <w:tc>
                <w:tcPr>
                  <w:tcW w:w="2880"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b/>
                      <w:sz w:val="21"/>
                      <w:szCs w:val="21"/>
                    </w:rPr>
                  </w:pPr>
                  <w:r>
                    <w:rPr>
                      <w:rFonts w:hint="eastAsia"/>
                      <w:b/>
                      <w:sz w:val="21"/>
                      <w:szCs w:val="21"/>
                    </w:rPr>
                    <w:t>主要来源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1</w:t>
                  </w:r>
                </w:p>
              </w:tc>
              <w:tc>
                <w:tcPr>
                  <w:tcW w:w="851" w:type="dxa"/>
                  <w:vMerge w:val="restart"/>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废水</w:t>
                  </w:r>
                </w:p>
              </w:tc>
              <w:tc>
                <w:tcPr>
                  <w:tcW w:w="1843"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生活污水</w:t>
                  </w:r>
                </w:p>
              </w:tc>
              <w:tc>
                <w:tcPr>
                  <w:tcW w:w="2126"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COD、BOD</w:t>
                  </w:r>
                  <w:r>
                    <w:rPr>
                      <w:rFonts w:hint="eastAsia"/>
                      <w:sz w:val="21"/>
                      <w:szCs w:val="21"/>
                      <w:vertAlign w:val="subscript"/>
                    </w:rPr>
                    <w:t>5</w:t>
                  </w:r>
                  <w:r>
                    <w:rPr>
                      <w:rFonts w:hint="eastAsia"/>
                      <w:sz w:val="21"/>
                      <w:szCs w:val="21"/>
                    </w:rPr>
                    <w:t>、NH</w:t>
                  </w:r>
                  <w:r>
                    <w:rPr>
                      <w:rFonts w:hint="eastAsia"/>
                      <w:sz w:val="21"/>
                      <w:szCs w:val="21"/>
                      <w:vertAlign w:val="subscript"/>
                    </w:rPr>
                    <w:t>3</w:t>
                  </w:r>
                  <w:r>
                    <w:rPr>
                      <w:rFonts w:hint="eastAsia"/>
                      <w:sz w:val="21"/>
                      <w:szCs w:val="21"/>
                    </w:rPr>
                    <w:t>-N</w:t>
                  </w:r>
                </w:p>
              </w:tc>
              <w:tc>
                <w:tcPr>
                  <w:tcW w:w="2880"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办公生活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85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843"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初期雨水</w:t>
                  </w:r>
                </w:p>
              </w:tc>
              <w:tc>
                <w:tcPr>
                  <w:tcW w:w="2126"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COD、SS、石油类</w:t>
                  </w:r>
                </w:p>
              </w:tc>
              <w:tc>
                <w:tcPr>
                  <w:tcW w:w="2880"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厂区地表径流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2</w:t>
                  </w:r>
                </w:p>
              </w:tc>
              <w:tc>
                <w:tcPr>
                  <w:tcW w:w="851" w:type="dxa"/>
                  <w:vMerge w:val="restart"/>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废气</w:t>
                  </w:r>
                </w:p>
              </w:tc>
              <w:tc>
                <w:tcPr>
                  <w:tcW w:w="1843"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切割废气</w:t>
                  </w:r>
                </w:p>
              </w:tc>
              <w:tc>
                <w:tcPr>
                  <w:tcW w:w="2126"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无组织粉尘</w:t>
                  </w:r>
                </w:p>
              </w:tc>
              <w:tc>
                <w:tcPr>
                  <w:tcW w:w="2880"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车体切割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85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843"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拆解粉尘</w:t>
                  </w:r>
                </w:p>
              </w:tc>
              <w:tc>
                <w:tcPr>
                  <w:tcW w:w="2126"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无组织粉尘</w:t>
                  </w:r>
                </w:p>
              </w:tc>
              <w:tc>
                <w:tcPr>
                  <w:tcW w:w="2880"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各零部件拆解过程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85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843"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燃料油挥发废气</w:t>
                  </w:r>
                </w:p>
              </w:tc>
              <w:tc>
                <w:tcPr>
                  <w:tcW w:w="2126"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无组织非甲烷总烃</w:t>
                  </w:r>
                </w:p>
              </w:tc>
              <w:tc>
                <w:tcPr>
                  <w:tcW w:w="2880"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车辆油箱拆解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85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843"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破碎粉尘</w:t>
                  </w:r>
                </w:p>
              </w:tc>
              <w:tc>
                <w:tcPr>
                  <w:tcW w:w="2126"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有组织、无组织粉尘</w:t>
                  </w:r>
                </w:p>
              </w:tc>
              <w:tc>
                <w:tcPr>
                  <w:tcW w:w="2880"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破碎过程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3</w:t>
                  </w:r>
                </w:p>
              </w:tc>
              <w:tc>
                <w:tcPr>
                  <w:tcW w:w="2694" w:type="dxa"/>
                  <w:gridSpan w:val="2"/>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噪声</w:t>
                  </w:r>
                </w:p>
              </w:tc>
              <w:tc>
                <w:tcPr>
                  <w:tcW w:w="2126"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拆解、剪切、破碎设备噪声</w:t>
                  </w:r>
                </w:p>
              </w:tc>
              <w:tc>
                <w:tcPr>
                  <w:tcW w:w="2880"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拆解、剪切、破碎过程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4</w:t>
                  </w:r>
                </w:p>
              </w:tc>
              <w:tc>
                <w:tcPr>
                  <w:tcW w:w="851" w:type="dxa"/>
                  <w:vMerge w:val="restart"/>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固体废弃物</w:t>
                  </w:r>
                </w:p>
              </w:tc>
              <w:tc>
                <w:tcPr>
                  <w:tcW w:w="1843"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生活垃圾</w:t>
                  </w:r>
                </w:p>
              </w:tc>
              <w:tc>
                <w:tcPr>
                  <w:tcW w:w="2126"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果皮，纸屑、纸盒等</w:t>
                  </w:r>
                </w:p>
              </w:tc>
              <w:tc>
                <w:tcPr>
                  <w:tcW w:w="2880"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办公生活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85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843"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一般固废</w:t>
                  </w:r>
                </w:p>
              </w:tc>
              <w:tc>
                <w:tcPr>
                  <w:tcW w:w="2126"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玻璃、内饰、引爆后废安全气囊等</w:t>
                  </w:r>
                </w:p>
              </w:tc>
              <w:tc>
                <w:tcPr>
                  <w:tcW w:w="2880"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拆解过程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851" w:type="dxa"/>
                  <w:vMerge w:val="continue"/>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p>
              </w:tc>
              <w:tc>
                <w:tcPr>
                  <w:tcW w:w="1843"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危险固废</w:t>
                  </w:r>
                </w:p>
              </w:tc>
              <w:tc>
                <w:tcPr>
                  <w:tcW w:w="2126"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废蓄电池、废油、废制冷剂、含油手套及抹布、废电容器等</w:t>
                  </w:r>
                </w:p>
              </w:tc>
              <w:tc>
                <w:tcPr>
                  <w:tcW w:w="2880" w:type="dxa"/>
                  <w:vAlign w:val="center"/>
                </w:tcPr>
                <w:p>
                  <w:pPr>
                    <w:pStyle w:val="78"/>
                    <w:keepNext w:val="0"/>
                    <w:keepLines w:val="0"/>
                    <w:suppressLineNumbers w:val="0"/>
                    <w:spacing w:before="0" w:beforeAutospacing="0" w:after="0" w:afterAutospacing="0" w:line="240" w:lineRule="auto"/>
                    <w:ind w:left="0" w:right="0" w:firstLine="0" w:firstLineChars="0"/>
                    <w:jc w:val="center"/>
                    <w:rPr>
                      <w:rFonts w:hint="default"/>
                      <w:sz w:val="21"/>
                      <w:szCs w:val="21"/>
                    </w:rPr>
                  </w:pPr>
                  <w:r>
                    <w:rPr>
                      <w:rFonts w:hint="eastAsia"/>
                      <w:sz w:val="21"/>
                      <w:szCs w:val="21"/>
                    </w:rPr>
                    <w:t>拆解过程</w:t>
                  </w:r>
                </w:p>
              </w:tc>
            </w:tr>
          </w:tbl>
          <w:p>
            <w:pPr>
              <w:pStyle w:val="78"/>
              <w:keepNext w:val="0"/>
              <w:keepLines w:val="0"/>
              <w:suppressLineNumbers w:val="0"/>
              <w:spacing w:before="0" w:beforeAutospacing="0" w:after="0" w:afterAutospacing="0"/>
              <w:ind w:left="0" w:right="0" w:firstLine="0" w:firstLineChars="0"/>
              <w:rPr>
                <w:rFonts w:hint="default"/>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61" w:type="dxa"/>
            <w:vAlign w:val="center"/>
          </w:tcPr>
          <w:p>
            <w:pPr>
              <w:pStyle w:val="69"/>
              <w:keepNext w:val="0"/>
              <w:keepLines w:val="0"/>
              <w:suppressLineNumbers w:val="0"/>
              <w:spacing w:before="0" w:beforeAutospacing="0" w:after="0" w:afterAutospacing="0"/>
              <w:ind w:left="0" w:right="0"/>
              <w:rPr>
                <w:rFonts w:hint="default"/>
              </w:rPr>
            </w:pPr>
            <w:r>
              <w:rPr>
                <w:rFonts w:hint="default"/>
                <w:sz w:val="24"/>
                <w:szCs w:val="24"/>
              </w:rPr>
              <w:t>与项目有关的原有环境污染问题</w:t>
            </w:r>
          </w:p>
        </w:tc>
        <w:tc>
          <w:tcPr>
            <w:tcW w:w="8599" w:type="dxa"/>
            <w:vAlign w:val="center"/>
          </w:tcPr>
          <w:p>
            <w:pPr>
              <w:keepNext w:val="0"/>
              <w:keepLines w:val="0"/>
              <w:suppressLineNumbers w:val="0"/>
              <w:spacing w:before="0" w:beforeAutospacing="0" w:after="0" w:afterAutospacing="0"/>
              <w:ind w:left="0" w:right="0" w:firstLine="480"/>
              <w:rPr>
                <w:rFonts w:hint="default"/>
              </w:rPr>
            </w:pPr>
            <w:r>
              <w:rPr>
                <w:rFonts w:hint="default"/>
              </w:rPr>
              <w:t>本项目属于新建项目，无与项目有关的原有环境污染问题。</w:t>
            </w:r>
          </w:p>
        </w:tc>
      </w:tr>
    </w:tbl>
    <w:p>
      <w:pPr>
        <w:pStyle w:val="18"/>
        <w:ind w:firstLine="720"/>
        <w:jc w:val="center"/>
        <w:rPr>
          <w:rFonts w:ascii="Times New Roman" w:hAnsi="Times New Roman" w:eastAsia="黑体"/>
          <w:snapToGrid w:val="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851" w:gutter="0"/>
          <w:cols w:space="720" w:num="1"/>
          <w:docGrid w:linePitch="312" w:charSpace="0"/>
        </w:sectPr>
      </w:pPr>
    </w:p>
    <w:p>
      <w:pPr>
        <w:pStyle w:val="4"/>
        <w:ind w:firstLine="602"/>
        <w:rPr>
          <w:snapToGrid w:val="0"/>
          <w:color w:val="auto"/>
        </w:rPr>
      </w:pPr>
      <w:bookmarkStart w:id="5" w:name="_Toc105597206"/>
      <w:bookmarkStart w:id="6" w:name="_Toc68166145"/>
      <w:r>
        <w:rPr>
          <w:snapToGrid w:val="0"/>
          <w:color w:val="auto"/>
        </w:rPr>
        <w:t>三、区域环境质量现状、环境保护目标及评价标准</w:t>
      </w:r>
      <w:bookmarkEnd w:id="5"/>
      <w:bookmarkEnd w:id="6"/>
    </w:p>
    <w:tbl>
      <w:tblPr>
        <w:tblStyle w:val="22"/>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1"/>
        <w:gridCol w:w="8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461" w:type="dxa"/>
            <w:vAlign w:val="center"/>
          </w:tcPr>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区域</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环境</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质量</w:t>
            </w:r>
          </w:p>
          <w:p>
            <w:pPr>
              <w:pStyle w:val="69"/>
              <w:keepNext w:val="0"/>
              <w:keepLines w:val="0"/>
              <w:suppressLineNumbers w:val="0"/>
              <w:spacing w:before="0" w:beforeAutospacing="0" w:after="0" w:afterAutospacing="0"/>
              <w:ind w:left="0" w:right="0"/>
              <w:rPr>
                <w:rFonts w:hint="default"/>
                <w:color w:val="auto"/>
              </w:rPr>
            </w:pPr>
            <w:r>
              <w:rPr>
                <w:rFonts w:hint="default"/>
                <w:color w:val="auto"/>
                <w:sz w:val="24"/>
                <w:szCs w:val="24"/>
              </w:rPr>
              <w:t>现状</w:t>
            </w:r>
          </w:p>
        </w:tc>
        <w:tc>
          <w:tcPr>
            <w:tcW w:w="8600" w:type="dxa"/>
            <w:vAlign w:val="center"/>
          </w:tcPr>
          <w:p>
            <w:pPr>
              <w:pStyle w:val="51"/>
              <w:keepNext w:val="0"/>
              <w:keepLines w:val="0"/>
              <w:suppressLineNumbers w:val="0"/>
              <w:spacing w:before="0" w:beforeAutospacing="0" w:after="0" w:afterAutospacing="0"/>
              <w:ind w:left="0" w:right="0" w:firstLine="480"/>
              <w:rPr>
                <w:rFonts w:hint="default"/>
                <w:color w:val="auto"/>
              </w:rPr>
            </w:pPr>
            <w:r>
              <w:rPr>
                <w:rFonts w:hint="default"/>
                <w:color w:val="auto"/>
              </w:rPr>
              <w:t>1、环境空气质量现状</w:t>
            </w:r>
          </w:p>
          <w:p>
            <w:pPr>
              <w:pStyle w:val="51"/>
              <w:keepNext w:val="0"/>
              <w:keepLines w:val="0"/>
              <w:suppressLineNumbers w:val="0"/>
              <w:spacing w:before="0" w:beforeAutospacing="0" w:after="0" w:afterAutospacing="0"/>
              <w:ind w:left="0" w:right="0" w:firstLine="480"/>
              <w:rPr>
                <w:rFonts w:hint="default"/>
                <w:color w:val="auto"/>
              </w:rPr>
            </w:pPr>
            <w:r>
              <w:rPr>
                <w:rFonts w:hint="default"/>
                <w:color w:val="auto"/>
              </w:rPr>
              <w:t>（1）达标区判定</w:t>
            </w:r>
          </w:p>
          <w:p>
            <w:pPr>
              <w:pStyle w:val="51"/>
              <w:keepNext w:val="0"/>
              <w:keepLines w:val="0"/>
              <w:suppressLineNumbers w:val="0"/>
              <w:spacing w:before="0" w:beforeAutospacing="0" w:after="0" w:afterAutospacing="0"/>
              <w:ind w:left="0" w:right="0" w:firstLine="480"/>
              <w:rPr>
                <w:rFonts w:hint="default"/>
                <w:color w:val="auto"/>
              </w:rPr>
            </w:pPr>
            <w:r>
              <w:rPr>
                <w:rFonts w:hint="eastAsia"/>
                <w:color w:val="auto"/>
              </w:rPr>
              <w:t>根据德宏州生态环境局发布的《德宏州2020年度环境状况公报》，2020年，芒市的环境空气有效监测天数为359天，优235天，良121天，轻度污染3天。优良率为99.2%，年度综合评价。芒市环境空气质量达到二级标准。</w:t>
            </w:r>
          </w:p>
          <w:p>
            <w:pPr>
              <w:keepNext w:val="0"/>
              <w:keepLines w:val="0"/>
              <w:suppressLineNumbers w:val="0"/>
              <w:spacing w:before="0" w:beforeAutospacing="0" w:after="0" w:afterAutospacing="0"/>
              <w:ind w:left="0" w:right="0" w:firstLine="0" w:firstLineChars="0"/>
              <w:jc w:val="center"/>
              <w:rPr>
                <w:rFonts w:hint="default"/>
                <w:b/>
                <w:color w:val="auto"/>
                <w:szCs w:val="22"/>
              </w:rPr>
            </w:pPr>
            <w:r>
              <w:rPr>
                <w:rFonts w:hint="default"/>
                <w:b/>
                <w:color w:val="auto"/>
                <w:szCs w:val="22"/>
              </w:rPr>
              <w:t>表3-1</w:t>
            </w:r>
            <w:r>
              <w:rPr>
                <w:rFonts w:hint="default" w:eastAsia="Times New Roman"/>
                <w:b/>
                <w:color w:val="auto"/>
                <w:szCs w:val="22"/>
              </w:rPr>
              <w:t xml:space="preserve">  2020</w:t>
            </w:r>
            <w:r>
              <w:rPr>
                <w:rFonts w:hint="default"/>
                <w:b/>
                <w:color w:val="auto"/>
                <w:szCs w:val="22"/>
              </w:rPr>
              <w:t>年度芒市环境空气质量指标年均值统计（μg/m</w:t>
            </w:r>
            <w:r>
              <w:rPr>
                <w:rFonts w:hint="default"/>
                <w:b/>
                <w:color w:val="auto"/>
                <w:szCs w:val="22"/>
                <w:vertAlign w:val="superscript"/>
              </w:rPr>
              <w:t>3</w:t>
            </w:r>
            <w:r>
              <w:rPr>
                <w:rFonts w:hint="default"/>
                <w:b/>
                <w:color w:val="auto"/>
                <w:szCs w:val="22"/>
              </w:rPr>
              <w:t>）</w:t>
            </w:r>
          </w:p>
          <w:tbl>
            <w:tblPr>
              <w:tblStyle w:val="22"/>
              <w:tblW w:w="8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97"/>
              <w:gridCol w:w="1196"/>
              <w:gridCol w:w="1196"/>
              <w:gridCol w:w="1197"/>
              <w:gridCol w:w="1197"/>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default"/>
                      <w:color w:val="auto"/>
                      <w:sz w:val="21"/>
                      <w:szCs w:val="21"/>
                    </w:rPr>
                    <w:t>城市名称</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SO</w:t>
                  </w:r>
                  <w:r>
                    <w:rPr>
                      <w:rFonts w:hint="eastAsia"/>
                      <w:color w:val="auto"/>
                      <w:sz w:val="21"/>
                      <w:szCs w:val="21"/>
                      <w:vertAlign w:val="subscript"/>
                    </w:rPr>
                    <w:t>2</w:t>
                  </w:r>
                </w:p>
              </w:tc>
              <w:tc>
                <w:tcPr>
                  <w:tcW w:w="1196"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NO</w:t>
                  </w:r>
                  <w:r>
                    <w:rPr>
                      <w:rFonts w:hint="eastAsia"/>
                      <w:color w:val="auto"/>
                      <w:sz w:val="21"/>
                      <w:szCs w:val="21"/>
                      <w:vertAlign w:val="subscript"/>
                    </w:rPr>
                    <w:t>2</w:t>
                  </w:r>
                </w:p>
              </w:tc>
              <w:tc>
                <w:tcPr>
                  <w:tcW w:w="1196"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PM</w:t>
                  </w:r>
                  <w:r>
                    <w:rPr>
                      <w:rFonts w:hint="eastAsia"/>
                      <w:color w:val="auto"/>
                      <w:sz w:val="21"/>
                      <w:szCs w:val="21"/>
                      <w:vertAlign w:val="subscript"/>
                    </w:rPr>
                    <w:t>10</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CO（mg/m</w:t>
                  </w:r>
                  <w:r>
                    <w:rPr>
                      <w:rFonts w:hint="eastAsia"/>
                      <w:color w:val="auto"/>
                      <w:sz w:val="21"/>
                      <w:szCs w:val="21"/>
                      <w:vertAlign w:val="superscript"/>
                    </w:rPr>
                    <w:t>3</w:t>
                  </w:r>
                  <w:r>
                    <w:rPr>
                      <w:rFonts w:hint="eastAsia"/>
                      <w:color w:val="auto"/>
                      <w:sz w:val="21"/>
                      <w:szCs w:val="21"/>
                    </w:rPr>
                    <w:t>）</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O</w:t>
                  </w:r>
                  <w:r>
                    <w:rPr>
                      <w:rFonts w:hint="eastAsia"/>
                      <w:color w:val="auto"/>
                      <w:sz w:val="21"/>
                      <w:szCs w:val="21"/>
                      <w:vertAlign w:val="subscript"/>
                    </w:rPr>
                    <w:t>3</w:t>
                  </w:r>
                </w:p>
              </w:tc>
              <w:tc>
                <w:tcPr>
                  <w:tcW w:w="1194"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PM</w:t>
                  </w:r>
                  <w:r>
                    <w:rPr>
                      <w:rFonts w:hint="eastAsia"/>
                      <w:color w:val="auto"/>
                      <w:sz w:val="21"/>
                      <w:szCs w:val="21"/>
                      <w:vertAlign w:val="subscrip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环境空气二级标准</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60</w:t>
                  </w:r>
                </w:p>
              </w:tc>
              <w:tc>
                <w:tcPr>
                  <w:tcW w:w="1196"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40</w:t>
                  </w:r>
                </w:p>
              </w:tc>
              <w:tc>
                <w:tcPr>
                  <w:tcW w:w="1196"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70</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4</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160</w:t>
                  </w:r>
                </w:p>
              </w:tc>
              <w:tc>
                <w:tcPr>
                  <w:tcW w:w="1194"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default"/>
                      <w:color w:val="auto"/>
                      <w:sz w:val="21"/>
                      <w:szCs w:val="21"/>
                    </w:rPr>
                    <w:t>芒市</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9</w:t>
                  </w:r>
                </w:p>
              </w:tc>
              <w:tc>
                <w:tcPr>
                  <w:tcW w:w="1196"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19</w:t>
                  </w:r>
                </w:p>
              </w:tc>
              <w:tc>
                <w:tcPr>
                  <w:tcW w:w="1196"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42</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0.8</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71</w:t>
                  </w:r>
                </w:p>
              </w:tc>
              <w:tc>
                <w:tcPr>
                  <w:tcW w:w="1194"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占标率（%）</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15</w:t>
                  </w:r>
                </w:p>
              </w:tc>
              <w:tc>
                <w:tcPr>
                  <w:tcW w:w="1196"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47.5</w:t>
                  </w:r>
                </w:p>
              </w:tc>
              <w:tc>
                <w:tcPr>
                  <w:tcW w:w="1196"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60</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20</w:t>
                  </w:r>
                </w:p>
              </w:tc>
              <w:tc>
                <w:tcPr>
                  <w:tcW w:w="1197"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44.4</w:t>
                  </w:r>
                </w:p>
              </w:tc>
              <w:tc>
                <w:tcPr>
                  <w:tcW w:w="1194" w:type="dxa"/>
                  <w:vAlign w:val="center"/>
                </w:tcPr>
                <w:p>
                  <w:pPr>
                    <w:pStyle w:val="60"/>
                    <w:keepNext w:val="0"/>
                    <w:keepLines w:val="0"/>
                    <w:suppressLineNumbers w:val="0"/>
                    <w:spacing w:before="0" w:beforeAutospacing="0" w:after="0" w:afterAutospacing="0"/>
                    <w:ind w:left="0" w:right="0" w:firstLine="0" w:firstLineChars="0"/>
                    <w:jc w:val="center"/>
                    <w:rPr>
                      <w:rFonts w:hint="default"/>
                      <w:color w:val="auto"/>
                      <w:sz w:val="21"/>
                      <w:szCs w:val="21"/>
                    </w:rPr>
                  </w:pPr>
                  <w:r>
                    <w:rPr>
                      <w:rFonts w:hint="eastAsia"/>
                      <w:color w:val="auto"/>
                      <w:sz w:val="21"/>
                      <w:szCs w:val="21"/>
                    </w:rPr>
                    <w:t>62.9</w:t>
                  </w:r>
                </w:p>
              </w:tc>
            </w:tr>
          </w:tbl>
          <w:p>
            <w:pPr>
              <w:pStyle w:val="51"/>
              <w:keepNext w:val="0"/>
              <w:keepLines w:val="0"/>
              <w:suppressLineNumbers w:val="0"/>
              <w:spacing w:before="0" w:beforeAutospacing="0" w:after="0" w:afterAutospacing="0"/>
              <w:ind w:left="0" w:right="0" w:firstLine="480"/>
              <w:rPr>
                <w:rFonts w:hint="default"/>
                <w:color w:val="auto"/>
              </w:rPr>
            </w:pPr>
            <w:r>
              <w:rPr>
                <w:rFonts w:hint="default"/>
                <w:color w:val="auto"/>
                <w:kern w:val="2"/>
                <w:szCs w:val="24"/>
                <w:lang w:bidi="ar"/>
              </w:rPr>
              <w:t>芒市的污染物满足《环境空气质量标准》（GB3095-2012）中二级标准要求，芒市为环境空气达标区</w:t>
            </w:r>
            <w:r>
              <w:rPr>
                <w:rFonts w:hint="default"/>
                <w:color w:val="auto"/>
              </w:rPr>
              <w:t>。</w:t>
            </w:r>
          </w:p>
          <w:p>
            <w:pPr>
              <w:keepNext w:val="0"/>
              <w:keepLines w:val="0"/>
              <w:widowControl/>
              <w:suppressLineNumbers w:val="0"/>
              <w:spacing w:before="0" w:beforeAutospacing="0" w:after="0" w:afterAutospacing="0"/>
              <w:ind w:left="0" w:right="0" w:firstLine="480"/>
              <w:rPr>
                <w:rFonts w:hint="default"/>
                <w:color w:val="auto"/>
                <w:kern w:val="0"/>
                <w:highlight w:val="none"/>
                <w:lang w:bidi="ar"/>
              </w:rPr>
            </w:pPr>
            <w:r>
              <w:rPr>
                <w:rFonts w:hint="default"/>
                <w:color w:val="auto"/>
                <w:kern w:val="0"/>
                <w:highlight w:val="none"/>
                <w:lang w:bidi="ar"/>
              </w:rPr>
              <w:t>（2）特征污染物</w:t>
            </w:r>
          </w:p>
          <w:p>
            <w:pPr>
              <w:keepNext w:val="0"/>
              <w:keepLines w:val="0"/>
              <w:suppressLineNumbers w:val="0"/>
              <w:spacing w:before="0" w:beforeAutospacing="0" w:after="0" w:afterAutospacing="0"/>
              <w:ind w:left="0" w:right="0" w:firstLine="480"/>
              <w:rPr>
                <w:rFonts w:hint="default"/>
                <w:snapToGrid w:val="0"/>
                <w:color w:val="auto"/>
                <w:lang w:bidi="ar"/>
              </w:rPr>
            </w:pPr>
            <w:r>
              <w:rPr>
                <w:rFonts w:hint="eastAsia"/>
                <w:color w:val="auto"/>
                <w:lang w:bidi="ar"/>
              </w:rPr>
              <w:t>本项目特征污染物为非甲烷总烃</w:t>
            </w:r>
            <w:r>
              <w:rPr>
                <w:rFonts w:hint="default"/>
                <w:color w:val="auto"/>
                <w:lang w:bidi="ar"/>
              </w:rPr>
              <w:t>，</w:t>
            </w:r>
            <w:r>
              <w:rPr>
                <w:rFonts w:hint="default"/>
                <w:snapToGrid w:val="0"/>
                <w:color w:val="auto"/>
                <w:lang w:bidi="ar"/>
              </w:rPr>
              <w:t>根据《环境影响评价技术导则——大气环境》（HJ2.2-2018），应调查所在区域环境质量</w:t>
            </w:r>
            <w:r>
              <w:rPr>
                <w:rFonts w:hint="eastAsia"/>
                <w:snapToGrid w:val="0"/>
                <w:color w:val="auto"/>
                <w:lang w:bidi="ar"/>
              </w:rPr>
              <w:t>是否</w:t>
            </w:r>
            <w:r>
              <w:rPr>
                <w:rFonts w:hint="default"/>
                <w:snapToGrid w:val="0"/>
                <w:color w:val="auto"/>
                <w:lang w:bidi="ar"/>
              </w:rPr>
              <w:t>达标。</w:t>
            </w:r>
            <w:r>
              <w:rPr>
                <w:rFonts w:hint="eastAsia"/>
                <w:snapToGrid w:val="0"/>
                <w:color w:val="auto"/>
                <w:lang w:bidi="ar"/>
              </w:rPr>
              <w:t>建设单位委托云南方源科技有限公司于2022年</w:t>
            </w:r>
            <w:r>
              <w:rPr>
                <w:rFonts w:hint="eastAsia"/>
                <w:snapToGrid w:val="0"/>
                <w:color w:val="auto"/>
                <w:lang w:val="en-US" w:eastAsia="zh-CN" w:bidi="ar"/>
              </w:rPr>
              <w:t>11</w:t>
            </w:r>
            <w:r>
              <w:rPr>
                <w:rFonts w:hint="eastAsia"/>
                <w:snapToGrid w:val="0"/>
                <w:color w:val="auto"/>
                <w:lang w:bidi="ar"/>
              </w:rPr>
              <w:t>月</w:t>
            </w:r>
            <w:r>
              <w:rPr>
                <w:rFonts w:hint="eastAsia"/>
                <w:snapToGrid w:val="0"/>
                <w:color w:val="auto"/>
                <w:lang w:val="en-US" w:eastAsia="zh-CN" w:bidi="ar"/>
              </w:rPr>
              <w:t>20</w:t>
            </w:r>
            <w:r>
              <w:rPr>
                <w:rFonts w:hint="eastAsia"/>
                <w:snapToGrid w:val="0"/>
                <w:color w:val="auto"/>
                <w:lang w:bidi="ar"/>
              </w:rPr>
              <w:t>日-</w:t>
            </w:r>
            <w:r>
              <w:rPr>
                <w:rFonts w:hint="eastAsia"/>
                <w:snapToGrid w:val="0"/>
                <w:color w:val="auto"/>
                <w:lang w:val="en-US" w:eastAsia="zh-CN" w:bidi="ar"/>
              </w:rPr>
              <w:t>22</w:t>
            </w:r>
            <w:r>
              <w:rPr>
                <w:rFonts w:hint="eastAsia"/>
                <w:snapToGrid w:val="0"/>
                <w:color w:val="auto"/>
                <w:lang w:bidi="ar"/>
              </w:rPr>
              <w:t>日对项目区域环境内的非甲烷总烃及颗粒物进行监测。</w:t>
            </w:r>
            <w:r>
              <w:rPr>
                <w:rFonts w:hint="default"/>
                <w:color w:val="auto"/>
              </w:rPr>
              <w:t>监测结果见下表。</w:t>
            </w:r>
          </w:p>
          <w:p>
            <w:pPr>
              <w:pStyle w:val="76"/>
              <w:keepNext w:val="0"/>
              <w:keepLines w:val="0"/>
              <w:suppressLineNumbers w:val="0"/>
              <w:spacing w:before="0" w:beforeAutospacing="0" w:after="0" w:afterAutospacing="0"/>
              <w:ind w:left="0" w:right="0"/>
              <w:rPr>
                <w:rFonts w:hint="default"/>
                <w:color w:val="auto"/>
              </w:rPr>
            </w:pPr>
            <w:r>
              <w:rPr>
                <w:rFonts w:hint="default"/>
                <w:color w:val="auto"/>
              </w:rPr>
              <w:t>表3-</w:t>
            </w:r>
            <w:r>
              <w:rPr>
                <w:rFonts w:hint="eastAsia"/>
                <w:color w:val="auto"/>
              </w:rPr>
              <w:t xml:space="preserve">2   </w:t>
            </w:r>
            <w:r>
              <w:rPr>
                <w:rFonts w:hint="default"/>
                <w:color w:val="auto"/>
              </w:rPr>
              <w:t>特征污染物</w:t>
            </w:r>
            <w:r>
              <w:rPr>
                <w:rFonts w:hint="eastAsia"/>
                <w:color w:val="auto"/>
              </w:rPr>
              <w:t>（非甲烷总烃）</w:t>
            </w:r>
            <w:r>
              <w:rPr>
                <w:rFonts w:hint="default"/>
                <w:color w:val="auto"/>
              </w:rPr>
              <w:t>环境空气监测结果表</w:t>
            </w:r>
            <w:r>
              <w:rPr>
                <w:rFonts w:hint="default"/>
                <w:color w:val="auto"/>
              </w:rPr>
              <w:tab/>
            </w:r>
            <w:r>
              <w:rPr>
                <w:rFonts w:hint="default"/>
                <w:color w:val="auto"/>
              </w:rPr>
              <w:t xml:space="preserve">  单位： mg/m</w:t>
            </w:r>
            <w:r>
              <w:rPr>
                <w:rFonts w:hint="default"/>
                <w:color w:val="auto"/>
                <w:vertAlign w:val="superscript"/>
              </w:rPr>
              <w:t>3</w:t>
            </w:r>
          </w:p>
          <w:tbl>
            <w:tblPr>
              <w:tblStyle w:val="22"/>
              <w:tblW w:w="83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1161"/>
              <w:gridCol w:w="1556"/>
              <w:gridCol w:w="1984"/>
              <w:gridCol w:w="1148"/>
              <w:gridCol w:w="1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tcBorders>
                    <w:top w:val="single" w:color="000000" w:sz="4" w:space="0"/>
                    <w:left w:val="single" w:color="000000" w:sz="4" w:space="0"/>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b/>
                      <w:bCs/>
                      <w:color w:val="auto"/>
                      <w:lang w:bidi="ar"/>
                    </w:rPr>
                  </w:pPr>
                  <w:r>
                    <w:rPr>
                      <w:rFonts w:hint="default"/>
                      <w:b/>
                      <w:bCs/>
                      <w:color w:val="auto"/>
                      <w:lang w:bidi="ar"/>
                    </w:rPr>
                    <w:t>检测项目</w:t>
                  </w:r>
                </w:p>
              </w:tc>
              <w:tc>
                <w:tcPr>
                  <w:tcW w:w="1161"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b/>
                      <w:bCs/>
                      <w:color w:val="auto"/>
                      <w:lang w:bidi="ar"/>
                    </w:rPr>
                  </w:pPr>
                  <w:r>
                    <w:rPr>
                      <w:rFonts w:hint="default"/>
                      <w:b/>
                      <w:bCs/>
                      <w:color w:val="auto"/>
                      <w:lang w:bidi="ar"/>
                    </w:rPr>
                    <w:t>采样点位</w:t>
                  </w:r>
                </w:p>
              </w:tc>
              <w:tc>
                <w:tcPr>
                  <w:tcW w:w="1556"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b/>
                      <w:bCs/>
                      <w:color w:val="auto"/>
                      <w:lang w:bidi="ar"/>
                    </w:rPr>
                  </w:pPr>
                  <w:r>
                    <w:rPr>
                      <w:rFonts w:hint="default"/>
                      <w:b/>
                      <w:bCs/>
                      <w:color w:val="auto"/>
                      <w:lang w:bidi="ar"/>
                    </w:rPr>
                    <w:t>采样日期</w:t>
                  </w: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b/>
                      <w:bCs/>
                      <w:color w:val="auto"/>
                      <w:lang w:bidi="ar"/>
                    </w:rPr>
                  </w:pPr>
                  <w:r>
                    <w:rPr>
                      <w:rFonts w:hint="default"/>
                      <w:b/>
                      <w:bCs/>
                      <w:color w:val="auto"/>
                      <w:lang w:bidi="ar"/>
                    </w:rPr>
                    <w:t>检测结果</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b/>
                      <w:bCs/>
                      <w:color w:val="auto"/>
                      <w:lang w:bidi="ar"/>
                    </w:rPr>
                  </w:pPr>
                  <w:r>
                    <w:rPr>
                      <w:rFonts w:hint="default"/>
                      <w:b/>
                      <w:bCs/>
                      <w:color w:val="auto"/>
                      <w:lang w:bidi="ar"/>
                    </w:rPr>
                    <w:t>标准</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b/>
                      <w:bCs/>
                      <w:color w:val="auto"/>
                      <w:lang w:bidi="ar"/>
                    </w:rPr>
                  </w:pPr>
                  <w:r>
                    <w:rPr>
                      <w:rFonts w:hint="default"/>
                      <w:b/>
                      <w:bCs/>
                      <w:color w:val="auto"/>
                      <w:lang w:bidi="ar"/>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vMerge w:val="restart"/>
                  <w:tcBorders>
                    <w:top w:val="single" w:color="000000" w:sz="4" w:space="0"/>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非甲烷总烃</w:t>
                  </w:r>
                </w:p>
              </w:tc>
              <w:tc>
                <w:tcPr>
                  <w:tcW w:w="1161" w:type="dxa"/>
                  <w:vMerge w:val="restart"/>
                  <w:tcBorders>
                    <w:top w:val="single" w:color="000000" w:sz="4" w:space="0"/>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项目区内</w:t>
                  </w:r>
                </w:p>
              </w:tc>
              <w:tc>
                <w:tcPr>
                  <w:tcW w:w="1556" w:type="dxa"/>
                  <w:vMerge w:val="restart"/>
                  <w:tcBorders>
                    <w:top w:val="single" w:color="000000" w:sz="4" w:space="0"/>
                    <w:left w:val="nil"/>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eastAsia"/>
                      <w:color w:val="auto"/>
                    </w:rPr>
                    <w:t>2022.</w:t>
                  </w:r>
                  <w:r>
                    <w:rPr>
                      <w:rFonts w:hint="eastAsia"/>
                      <w:color w:val="auto"/>
                      <w:lang w:val="en-US" w:eastAsia="zh-CN"/>
                    </w:rPr>
                    <w:t>11</w:t>
                  </w:r>
                  <w:r>
                    <w:rPr>
                      <w:rFonts w:hint="eastAsia"/>
                      <w:color w:val="auto"/>
                    </w:rPr>
                    <w:t>.</w:t>
                  </w:r>
                  <w:r>
                    <w:rPr>
                      <w:rFonts w:hint="eastAsia"/>
                      <w:color w:val="auto"/>
                      <w:lang w:val="en-US" w:eastAsia="zh-CN"/>
                    </w:rPr>
                    <w:t>20</w:t>
                  </w: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0.95</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lang w:bidi="ar"/>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jc w:val="both"/>
                    <w:rPr>
                      <w:rFonts w:hint="default"/>
                      <w:color w:val="auto"/>
                      <w:lang w:bidi="ar"/>
                    </w:rPr>
                  </w:pPr>
                </w:p>
              </w:tc>
              <w:tc>
                <w:tcPr>
                  <w:tcW w:w="1161"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556"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0.84</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161"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556"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0.82</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161"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556" w:type="dxa"/>
                  <w:vMerge w:val="continue"/>
                  <w:tcBorders>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0.75</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161"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556" w:type="dxa"/>
                  <w:vMerge w:val="restart"/>
                  <w:tcBorders>
                    <w:top w:val="single" w:color="000000" w:sz="4" w:space="0"/>
                    <w:left w:val="nil"/>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eastAsia"/>
                      <w:color w:val="auto"/>
                    </w:rPr>
                    <w:t>2022.</w:t>
                  </w:r>
                  <w:r>
                    <w:rPr>
                      <w:rFonts w:hint="eastAsia"/>
                      <w:color w:val="auto"/>
                      <w:lang w:val="en-US" w:eastAsia="zh-CN"/>
                    </w:rPr>
                    <w:t>11</w:t>
                  </w:r>
                  <w:r>
                    <w:rPr>
                      <w:rFonts w:hint="eastAsia"/>
                      <w:color w:val="auto"/>
                    </w:rPr>
                    <w:t>.</w:t>
                  </w:r>
                  <w:r>
                    <w:rPr>
                      <w:rFonts w:hint="eastAsia"/>
                      <w:color w:val="auto"/>
                      <w:lang w:val="en-US" w:eastAsia="zh-CN"/>
                    </w:rPr>
                    <w:t>21</w:t>
                  </w: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0.88</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161"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556"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0.73</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161"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556"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0.90</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161"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556" w:type="dxa"/>
                  <w:vMerge w:val="continue"/>
                  <w:tcBorders>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0.65</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161"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556" w:type="dxa"/>
                  <w:vMerge w:val="restart"/>
                  <w:tcBorders>
                    <w:top w:val="single" w:color="000000" w:sz="4" w:space="0"/>
                    <w:left w:val="nil"/>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eastAsia"/>
                      <w:color w:val="auto"/>
                    </w:rPr>
                    <w:t>2022.</w:t>
                  </w:r>
                  <w:r>
                    <w:rPr>
                      <w:rFonts w:hint="eastAsia"/>
                      <w:color w:val="auto"/>
                      <w:lang w:val="en-US" w:eastAsia="zh-CN"/>
                    </w:rPr>
                    <w:t>11</w:t>
                  </w:r>
                  <w:r>
                    <w:rPr>
                      <w:rFonts w:hint="eastAsia"/>
                      <w:color w:val="auto"/>
                    </w:rPr>
                    <w:t>.</w:t>
                  </w:r>
                  <w:r>
                    <w:rPr>
                      <w:rFonts w:hint="eastAsia"/>
                      <w:color w:val="auto"/>
                      <w:lang w:val="en-US" w:eastAsia="zh-CN"/>
                    </w:rPr>
                    <w:t>2</w:t>
                  </w:r>
                  <w:r>
                    <w:rPr>
                      <w:rFonts w:hint="eastAsia"/>
                      <w:color w:val="auto"/>
                    </w:rPr>
                    <w:t>2</w:t>
                  </w: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0.69</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161"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556"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0.84</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161"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556" w:type="dxa"/>
                  <w:vMerge w:val="continue"/>
                  <w:tcBorders>
                    <w:left w:val="nil"/>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0.58</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161" w:type="dxa"/>
                  <w:vMerge w:val="continue"/>
                  <w:tcBorders>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556" w:type="dxa"/>
                  <w:vMerge w:val="continue"/>
                  <w:tcBorders>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lang w:bidi="ar"/>
                    </w:rPr>
                  </w:pPr>
                </w:p>
              </w:tc>
              <w:tc>
                <w:tcPr>
                  <w:tcW w:w="1984"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bidi="ar"/>
                    </w:rPr>
                  </w:pPr>
                  <w:r>
                    <w:rPr>
                      <w:rFonts w:hint="eastAsia"/>
                      <w:color w:val="auto"/>
                      <w:lang w:val="en-US" w:eastAsia="zh-CN" w:bidi="ar"/>
                    </w:rPr>
                    <w:t>0.70</w:t>
                  </w:r>
                </w:p>
              </w:tc>
              <w:tc>
                <w:tcPr>
                  <w:tcW w:w="1148"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2</w:t>
                  </w:r>
                </w:p>
              </w:tc>
              <w:tc>
                <w:tcPr>
                  <w:tcW w:w="1455" w:type="dxa"/>
                  <w:tcBorders>
                    <w:top w:val="single" w:color="000000" w:sz="4" w:space="0"/>
                    <w:left w:val="nil"/>
                    <w:bottom w:val="single" w:color="000000" w:sz="4" w:space="0"/>
                    <w:right w:val="single" w:color="000000"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lang w:bidi="ar"/>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restart"/>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项目区下风向</w:t>
                  </w:r>
                  <w:r>
                    <w:rPr>
                      <w:rFonts w:hint="eastAsia"/>
                      <w:color w:val="auto"/>
                    </w:rPr>
                    <w:t>500处</w:t>
                  </w:r>
                </w:p>
              </w:tc>
              <w:tc>
                <w:tcPr>
                  <w:tcW w:w="1556" w:type="dxa"/>
                  <w:vMerge w:val="restart"/>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rPr>
                    <w:t>2022.</w:t>
                  </w:r>
                  <w:r>
                    <w:rPr>
                      <w:rFonts w:hint="eastAsia"/>
                      <w:color w:val="auto"/>
                      <w:lang w:val="en-US" w:eastAsia="zh-CN"/>
                    </w:rPr>
                    <w:t>11</w:t>
                  </w:r>
                  <w:r>
                    <w:rPr>
                      <w:rFonts w:hint="eastAsia"/>
                      <w:color w:val="auto"/>
                    </w:rPr>
                    <w:t>.</w:t>
                  </w:r>
                  <w:r>
                    <w:rPr>
                      <w:rFonts w:hint="eastAsia"/>
                      <w:color w:val="auto"/>
                      <w:lang w:val="en-US" w:eastAsia="zh-CN"/>
                    </w:rPr>
                    <w:t>20</w:t>
                  </w: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0.66</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lang w:bidi="ar"/>
                    </w:rPr>
                  </w:pPr>
                  <w:r>
                    <w:rPr>
                      <w:rFonts w:hint="default"/>
                      <w:color w:val="auto"/>
                      <w:lang w:bidi="ar"/>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9"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556"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0.70</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556"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0.64</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556"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0.72</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556" w:type="dxa"/>
                  <w:vMerge w:val="restart"/>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rPr>
                    <w:t>2022.</w:t>
                  </w:r>
                  <w:r>
                    <w:rPr>
                      <w:rFonts w:hint="eastAsia"/>
                      <w:color w:val="auto"/>
                      <w:lang w:val="en-US" w:eastAsia="zh-CN"/>
                    </w:rPr>
                    <w:t>11</w:t>
                  </w:r>
                  <w:r>
                    <w:rPr>
                      <w:rFonts w:hint="eastAsia"/>
                      <w:color w:val="auto"/>
                    </w:rPr>
                    <w:t>.</w:t>
                  </w:r>
                  <w:r>
                    <w:rPr>
                      <w:rFonts w:hint="eastAsia"/>
                      <w:color w:val="auto"/>
                      <w:lang w:val="en-US" w:eastAsia="zh-CN"/>
                    </w:rPr>
                    <w:t>21</w:t>
                  </w: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0.54</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556"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0.32</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556"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0.55</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556"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0.48</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556" w:type="dxa"/>
                  <w:vMerge w:val="restart"/>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2022.</w:t>
                  </w:r>
                  <w:r>
                    <w:rPr>
                      <w:rFonts w:hint="eastAsia"/>
                      <w:color w:val="auto"/>
                      <w:lang w:val="en-US" w:eastAsia="zh-CN"/>
                    </w:rPr>
                    <w:t>11</w:t>
                  </w:r>
                  <w:r>
                    <w:rPr>
                      <w:rFonts w:hint="eastAsia"/>
                      <w:color w:val="auto"/>
                    </w:rPr>
                    <w:t>.</w:t>
                  </w:r>
                  <w:r>
                    <w:rPr>
                      <w:rFonts w:hint="eastAsia"/>
                      <w:color w:val="auto"/>
                      <w:lang w:val="en-US" w:eastAsia="zh-CN"/>
                    </w:rPr>
                    <w:t>2</w:t>
                  </w:r>
                  <w:r>
                    <w:rPr>
                      <w:rFonts w:hint="eastAsia"/>
                      <w:color w:val="auto"/>
                    </w:rPr>
                    <w:t>2</w:t>
                  </w: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0.49</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556"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0.51</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556"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0.38</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1070" w:type="dxa"/>
                  <w:vMerge w:val="continue"/>
                  <w:tcBorders>
                    <w:left w:val="single" w:color="000000" w:sz="4" w:space="0"/>
                    <w:right w:val="single" w:color="000000"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161"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556"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984" w:type="dxa"/>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0.44</w:t>
                  </w:r>
                </w:p>
              </w:tc>
              <w:tc>
                <w:tcPr>
                  <w:tcW w:w="1148"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455"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达标</w:t>
                  </w:r>
                </w:p>
              </w:tc>
            </w:tr>
          </w:tbl>
          <w:p>
            <w:pPr>
              <w:pStyle w:val="76"/>
              <w:keepNext w:val="0"/>
              <w:keepLines w:val="0"/>
              <w:suppressLineNumbers w:val="0"/>
              <w:spacing w:before="0" w:beforeAutospacing="0" w:after="0" w:afterAutospacing="0"/>
              <w:ind w:left="0" w:right="0"/>
              <w:rPr>
                <w:rFonts w:hint="default"/>
                <w:color w:val="auto"/>
              </w:rPr>
            </w:pPr>
          </w:p>
          <w:p>
            <w:pPr>
              <w:pStyle w:val="76"/>
              <w:keepNext w:val="0"/>
              <w:keepLines w:val="0"/>
              <w:suppressLineNumbers w:val="0"/>
              <w:spacing w:before="0" w:beforeAutospacing="0" w:after="0" w:afterAutospacing="0"/>
              <w:ind w:left="0" w:right="0"/>
              <w:rPr>
                <w:rFonts w:hint="default"/>
                <w:color w:val="auto"/>
              </w:rPr>
            </w:pPr>
            <w:r>
              <w:rPr>
                <w:rFonts w:hint="default"/>
                <w:color w:val="auto"/>
              </w:rPr>
              <w:t>表3-</w:t>
            </w:r>
            <w:r>
              <w:rPr>
                <w:rFonts w:hint="eastAsia"/>
                <w:color w:val="auto"/>
              </w:rPr>
              <w:t xml:space="preserve">3   </w:t>
            </w:r>
            <w:r>
              <w:rPr>
                <w:rFonts w:hint="default"/>
                <w:color w:val="auto"/>
              </w:rPr>
              <w:t>特征污染物</w:t>
            </w:r>
            <w:r>
              <w:rPr>
                <w:rFonts w:hint="eastAsia"/>
                <w:color w:val="auto"/>
              </w:rPr>
              <w:t>（TSP）</w:t>
            </w:r>
            <w:r>
              <w:rPr>
                <w:rFonts w:hint="default"/>
                <w:color w:val="auto"/>
              </w:rPr>
              <w:t>环境空气监测结果表</w:t>
            </w:r>
            <w:r>
              <w:rPr>
                <w:rFonts w:hint="default"/>
                <w:color w:val="auto"/>
              </w:rPr>
              <w:tab/>
            </w:r>
            <w:r>
              <w:rPr>
                <w:rFonts w:hint="default"/>
                <w:color w:val="auto"/>
              </w:rPr>
              <w:t xml:space="preserve">  单位： mg/m</w:t>
            </w:r>
            <w:r>
              <w:rPr>
                <w:rFonts w:hint="default"/>
                <w:color w:val="auto"/>
                <w:vertAlign w:val="superscript"/>
              </w:rPr>
              <w:t>3</w:t>
            </w:r>
          </w:p>
          <w:tbl>
            <w:tblPr>
              <w:tblStyle w:val="22"/>
              <w:tblW w:w="8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1898"/>
              <w:gridCol w:w="1328"/>
              <w:gridCol w:w="1474"/>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trPr>
              <w:tc>
                <w:tcPr>
                  <w:tcW w:w="2334" w:type="dxa"/>
                  <w:vMerge w:val="restart"/>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r>
                    <w:rPr>
                      <w:rFonts w:hint="default"/>
                      <w:color w:val="auto"/>
                    </w:rPr>
                    <w:t>监测点位</w:t>
                  </w:r>
                </w:p>
              </w:tc>
              <w:tc>
                <w:tcPr>
                  <w:tcW w:w="6040" w:type="dxa"/>
                  <w:gridSpan w:val="4"/>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r>
                    <w:rPr>
                      <w:rFonts w:hint="default"/>
                      <w:color w:val="auto"/>
                    </w:rPr>
                    <w:t>24小时平均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 w:hRule="atLeast"/>
              </w:trPr>
              <w:tc>
                <w:tcPr>
                  <w:tcW w:w="2334" w:type="dxa"/>
                  <w:vMerge w:val="continue"/>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p>
              </w:tc>
              <w:tc>
                <w:tcPr>
                  <w:tcW w:w="189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r>
                    <w:rPr>
                      <w:rFonts w:hint="eastAsia"/>
                      <w:color w:val="auto"/>
                    </w:rPr>
                    <w:t>监测结果</w:t>
                  </w:r>
                  <w:r>
                    <w:rPr>
                      <w:rFonts w:hint="default"/>
                      <w:color w:val="auto"/>
                    </w:rPr>
                    <w:t>(</w:t>
                  </w:r>
                  <w:r>
                    <w:rPr>
                      <w:rFonts w:hint="eastAsia"/>
                      <w:color w:val="auto"/>
                    </w:rPr>
                    <w:t>mg</w:t>
                  </w:r>
                  <w:r>
                    <w:rPr>
                      <w:rFonts w:hint="default"/>
                      <w:color w:val="auto"/>
                    </w:rPr>
                    <w:t>/m</w:t>
                  </w:r>
                  <w:r>
                    <w:rPr>
                      <w:rFonts w:hint="default"/>
                      <w:color w:val="auto"/>
                      <w:vertAlign w:val="superscript"/>
                    </w:rPr>
                    <w:t>3</w:t>
                  </w:r>
                  <w:r>
                    <w:rPr>
                      <w:rFonts w:hint="default"/>
                      <w:color w:val="auto"/>
                    </w:rPr>
                    <w:t>)</w:t>
                  </w:r>
                </w:p>
              </w:tc>
              <w:tc>
                <w:tcPr>
                  <w:tcW w:w="132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r>
                    <w:rPr>
                      <w:rFonts w:hint="default"/>
                      <w:color w:val="auto"/>
                    </w:rPr>
                    <w:t>Pi范围</w:t>
                  </w:r>
                </w:p>
              </w:tc>
              <w:tc>
                <w:tcPr>
                  <w:tcW w:w="1474"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r>
                    <w:rPr>
                      <w:rFonts w:hint="default"/>
                      <w:color w:val="auto"/>
                    </w:rPr>
                    <w:t>标准(</w:t>
                  </w:r>
                  <w:r>
                    <w:rPr>
                      <w:rFonts w:hint="eastAsia"/>
                      <w:color w:val="auto"/>
                    </w:rPr>
                    <w:t>m</w:t>
                  </w:r>
                  <w:r>
                    <w:rPr>
                      <w:rFonts w:hint="default"/>
                      <w:color w:val="auto"/>
                    </w:rPr>
                    <w:t>g/m</w:t>
                  </w:r>
                  <w:r>
                    <w:rPr>
                      <w:rFonts w:hint="default"/>
                      <w:color w:val="auto"/>
                      <w:vertAlign w:val="superscript"/>
                    </w:rPr>
                    <w:t>3</w:t>
                  </w:r>
                  <w:r>
                    <w:rPr>
                      <w:rFonts w:hint="default"/>
                      <w:color w:val="auto"/>
                    </w:rPr>
                    <w:t>)</w:t>
                  </w:r>
                </w:p>
              </w:tc>
              <w:tc>
                <w:tcPr>
                  <w:tcW w:w="1340"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r>
                    <w:rPr>
                      <w:rFonts w:hint="default"/>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 w:hRule="atLeast"/>
              </w:trPr>
              <w:tc>
                <w:tcPr>
                  <w:tcW w:w="2334" w:type="dxa"/>
                  <w:vMerge w:val="restart"/>
                  <w:tcBorders>
                    <w:top w:val="single" w:color="auto" w:sz="4" w:space="0"/>
                    <w:left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项目区内</w:t>
                  </w:r>
                </w:p>
              </w:tc>
              <w:tc>
                <w:tcPr>
                  <w:tcW w:w="189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0.240</w:t>
                  </w:r>
                </w:p>
              </w:tc>
              <w:tc>
                <w:tcPr>
                  <w:tcW w:w="132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0.80</w:t>
                  </w:r>
                </w:p>
              </w:tc>
              <w:tc>
                <w:tcPr>
                  <w:tcW w:w="1474" w:type="dxa"/>
                  <w:vMerge w:val="restart"/>
                  <w:tcBorders>
                    <w:top w:val="single" w:color="auto" w:sz="4" w:space="0"/>
                    <w:left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r>
                    <w:rPr>
                      <w:rFonts w:hint="eastAsia"/>
                      <w:color w:val="auto"/>
                    </w:rPr>
                    <w:t>0.</w:t>
                  </w:r>
                  <w:r>
                    <w:rPr>
                      <w:rFonts w:hint="default"/>
                      <w:color w:val="auto"/>
                    </w:rPr>
                    <w:t>3</w:t>
                  </w:r>
                </w:p>
              </w:tc>
              <w:tc>
                <w:tcPr>
                  <w:tcW w:w="1340"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0" w:hRule="atLeast"/>
              </w:trPr>
              <w:tc>
                <w:tcPr>
                  <w:tcW w:w="2334" w:type="dxa"/>
                  <w:vMerge w:val="continue"/>
                  <w:tcBorders>
                    <w:left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p>
              </w:tc>
              <w:tc>
                <w:tcPr>
                  <w:tcW w:w="189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0.213</w:t>
                  </w:r>
                </w:p>
              </w:tc>
              <w:tc>
                <w:tcPr>
                  <w:tcW w:w="132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0.71</w:t>
                  </w:r>
                </w:p>
              </w:tc>
              <w:tc>
                <w:tcPr>
                  <w:tcW w:w="1474" w:type="dxa"/>
                  <w:vMerge w:val="continue"/>
                  <w:tcBorders>
                    <w:left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 w:hRule="atLeast"/>
              </w:trPr>
              <w:tc>
                <w:tcPr>
                  <w:tcW w:w="2334" w:type="dxa"/>
                  <w:vMerge w:val="continue"/>
                  <w:tcBorders>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p>
              </w:tc>
              <w:tc>
                <w:tcPr>
                  <w:tcW w:w="189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0.258</w:t>
                  </w:r>
                </w:p>
              </w:tc>
              <w:tc>
                <w:tcPr>
                  <w:tcW w:w="132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0.86</w:t>
                  </w:r>
                </w:p>
              </w:tc>
              <w:tc>
                <w:tcPr>
                  <w:tcW w:w="1474" w:type="dxa"/>
                  <w:vMerge w:val="continue"/>
                  <w:tcBorders>
                    <w:left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leftChars="0" w:right="0" w:rightChars="0" w:firstLine="0" w:firstLineChars="0"/>
                    <w:rPr>
                      <w:rFonts w:hint="default"/>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2334" w:type="dxa"/>
                  <w:vMerge w:val="restart"/>
                  <w:tcBorders>
                    <w:top w:val="single" w:color="auto" w:sz="4" w:space="0"/>
                    <w:left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r>
                    <w:rPr>
                      <w:rFonts w:hint="default"/>
                      <w:color w:val="auto"/>
                      <w:szCs w:val="21"/>
                    </w:rPr>
                    <w:t>项目区下风向</w:t>
                  </w:r>
                  <w:r>
                    <w:rPr>
                      <w:rFonts w:hint="eastAsia"/>
                      <w:color w:val="auto"/>
                      <w:szCs w:val="21"/>
                    </w:rPr>
                    <w:t>500处</w:t>
                  </w:r>
                </w:p>
              </w:tc>
              <w:tc>
                <w:tcPr>
                  <w:tcW w:w="189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0.188</w:t>
                  </w:r>
                </w:p>
              </w:tc>
              <w:tc>
                <w:tcPr>
                  <w:tcW w:w="132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0.63</w:t>
                  </w:r>
                </w:p>
              </w:tc>
              <w:tc>
                <w:tcPr>
                  <w:tcW w:w="1474" w:type="dxa"/>
                  <w:vMerge w:val="continue"/>
                  <w:tcBorders>
                    <w:left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2334" w:type="dxa"/>
                  <w:vMerge w:val="continue"/>
                  <w:tcBorders>
                    <w:left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p>
              </w:tc>
              <w:tc>
                <w:tcPr>
                  <w:tcW w:w="189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0.205</w:t>
                  </w:r>
                </w:p>
              </w:tc>
              <w:tc>
                <w:tcPr>
                  <w:tcW w:w="132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0.68</w:t>
                  </w:r>
                </w:p>
              </w:tc>
              <w:tc>
                <w:tcPr>
                  <w:tcW w:w="1474" w:type="dxa"/>
                  <w:vMerge w:val="continue"/>
                  <w:tcBorders>
                    <w:left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2334" w:type="dxa"/>
                  <w:vMerge w:val="continue"/>
                  <w:tcBorders>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szCs w:val="21"/>
                    </w:rPr>
                  </w:pPr>
                </w:p>
              </w:tc>
              <w:tc>
                <w:tcPr>
                  <w:tcW w:w="189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0.170</w:t>
                  </w:r>
                </w:p>
              </w:tc>
              <w:tc>
                <w:tcPr>
                  <w:tcW w:w="1328"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0.57</w:t>
                  </w:r>
                </w:p>
              </w:tc>
              <w:tc>
                <w:tcPr>
                  <w:tcW w:w="1474" w:type="dxa"/>
                  <w:vMerge w:val="continue"/>
                  <w:tcBorders>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达标</w:t>
                  </w:r>
                </w:p>
              </w:tc>
            </w:tr>
          </w:tbl>
          <w:p>
            <w:pPr>
              <w:pStyle w:val="49"/>
              <w:keepNext w:val="0"/>
              <w:keepLines w:val="0"/>
              <w:suppressLineNumbers w:val="0"/>
              <w:spacing w:before="0" w:beforeAutospacing="0" w:after="0" w:afterAutospacing="0"/>
              <w:ind w:left="0" w:right="0"/>
              <w:rPr>
                <w:rFonts w:hint="default"/>
                <w:color w:val="auto"/>
              </w:rPr>
            </w:pPr>
            <w:r>
              <w:rPr>
                <w:rFonts w:hint="default"/>
                <w:color w:val="auto"/>
              </w:rPr>
              <w:t>根据</w:t>
            </w:r>
            <w:r>
              <w:rPr>
                <w:rFonts w:hint="eastAsia"/>
                <w:color w:val="auto"/>
              </w:rPr>
              <w:t>上表</w:t>
            </w:r>
            <w:r>
              <w:rPr>
                <w:rFonts w:hint="default"/>
                <w:color w:val="auto"/>
              </w:rPr>
              <w:t>监测结果，</w:t>
            </w:r>
            <w:r>
              <w:rPr>
                <w:rFonts w:hint="eastAsia"/>
                <w:color w:val="auto"/>
              </w:rPr>
              <w:t>TSP监测因子满足《环境空气质量标准》(GB3095-2012)中二级标准。</w:t>
            </w:r>
            <w:r>
              <w:rPr>
                <w:rFonts w:hint="default"/>
                <w:color w:val="auto"/>
              </w:rPr>
              <w:t>非甲烷总烃现状值低于《大气污染物综合排放标准详解》244页中2.0mg/m</w:t>
            </w:r>
            <w:r>
              <w:rPr>
                <w:rFonts w:hint="default"/>
                <w:color w:val="auto"/>
                <w:vertAlign w:val="superscript"/>
              </w:rPr>
              <w:t>3</w:t>
            </w:r>
            <w:r>
              <w:rPr>
                <w:rFonts w:hint="default"/>
                <w:color w:val="auto"/>
              </w:rPr>
              <w:t>环境质量标准限值；项目环境空气质量较好。</w:t>
            </w:r>
          </w:p>
          <w:p>
            <w:pPr>
              <w:pStyle w:val="51"/>
              <w:keepNext w:val="0"/>
              <w:keepLines w:val="0"/>
              <w:suppressLineNumbers w:val="0"/>
              <w:spacing w:before="0" w:beforeAutospacing="0" w:after="0" w:afterAutospacing="0"/>
              <w:ind w:left="0" w:right="0" w:firstLine="480"/>
              <w:rPr>
                <w:rFonts w:hint="default"/>
                <w:color w:val="auto"/>
              </w:rPr>
            </w:pPr>
            <w:r>
              <w:rPr>
                <w:rFonts w:hint="default"/>
                <w:color w:val="auto"/>
              </w:rPr>
              <w:t>2、地表水环境质量现状</w:t>
            </w:r>
          </w:p>
          <w:p>
            <w:pPr>
              <w:keepNext w:val="0"/>
              <w:keepLines w:val="0"/>
              <w:suppressLineNumbers w:val="0"/>
              <w:spacing w:before="0" w:beforeAutospacing="0" w:after="0" w:afterAutospacing="0"/>
              <w:ind w:left="0" w:right="0" w:firstLine="470" w:firstLineChars="196"/>
              <w:contextualSpacing/>
              <w:jc w:val="left"/>
              <w:rPr>
                <w:rFonts w:hint="default"/>
                <w:color w:val="auto"/>
              </w:rPr>
            </w:pPr>
            <w:r>
              <w:rPr>
                <w:rFonts w:hint="default"/>
                <w:color w:val="auto"/>
              </w:rPr>
              <w:t>根据现场踏勘及调查，距</w:t>
            </w:r>
            <w:r>
              <w:rPr>
                <w:rFonts w:hint="default"/>
                <w:color w:val="auto"/>
                <w:lang w:bidi="ar"/>
              </w:rPr>
              <w:t>项目区最近地表水主要为</w:t>
            </w:r>
            <w:r>
              <w:rPr>
                <w:rFonts w:hint="eastAsia"/>
                <w:color w:val="auto"/>
                <w:lang w:val="en-US" w:eastAsia="zh-CN" w:bidi="ar"/>
              </w:rPr>
              <w:t>北</w:t>
            </w:r>
            <w:r>
              <w:rPr>
                <w:rFonts w:hint="default"/>
                <w:color w:val="auto"/>
              </w:rPr>
              <w:t>侧</w:t>
            </w:r>
            <w:r>
              <w:rPr>
                <w:rFonts w:hint="eastAsia"/>
                <w:color w:val="auto"/>
                <w:lang w:val="en-US" w:eastAsia="zh-CN"/>
              </w:rPr>
              <w:t>2</w:t>
            </w:r>
            <w:r>
              <w:rPr>
                <w:rFonts w:hint="default"/>
                <w:color w:val="auto"/>
              </w:rPr>
              <w:t>0m处的</w:t>
            </w:r>
            <w:r>
              <w:rPr>
                <w:rFonts w:hint="eastAsia"/>
                <w:color w:val="auto"/>
                <w:lang w:val="en-US" w:eastAsia="zh-CN"/>
              </w:rPr>
              <w:t>芒市大河</w:t>
            </w:r>
            <w:r>
              <w:rPr>
                <w:rFonts w:hint="default"/>
                <w:color w:val="auto"/>
              </w:rPr>
              <w:t>，根据《云南省水功能区划报告2014》可知，项目区所属的芒市大河属于“木康水文站-等戛水文站”河段，主要功能为工业、农业、景观用水，水质现状为</w:t>
            </w:r>
            <w:r>
              <w:rPr>
                <w:rFonts w:hint="eastAsia" w:ascii="宋体" w:hAnsi="宋体" w:cs="宋体"/>
                <w:color w:val="auto"/>
              </w:rPr>
              <w:t>Ⅳ</w:t>
            </w:r>
            <w:r>
              <w:rPr>
                <w:rFonts w:hint="default"/>
                <w:color w:val="auto"/>
              </w:rPr>
              <w:t>类，2020年水质标准为</w:t>
            </w:r>
            <w:r>
              <w:rPr>
                <w:rFonts w:hint="eastAsia" w:ascii="宋体" w:hAnsi="宋体" w:cs="宋体"/>
                <w:color w:val="auto"/>
              </w:rPr>
              <w:t>Ⅲ</w:t>
            </w:r>
            <w:r>
              <w:rPr>
                <w:rFonts w:hint="default"/>
                <w:color w:val="auto"/>
              </w:rPr>
              <w:t>类，2030年水质标准为</w:t>
            </w:r>
            <w:r>
              <w:rPr>
                <w:rFonts w:hint="eastAsia" w:ascii="宋体" w:hAnsi="宋体" w:cs="宋体"/>
                <w:color w:val="auto"/>
              </w:rPr>
              <w:t>Ⅲ</w:t>
            </w:r>
            <w:r>
              <w:rPr>
                <w:rFonts w:hint="default"/>
                <w:color w:val="auto"/>
              </w:rPr>
              <w:t>类。因此，执行《地表水环境质量标准》（GB3838-2002）</w:t>
            </w:r>
            <w:r>
              <w:rPr>
                <w:rFonts w:hint="eastAsia" w:ascii="宋体" w:hAnsi="宋体" w:cs="宋体"/>
                <w:color w:val="auto"/>
              </w:rPr>
              <w:t>Ⅲ</w:t>
            </w:r>
            <w:r>
              <w:rPr>
                <w:rFonts w:hint="default"/>
                <w:color w:val="auto"/>
              </w:rPr>
              <w:t>类标准。</w:t>
            </w:r>
          </w:p>
          <w:p>
            <w:pPr>
              <w:keepNext w:val="0"/>
              <w:keepLines w:val="0"/>
              <w:suppressLineNumbers w:val="0"/>
              <w:spacing w:before="0" w:beforeAutospacing="0" w:after="0" w:afterAutospacing="0"/>
              <w:ind w:left="0" w:right="0" w:firstLine="480"/>
              <w:contextualSpacing/>
              <w:rPr>
                <w:rFonts w:hint="eastAsia"/>
                <w:color w:val="auto"/>
              </w:rPr>
            </w:pPr>
            <w:r>
              <w:rPr>
                <w:rFonts w:hint="eastAsia"/>
                <w:color w:val="auto"/>
              </w:rPr>
              <w:t>本次评价地表水质量现状</w:t>
            </w:r>
            <w:r>
              <w:rPr>
                <w:rFonts w:hint="eastAsia"/>
                <w:color w:val="auto"/>
                <w:lang w:val="en-US" w:eastAsia="zh-CN"/>
              </w:rPr>
              <w:t>引用</w:t>
            </w:r>
            <w:r>
              <w:rPr>
                <w:rFonts w:hint="eastAsia"/>
                <w:color w:val="auto"/>
                <w:lang w:eastAsia="zh-CN"/>
              </w:rPr>
              <w:t>“</w:t>
            </w:r>
            <w:r>
              <w:rPr>
                <w:rFonts w:hint="eastAsia"/>
                <w:color w:val="auto"/>
                <w:lang w:val="en-US" w:eastAsia="zh-CN"/>
              </w:rPr>
              <w:t>2022年9月云南升环检测技术有限公司对芒市大河的监测结果</w:t>
            </w:r>
            <w:r>
              <w:rPr>
                <w:rFonts w:hint="eastAsia"/>
                <w:color w:val="auto"/>
                <w:lang w:eastAsia="zh-CN"/>
              </w:rPr>
              <w:t>”</w:t>
            </w:r>
            <w:r>
              <w:rPr>
                <w:rFonts w:hint="eastAsia"/>
                <w:color w:val="auto"/>
              </w:rPr>
              <w:t>中“</w:t>
            </w:r>
            <w:r>
              <w:rPr>
                <w:rFonts w:hint="eastAsia"/>
                <w:color w:val="auto"/>
                <w:lang w:val="en-US" w:eastAsia="zh-CN"/>
              </w:rPr>
              <w:t>芒市大河帕底片区最西边界下游500m处</w:t>
            </w:r>
            <w:r>
              <w:rPr>
                <w:rFonts w:hint="eastAsia"/>
                <w:color w:val="auto"/>
              </w:rPr>
              <w:t>”断面数据进行评价。</w:t>
            </w:r>
          </w:p>
          <w:p>
            <w:pPr>
              <w:pStyle w:val="2"/>
              <w:rPr>
                <w:rFonts w:hint="eastAsia"/>
              </w:rPr>
            </w:pPr>
          </w:p>
          <w:p>
            <w:pPr>
              <w:keepNext w:val="0"/>
              <w:keepLines w:val="0"/>
              <w:suppressLineNumbers w:val="0"/>
              <w:spacing w:before="0" w:beforeAutospacing="0" w:after="0" w:afterAutospacing="0"/>
              <w:ind w:left="0" w:right="0" w:firstLine="482"/>
              <w:contextualSpacing/>
              <w:jc w:val="center"/>
              <w:rPr>
                <w:rFonts w:hint="default" w:eastAsia="宋体"/>
                <w:b/>
                <w:color w:val="auto"/>
                <w:lang w:val="en-US" w:eastAsia="zh-CN"/>
              </w:rPr>
            </w:pPr>
            <w:r>
              <w:rPr>
                <w:rFonts w:hint="eastAsia"/>
                <w:b/>
                <w:color w:val="auto"/>
                <w:lang w:val="en-US" w:eastAsia="zh-CN"/>
              </w:rPr>
              <w:t>表</w:t>
            </w:r>
            <w:r>
              <w:rPr>
                <w:rFonts w:hint="eastAsia"/>
                <w:b/>
                <w:color w:val="auto"/>
              </w:rPr>
              <w:t>3-</w:t>
            </w:r>
            <w:r>
              <w:rPr>
                <w:rFonts w:hint="eastAsia"/>
                <w:b/>
                <w:color w:val="auto"/>
                <w:lang w:val="en-US" w:eastAsia="zh-CN"/>
              </w:rPr>
              <w:t>4</w:t>
            </w:r>
            <w:r>
              <w:rPr>
                <w:rFonts w:hint="eastAsia"/>
                <w:b/>
                <w:color w:val="auto"/>
              </w:rPr>
              <w:t xml:space="preserve">  </w:t>
            </w:r>
            <w:r>
              <w:rPr>
                <w:rFonts w:hint="eastAsia"/>
                <w:b/>
                <w:color w:val="auto"/>
                <w:lang w:val="en-US" w:eastAsia="zh-CN"/>
              </w:rPr>
              <w:t>引用的地表水监测数据</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1675"/>
              <w:gridCol w:w="1675"/>
              <w:gridCol w:w="1676"/>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监测项目</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采样日期</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芒市大河帕底片区下游500m</w:t>
                  </w:r>
                </w:p>
              </w:tc>
              <w:tc>
                <w:tcPr>
                  <w:tcW w:w="16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标准值（mg/L）</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pH</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6.6</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6-9</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6.6</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6.6</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高锰酸盐指数</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1.8</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6</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1.8</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1.8</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悬浮物</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21</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22</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24</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氟化物</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0.34</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1.0</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0.36</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0.38</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石油类</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0.02</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0.05</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0.03</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0.02</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化学需氧量</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13</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20</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15</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14</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氨氮</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0.472</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1.0</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0.462</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0.482</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汞（</w:t>
                  </w:r>
                  <w:r>
                    <w:rPr>
                      <w:rFonts w:hint="default" w:ascii="Times New Roman" w:hAnsi="Times New Roman" w:cs="Times New Roman"/>
                      <w:color w:val="auto"/>
                      <w:sz w:val="21"/>
                      <w:szCs w:val="21"/>
                      <w:vertAlign w:val="baseline"/>
                      <w:lang w:val="en-US" w:eastAsia="zh-CN"/>
                    </w:rPr>
                    <w:t>μ</w:t>
                  </w:r>
                  <w:r>
                    <w:rPr>
                      <w:rFonts w:hint="eastAsia"/>
                      <w:color w:val="auto"/>
                      <w:sz w:val="21"/>
                      <w:szCs w:val="21"/>
                      <w:vertAlign w:val="baseline"/>
                      <w:lang w:val="en-US" w:eastAsia="zh-CN"/>
                    </w:rPr>
                    <w:t>g/L）</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0.02L</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0.0001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0.02L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0.02L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六价铬</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0.004L</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0.05</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0.004L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0.004L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硒（</w:t>
                  </w:r>
                  <w:r>
                    <w:rPr>
                      <w:rFonts w:hint="default" w:ascii="Times New Roman" w:hAnsi="Times New Roman" w:cs="Times New Roman"/>
                      <w:color w:val="auto"/>
                      <w:sz w:val="21"/>
                      <w:szCs w:val="21"/>
                      <w:vertAlign w:val="baseline"/>
                      <w:lang w:val="en-US" w:eastAsia="zh-CN"/>
                    </w:rPr>
                    <w:t>μ</w:t>
                  </w:r>
                  <w:r>
                    <w:rPr>
                      <w:rFonts w:hint="eastAsia"/>
                      <w:color w:val="auto"/>
                      <w:sz w:val="21"/>
                      <w:szCs w:val="21"/>
                      <w:vertAlign w:val="baseline"/>
                      <w:lang w:val="en-US" w:eastAsia="zh-CN"/>
                    </w:rPr>
                    <w:t>g/L）</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0.4L</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10</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0.4L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0.4L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挥发酚</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0.0003L</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0.005</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0.0003L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0.0003L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粪大肠菌群（MPN/L）</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superscript"/>
                      <w:lang w:val="en-US" w:eastAsia="zh-CN"/>
                    </w:rPr>
                  </w:pPr>
                  <w:r>
                    <w:rPr>
                      <w:rFonts w:hint="eastAsia"/>
                      <w:color w:val="auto"/>
                      <w:sz w:val="21"/>
                      <w:szCs w:val="21"/>
                      <w:vertAlign w:val="baseline"/>
                      <w:lang w:val="en-US" w:eastAsia="zh-CN"/>
                    </w:rPr>
                    <w:t>1.1×10</w:t>
                  </w:r>
                  <w:r>
                    <w:rPr>
                      <w:rFonts w:hint="eastAsia"/>
                      <w:color w:val="auto"/>
                      <w:sz w:val="21"/>
                      <w:szCs w:val="21"/>
                      <w:vertAlign w:val="superscript"/>
                      <w:lang w:val="en-US" w:eastAsia="zh-CN"/>
                    </w:rPr>
                    <w:t>3</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10000</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1.7×10</w:t>
                  </w:r>
                  <w:r>
                    <w:rPr>
                      <w:rFonts w:hint="eastAsia"/>
                      <w:color w:val="auto"/>
                      <w:sz w:val="21"/>
                      <w:szCs w:val="21"/>
                      <w:vertAlign w:val="superscript"/>
                      <w:lang w:val="en-US" w:eastAsia="zh-CN"/>
                    </w:rPr>
                    <w:t>3</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1.7×10</w:t>
                  </w:r>
                  <w:r>
                    <w:rPr>
                      <w:rFonts w:hint="eastAsia"/>
                      <w:color w:val="auto"/>
                      <w:sz w:val="21"/>
                      <w:szCs w:val="21"/>
                      <w:vertAlign w:val="superscript"/>
                      <w:lang w:val="en-US" w:eastAsia="zh-CN"/>
                    </w:rPr>
                    <w:t>3</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铅</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0.01L</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0.05</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0.01L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0.01L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铜</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0.001L</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1.0</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0.001L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0.001L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锌</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0.05L</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1.0</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0.05L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0.05L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镉</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0.001L</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0.005</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0.001L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0.001L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阴离子表面活性剂</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0.05L</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0.05L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0.05L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subscript"/>
                      <w:lang w:val="en-US" w:eastAsia="zh-CN"/>
                    </w:rPr>
                  </w:pPr>
                  <w:r>
                    <w:rPr>
                      <w:rFonts w:hint="eastAsia"/>
                      <w:color w:val="auto"/>
                      <w:sz w:val="21"/>
                      <w:szCs w:val="21"/>
                      <w:vertAlign w:val="baseline"/>
                      <w:lang w:val="en-US" w:eastAsia="zh-CN"/>
                    </w:rPr>
                    <w:t>BOD</w:t>
                  </w:r>
                  <w:r>
                    <w:rPr>
                      <w:rFonts w:hint="eastAsia"/>
                      <w:color w:val="auto"/>
                      <w:sz w:val="21"/>
                      <w:szCs w:val="21"/>
                      <w:vertAlign w:val="subscript"/>
                      <w:lang w:val="en-US" w:eastAsia="zh-CN"/>
                    </w:rPr>
                    <w:t>5</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3.8</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4</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2.9</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3.3</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总氮</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0.76</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1.0</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0.71</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0.74</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溶解氧</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6.6</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≥5</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6.9</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7.0</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水温（℃）</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22.7</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23.6</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22.9</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总磷</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0.101</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0.063</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0.074</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硫化物</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0.01L</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0.01L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0.01L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砷（</w:t>
                  </w:r>
                  <w:r>
                    <w:rPr>
                      <w:rFonts w:hint="default" w:ascii="Times New Roman" w:hAnsi="Times New Roman" w:cs="Times New Roman"/>
                      <w:color w:val="auto"/>
                      <w:sz w:val="21"/>
                      <w:szCs w:val="21"/>
                      <w:vertAlign w:val="baseline"/>
                      <w:lang w:val="en-US" w:eastAsia="zh-CN"/>
                    </w:rPr>
                    <w:t>μ</w:t>
                  </w:r>
                  <w:r>
                    <w:rPr>
                      <w:rFonts w:hint="eastAsia"/>
                      <w:color w:val="auto"/>
                      <w:sz w:val="21"/>
                      <w:szCs w:val="21"/>
                      <w:vertAlign w:val="baseline"/>
                      <w:lang w:val="en-US" w:eastAsia="zh-CN"/>
                    </w:rPr>
                    <w:t>g/L）</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0.5</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50</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0.5</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0.5</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氰化物</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2022.09.21</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0.004L</w:t>
                  </w:r>
                </w:p>
              </w:tc>
              <w:tc>
                <w:tcPr>
                  <w:tcW w:w="167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0.2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2022.09.22</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0.004L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2022.09.23</w:t>
                  </w: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0.004L</w:t>
                  </w:r>
                </w:p>
              </w:tc>
              <w:tc>
                <w:tcPr>
                  <w:tcW w:w="167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p>
              </w:tc>
              <w:tc>
                <w:tcPr>
                  <w:tcW w:w="16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sz w:val="21"/>
                      <w:szCs w:val="21"/>
                      <w:vertAlign w:val="baseline"/>
                    </w:rPr>
                  </w:pPr>
                  <w:r>
                    <w:rPr>
                      <w:rFonts w:hint="eastAsia"/>
                      <w:color w:val="auto"/>
                      <w:sz w:val="21"/>
                      <w:szCs w:val="21"/>
                      <w:vertAlign w:val="baseline"/>
                      <w:lang w:val="en-US" w:eastAsia="zh-CN"/>
                    </w:rPr>
                    <w:t>达标</w:t>
                  </w:r>
                </w:p>
              </w:tc>
            </w:tr>
          </w:tbl>
          <w:p>
            <w:pPr>
              <w:keepNext w:val="0"/>
              <w:keepLines w:val="0"/>
              <w:suppressLineNumbers w:val="0"/>
              <w:spacing w:before="0" w:beforeAutospacing="0" w:after="0" w:afterAutospacing="0"/>
              <w:ind w:left="0" w:right="0" w:firstLine="480"/>
              <w:contextualSpacing/>
              <w:rPr>
                <w:rFonts w:hint="default"/>
                <w:color w:val="auto"/>
              </w:rPr>
            </w:pPr>
            <w:r>
              <w:rPr>
                <w:rFonts w:hint="eastAsia"/>
                <w:color w:val="auto"/>
              </w:rPr>
              <w:t>由表可知，芒市</w:t>
            </w:r>
            <w:r>
              <w:rPr>
                <w:rFonts w:hint="eastAsia"/>
                <w:color w:val="auto"/>
                <w:lang w:val="en-US" w:eastAsia="zh-CN"/>
              </w:rPr>
              <w:t>大</w:t>
            </w:r>
            <w:r>
              <w:rPr>
                <w:rFonts w:hint="eastAsia"/>
                <w:color w:val="auto"/>
              </w:rPr>
              <w:t>河</w:t>
            </w:r>
            <w:r>
              <w:rPr>
                <w:rFonts w:hint="eastAsia"/>
                <w:color w:val="auto"/>
                <w:lang w:val="en-US" w:eastAsia="zh-CN"/>
              </w:rPr>
              <w:t>帕底片区下游500m</w:t>
            </w:r>
            <w:r>
              <w:rPr>
                <w:rFonts w:hint="eastAsia"/>
                <w:color w:val="auto"/>
              </w:rPr>
              <w:t>断面202</w:t>
            </w:r>
            <w:r>
              <w:rPr>
                <w:rFonts w:hint="eastAsia"/>
                <w:color w:val="auto"/>
                <w:lang w:val="en-US" w:eastAsia="zh-CN"/>
              </w:rPr>
              <w:t>2</w:t>
            </w:r>
            <w:r>
              <w:rPr>
                <w:rFonts w:hint="eastAsia"/>
                <w:color w:val="auto"/>
              </w:rPr>
              <w:t>年水质达到</w:t>
            </w:r>
            <w:r>
              <w:rPr>
                <w:rFonts w:hint="default"/>
                <w:color w:val="auto"/>
              </w:rPr>
              <w:t>《地表水环境质量标准》（GB3838-2002）中</w:t>
            </w:r>
            <w:r>
              <w:rPr>
                <w:rFonts w:hint="eastAsia"/>
                <w:color w:val="auto"/>
              </w:rPr>
              <w:t>Ⅲ类水质标准，因此，项目所在区域属于水环境质量达标区。</w:t>
            </w:r>
          </w:p>
          <w:p>
            <w:pPr>
              <w:pStyle w:val="51"/>
              <w:keepNext w:val="0"/>
              <w:keepLines w:val="0"/>
              <w:suppressLineNumbers w:val="0"/>
              <w:spacing w:before="0" w:beforeAutospacing="0" w:after="0" w:afterAutospacing="0"/>
              <w:ind w:left="0" w:right="0" w:firstLine="480"/>
              <w:rPr>
                <w:rFonts w:hint="default"/>
                <w:color w:val="auto"/>
              </w:rPr>
            </w:pPr>
            <w:r>
              <w:rPr>
                <w:rFonts w:hint="default"/>
                <w:color w:val="auto"/>
              </w:rPr>
              <w:t>3、声环境质量现状</w:t>
            </w:r>
          </w:p>
          <w:p>
            <w:pPr>
              <w:pStyle w:val="51"/>
              <w:keepNext w:val="0"/>
              <w:keepLines w:val="0"/>
              <w:suppressLineNumbers w:val="0"/>
              <w:spacing w:before="0" w:beforeAutospacing="0" w:after="0" w:afterAutospacing="0"/>
              <w:ind w:left="0" w:right="0" w:firstLine="480"/>
              <w:rPr>
                <w:rFonts w:hint="default"/>
                <w:color w:val="auto"/>
              </w:rPr>
            </w:pPr>
            <w:r>
              <w:rPr>
                <w:rFonts w:hint="default"/>
                <w:color w:val="auto"/>
              </w:rPr>
              <w:t>根据现场踏勘，本项目位于德宏州芒市</w:t>
            </w:r>
            <w:r>
              <w:rPr>
                <w:rFonts w:hint="eastAsia"/>
                <w:color w:val="auto"/>
                <w:lang w:val="en-US" w:eastAsia="zh-CN"/>
              </w:rPr>
              <w:t>风平镇帕底村</w:t>
            </w:r>
            <w:r>
              <w:rPr>
                <w:rFonts w:hint="default"/>
                <w:color w:val="auto"/>
              </w:rPr>
              <w:t>，属于2类声环境功能区，</w:t>
            </w:r>
            <w:r>
              <w:rPr>
                <w:rFonts w:hint="eastAsia"/>
                <w:color w:val="auto"/>
              </w:rPr>
              <w:t>执行</w:t>
            </w:r>
            <w:r>
              <w:rPr>
                <w:rFonts w:hint="default"/>
                <w:color w:val="auto"/>
              </w:rPr>
              <w:t>《声环境质量标准》（GB3096-2008）中</w:t>
            </w:r>
            <w:r>
              <w:rPr>
                <w:rFonts w:hint="eastAsia"/>
                <w:color w:val="auto"/>
              </w:rPr>
              <w:t>2</w:t>
            </w:r>
            <w:r>
              <w:rPr>
                <w:rFonts w:hint="default"/>
                <w:color w:val="auto"/>
              </w:rPr>
              <w:t>类区标准</w:t>
            </w:r>
            <w:r>
              <w:rPr>
                <w:rFonts w:hint="eastAsia"/>
                <w:color w:val="auto"/>
              </w:rPr>
              <w:t>。根据现场勘察，周围无较大工业噪声源，项目区50m内无敏感目标。项目区声环境能够达到</w:t>
            </w:r>
            <w:r>
              <w:rPr>
                <w:rFonts w:hint="default"/>
                <w:color w:val="auto"/>
              </w:rPr>
              <w:t>《声环境质量标准》（GB3096-2008）中</w:t>
            </w:r>
            <w:r>
              <w:rPr>
                <w:rFonts w:hint="eastAsia"/>
                <w:color w:val="auto"/>
              </w:rPr>
              <w:t>2</w:t>
            </w:r>
            <w:r>
              <w:rPr>
                <w:rFonts w:hint="default"/>
                <w:color w:val="auto"/>
              </w:rPr>
              <w:t>类区标准的要求</w:t>
            </w:r>
            <w:r>
              <w:rPr>
                <w:rFonts w:hint="eastAsia"/>
                <w:color w:val="auto"/>
              </w:rPr>
              <w:t>。</w:t>
            </w:r>
          </w:p>
          <w:p>
            <w:pPr>
              <w:pStyle w:val="49"/>
              <w:keepNext w:val="0"/>
              <w:keepLines w:val="0"/>
              <w:suppressLineNumbers w:val="0"/>
              <w:spacing w:before="0" w:beforeAutospacing="0" w:after="0" w:afterAutospacing="0"/>
              <w:ind w:left="0" w:right="0"/>
              <w:rPr>
                <w:rFonts w:hint="default"/>
                <w:color w:val="auto"/>
              </w:rPr>
            </w:pPr>
            <w:r>
              <w:rPr>
                <w:rFonts w:hint="eastAsia"/>
                <w:color w:val="auto"/>
              </w:rPr>
              <w:t>4、地下水环境</w:t>
            </w:r>
            <w:r>
              <w:rPr>
                <w:rFonts w:hint="default"/>
                <w:color w:val="auto"/>
              </w:rPr>
              <w:t>质量现状</w:t>
            </w:r>
          </w:p>
          <w:p>
            <w:pPr>
              <w:pStyle w:val="49"/>
              <w:keepNext w:val="0"/>
              <w:keepLines w:val="0"/>
              <w:suppressLineNumbers w:val="0"/>
              <w:spacing w:before="0" w:beforeAutospacing="0" w:after="0" w:afterAutospacing="0"/>
              <w:ind w:left="0" w:right="0"/>
              <w:rPr>
                <w:rFonts w:hint="default" w:ascii="宋体" w:hAnsi="宋体" w:cs="宋体"/>
                <w:color w:val="auto"/>
                <w:lang w:bidi="ar"/>
              </w:rPr>
            </w:pPr>
            <w:r>
              <w:rPr>
                <w:rFonts w:hint="default"/>
                <w:color w:val="auto"/>
              </w:rPr>
              <w:t>本项目位于德宏州芒市</w:t>
            </w:r>
            <w:r>
              <w:rPr>
                <w:rFonts w:hint="eastAsia"/>
                <w:color w:val="auto"/>
                <w:lang w:val="en-US" w:eastAsia="zh-CN"/>
              </w:rPr>
              <w:t>风平镇帕底村</w:t>
            </w:r>
            <w:r>
              <w:rPr>
                <w:rFonts w:hint="default"/>
                <w:color w:val="auto"/>
              </w:rPr>
              <w:t>，</w:t>
            </w:r>
            <w:r>
              <w:rPr>
                <w:rFonts w:hint="eastAsia"/>
                <w:color w:val="auto"/>
                <w:kern w:val="0"/>
              </w:rPr>
              <w:t>项目所在区域地下水环境质量执行《地下水质量标准》（GB/T14848-2017）表1中Ⅲ类标准</w:t>
            </w:r>
            <w:r>
              <w:rPr>
                <w:rFonts w:hint="default"/>
                <w:color w:val="auto"/>
              </w:rPr>
              <w:t>要求</w:t>
            </w:r>
            <w:r>
              <w:rPr>
                <w:rFonts w:hint="eastAsia" w:ascii="宋体" w:hAnsi="宋体" w:cs="宋体"/>
                <w:color w:val="auto"/>
                <w:lang w:bidi="ar"/>
              </w:rPr>
              <w:t>。</w:t>
            </w:r>
            <w:r>
              <w:rPr>
                <w:rFonts w:hint="eastAsia" w:ascii="宋体" w:hAnsi="宋体" w:cs="宋体"/>
                <w:color w:val="auto"/>
                <w:highlight w:val="none"/>
                <w:lang w:bidi="ar"/>
              </w:rPr>
              <w:t>项目区地下水污染物指标因子</w:t>
            </w:r>
            <w:r>
              <w:rPr>
                <w:rFonts w:hint="eastAsia" w:ascii="宋体" w:hAnsi="宋体" w:cs="宋体"/>
                <w:color w:val="auto"/>
                <w:highlight w:val="none"/>
                <w:lang w:val="en-US" w:eastAsia="zh-CN" w:bidi="ar"/>
              </w:rPr>
              <w:t>数据</w:t>
            </w:r>
            <w:r>
              <w:rPr>
                <w:rFonts w:hint="eastAsia" w:ascii="宋体" w:hAnsi="宋体" w:cs="宋体"/>
                <w:color w:val="auto"/>
                <w:highlight w:val="none"/>
                <w:lang w:bidi="ar"/>
              </w:rPr>
              <w:t>引用</w:t>
            </w:r>
            <w:r>
              <w:rPr>
                <w:rFonts w:hint="eastAsia" w:ascii="宋体" w:hAnsi="宋体" w:cs="宋体"/>
                <w:color w:val="auto"/>
                <w:highlight w:val="none"/>
                <w:lang w:val="en-US" w:eastAsia="zh-CN" w:bidi="ar"/>
              </w:rPr>
              <w:t>芒市工业园总体规划</w:t>
            </w:r>
            <w:r>
              <w:rPr>
                <w:rFonts w:hint="eastAsia" w:ascii="宋体" w:hAnsi="宋体" w:cs="宋体"/>
                <w:color w:val="auto"/>
                <w:highlight w:val="none"/>
                <w:lang w:bidi="ar"/>
              </w:rPr>
              <w:t>项目</w:t>
            </w:r>
            <w:r>
              <w:rPr>
                <w:rFonts w:hint="eastAsia" w:ascii="宋体" w:hAnsi="宋体" w:cs="宋体"/>
                <w:color w:val="auto"/>
                <w:highlight w:val="none"/>
                <w:lang w:val="en-US" w:eastAsia="zh-CN" w:bidi="ar"/>
              </w:rPr>
              <w:t>2020年1月委托云南方源科技有限公司监测</w:t>
            </w:r>
            <w:r>
              <w:rPr>
                <w:rFonts w:hint="eastAsia" w:ascii="宋体" w:hAnsi="宋体" w:cs="宋体"/>
                <w:color w:val="auto"/>
                <w:highlight w:val="none"/>
                <w:lang w:bidi="ar"/>
              </w:rPr>
              <w:t>的数据</w:t>
            </w:r>
            <w:r>
              <w:rPr>
                <w:rFonts w:hint="eastAsia" w:ascii="宋体" w:hAnsi="宋体" w:cs="宋体"/>
                <w:color w:val="auto"/>
                <w:highlight w:val="none"/>
                <w:lang w:eastAsia="zh-CN" w:bidi="ar"/>
              </w:rPr>
              <w:t>，</w:t>
            </w:r>
            <w:r>
              <w:rPr>
                <w:rFonts w:hint="eastAsia" w:ascii="宋体" w:hAnsi="宋体" w:cs="宋体"/>
                <w:color w:val="auto"/>
                <w:highlight w:val="none"/>
                <w:lang w:val="en-US" w:eastAsia="zh-CN" w:bidi="ar"/>
              </w:rPr>
              <w:t>监测点位位于项目东北侧1500m处的隆辉硅业厂界处监测井。并于2021年5月委托</w:t>
            </w:r>
            <w:r>
              <w:rPr>
                <w:rFonts w:hint="eastAsia" w:ascii="宋体" w:hAnsi="宋体" w:cs="宋体"/>
                <w:color w:val="auto"/>
                <w:highlight w:val="none"/>
                <w:lang w:bidi="ar"/>
              </w:rPr>
              <w:t>云南方源科技有限公司对</w:t>
            </w:r>
            <w:r>
              <w:rPr>
                <w:rFonts w:hint="eastAsia" w:ascii="宋体" w:hAnsi="宋体" w:cs="宋体"/>
                <w:color w:val="auto"/>
                <w:highlight w:val="none"/>
                <w:lang w:val="en-US" w:eastAsia="zh-CN" w:bidi="ar"/>
              </w:rPr>
              <w:t>该点</w:t>
            </w:r>
            <w:r>
              <w:rPr>
                <w:rFonts w:hint="eastAsia" w:ascii="宋体" w:hAnsi="宋体" w:cs="宋体"/>
                <w:color w:val="auto"/>
                <w:highlight w:val="none"/>
                <w:lang w:bidi="ar"/>
              </w:rPr>
              <w:t>地下水八大离子进行了补充监测</w:t>
            </w:r>
            <w:r>
              <w:rPr>
                <w:rFonts w:hint="eastAsia" w:ascii="宋体" w:hAnsi="宋体" w:cs="宋体"/>
                <w:color w:val="auto"/>
                <w:lang w:bidi="ar"/>
              </w:rPr>
              <w:t>。监测结果见下表：</w:t>
            </w:r>
          </w:p>
          <w:p>
            <w:pPr>
              <w:pStyle w:val="49"/>
              <w:keepNext w:val="0"/>
              <w:keepLines w:val="0"/>
              <w:suppressLineNumbers w:val="0"/>
              <w:spacing w:before="0" w:beforeAutospacing="0" w:after="0" w:afterAutospacing="0"/>
              <w:ind w:left="0" w:right="0" w:firstLine="482"/>
              <w:jc w:val="center"/>
              <w:rPr>
                <w:rFonts w:hint="default" w:ascii="宋体" w:hAnsi="宋体" w:cs="宋体"/>
                <w:b/>
                <w:color w:val="auto"/>
                <w:lang w:bidi="ar"/>
              </w:rPr>
            </w:pPr>
            <w:r>
              <w:rPr>
                <w:rFonts w:hint="eastAsia" w:ascii="宋体" w:hAnsi="宋体" w:cs="宋体"/>
                <w:b/>
                <w:color w:val="auto"/>
                <w:lang w:bidi="ar"/>
              </w:rPr>
              <w:t>表3-4   项目区地下水引用的监测数据</w:t>
            </w:r>
          </w:p>
          <w:tbl>
            <w:tblPr>
              <w:tblStyle w:val="23"/>
              <w:tblW w:w="8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680"/>
              <w:gridCol w:w="830"/>
              <w:gridCol w:w="970"/>
              <w:gridCol w:w="1390"/>
              <w:gridCol w:w="263"/>
              <w:gridCol w:w="99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Merge w:val="restart"/>
                  <w:tcBorders>
                    <w:tl2br w:val="single" w:color="auto" w:sz="4" w:space="0"/>
                  </w:tcBorders>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 xml:space="preserve"> </w:t>
                  </w:r>
                  <w:r>
                    <w:rPr>
                      <w:rFonts w:hint="default"/>
                      <w:color w:val="auto"/>
                      <w:sz w:val="21"/>
                      <w:szCs w:val="21"/>
                    </w:rPr>
                    <w:t>点位</w:t>
                  </w:r>
                  <w:r>
                    <w:rPr>
                      <w:rFonts w:hint="eastAsia"/>
                      <w:color w:val="auto"/>
                      <w:sz w:val="21"/>
                      <w:szCs w:val="21"/>
                    </w:rPr>
                    <w:t>/时间/编号 标准值</w:t>
                  </w:r>
                </w:p>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p>
                  <w:pPr>
                    <w:pStyle w:val="49"/>
                    <w:keepNext w:val="0"/>
                    <w:keepLines w:val="0"/>
                    <w:suppressLineNumbers w:val="0"/>
                    <w:spacing w:before="0" w:beforeAutospacing="0" w:after="0" w:afterAutospacing="0" w:line="240" w:lineRule="auto"/>
                    <w:ind w:left="0" w:right="0" w:firstLine="0" w:firstLineChars="0"/>
                    <w:rPr>
                      <w:rFonts w:hint="default"/>
                      <w:color w:val="auto"/>
                      <w:sz w:val="21"/>
                      <w:szCs w:val="21"/>
                    </w:rPr>
                  </w:pPr>
                  <w:r>
                    <w:rPr>
                      <w:rFonts w:hint="eastAsia"/>
                      <w:color w:val="auto"/>
                      <w:sz w:val="21"/>
                      <w:szCs w:val="21"/>
                    </w:rPr>
                    <w:t>检测项目</w:t>
                  </w:r>
                </w:p>
              </w:tc>
              <w:tc>
                <w:tcPr>
                  <w:tcW w:w="7027" w:type="dxa"/>
                  <w:gridSpan w:val="7"/>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隆辉硅业厂界处监测井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2019.12.15</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2019.12.16</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2019.12.17</w:t>
                  </w:r>
                </w:p>
              </w:tc>
              <w:tc>
                <w:tcPr>
                  <w:tcW w:w="992"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标准值</w:t>
                  </w:r>
                </w:p>
              </w:tc>
              <w:tc>
                <w:tcPr>
                  <w:tcW w:w="902"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20191206031-19</w:t>
                  </w:r>
                </w:p>
              </w:tc>
              <w:tc>
                <w:tcPr>
                  <w:tcW w:w="1800" w:type="dxa"/>
                  <w:gridSpan w:val="2"/>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20191206031-20</w:t>
                  </w:r>
                </w:p>
              </w:tc>
              <w:tc>
                <w:tcPr>
                  <w:tcW w:w="1653" w:type="dxa"/>
                  <w:gridSpan w:val="2"/>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20191206031-21</w:t>
                  </w:r>
                </w:p>
              </w:tc>
              <w:tc>
                <w:tcPr>
                  <w:tcW w:w="99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90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PH（无量纲）</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rPr>
                    <w:t>6.</w:t>
                  </w:r>
                  <w:r>
                    <w:rPr>
                      <w:rFonts w:hint="eastAsia"/>
                      <w:color w:val="auto"/>
                      <w:sz w:val="21"/>
                      <w:szCs w:val="21"/>
                      <w:lang w:val="en-US" w:eastAsia="zh-CN"/>
                    </w:rPr>
                    <w:t>13</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rPr>
                    <w:t>6.</w:t>
                  </w:r>
                  <w:r>
                    <w:rPr>
                      <w:rFonts w:hint="eastAsia"/>
                      <w:color w:val="auto"/>
                      <w:sz w:val="21"/>
                      <w:szCs w:val="21"/>
                      <w:lang w:val="en-US" w:eastAsia="zh-CN"/>
                    </w:rPr>
                    <w:t>28</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rPr>
                    <w:t>6.</w:t>
                  </w:r>
                  <w:r>
                    <w:rPr>
                      <w:rFonts w:hint="eastAsia"/>
                      <w:color w:val="auto"/>
                      <w:sz w:val="21"/>
                      <w:szCs w:val="21"/>
                      <w:lang w:val="en-US" w:eastAsia="zh-CN"/>
                    </w:rPr>
                    <w:t>22</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6.5~8.5</w:t>
                  </w:r>
                </w:p>
              </w:tc>
              <w:tc>
                <w:tcPr>
                  <w:tcW w:w="90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氨氮</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0.028</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0.038</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0.031</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0.5</w:t>
                  </w:r>
                </w:p>
              </w:tc>
              <w:tc>
                <w:tcPr>
                  <w:tcW w:w="90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高锰酸盐指数</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＜0.5</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＜0.5</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＜0.5</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3</w:t>
                  </w:r>
                </w:p>
              </w:tc>
              <w:tc>
                <w:tcPr>
                  <w:tcW w:w="90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硝酸盐（氮）</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5.84</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5.26</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6.62</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90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亚硝酸盐（氮）</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0.004</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0.005</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0.005</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总硬度</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106</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103</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114</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450</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溶解性总固体</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149</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196</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211</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1000</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氟化物</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0.32</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0.35</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0.31</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氯化物</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62.4</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60.3</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61.5</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250</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铁</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0.05</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0.05</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0.05</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0.3</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铅（</w:t>
                  </w:r>
                  <w:r>
                    <w:rPr>
                      <w:rFonts w:hint="eastAsia" w:ascii="微软雅黑" w:hAnsi="微软雅黑" w:eastAsia="微软雅黑" w:cs="微软雅黑"/>
                      <w:color w:val="auto"/>
                      <w:sz w:val="21"/>
                      <w:szCs w:val="21"/>
                      <w:lang w:val="en-US" w:eastAsia="zh-CN"/>
                    </w:rPr>
                    <w:t>μ</w:t>
                  </w:r>
                  <w:r>
                    <w:rPr>
                      <w:rFonts w:hint="eastAsia"/>
                      <w:color w:val="auto"/>
                      <w:sz w:val="21"/>
                      <w:szCs w:val="21"/>
                      <w:lang w:val="en-US" w:eastAsia="zh-CN"/>
                    </w:rPr>
                    <w:t>g/L）</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锌</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＜0.009</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＜0.009</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＜0.009</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六价铬</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＜0.004</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＜0.004</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＜0.004</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0.05</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砷（</w:t>
                  </w:r>
                  <w:r>
                    <w:rPr>
                      <w:rFonts w:hint="eastAsia" w:ascii="微软雅黑" w:hAnsi="微软雅黑" w:eastAsia="微软雅黑" w:cs="微软雅黑"/>
                      <w:color w:val="auto"/>
                      <w:sz w:val="21"/>
                      <w:szCs w:val="21"/>
                      <w:lang w:val="en-US" w:eastAsia="zh-CN"/>
                    </w:rPr>
                    <w:t>μ</w:t>
                  </w:r>
                  <w:r>
                    <w:rPr>
                      <w:rFonts w:hint="eastAsia"/>
                      <w:color w:val="auto"/>
                      <w:sz w:val="21"/>
                      <w:szCs w:val="21"/>
                      <w:lang w:val="en-US" w:eastAsia="zh-CN"/>
                    </w:rPr>
                    <w:t>g/L）</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0.3</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0.4</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0.3</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汞（</w:t>
                  </w:r>
                  <w:r>
                    <w:rPr>
                      <w:rFonts w:hint="eastAsia" w:ascii="微软雅黑" w:hAnsi="微软雅黑" w:eastAsia="微软雅黑" w:cs="微软雅黑"/>
                      <w:color w:val="auto"/>
                      <w:sz w:val="21"/>
                      <w:szCs w:val="21"/>
                      <w:lang w:val="en-US" w:eastAsia="zh-CN"/>
                    </w:rPr>
                    <w:t>μ</w:t>
                  </w:r>
                  <w:r>
                    <w:rPr>
                      <w:rFonts w:hint="eastAsia"/>
                      <w:color w:val="auto"/>
                      <w:sz w:val="21"/>
                      <w:szCs w:val="21"/>
                      <w:lang w:val="en-US" w:eastAsia="zh-CN"/>
                    </w:rPr>
                    <w:t>g/L）</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＜0.04</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0.04</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＜0.04</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铜</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＜0.04</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＜0.04</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＜0.04</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总大肠菌群（个/L）</w:t>
                  </w:r>
                </w:p>
              </w:tc>
              <w:tc>
                <w:tcPr>
                  <w:tcW w:w="168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ND</w:t>
                  </w:r>
                </w:p>
              </w:tc>
              <w:tc>
                <w:tcPr>
                  <w:tcW w:w="180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ND</w:t>
                  </w:r>
                </w:p>
              </w:tc>
              <w:tc>
                <w:tcPr>
                  <w:tcW w:w="1653"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ND</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30</w:t>
                  </w:r>
                </w:p>
              </w:tc>
              <w:tc>
                <w:tcPr>
                  <w:tcW w:w="902"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default"/>
                      <w:b/>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347"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49"/>
                    <w:keepNext w:val="0"/>
                    <w:keepLines w:val="0"/>
                    <w:suppressLineNumbers w:val="0"/>
                    <w:snapToGrid w:val="0"/>
                    <w:spacing w:before="0" w:beforeAutospacing="0" w:after="0" w:afterAutospacing="0" w:line="240" w:lineRule="auto"/>
                    <w:ind w:left="0" w:right="0" w:firstLine="0" w:firstLineChars="0"/>
                    <w:jc w:val="center"/>
                    <w:rPr>
                      <w:rFonts w:hint="eastAsia"/>
                      <w:color w:val="auto"/>
                      <w:sz w:val="21"/>
                      <w:szCs w:val="21"/>
                      <w:lang w:val="en-US" w:eastAsia="zh-CN"/>
                    </w:rPr>
                  </w:pPr>
                </w:p>
                <w:p>
                  <w:pPr>
                    <w:pStyle w:val="49"/>
                    <w:keepNext w:val="0"/>
                    <w:keepLines w:val="0"/>
                    <w:suppressLineNumbers w:val="0"/>
                    <w:snapToGrid w:val="0"/>
                    <w:spacing w:before="0" w:beforeAutospacing="0" w:after="0" w:afterAutospacing="0" w:line="240" w:lineRule="auto"/>
                    <w:ind w:left="0" w:right="0" w:firstLine="0" w:firstLineChars="0"/>
                    <w:jc w:val="center"/>
                    <mc:AlternateContent>
                      <mc:Choice Requires="wpsCustomData">
                        <wpsCustomData:diagonalParaType/>
                      </mc:Choice>
                    </mc:AlternateContent>
                    <w:rPr>
                      <w:rFonts w:hint="default"/>
                      <w:color w:val="auto"/>
                      <w:sz w:val="21"/>
                      <w:szCs w:val="21"/>
                      <w:lang w:val="en-US" w:eastAsia="zh-CN"/>
                    </w:rPr>
                  </w:pPr>
                  <w:r>
                    <w:rPr>
                      <w:rFonts w:hint="eastAsia"/>
                      <w:color w:val="auto"/>
                      <w:sz w:val="21"/>
                      <w:szCs w:val="21"/>
                      <w:lang w:val="en-US" w:eastAsia="zh-CN"/>
                    </w:rPr>
                    <w:t>监测项目</w:t>
                  </w:r>
                </w:p>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监测时间/编号</w:t>
                  </w:r>
                </w:p>
              </w:tc>
              <w:tc>
                <w:tcPr>
                  <w:tcW w:w="251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2021.05.22</w:t>
                  </w:r>
                </w:p>
              </w:tc>
              <w:tc>
                <w:tcPr>
                  <w:tcW w:w="236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rPr>
                  </w:pPr>
                  <w:r>
                    <w:rPr>
                      <w:rFonts w:hint="eastAsia"/>
                      <w:color w:val="auto"/>
                      <w:sz w:val="21"/>
                      <w:szCs w:val="21"/>
                      <w:lang w:val="en-US" w:eastAsia="zh-CN"/>
                    </w:rPr>
                    <w:t>2021.05.23</w:t>
                  </w:r>
                </w:p>
              </w:tc>
              <w:tc>
                <w:tcPr>
                  <w:tcW w:w="2157" w:type="dxa"/>
                  <w:gridSpan w:val="3"/>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eastAsia"/>
                      <w:color w:val="auto"/>
                      <w:sz w:val="21"/>
                      <w:szCs w:val="21"/>
                      <w:lang w:val="en-US" w:eastAsia="zh-CN"/>
                    </w:rPr>
                    <w:t>2021.05.24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34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tc>
              <w:tc>
                <w:tcPr>
                  <w:tcW w:w="251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20210510061-03</w:t>
                  </w:r>
                </w:p>
              </w:tc>
              <w:tc>
                <w:tcPr>
                  <w:tcW w:w="2360" w:type="dxa"/>
                  <w:gridSpan w:val="2"/>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20210510061-07</w:t>
                  </w:r>
                </w:p>
              </w:tc>
              <w:tc>
                <w:tcPr>
                  <w:tcW w:w="2157" w:type="dxa"/>
                  <w:gridSpan w:val="3"/>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eastAsia"/>
                      <w:color w:val="auto"/>
                      <w:sz w:val="21"/>
                      <w:szCs w:val="21"/>
                      <w:lang w:val="en-US" w:eastAsia="zh-CN"/>
                    </w:rPr>
                    <w:t>20210510061-11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vertAlign w:val="superscript"/>
                      <w:lang w:val="en-US" w:eastAsia="zh-CN"/>
                    </w:rPr>
                  </w:pPr>
                  <w:r>
                    <w:rPr>
                      <w:rFonts w:hint="eastAsia"/>
                      <w:color w:val="auto"/>
                      <w:sz w:val="21"/>
                      <w:szCs w:val="21"/>
                      <w:lang w:val="en-US" w:eastAsia="zh-CN"/>
                    </w:rPr>
                    <w:t>K</w:t>
                  </w:r>
                  <w:r>
                    <w:rPr>
                      <w:rFonts w:hint="eastAsia"/>
                      <w:color w:val="auto"/>
                      <w:sz w:val="21"/>
                      <w:szCs w:val="21"/>
                      <w:vertAlign w:val="superscript"/>
                      <w:lang w:val="en-US" w:eastAsia="zh-CN"/>
                    </w:rPr>
                    <w:t>+</w:t>
                  </w:r>
                </w:p>
              </w:tc>
              <w:tc>
                <w:tcPr>
                  <w:tcW w:w="251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0.46</w:t>
                  </w:r>
                </w:p>
              </w:tc>
              <w:tc>
                <w:tcPr>
                  <w:tcW w:w="236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0.47</w:t>
                  </w:r>
                </w:p>
              </w:tc>
              <w:tc>
                <w:tcPr>
                  <w:tcW w:w="2157" w:type="dxa"/>
                  <w:gridSpan w:val="3"/>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eastAsia"/>
                      <w:color w:val="auto"/>
                      <w:sz w:val="21"/>
                      <w:szCs w:val="21"/>
                      <w:lang w:val="en-US" w:eastAsia="zh-CN"/>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Na</w:t>
                  </w:r>
                  <w:r>
                    <w:rPr>
                      <w:rFonts w:hint="eastAsia"/>
                      <w:color w:val="auto"/>
                      <w:sz w:val="21"/>
                      <w:szCs w:val="21"/>
                      <w:vertAlign w:val="superscript"/>
                      <w:lang w:val="en-US" w:eastAsia="zh-CN"/>
                    </w:rPr>
                    <w:t>+</w:t>
                  </w:r>
                </w:p>
              </w:tc>
              <w:tc>
                <w:tcPr>
                  <w:tcW w:w="251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4.66</w:t>
                  </w:r>
                </w:p>
              </w:tc>
              <w:tc>
                <w:tcPr>
                  <w:tcW w:w="236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4.40</w:t>
                  </w:r>
                </w:p>
              </w:tc>
              <w:tc>
                <w:tcPr>
                  <w:tcW w:w="2157" w:type="dxa"/>
                  <w:gridSpan w:val="3"/>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eastAsia"/>
                      <w:color w:val="auto"/>
                      <w:sz w:val="21"/>
                      <w:szCs w:val="21"/>
                      <w:lang w:val="en-US" w:eastAsia="zh-CN"/>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Ca</w:t>
                  </w:r>
                  <w:r>
                    <w:rPr>
                      <w:rFonts w:hint="eastAsia"/>
                      <w:color w:val="auto"/>
                      <w:sz w:val="21"/>
                      <w:szCs w:val="21"/>
                      <w:vertAlign w:val="superscript"/>
                      <w:lang w:val="en-US" w:eastAsia="zh-CN"/>
                    </w:rPr>
                    <w:t>2+</w:t>
                  </w:r>
                </w:p>
              </w:tc>
              <w:tc>
                <w:tcPr>
                  <w:tcW w:w="251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58.9</w:t>
                  </w:r>
                </w:p>
              </w:tc>
              <w:tc>
                <w:tcPr>
                  <w:tcW w:w="236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59.6</w:t>
                  </w:r>
                </w:p>
              </w:tc>
              <w:tc>
                <w:tcPr>
                  <w:tcW w:w="2157" w:type="dxa"/>
                  <w:gridSpan w:val="3"/>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eastAsia"/>
                      <w:color w:val="auto"/>
                      <w:sz w:val="21"/>
                      <w:szCs w:val="21"/>
                      <w:lang w:val="en-US" w:eastAsia="zh-CN"/>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Mg</w:t>
                  </w:r>
                  <w:r>
                    <w:rPr>
                      <w:rFonts w:hint="eastAsia"/>
                      <w:color w:val="auto"/>
                      <w:sz w:val="21"/>
                      <w:szCs w:val="21"/>
                      <w:vertAlign w:val="superscript"/>
                      <w:lang w:val="en-US" w:eastAsia="zh-CN"/>
                    </w:rPr>
                    <w:t>2+</w:t>
                  </w:r>
                </w:p>
              </w:tc>
              <w:tc>
                <w:tcPr>
                  <w:tcW w:w="251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24.7</w:t>
                  </w:r>
                </w:p>
              </w:tc>
              <w:tc>
                <w:tcPr>
                  <w:tcW w:w="236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25.1</w:t>
                  </w:r>
                </w:p>
              </w:tc>
              <w:tc>
                <w:tcPr>
                  <w:tcW w:w="2157" w:type="dxa"/>
                  <w:gridSpan w:val="3"/>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eastAsia"/>
                      <w:color w:val="auto"/>
                      <w:sz w:val="21"/>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7"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Cl</w:t>
                  </w:r>
                  <w:r>
                    <w:rPr>
                      <w:rFonts w:hint="eastAsia"/>
                      <w:color w:val="auto"/>
                      <w:sz w:val="21"/>
                      <w:szCs w:val="21"/>
                      <w:vertAlign w:val="superscript"/>
                      <w:lang w:val="en-US" w:eastAsia="zh-CN"/>
                    </w:rPr>
                    <w:t>-</w:t>
                  </w:r>
                </w:p>
              </w:tc>
              <w:tc>
                <w:tcPr>
                  <w:tcW w:w="251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9.41</w:t>
                  </w:r>
                </w:p>
              </w:tc>
              <w:tc>
                <w:tcPr>
                  <w:tcW w:w="236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9.64</w:t>
                  </w:r>
                </w:p>
              </w:tc>
              <w:tc>
                <w:tcPr>
                  <w:tcW w:w="2157" w:type="dxa"/>
                  <w:gridSpan w:val="3"/>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eastAsia"/>
                      <w:color w:val="auto"/>
                      <w:sz w:val="21"/>
                      <w:szCs w:val="21"/>
                      <w:lang w:val="en-US" w:eastAsia="zh-CN"/>
                    </w:rPr>
                    <w:t>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SO</w:t>
                  </w:r>
                  <w:r>
                    <w:rPr>
                      <w:rFonts w:hint="eastAsia"/>
                      <w:color w:val="auto"/>
                      <w:sz w:val="21"/>
                      <w:szCs w:val="21"/>
                      <w:vertAlign w:val="subscript"/>
                      <w:lang w:val="en-US" w:eastAsia="zh-CN"/>
                    </w:rPr>
                    <w:t>4</w:t>
                  </w:r>
                  <w:r>
                    <w:rPr>
                      <w:rFonts w:hint="eastAsia"/>
                      <w:color w:val="auto"/>
                      <w:sz w:val="21"/>
                      <w:szCs w:val="21"/>
                      <w:vertAlign w:val="superscript"/>
                      <w:lang w:val="en-US" w:eastAsia="zh-CN"/>
                    </w:rPr>
                    <w:t>2-</w:t>
                  </w:r>
                </w:p>
              </w:tc>
              <w:tc>
                <w:tcPr>
                  <w:tcW w:w="251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19</w:t>
                  </w:r>
                </w:p>
              </w:tc>
              <w:tc>
                <w:tcPr>
                  <w:tcW w:w="236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17</w:t>
                  </w:r>
                </w:p>
              </w:tc>
              <w:tc>
                <w:tcPr>
                  <w:tcW w:w="2157" w:type="dxa"/>
                  <w:gridSpan w:val="3"/>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eastAsia"/>
                      <w:color w:val="auto"/>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CO</w:t>
                  </w:r>
                  <w:r>
                    <w:rPr>
                      <w:rFonts w:hint="eastAsia"/>
                      <w:color w:val="auto"/>
                      <w:sz w:val="21"/>
                      <w:szCs w:val="21"/>
                      <w:vertAlign w:val="subscript"/>
                      <w:lang w:val="en-US" w:eastAsia="zh-CN"/>
                    </w:rPr>
                    <w:t>3</w:t>
                  </w:r>
                  <w:r>
                    <w:rPr>
                      <w:rFonts w:hint="eastAsia"/>
                      <w:color w:val="auto"/>
                      <w:sz w:val="21"/>
                      <w:szCs w:val="21"/>
                      <w:vertAlign w:val="superscript"/>
                      <w:lang w:val="en-US" w:eastAsia="zh-CN"/>
                    </w:rPr>
                    <w:t>2-</w:t>
                  </w:r>
                </w:p>
              </w:tc>
              <w:tc>
                <w:tcPr>
                  <w:tcW w:w="251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ND</w:t>
                  </w:r>
                </w:p>
              </w:tc>
              <w:tc>
                <w:tcPr>
                  <w:tcW w:w="236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ND</w:t>
                  </w:r>
                </w:p>
              </w:tc>
              <w:tc>
                <w:tcPr>
                  <w:tcW w:w="2157" w:type="dxa"/>
                  <w:gridSpan w:val="3"/>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eastAsia"/>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7" w:type="dxa"/>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HCO</w:t>
                  </w:r>
                  <w:r>
                    <w:rPr>
                      <w:rFonts w:hint="eastAsia"/>
                      <w:color w:val="auto"/>
                      <w:sz w:val="21"/>
                      <w:szCs w:val="21"/>
                      <w:vertAlign w:val="subscript"/>
                      <w:lang w:val="en-US" w:eastAsia="zh-CN"/>
                    </w:rPr>
                    <w:t>3</w:t>
                  </w:r>
                  <w:r>
                    <w:rPr>
                      <w:rFonts w:hint="eastAsia"/>
                      <w:color w:val="auto"/>
                      <w:sz w:val="21"/>
                      <w:szCs w:val="21"/>
                      <w:vertAlign w:val="superscript"/>
                      <w:lang w:val="en-US" w:eastAsia="zh-CN"/>
                    </w:rPr>
                    <w:t>-</w:t>
                  </w:r>
                </w:p>
              </w:tc>
              <w:tc>
                <w:tcPr>
                  <w:tcW w:w="251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304</w:t>
                  </w:r>
                </w:p>
              </w:tc>
              <w:tc>
                <w:tcPr>
                  <w:tcW w:w="2360"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305</w:t>
                  </w:r>
                </w:p>
              </w:tc>
              <w:tc>
                <w:tcPr>
                  <w:tcW w:w="2157" w:type="dxa"/>
                  <w:gridSpan w:val="3"/>
                  <w:vAlign w:val="center"/>
                </w:tcPr>
                <w:p>
                  <w:pPr>
                    <w:pStyle w:val="49"/>
                    <w:keepNext w:val="0"/>
                    <w:keepLines w:val="0"/>
                    <w:suppressLineNumbers w:val="0"/>
                    <w:spacing w:before="0" w:beforeAutospacing="0" w:after="0" w:afterAutospacing="0" w:line="240" w:lineRule="auto"/>
                    <w:ind w:left="0" w:leftChars="0" w:right="0" w:rightChars="0" w:firstLine="0" w:firstLineChars="0"/>
                    <w:jc w:val="center"/>
                    <w:rPr>
                      <w:rFonts w:hint="default"/>
                      <w:b/>
                      <w:color w:val="auto"/>
                      <w:sz w:val="21"/>
                      <w:szCs w:val="21"/>
                    </w:rPr>
                  </w:pPr>
                  <w:r>
                    <w:rPr>
                      <w:rFonts w:hint="eastAsia"/>
                      <w:color w:val="auto"/>
                      <w:sz w:val="21"/>
                      <w:szCs w:val="21"/>
                      <w:lang w:val="en-US" w:eastAsia="zh-CN"/>
                    </w:rPr>
                    <w:t>307</w:t>
                  </w:r>
                </w:p>
              </w:tc>
            </w:tr>
          </w:tbl>
          <w:p>
            <w:pPr>
              <w:pStyle w:val="49"/>
              <w:keepNext w:val="0"/>
              <w:keepLines w:val="0"/>
              <w:suppressLineNumbers w:val="0"/>
              <w:spacing w:before="0" w:beforeAutospacing="0" w:after="0" w:afterAutospacing="0"/>
              <w:ind w:left="0" w:right="0"/>
              <w:rPr>
                <w:rFonts w:hint="default"/>
                <w:color w:val="auto"/>
              </w:rPr>
            </w:pPr>
            <w:r>
              <w:rPr>
                <w:rFonts w:hint="default"/>
                <w:color w:val="auto"/>
              </w:rPr>
              <w:t>根据监测数据可知，</w:t>
            </w:r>
            <w:r>
              <w:rPr>
                <w:rFonts w:hint="eastAsia"/>
                <w:color w:val="auto"/>
                <w:lang w:val="en-US" w:eastAsia="zh-CN"/>
              </w:rPr>
              <w:t>监测数据</w:t>
            </w:r>
            <w:r>
              <w:rPr>
                <w:rFonts w:hint="default"/>
                <w:color w:val="auto"/>
              </w:rPr>
              <w:t>均满足《地下水环境质量标准》（GB/T14848-</w:t>
            </w:r>
            <w:r>
              <w:rPr>
                <w:rFonts w:hint="eastAsia"/>
                <w:color w:val="auto"/>
              </w:rPr>
              <w:t>2017</w:t>
            </w:r>
            <w:r>
              <w:rPr>
                <w:rFonts w:hint="default"/>
                <w:color w:val="auto"/>
              </w:rPr>
              <w:t>）</w:t>
            </w:r>
            <w:r>
              <w:rPr>
                <w:rFonts w:hint="eastAsia"/>
                <w:color w:val="auto"/>
              </w:rPr>
              <w:t>Ⅲ</w:t>
            </w:r>
            <w:r>
              <w:rPr>
                <w:rFonts w:hint="default"/>
                <w:color w:val="auto"/>
              </w:rPr>
              <w:t>类水质标准。</w:t>
            </w:r>
          </w:p>
          <w:p>
            <w:pPr>
              <w:keepNext w:val="0"/>
              <w:keepLines w:val="0"/>
              <w:suppressLineNumbers w:val="0"/>
              <w:spacing w:before="0" w:beforeAutospacing="0" w:after="0" w:afterAutospacing="0"/>
              <w:ind w:left="0" w:right="0" w:firstLine="480"/>
              <w:rPr>
                <w:rFonts w:hint="default"/>
                <w:color w:val="auto"/>
                <w:szCs w:val="20"/>
              </w:rPr>
            </w:pPr>
            <w:r>
              <w:rPr>
                <w:rFonts w:hint="default"/>
                <w:color w:val="auto"/>
              </w:rPr>
              <w:t>本评价采用以下公式对</w:t>
            </w:r>
            <w:r>
              <w:rPr>
                <w:rFonts w:hint="eastAsia"/>
                <w:color w:val="auto"/>
                <w:szCs w:val="20"/>
              </w:rPr>
              <w:t>项目区地下水环境中阴阳离子平衡关系进行计算：</w:t>
            </w:r>
          </w:p>
          <w:p>
            <w:pPr>
              <w:keepNext w:val="0"/>
              <w:keepLines w:val="0"/>
              <w:suppressLineNumbers w:val="0"/>
              <w:spacing w:before="0" w:beforeAutospacing="0" w:after="0" w:afterAutospacing="0"/>
              <w:ind w:left="0" w:right="0" w:firstLine="480"/>
              <w:jc w:val="center"/>
              <w:rPr>
                <w:rFonts w:hint="default"/>
                <w:color w:val="auto"/>
                <w:szCs w:val="20"/>
              </w:rPr>
            </w:pPr>
            <w:r>
              <w:rPr>
                <w:rFonts w:hint="default"/>
                <w:color w:val="auto"/>
                <w:szCs w:val="20"/>
              </w:rPr>
              <w:drawing>
                <wp:inline distT="0" distB="0" distL="0" distR="0">
                  <wp:extent cx="1884680" cy="580390"/>
                  <wp:effectExtent l="0" t="0" r="0" b="0"/>
                  <wp:docPr id="3" name="图片 3" descr="C:\Users\ADMINI~1\AppData\Local\Temp\16181459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618145940(1).png"/>
                          <pic:cNvPicPr>
                            <a:picLocks noChangeAspect="1" noChangeArrowheads="1"/>
                          </pic:cNvPicPr>
                        </pic:nvPicPr>
                        <pic:blipFill>
                          <a:blip r:embed="rId17">
                            <a:extLst>
                              <a:ext uri="{28A0092B-C50C-407E-A947-70E740481C1C}">
                                <a14:useLocalDpi xmlns:a14="http://schemas.microsoft.com/office/drawing/2010/main" val="0"/>
                              </a:ext>
                            </a:extLst>
                          </a:blip>
                          <a:srcRect l="11974" t="16075" r="4530" b="13370"/>
                          <a:stretch>
                            <a:fillRect/>
                          </a:stretch>
                        </pic:blipFill>
                        <pic:spPr>
                          <a:xfrm>
                            <a:off x="0" y="0"/>
                            <a:ext cx="1884680" cy="58039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firstLine="480"/>
              <w:jc w:val="left"/>
              <w:rPr>
                <w:rFonts w:hint="default"/>
                <w:color w:val="auto"/>
                <w:szCs w:val="20"/>
              </w:rPr>
            </w:pPr>
            <w:r>
              <w:rPr>
                <w:rFonts w:hint="eastAsia"/>
                <w:color w:val="auto"/>
                <w:szCs w:val="20"/>
              </w:rPr>
              <w:t>式中:</w:t>
            </w:r>
          </w:p>
          <w:p>
            <w:pPr>
              <w:keepNext w:val="0"/>
              <w:keepLines w:val="0"/>
              <w:suppressLineNumbers w:val="0"/>
              <w:spacing w:before="0" w:beforeAutospacing="0" w:after="0" w:afterAutospacing="0"/>
              <w:ind w:left="0" w:right="0" w:firstLine="480"/>
              <w:jc w:val="left"/>
              <w:rPr>
                <w:rFonts w:hint="default"/>
                <w:color w:val="auto"/>
                <w:szCs w:val="20"/>
              </w:rPr>
            </w:pPr>
            <w:r>
              <w:rPr>
                <w:rFonts w:hint="eastAsia"/>
                <w:color w:val="auto"/>
                <w:szCs w:val="20"/>
              </w:rPr>
              <w:t xml:space="preserve"> E-相对误差，Na</w:t>
            </w:r>
            <w:r>
              <w:rPr>
                <w:rFonts w:hint="eastAsia"/>
                <w:color w:val="auto"/>
                <w:szCs w:val="20"/>
                <w:vertAlign w:val="superscript"/>
              </w:rPr>
              <w:t>+</w:t>
            </w:r>
            <w:r>
              <w:rPr>
                <w:rFonts w:hint="eastAsia"/>
                <w:color w:val="auto"/>
                <w:szCs w:val="20"/>
              </w:rPr>
              <w:t>、K</w:t>
            </w:r>
            <w:r>
              <w:rPr>
                <w:rFonts w:hint="eastAsia"/>
                <w:color w:val="auto"/>
                <w:szCs w:val="20"/>
                <w:vertAlign w:val="superscript"/>
              </w:rPr>
              <w:t>+</w:t>
            </w:r>
            <w:r>
              <w:rPr>
                <w:rFonts w:hint="eastAsia"/>
                <w:color w:val="auto"/>
                <w:szCs w:val="20"/>
              </w:rPr>
              <w:t>为实测值，E应小于±5%，如果Na、K+为计算值，E应为零或接近零。</w:t>
            </w:r>
          </w:p>
          <w:p>
            <w:pPr>
              <w:keepNext w:val="0"/>
              <w:keepLines w:val="0"/>
              <w:suppressLineNumbers w:val="0"/>
              <w:spacing w:before="0" w:beforeAutospacing="0" w:after="0" w:afterAutospacing="0"/>
              <w:ind w:left="0" w:right="0" w:firstLine="480"/>
              <w:jc w:val="left"/>
              <w:rPr>
                <w:rFonts w:hint="default"/>
                <w:color w:val="auto"/>
                <w:szCs w:val="20"/>
              </w:rPr>
            </w:pPr>
            <w:r>
              <w:rPr>
                <w:rFonts w:hint="eastAsia"/>
                <w:color w:val="auto"/>
                <w:szCs w:val="20"/>
              </w:rPr>
              <w:t xml:space="preserve"> M</w:t>
            </w:r>
            <w:r>
              <w:rPr>
                <w:rFonts w:hint="eastAsia"/>
                <w:color w:val="auto"/>
                <w:szCs w:val="20"/>
                <w:vertAlign w:val="subscript"/>
              </w:rPr>
              <w:t>c</w:t>
            </w:r>
            <w:r>
              <w:rPr>
                <w:rFonts w:hint="eastAsia"/>
                <w:color w:val="auto"/>
                <w:szCs w:val="20"/>
              </w:rPr>
              <w:t>--阴离子的毫克当量浓度，meq/L；</w:t>
            </w:r>
          </w:p>
          <w:p>
            <w:pPr>
              <w:keepNext w:val="0"/>
              <w:keepLines w:val="0"/>
              <w:suppressLineNumbers w:val="0"/>
              <w:spacing w:before="0" w:beforeAutospacing="0" w:after="0" w:afterAutospacing="0"/>
              <w:ind w:left="0" w:right="0" w:firstLine="480"/>
              <w:jc w:val="left"/>
              <w:rPr>
                <w:rFonts w:hint="default"/>
                <w:color w:val="auto"/>
                <w:szCs w:val="20"/>
              </w:rPr>
            </w:pPr>
            <w:r>
              <w:rPr>
                <w:rFonts w:hint="eastAsia"/>
                <w:color w:val="auto"/>
                <w:szCs w:val="20"/>
              </w:rPr>
              <w:t>M</w:t>
            </w:r>
            <w:r>
              <w:rPr>
                <w:rFonts w:hint="eastAsia"/>
                <w:color w:val="auto"/>
                <w:szCs w:val="20"/>
                <w:vertAlign w:val="subscript"/>
              </w:rPr>
              <w:t>a</w:t>
            </w:r>
            <w:r>
              <w:rPr>
                <w:rFonts w:hint="eastAsia"/>
                <w:color w:val="auto"/>
                <w:szCs w:val="20"/>
              </w:rPr>
              <w:t>--阳离子的毫克当量浓度，meq/L；</w:t>
            </w:r>
          </w:p>
          <w:p>
            <w:pPr>
              <w:keepNext w:val="0"/>
              <w:keepLines w:val="0"/>
              <w:suppressLineNumbers w:val="0"/>
              <w:spacing w:before="0" w:beforeAutospacing="0" w:after="0" w:afterAutospacing="0"/>
              <w:ind w:left="0" w:right="0" w:firstLine="480"/>
              <w:jc w:val="left"/>
              <w:rPr>
                <w:rFonts w:hint="default"/>
                <w:color w:val="auto"/>
                <w:szCs w:val="20"/>
              </w:rPr>
            </w:pPr>
            <w:r>
              <w:rPr>
                <w:rFonts w:hint="eastAsia"/>
                <w:color w:val="auto"/>
                <w:szCs w:val="20"/>
              </w:rPr>
              <w:t>毫克当量 (meg/L)=质量浓度(mg/L)×离子的化合价</w:t>
            </w:r>
            <w:r>
              <w:rPr>
                <w:rFonts w:hint="eastAsia" w:ascii="宋体" w:hAnsi="宋体" w:cs="宋体"/>
                <w:color w:val="auto"/>
                <w:szCs w:val="20"/>
              </w:rPr>
              <w:t>÷</w:t>
            </w:r>
            <w:r>
              <w:rPr>
                <w:rFonts w:hint="eastAsia"/>
                <w:color w:val="auto"/>
                <w:szCs w:val="20"/>
              </w:rPr>
              <w:t>离子的原子量。</w:t>
            </w:r>
          </w:p>
          <w:p>
            <w:pPr>
              <w:pStyle w:val="49"/>
              <w:keepNext w:val="0"/>
              <w:keepLines w:val="0"/>
              <w:suppressLineNumbers w:val="0"/>
              <w:spacing w:before="0" w:beforeAutospacing="0" w:after="0" w:afterAutospacing="0"/>
              <w:ind w:left="0" w:right="0"/>
              <w:rPr>
                <w:rFonts w:hint="default"/>
                <w:color w:val="auto"/>
              </w:rPr>
            </w:pPr>
            <w:r>
              <w:rPr>
                <w:rFonts w:hint="default"/>
                <w:color w:val="auto"/>
              </w:rPr>
              <w:t>由上述公式计算得地下水离子</w:t>
            </w:r>
            <w:r>
              <w:rPr>
                <w:rFonts w:hint="eastAsia"/>
                <w:color w:val="auto"/>
              </w:rPr>
              <w:t>E平均值为</w:t>
            </w:r>
            <w:r>
              <w:rPr>
                <w:rFonts w:hint="eastAsia"/>
                <w:color w:val="auto"/>
                <w:lang w:val="en-US" w:eastAsia="zh-CN"/>
              </w:rPr>
              <w:t>3.78</w:t>
            </w:r>
            <w:r>
              <w:rPr>
                <w:rFonts w:hint="eastAsia"/>
                <w:color w:val="auto"/>
              </w:rPr>
              <w:t>，八大离子平衡。</w:t>
            </w:r>
          </w:p>
          <w:p>
            <w:pPr>
              <w:pStyle w:val="49"/>
              <w:keepNext w:val="0"/>
              <w:keepLines w:val="0"/>
              <w:suppressLineNumbers w:val="0"/>
              <w:spacing w:before="0" w:beforeAutospacing="0" w:after="0" w:afterAutospacing="0"/>
              <w:ind w:left="480" w:right="0" w:firstLine="0" w:firstLineChars="0"/>
              <w:rPr>
                <w:rFonts w:hint="default"/>
                <w:color w:val="auto"/>
              </w:rPr>
            </w:pPr>
            <w:r>
              <w:rPr>
                <w:rFonts w:hint="eastAsia"/>
                <w:color w:val="auto"/>
              </w:rPr>
              <w:t>5、土壤环境质量现状调查与评价</w:t>
            </w:r>
          </w:p>
          <w:p>
            <w:pPr>
              <w:pStyle w:val="49"/>
              <w:keepNext w:val="0"/>
              <w:keepLines w:val="0"/>
              <w:suppressLineNumbers w:val="0"/>
              <w:spacing w:before="0" w:beforeAutospacing="0" w:after="0" w:afterAutospacing="0"/>
              <w:ind w:left="0" w:right="0" w:firstLineChars="0"/>
              <w:rPr>
                <w:rFonts w:hint="default"/>
                <w:color w:val="auto"/>
              </w:rPr>
            </w:pPr>
            <w:r>
              <w:rPr>
                <w:rFonts w:hint="eastAsia"/>
                <w:color w:val="auto"/>
              </w:rPr>
              <w:t>为了解项目区土壤环境现状，</w:t>
            </w:r>
            <w:r>
              <w:rPr>
                <w:rFonts w:hint="eastAsia"/>
                <w:color w:val="auto"/>
                <w:highlight w:val="none"/>
              </w:rPr>
              <w:t>2022年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30</w:t>
            </w:r>
            <w:r>
              <w:rPr>
                <w:rFonts w:hint="eastAsia"/>
                <w:color w:val="auto"/>
                <w:highlight w:val="none"/>
              </w:rPr>
              <w:t>日，建设单位委托云南方源科技有限公司对项目区内土壤进行了</w:t>
            </w:r>
            <w:r>
              <w:rPr>
                <w:rFonts w:hint="eastAsia"/>
                <w:color w:val="auto"/>
                <w:highlight w:val="none"/>
                <w:lang w:val="en-US" w:eastAsia="zh-CN"/>
              </w:rPr>
              <w:t>采样</w:t>
            </w:r>
            <w:r>
              <w:rPr>
                <w:rFonts w:hint="eastAsia"/>
                <w:color w:val="auto"/>
                <w:highlight w:val="none"/>
              </w:rPr>
              <w:t>监测</w:t>
            </w:r>
            <w:r>
              <w:rPr>
                <w:rFonts w:hint="eastAsia"/>
                <w:color w:val="auto"/>
              </w:rPr>
              <w:t>，监测内容见下表：</w:t>
            </w:r>
          </w:p>
          <w:p>
            <w:pPr>
              <w:pStyle w:val="49"/>
              <w:keepNext w:val="0"/>
              <w:keepLines w:val="0"/>
              <w:suppressLineNumbers w:val="0"/>
              <w:spacing w:before="0" w:beforeAutospacing="0" w:after="0" w:afterAutospacing="0"/>
              <w:ind w:left="0" w:right="0" w:firstLineChars="0"/>
              <w:jc w:val="center"/>
              <w:rPr>
                <w:rFonts w:hint="default"/>
                <w:b/>
                <w:color w:val="auto"/>
              </w:rPr>
            </w:pPr>
            <w:r>
              <w:rPr>
                <w:rFonts w:hint="default"/>
                <w:b/>
                <w:color w:val="auto"/>
              </w:rPr>
              <w:t>表</w:t>
            </w:r>
            <w:r>
              <w:rPr>
                <w:rFonts w:hint="eastAsia"/>
                <w:b/>
                <w:color w:val="auto"/>
              </w:rPr>
              <w:t>3-10  土壤监测结果  单位：mg/kg</w:t>
            </w:r>
          </w:p>
          <w:tbl>
            <w:tblPr>
              <w:tblStyle w:val="2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4"/>
              <w:gridCol w:w="2086"/>
              <w:gridCol w:w="4"/>
              <w:gridCol w:w="2087"/>
              <w:gridCol w:w="4"/>
              <w:gridCol w:w="2084"/>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49" w:type="pct"/>
                  <w:gridSpan w:val="2"/>
                  <w:vMerge w:val="restart"/>
                  <w:tcBorders>
                    <w:tl2br w:val="single" w:color="auto" w:sz="4" w:space="0"/>
                  </w:tcBorders>
                  <w:noWrap w:val="0"/>
                  <w:vAlign w:val="center"/>
                </w:tcPr>
                <w:p>
                  <w:pPr>
                    <w:keepNext w:val="0"/>
                    <w:keepLines w:val="0"/>
                    <w:pageBreakBefore w:val="0"/>
                    <w:widowControl w:val="0"/>
                    <w:suppressLineNumbers w:val="0"/>
                    <w:tabs>
                      <w:tab w:val="left" w:pos="540"/>
                    </w:tabs>
                    <w:kinsoku/>
                    <w:wordWrap w:val="0"/>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rPr>
                  </w:pPr>
                  <w:r>
                    <w:rPr>
                      <w:rFonts w:hint="eastAsia" w:ascii="宋体" w:hAnsi="宋体" w:cs="宋体"/>
                      <w:color w:val="auto"/>
                      <w:sz w:val="21"/>
                      <w:szCs w:val="21"/>
                    </w:rPr>
                    <w:t xml:space="preserve">          点位/编号</w:t>
                  </w:r>
                </w:p>
                <w:p>
                  <w:pPr>
                    <w:keepNext w:val="0"/>
                    <w:keepLines w:val="0"/>
                    <w:pageBreakBefore w:val="0"/>
                    <w:widowControl w:val="0"/>
                    <w:suppressLineNumbers w:val="0"/>
                    <w:tabs>
                      <w:tab w:val="left" w:pos="540"/>
                    </w:tabs>
                    <w:kinsoku/>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宋体" w:hAnsi="宋体" w:cs="宋体"/>
                      <w:color w:val="auto"/>
                      <w:sz w:val="21"/>
                      <w:szCs w:val="21"/>
                    </w:rPr>
                  </w:pPr>
                  <w:r>
                    <w:rPr>
                      <w:rFonts w:hint="eastAsia" w:ascii="宋体" w:hAnsi="宋体" w:cs="宋体"/>
                      <w:color w:val="auto"/>
                      <w:sz w:val="21"/>
                      <w:szCs w:val="21"/>
                    </w:rPr>
                    <w:t>检测项目</w:t>
                  </w:r>
                </w:p>
              </w:tc>
              <w:tc>
                <w:tcPr>
                  <w:tcW w:w="1249" w:type="pct"/>
                  <w:gridSpan w:val="2"/>
                  <w:noWrap w:val="0"/>
                  <w:vAlign w:val="center"/>
                </w:tcPr>
                <w:p>
                  <w:pPr>
                    <w:keepNext w:val="0"/>
                    <w:keepLines w:val="0"/>
                    <w:pageBreakBefore w:val="0"/>
                    <w:widowControl w:val="0"/>
                    <w:suppressLineNumbers w:val="0"/>
                    <w:tabs>
                      <w:tab w:val="left" w:pos="54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color w:val="auto"/>
                      <w:sz w:val="21"/>
                      <w:szCs w:val="21"/>
                    </w:rPr>
                  </w:pPr>
                  <w:r>
                    <w:rPr>
                      <w:rFonts w:hint="eastAsia" w:ascii="宋体" w:hAnsi="宋体" w:cs="宋体"/>
                      <w:color w:val="auto"/>
                      <w:sz w:val="21"/>
                      <w:szCs w:val="21"/>
                    </w:rPr>
                    <w:t>项目区内北侧1个监测点</w:t>
                  </w:r>
                </w:p>
              </w:tc>
              <w:tc>
                <w:tcPr>
                  <w:tcW w:w="1250" w:type="pct"/>
                  <w:gridSpan w:val="2"/>
                  <w:noWrap w:val="0"/>
                  <w:vAlign w:val="center"/>
                </w:tcPr>
                <w:p>
                  <w:pPr>
                    <w:keepNext w:val="0"/>
                    <w:keepLines w:val="0"/>
                    <w:pageBreakBefore w:val="0"/>
                    <w:widowControl w:val="0"/>
                    <w:suppressLineNumbers w:val="0"/>
                    <w:tabs>
                      <w:tab w:val="left" w:pos="54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color w:val="auto"/>
                      <w:sz w:val="21"/>
                      <w:szCs w:val="21"/>
                    </w:rPr>
                  </w:pPr>
                  <w:r>
                    <w:rPr>
                      <w:rFonts w:hint="eastAsia" w:ascii="宋体" w:hAnsi="宋体" w:cs="宋体"/>
                      <w:color w:val="auto"/>
                      <w:sz w:val="21"/>
                      <w:szCs w:val="21"/>
                    </w:rPr>
                    <w:t>项目区内中部1个监测点</w:t>
                  </w:r>
                </w:p>
              </w:tc>
              <w:tc>
                <w:tcPr>
                  <w:tcW w:w="1250" w:type="pct"/>
                  <w:gridSpan w:val="2"/>
                  <w:noWrap w:val="0"/>
                  <w:vAlign w:val="center"/>
                </w:tcPr>
                <w:p>
                  <w:pPr>
                    <w:keepNext w:val="0"/>
                    <w:keepLines w:val="0"/>
                    <w:pageBreakBefore w:val="0"/>
                    <w:widowControl w:val="0"/>
                    <w:suppressLineNumbers w:val="0"/>
                    <w:tabs>
                      <w:tab w:val="left" w:pos="54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color w:val="auto"/>
                      <w:sz w:val="21"/>
                      <w:szCs w:val="21"/>
                    </w:rPr>
                  </w:pPr>
                  <w:r>
                    <w:rPr>
                      <w:rFonts w:hint="eastAsia" w:ascii="宋体" w:hAnsi="宋体" w:cs="宋体"/>
                      <w:color w:val="auto"/>
                      <w:sz w:val="21"/>
                      <w:szCs w:val="21"/>
                    </w:rPr>
                    <w:t>项目区内</w:t>
                  </w:r>
                  <w:r>
                    <w:rPr>
                      <w:rFonts w:hint="eastAsia" w:ascii="宋体" w:hAnsi="宋体" w:cs="宋体"/>
                      <w:color w:val="auto"/>
                      <w:sz w:val="21"/>
                      <w:szCs w:val="21"/>
                      <w:lang w:eastAsia="zh-CN"/>
                    </w:rPr>
                    <w:t>西侧</w:t>
                  </w:r>
                  <w:r>
                    <w:rPr>
                      <w:rFonts w:hint="eastAsia" w:ascii="宋体" w:hAnsi="宋体" w:cs="宋体"/>
                      <w:color w:val="auto"/>
                      <w:sz w:val="21"/>
                      <w:szCs w:val="21"/>
                    </w:rPr>
                    <w:t>1个监测点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9" w:type="pct"/>
                  <w:gridSpan w:val="2"/>
                  <w:vMerge w:val="continue"/>
                  <w:tcBorders>
                    <w:tl2br w:val="single" w:color="auto" w:sz="4" w:space="0"/>
                  </w:tcBorders>
                  <w:noWrap w:val="0"/>
                  <w:vAlign w:val="center"/>
                </w:tcPr>
                <w:p>
                  <w:pPr>
                    <w:keepNext w:val="0"/>
                    <w:keepLines w:val="0"/>
                    <w:pageBreakBefore w:val="0"/>
                    <w:widowControl w:val="0"/>
                    <w:suppressLineNumbers w:val="0"/>
                    <w:tabs>
                      <w:tab w:val="left" w:pos="540"/>
                    </w:tabs>
                    <w:kinsoku/>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宋体" w:hAnsi="宋体" w:cs="宋体"/>
                      <w:color w:val="auto"/>
                      <w:sz w:val="21"/>
                      <w:szCs w:val="21"/>
                    </w:rPr>
                  </w:pPr>
                </w:p>
              </w:tc>
              <w:tc>
                <w:tcPr>
                  <w:tcW w:w="1249" w:type="pct"/>
                  <w:gridSpan w:val="2"/>
                  <w:noWrap w:val="0"/>
                  <w:vAlign w:val="center"/>
                </w:tcPr>
                <w:p>
                  <w:pPr>
                    <w:keepNext w:val="0"/>
                    <w:keepLines w:val="0"/>
                    <w:pageBreakBefore w:val="0"/>
                    <w:widowControl w:val="0"/>
                    <w:suppressLineNumbers w:val="0"/>
                    <w:tabs>
                      <w:tab w:val="left" w:pos="54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eastAsia="zh-CN"/>
                    </w:rPr>
                    <w:t>2022112701</w:t>
                  </w:r>
                  <w:r>
                    <w:rPr>
                      <w:rFonts w:hint="eastAsia" w:ascii="宋体" w:hAnsi="宋体" w:cs="宋体"/>
                      <w:color w:val="auto"/>
                      <w:sz w:val="21"/>
                      <w:szCs w:val="21"/>
                    </w:rPr>
                    <w:t>4-01</w:t>
                  </w:r>
                </w:p>
              </w:tc>
              <w:tc>
                <w:tcPr>
                  <w:tcW w:w="1250" w:type="pct"/>
                  <w:gridSpan w:val="2"/>
                  <w:noWrap w:val="0"/>
                  <w:vAlign w:val="center"/>
                </w:tcPr>
                <w:p>
                  <w:pPr>
                    <w:keepNext w:val="0"/>
                    <w:keepLines w:val="0"/>
                    <w:pageBreakBefore w:val="0"/>
                    <w:widowControl w:val="0"/>
                    <w:suppressLineNumbers w:val="0"/>
                    <w:tabs>
                      <w:tab w:val="left" w:pos="54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eastAsia="zh-CN"/>
                    </w:rPr>
                    <w:t>2022112701</w:t>
                  </w:r>
                  <w:r>
                    <w:rPr>
                      <w:rFonts w:hint="eastAsia" w:ascii="宋体" w:hAnsi="宋体" w:cs="宋体"/>
                      <w:color w:val="auto"/>
                      <w:sz w:val="21"/>
                      <w:szCs w:val="21"/>
                    </w:rPr>
                    <w:t>4-02</w:t>
                  </w:r>
                </w:p>
              </w:tc>
              <w:tc>
                <w:tcPr>
                  <w:tcW w:w="1250" w:type="pct"/>
                  <w:gridSpan w:val="2"/>
                  <w:noWrap w:val="0"/>
                  <w:vAlign w:val="center"/>
                </w:tcPr>
                <w:p>
                  <w:pPr>
                    <w:keepNext w:val="0"/>
                    <w:keepLines w:val="0"/>
                    <w:pageBreakBefore w:val="0"/>
                    <w:widowControl w:val="0"/>
                    <w:suppressLineNumbers w:val="0"/>
                    <w:tabs>
                      <w:tab w:val="left" w:pos="54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lang w:eastAsia="zh-CN"/>
                    </w:rPr>
                    <w:t>2022112701</w:t>
                  </w:r>
                  <w:r>
                    <w:rPr>
                      <w:rFonts w:hint="eastAsia" w:ascii="宋体" w:hAnsi="宋体" w:cs="宋体"/>
                      <w:color w:val="auto"/>
                      <w:sz w:val="21"/>
                      <w:szCs w:val="21"/>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cs="宋体"/>
                      <w:color w:val="auto"/>
                      <w:sz w:val="21"/>
                      <w:szCs w:val="21"/>
                    </w:rPr>
                  </w:pPr>
                  <w:r>
                    <w:rPr>
                      <w:rFonts w:hint="eastAsia" w:ascii="宋体" w:hAnsi="宋体" w:cs="宋体"/>
                      <w:color w:val="auto"/>
                      <w:sz w:val="21"/>
                      <w:szCs w:val="21"/>
                    </w:rPr>
                    <w:t>pH（无量纲）</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Arial"/>
                      <w:color w:val="auto"/>
                      <w:sz w:val="21"/>
                      <w:szCs w:val="21"/>
                      <w:lang w:val="en-US" w:eastAsia="zh-CN"/>
                    </w:rPr>
                  </w:pPr>
                  <w:r>
                    <w:rPr>
                      <w:rFonts w:hint="eastAsia" w:cs="Arial"/>
                      <w:color w:val="auto"/>
                      <w:sz w:val="21"/>
                      <w:szCs w:val="21"/>
                      <w:lang w:val="en-US" w:eastAsia="zh-CN"/>
                    </w:rPr>
                    <w:t>6.13</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Arial"/>
                      <w:color w:val="auto"/>
                      <w:sz w:val="21"/>
                      <w:szCs w:val="21"/>
                      <w:lang w:val="en-US" w:eastAsia="zh-CN"/>
                    </w:rPr>
                  </w:pPr>
                  <w:r>
                    <w:rPr>
                      <w:rFonts w:hint="eastAsia" w:cs="Arial"/>
                      <w:color w:val="auto"/>
                      <w:sz w:val="21"/>
                      <w:szCs w:val="21"/>
                      <w:lang w:val="en-US" w:eastAsia="zh-CN"/>
                    </w:rPr>
                    <w:t>6.08</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Arial"/>
                      <w:color w:val="auto"/>
                      <w:sz w:val="21"/>
                      <w:szCs w:val="21"/>
                      <w:lang w:val="en-US" w:eastAsia="zh-CN"/>
                    </w:rPr>
                  </w:pPr>
                  <w:r>
                    <w:rPr>
                      <w:rFonts w:hint="eastAsia" w:cs="Arial"/>
                      <w:color w:val="auto"/>
                      <w:sz w:val="21"/>
                      <w:szCs w:val="21"/>
                      <w:lang w:val="en-US" w:eastAsia="zh-CN"/>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四氯化碳</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&lt;2.1</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&lt;2.1</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氯仿</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&lt;1.5</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&lt;1.5</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氯甲烷</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&lt;3.0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&lt;3.0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1,1-二氯乙烷</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&lt;1.6</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&lt;1.6</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1,2-二氯乙烷</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&lt;1.3</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&lt;1.3</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1,1-二氯乙烯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&lt;0.8</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&lt;0.8</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顺-1,2-二氯乙烯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&lt;0.9</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&lt;0.9</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反-1,2-二氯乙烯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&lt;0.9</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&lt;0.9</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二氯甲烷</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&lt;2.6</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&lt;2.6</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1,2-二氯丙烷</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&lt;1.9</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&lt;1.9</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1,1,1,2-四氯乙烷</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1,1,2,2-四氯乙烷</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四氯乙烯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&lt;0.8</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&lt;0.8</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1,1,1-三氯乙烷</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&lt;1.1</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&lt;1.1</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1,1,2-三氯乙烷</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&lt;1.4</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&lt;1.4</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三氯乙烯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&lt;0.9</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&lt;0.9</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1,2,3-三氯丙烷</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氯乙烯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&lt;1.5</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&lt;1.5</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&lt;1.6</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&lt;1.6</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氯苯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&lt;1.1</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&lt;1.1</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1,2-二氯苯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1,4-二氯苯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&lt;1.2</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&lt;1.2</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乙苯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&lt;1.2</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&lt;1.2</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苯乙烯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&lt;1.6</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&lt;1.6</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甲苯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&lt;2.0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&lt;2.0</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间/对二甲苯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&lt;3.6</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&lt;3.6</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249" w:type="pct"/>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cs="宋体"/>
                      <w:color w:val="auto"/>
                      <w:sz w:val="21"/>
                      <w:szCs w:val="21"/>
                    </w:rPr>
                  </w:pPr>
                  <w:r>
                    <w:rPr>
                      <w:rFonts w:hint="eastAsia" w:ascii="宋体" w:hAnsi="宋体" w:cs="宋体"/>
                      <w:color w:val="auto"/>
                      <w:sz w:val="21"/>
                      <w:szCs w:val="21"/>
                    </w:rPr>
                    <w:t>邻二甲苯</w:t>
                  </w:r>
                </w:p>
              </w:tc>
              <w:tc>
                <w:tcPr>
                  <w:tcW w:w="1249"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&lt;1.3</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Arial"/>
                      <w:color w:val="auto"/>
                      <w:sz w:val="21"/>
                      <w:szCs w:val="21"/>
                    </w:rPr>
                  </w:pPr>
                  <w:r>
                    <w:rPr>
                      <w:rFonts w:hint="eastAsia" w:cs="Arial"/>
                      <w:color w:val="auto"/>
                      <w:sz w:val="21"/>
                      <w:szCs w:val="21"/>
                    </w:rPr>
                    <w:t>&lt;1.3</w:t>
                  </w:r>
                </w:p>
              </w:tc>
              <w:tc>
                <w:tcPr>
                  <w:tcW w:w="1250" w:type="pct"/>
                  <w:gridSpan w:val="2"/>
                  <w:noWrap w:val="0"/>
                  <w:vAlign w:val="center"/>
                </w:tcPr>
                <w:p>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Arial"/>
                      <w:color w:val="auto"/>
                      <w:sz w:val="21"/>
                      <w:szCs w:val="21"/>
                    </w:rPr>
                  </w:pPr>
                  <w:r>
                    <w:rPr>
                      <w:rFonts w:hint="eastAsia" w:cs="Arial"/>
                      <w:color w:val="auto"/>
                      <w:sz w:val="21"/>
                      <w:szCs w:val="21"/>
                    </w:rPr>
                    <w:t>&lt;1.3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硝基苯</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&lt;0.09</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&lt;0.09</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苯胺</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2-氯酚</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&lt;0.06</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&lt;0.06</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苯并（a）蒽</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苯并（a）芘</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苯并（b）荧蒽</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&lt;0.2</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&lt;0.2</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苯并（k）荧蒽</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䓛</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二苯并（a,h）蒽</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茚并（1,2,3-cd）芘</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萘</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&lt;0.09</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&lt;0.09</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砷</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31.4</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铜</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28.2</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21.2</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铅</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30.2</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33.3</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镍</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47.1</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23.6</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86" w:type="dxa"/>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铬</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95</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70</w:t>
                  </w:r>
                </w:p>
              </w:tc>
              <w:tc>
                <w:tcPr>
                  <w:tcW w:w="2088"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66</w:t>
                  </w:r>
                </w:p>
              </w:tc>
              <w:tc>
                <w:tcPr>
                  <w:tcW w:w="0" w:type="auto"/>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镉</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&lt;0.07</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&lt;0.07</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汞</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0.074</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0.147</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△石油烃（C10-C40）</w:t>
                  </w:r>
                </w:p>
              </w:tc>
              <w:tc>
                <w:tcPr>
                  <w:tcW w:w="2090"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color w:val="auto"/>
                      <w:sz w:val="21"/>
                      <w:szCs w:val="21"/>
                      <w:lang w:val="en-US"/>
                    </w:rPr>
                  </w:pPr>
                  <w:r>
                    <w:rPr>
                      <w:rFonts w:hint="eastAsia" w:ascii="宋体" w:hAnsi="宋体" w:cs="宋体"/>
                      <w:color w:val="auto"/>
                      <w:sz w:val="21"/>
                      <w:szCs w:val="21"/>
                      <w:lang w:val="en-US" w:eastAsia="zh-CN"/>
                    </w:rPr>
                    <w:t>19</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color w:val="auto"/>
                      <w:sz w:val="21"/>
                      <w:szCs w:val="21"/>
                      <w:lang w:val="en-US"/>
                    </w:rPr>
                  </w:pPr>
                  <w:r>
                    <w:rPr>
                      <w:rFonts w:hint="eastAsia" w:ascii="宋体" w:hAnsi="宋体" w:cs="宋体"/>
                      <w:color w:val="auto"/>
                      <w:sz w:val="21"/>
                      <w:szCs w:val="21"/>
                      <w:lang w:val="en-US" w:eastAsia="zh-CN"/>
                    </w:rPr>
                    <w:t>12</w:t>
                  </w:r>
                </w:p>
              </w:tc>
              <w:tc>
                <w:tcPr>
                  <w:tcW w:w="2091" w:type="dxa"/>
                  <w:gridSpan w:val="2"/>
                  <w:noWrap w:val="0"/>
                  <w:vAlign w:val="center"/>
                </w:tcPr>
                <w:p>
                  <w:pPr>
                    <w:keepNext w:val="0"/>
                    <w:keepLines w:val="0"/>
                    <w:pageBreakBefore w:val="0"/>
                    <w:widowControl w:val="0"/>
                    <w:suppressLineNumbers w:val="0"/>
                    <w:tabs>
                      <w:tab w:val="left" w:pos="780"/>
                    </w:tabs>
                    <w:kinsoku/>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color w:val="auto"/>
                      <w:sz w:val="21"/>
                      <w:szCs w:val="21"/>
                      <w:lang w:val="en-US"/>
                    </w:rPr>
                  </w:pPr>
                  <w:r>
                    <w:rPr>
                      <w:rFonts w:hint="eastAsia" w:ascii="宋体" w:hAnsi="宋体" w:cs="宋体"/>
                      <w:color w:val="auto"/>
                      <w:sz w:val="21"/>
                      <w:szCs w:val="21"/>
                      <w:lang w:val="en-US" w:eastAsia="zh-CN"/>
                    </w:rPr>
                    <w:t>19</w:t>
                  </w:r>
                </w:p>
              </w:tc>
            </w:tr>
          </w:tbl>
          <w:p>
            <w:pPr>
              <w:pStyle w:val="49"/>
              <w:keepNext w:val="0"/>
              <w:keepLines w:val="0"/>
              <w:suppressLineNumbers w:val="0"/>
              <w:spacing w:before="0" w:beforeAutospacing="0" w:after="0" w:afterAutospacing="0"/>
              <w:ind w:left="0" w:right="0"/>
              <w:rPr>
                <w:rFonts w:hint="default"/>
                <w:color w:val="auto"/>
              </w:rPr>
            </w:pPr>
            <w:r>
              <w:rPr>
                <w:rFonts w:hint="eastAsia"/>
                <w:color w:val="auto"/>
              </w:rPr>
              <w:t>根据上表可知，项目所有监测值均能达到《土壤环境质量建设用地土壤污染风险管控标准（试行）》（GB36600-2018）第二类用地的风险筛选值要求。</w:t>
            </w:r>
          </w:p>
          <w:p>
            <w:pPr>
              <w:pStyle w:val="49"/>
              <w:keepNext w:val="0"/>
              <w:keepLines w:val="0"/>
              <w:suppressLineNumbers w:val="0"/>
              <w:spacing w:before="0" w:beforeAutospacing="0" w:after="0" w:afterAutospacing="0"/>
              <w:ind w:left="0" w:right="0"/>
              <w:rPr>
                <w:rFonts w:hint="default"/>
                <w:color w:val="auto"/>
              </w:rPr>
            </w:pPr>
            <w:r>
              <w:rPr>
                <w:rFonts w:hint="eastAsia"/>
                <w:color w:val="auto"/>
              </w:rPr>
              <w:t>6、生态环境现状</w:t>
            </w:r>
          </w:p>
          <w:p>
            <w:pPr>
              <w:pStyle w:val="49"/>
              <w:keepNext w:val="0"/>
              <w:keepLines w:val="0"/>
              <w:suppressLineNumbers w:val="0"/>
              <w:spacing w:before="0" w:beforeAutospacing="0" w:after="0" w:afterAutospacing="0"/>
              <w:ind w:left="0" w:right="0"/>
              <w:rPr>
                <w:rFonts w:hint="default"/>
                <w:color w:val="auto"/>
              </w:rPr>
            </w:pPr>
            <w:r>
              <w:rPr>
                <w:rFonts w:hint="default"/>
                <w:color w:val="auto"/>
              </w:rPr>
              <w:t>本项目位于德宏州芒市</w:t>
            </w:r>
            <w:r>
              <w:rPr>
                <w:rFonts w:hint="eastAsia"/>
                <w:color w:val="auto"/>
                <w:lang w:val="en-US" w:eastAsia="zh-CN"/>
              </w:rPr>
              <w:t>风平镇帕底村</w:t>
            </w:r>
            <w:r>
              <w:rPr>
                <w:rFonts w:hint="default"/>
                <w:color w:val="auto"/>
              </w:rPr>
              <w:t>，项目区内已无天然植被，</w:t>
            </w:r>
            <w:r>
              <w:rPr>
                <w:rFonts w:hint="eastAsia"/>
                <w:color w:val="auto"/>
                <w:lang w:val="en-US" w:eastAsia="zh-CN"/>
              </w:rPr>
              <w:t>主要植被有小型灌木及杂草；</w:t>
            </w:r>
            <w:r>
              <w:rPr>
                <w:rFonts w:hint="default"/>
                <w:color w:val="auto"/>
              </w:rPr>
              <w:t>周边动物主要为小型鸟类、啮齿类动物以及昆虫。项目区范围内为发现珍稀濒危保护动植物和地方特有种。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461" w:type="dxa"/>
            <w:vAlign w:val="center"/>
          </w:tcPr>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环境</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保护</w:t>
            </w:r>
          </w:p>
          <w:p>
            <w:pPr>
              <w:pStyle w:val="69"/>
              <w:keepNext w:val="0"/>
              <w:keepLines w:val="0"/>
              <w:suppressLineNumbers w:val="0"/>
              <w:spacing w:before="0" w:beforeAutospacing="0" w:after="0" w:afterAutospacing="0"/>
              <w:ind w:left="0" w:right="0"/>
              <w:rPr>
                <w:rFonts w:hint="default"/>
                <w:color w:val="auto"/>
              </w:rPr>
            </w:pPr>
            <w:r>
              <w:rPr>
                <w:rFonts w:hint="default"/>
                <w:color w:val="auto"/>
                <w:sz w:val="24"/>
                <w:szCs w:val="24"/>
              </w:rPr>
              <w:t>目标</w:t>
            </w:r>
          </w:p>
        </w:tc>
        <w:tc>
          <w:tcPr>
            <w:tcW w:w="8600" w:type="dxa"/>
            <w:vAlign w:val="center"/>
          </w:tcPr>
          <w:p>
            <w:pPr>
              <w:pStyle w:val="8"/>
              <w:keepNext w:val="0"/>
              <w:keepLines w:val="0"/>
              <w:widowControl/>
              <w:suppressLineNumbers w:val="0"/>
              <w:adjustRightInd w:val="0"/>
              <w:snapToGrid w:val="0"/>
              <w:spacing w:before="0" w:beforeAutospacing="0" w:after="0" w:afterAutospacing="0"/>
              <w:ind w:left="0" w:right="0" w:firstLine="480"/>
              <w:rPr>
                <w:rFonts w:hint="default"/>
                <w:color w:val="auto"/>
                <w:szCs w:val="24"/>
              </w:rPr>
            </w:pPr>
            <w:r>
              <w:rPr>
                <w:rFonts w:hint="default"/>
                <w:color w:val="auto"/>
                <w:szCs w:val="24"/>
              </w:rPr>
              <w:t>根据环办环评〔2020〕33号附件2《建设项目环境影响报告表编制技术指南（污染影响类）（试行）》，环境影响报告表环境保护目标设置范围如下：</w:t>
            </w:r>
          </w:p>
          <w:p>
            <w:pPr>
              <w:keepNext w:val="0"/>
              <w:keepLines w:val="0"/>
              <w:suppressLineNumbers w:val="0"/>
              <w:topLinePunct/>
              <w:adjustRightInd w:val="0"/>
              <w:snapToGrid w:val="0"/>
              <w:spacing w:before="0" w:beforeAutospacing="0" w:after="0" w:afterAutospacing="0" w:line="348" w:lineRule="auto"/>
              <w:ind w:left="0" w:right="0" w:firstLine="480"/>
              <w:rPr>
                <w:rFonts w:hint="default"/>
                <w:bCs/>
                <w:color w:val="auto"/>
              </w:rPr>
            </w:pPr>
            <w:r>
              <w:rPr>
                <w:rFonts w:hint="default"/>
                <w:bCs/>
                <w:color w:val="auto"/>
              </w:rPr>
              <w:t>1.大气环境：项目周边500米范围内无自然保护区、风景名胜区，离项目区最近的敏感点为</w:t>
            </w:r>
            <w:r>
              <w:rPr>
                <w:rFonts w:hint="eastAsia"/>
                <w:bCs/>
                <w:color w:val="auto"/>
                <w:lang w:val="en-US" w:eastAsia="zh-CN"/>
              </w:rPr>
              <w:t>西北</w:t>
            </w:r>
            <w:r>
              <w:rPr>
                <w:rFonts w:hint="default"/>
                <w:bCs/>
                <w:color w:val="auto"/>
              </w:rPr>
              <w:t>侧</w:t>
            </w:r>
            <w:r>
              <w:rPr>
                <w:rFonts w:hint="eastAsia"/>
                <w:bCs/>
                <w:color w:val="auto"/>
              </w:rPr>
              <w:t>3</w:t>
            </w:r>
            <w:r>
              <w:rPr>
                <w:rFonts w:hint="eastAsia"/>
                <w:bCs/>
                <w:color w:val="auto"/>
                <w:lang w:val="en-US" w:eastAsia="zh-CN"/>
              </w:rPr>
              <w:t>2</w:t>
            </w:r>
            <w:r>
              <w:rPr>
                <w:rFonts w:hint="eastAsia"/>
                <w:bCs/>
                <w:color w:val="auto"/>
              </w:rPr>
              <w:t>0m的</w:t>
            </w:r>
            <w:r>
              <w:rPr>
                <w:rFonts w:hint="eastAsia"/>
                <w:bCs/>
                <w:color w:val="auto"/>
                <w:lang w:val="en-US" w:eastAsia="zh-CN"/>
              </w:rPr>
              <w:t>遮相分场十二队</w:t>
            </w:r>
            <w:r>
              <w:rPr>
                <w:rFonts w:hint="eastAsia"/>
                <w:bCs/>
                <w:color w:val="auto"/>
              </w:rPr>
              <w:t>，因此，项目的大气环境保护目标为</w:t>
            </w:r>
            <w:r>
              <w:rPr>
                <w:rFonts w:hint="eastAsia"/>
                <w:bCs/>
                <w:color w:val="auto"/>
                <w:lang w:val="en-US" w:eastAsia="zh-CN"/>
              </w:rPr>
              <w:t>遮相分场十二队</w:t>
            </w:r>
            <w:r>
              <w:rPr>
                <w:rFonts w:hint="default"/>
                <w:bCs/>
                <w:color w:val="auto"/>
              </w:rPr>
              <w:t>。</w:t>
            </w:r>
          </w:p>
          <w:p>
            <w:pPr>
              <w:keepNext w:val="0"/>
              <w:keepLines w:val="0"/>
              <w:suppressLineNumbers w:val="0"/>
              <w:spacing w:before="0" w:beforeAutospacing="0" w:after="0" w:afterAutospacing="0"/>
              <w:ind w:left="0" w:right="0" w:firstLine="480"/>
              <w:rPr>
                <w:rFonts w:hint="default"/>
                <w:color w:val="auto"/>
              </w:rPr>
            </w:pPr>
            <w:r>
              <w:rPr>
                <w:rFonts w:hint="default"/>
                <w:bCs/>
                <w:color w:val="auto"/>
              </w:rPr>
              <w:t>2.地表水环境：</w:t>
            </w:r>
            <w:r>
              <w:rPr>
                <w:rFonts w:hint="default"/>
                <w:color w:val="auto"/>
                <w:lang w:bidi="ar"/>
              </w:rPr>
              <w:t>项目区附近地表水主要为</w:t>
            </w:r>
            <w:r>
              <w:rPr>
                <w:rFonts w:hint="eastAsia"/>
                <w:color w:val="auto"/>
                <w:lang w:val="en-US" w:eastAsia="zh-CN" w:bidi="ar"/>
              </w:rPr>
              <w:t>北</w:t>
            </w:r>
            <w:r>
              <w:rPr>
                <w:rFonts w:hint="default"/>
                <w:color w:val="auto"/>
              </w:rPr>
              <w:t>侧</w:t>
            </w:r>
            <w:r>
              <w:rPr>
                <w:rFonts w:hint="eastAsia"/>
                <w:color w:val="auto"/>
                <w:lang w:val="en-US" w:eastAsia="zh-CN"/>
              </w:rPr>
              <w:t>2</w:t>
            </w:r>
            <w:r>
              <w:rPr>
                <w:rFonts w:hint="eastAsia"/>
                <w:color w:val="auto"/>
              </w:rPr>
              <w:t>0</w:t>
            </w:r>
            <w:r>
              <w:rPr>
                <w:rFonts w:hint="default"/>
                <w:color w:val="auto"/>
              </w:rPr>
              <w:t>m处的芒市河，项目运营期的生活污水经隔油池及化粪池处理后</w:t>
            </w:r>
            <w:r>
              <w:rPr>
                <w:rFonts w:hint="eastAsia"/>
                <w:color w:val="auto"/>
                <w:lang w:val="en-US" w:eastAsia="zh-CN"/>
              </w:rPr>
              <w:t>回用于项目区绿化施肥</w:t>
            </w:r>
            <w:r>
              <w:rPr>
                <w:rFonts w:hint="default"/>
                <w:color w:val="auto"/>
              </w:rPr>
              <w:t>，无生产废水产生。</w:t>
            </w:r>
            <w:r>
              <w:rPr>
                <w:rFonts w:hint="eastAsia"/>
                <w:color w:val="auto"/>
              </w:rPr>
              <w:t>根据《环境影响评价技术导则 地表水环境》（HJ2.3-2018）的要求，水环境保护目标为饮用水水源保护区、饮用水取水口，涉水的自然保护区、风景名胜区，重要湿地、重点保护与珍稀水生生物的栖息地、重要水生生物的自然产卵场及索饵场、越冬场和洄游通道，天然渔场等渔业水体，以及水产种质资源保护区等。根据调查，该项目选址不</w:t>
            </w:r>
            <w:r>
              <w:rPr>
                <w:rFonts w:hint="eastAsia"/>
                <w:color w:val="auto"/>
                <w:lang w:eastAsia="zh-CN"/>
              </w:rPr>
              <w:t>涉及</w:t>
            </w:r>
            <w:r>
              <w:rPr>
                <w:rFonts w:hint="eastAsia"/>
                <w:color w:val="auto"/>
              </w:rPr>
              <w:t>饮用水水源保护区、饮用水取水口，涉水的自然保护区、风景名胜区，重要湿地、重点保护与珍稀水生生物的栖息地、重要水生生物的自然产卵场及索饵场、越冬场和洄游通道，天然渔场等渔业水体，以及水产种质资源保护区等区域。本项目不涉及以上区域，</w:t>
            </w:r>
            <w:r>
              <w:rPr>
                <w:rFonts w:hint="eastAsia"/>
                <w:color w:val="auto"/>
                <w:lang w:val="en-US" w:eastAsia="zh-CN"/>
              </w:rPr>
              <w:t>项目区北侧20m为芒市大河，项目在运营过程中确保废水不外排至芒市大河</w:t>
            </w:r>
            <w:r>
              <w:rPr>
                <w:rFonts w:hint="default"/>
                <w:color w:val="auto"/>
              </w:rPr>
              <w:t>。</w:t>
            </w:r>
          </w:p>
          <w:p>
            <w:pPr>
              <w:keepNext w:val="0"/>
              <w:keepLines w:val="0"/>
              <w:suppressLineNumbers w:val="0"/>
              <w:topLinePunct/>
              <w:adjustRightInd w:val="0"/>
              <w:snapToGrid w:val="0"/>
              <w:spacing w:before="0" w:beforeAutospacing="0" w:after="0" w:afterAutospacing="0" w:line="348" w:lineRule="auto"/>
              <w:ind w:left="0" w:right="0" w:firstLine="480"/>
              <w:rPr>
                <w:rFonts w:hint="default"/>
                <w:bCs/>
                <w:color w:val="auto"/>
              </w:rPr>
            </w:pPr>
            <w:r>
              <w:rPr>
                <w:rFonts w:hint="default"/>
                <w:bCs/>
                <w:color w:val="auto"/>
              </w:rPr>
              <w:t>3.声环境：</w:t>
            </w:r>
            <w:r>
              <w:rPr>
                <w:rFonts w:hint="eastAsia"/>
                <w:color w:val="auto"/>
              </w:rPr>
              <w:t>5</w:t>
            </w:r>
            <w:r>
              <w:rPr>
                <w:rFonts w:hint="default"/>
                <w:color w:val="auto"/>
              </w:rPr>
              <w:t>0m范围内没有声环境保护目标</w:t>
            </w:r>
            <w:r>
              <w:rPr>
                <w:rFonts w:hint="default"/>
                <w:bCs/>
                <w:color w:val="auto"/>
              </w:rPr>
              <w:t>。</w:t>
            </w:r>
          </w:p>
          <w:p>
            <w:pPr>
              <w:keepNext w:val="0"/>
              <w:keepLines w:val="0"/>
              <w:suppressLineNumbers w:val="0"/>
              <w:topLinePunct/>
              <w:adjustRightInd w:val="0"/>
              <w:snapToGrid w:val="0"/>
              <w:spacing w:before="0" w:beforeAutospacing="0" w:after="0" w:afterAutospacing="0" w:line="348" w:lineRule="auto"/>
              <w:ind w:left="0" w:right="0" w:firstLine="480"/>
              <w:rPr>
                <w:rFonts w:hint="default"/>
                <w:bCs/>
                <w:color w:val="auto"/>
              </w:rPr>
            </w:pPr>
            <w:r>
              <w:rPr>
                <w:rFonts w:hint="default"/>
                <w:bCs/>
                <w:color w:val="auto"/>
              </w:rPr>
              <w:t>4.地下水环境：项目厂界外500米范围内无地下水集中式饮用水水源</w:t>
            </w:r>
            <w:r>
              <w:rPr>
                <w:rFonts w:hint="default"/>
                <w:snapToGrid w:val="0"/>
                <w:color w:val="auto"/>
                <w:kern w:val="0"/>
              </w:rPr>
              <w:t>和热水、矿泉水、温泉等特殊地下水资源，项目无地下水保护目标</w:t>
            </w:r>
            <w:r>
              <w:rPr>
                <w:rFonts w:hint="default"/>
                <w:bCs/>
                <w:color w:val="auto"/>
              </w:rPr>
              <w:t>。</w:t>
            </w:r>
          </w:p>
          <w:p>
            <w:pPr>
              <w:keepNext w:val="0"/>
              <w:keepLines w:val="0"/>
              <w:suppressLineNumbers w:val="0"/>
              <w:topLinePunct/>
              <w:adjustRightInd w:val="0"/>
              <w:snapToGrid w:val="0"/>
              <w:spacing w:before="0" w:beforeAutospacing="0" w:after="0" w:afterAutospacing="0" w:line="348" w:lineRule="auto"/>
              <w:ind w:left="0" w:right="0" w:firstLine="480"/>
              <w:rPr>
                <w:rFonts w:hint="default"/>
                <w:bCs/>
                <w:color w:val="auto"/>
              </w:rPr>
            </w:pPr>
            <w:r>
              <w:rPr>
                <w:rFonts w:hint="eastAsia"/>
                <w:bCs/>
                <w:color w:val="auto"/>
              </w:rPr>
              <w:t>5、土壤环境：根据调查，项目区周边50m范围内无农田、耕地等土壤保护目标。</w:t>
            </w:r>
          </w:p>
          <w:p>
            <w:pPr>
              <w:pStyle w:val="8"/>
              <w:keepNext w:val="0"/>
              <w:keepLines w:val="0"/>
              <w:suppressLineNumbers w:val="0"/>
              <w:spacing w:before="0" w:beforeAutospacing="0" w:after="0" w:afterAutospacing="0"/>
              <w:ind w:left="0" w:right="0" w:firstLine="480"/>
              <w:rPr>
                <w:rFonts w:hint="default"/>
                <w:color w:val="auto"/>
                <w:szCs w:val="21"/>
              </w:rPr>
            </w:pPr>
            <w:r>
              <w:rPr>
                <w:rFonts w:hint="eastAsia"/>
                <w:bCs/>
                <w:color w:val="auto"/>
              </w:rPr>
              <w:t>6</w:t>
            </w:r>
            <w:r>
              <w:rPr>
                <w:rFonts w:hint="default"/>
                <w:bCs/>
                <w:color w:val="auto"/>
              </w:rPr>
              <w:t>.生态环境：</w:t>
            </w:r>
            <w:r>
              <w:rPr>
                <w:rFonts w:hint="default"/>
                <w:color w:val="auto"/>
              </w:rPr>
              <w:t>项目场地及周边200m范围内无国家级和省级保护植物物种，以及地方狭域植物种类分布，也无古树名木。项目周边主要为园区人工绿化植被，已无天然植被</w:t>
            </w:r>
            <w:r>
              <w:rPr>
                <w:rFonts w:hint="eastAsia"/>
                <w:color w:val="auto"/>
              </w:rPr>
              <w:t>，</w:t>
            </w:r>
            <w:r>
              <w:rPr>
                <w:rFonts w:hint="default"/>
                <w:color w:val="auto"/>
              </w:rPr>
              <w:t>周边动物主要为小型鸟类、啮齿类动物等小型动物。项目区</w:t>
            </w:r>
            <w:r>
              <w:rPr>
                <w:rFonts w:hint="eastAsia"/>
                <w:color w:val="auto"/>
              </w:rPr>
              <w:t>未发现</w:t>
            </w:r>
            <w:r>
              <w:rPr>
                <w:rFonts w:hint="default"/>
                <w:color w:val="auto"/>
              </w:rPr>
              <w:t>国家及地方保护野生动植物</w:t>
            </w:r>
            <w:r>
              <w:rPr>
                <w:rFonts w:hint="default"/>
                <w:color w:val="auto"/>
                <w:szCs w:val="21"/>
              </w:rPr>
              <w:t>。</w:t>
            </w:r>
          </w:p>
          <w:p>
            <w:pPr>
              <w:pStyle w:val="8"/>
              <w:keepNext w:val="0"/>
              <w:keepLines w:val="0"/>
              <w:suppressLineNumbers w:val="0"/>
              <w:spacing w:before="0" w:beforeAutospacing="0" w:after="0" w:afterAutospacing="0"/>
              <w:ind w:left="0" w:right="0" w:firstLine="480"/>
              <w:rPr>
                <w:rFonts w:hint="eastAsia" w:eastAsia="宋体"/>
                <w:color w:val="auto"/>
                <w:szCs w:val="21"/>
                <w:lang w:eastAsia="zh-CN"/>
              </w:rPr>
            </w:pPr>
            <w:r>
              <w:rPr>
                <w:rFonts w:hint="eastAsia"/>
                <w:color w:val="auto"/>
                <w:szCs w:val="21"/>
              </w:rPr>
              <w:t>项目周边关系如下表所示</w:t>
            </w:r>
            <w:r>
              <w:rPr>
                <w:rFonts w:hint="eastAsia"/>
                <w:color w:val="auto"/>
                <w:szCs w:val="21"/>
                <w:lang w:eastAsia="zh-CN"/>
              </w:rPr>
              <w:t>。</w:t>
            </w:r>
          </w:p>
          <w:p>
            <w:pPr>
              <w:keepNext w:val="0"/>
              <w:keepLines w:val="0"/>
              <w:suppressLineNumbers w:val="0"/>
              <w:spacing w:before="0" w:beforeAutospacing="0" w:after="0" w:afterAutospacing="0"/>
              <w:ind w:left="0" w:right="0" w:firstLine="482"/>
              <w:jc w:val="center"/>
              <w:rPr>
                <w:rFonts w:hint="default"/>
                <w:b/>
                <w:bCs/>
                <w:color w:val="auto"/>
              </w:rPr>
            </w:pPr>
            <w:r>
              <w:rPr>
                <w:rFonts w:hint="eastAsia"/>
                <w:b/>
                <w:bCs/>
                <w:color w:val="auto"/>
              </w:rPr>
              <w:t>表3-11  周边关系一览表</w:t>
            </w:r>
          </w:p>
          <w:tbl>
            <w:tblPr>
              <w:tblStyle w:val="22"/>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7"/>
              <w:gridCol w:w="994"/>
              <w:gridCol w:w="2126"/>
              <w:gridCol w:w="991"/>
              <w:gridCol w:w="851"/>
              <w:gridCol w:w="1195"/>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527" w:type="dxa"/>
                  <w:vAlign w:val="center"/>
                </w:tcPr>
                <w:p>
                  <w:pPr>
                    <w:pStyle w:val="75"/>
                    <w:keepNext w:val="0"/>
                    <w:keepLines w:val="0"/>
                    <w:suppressLineNumbers w:val="0"/>
                    <w:spacing w:before="0" w:beforeAutospacing="0" w:after="0" w:afterAutospacing="0"/>
                    <w:ind w:left="0" w:right="0"/>
                    <w:rPr>
                      <w:rFonts w:hint="default"/>
                      <w:b/>
                      <w:color w:val="auto"/>
                    </w:rPr>
                  </w:pPr>
                  <w:r>
                    <w:rPr>
                      <w:rFonts w:hint="default"/>
                      <w:b/>
                      <w:color w:val="auto"/>
                    </w:rPr>
                    <w:t>保护因素</w:t>
                  </w:r>
                </w:p>
              </w:tc>
              <w:tc>
                <w:tcPr>
                  <w:tcW w:w="994" w:type="dxa"/>
                  <w:vAlign w:val="center"/>
                </w:tcPr>
                <w:p>
                  <w:pPr>
                    <w:pStyle w:val="75"/>
                    <w:keepNext w:val="0"/>
                    <w:keepLines w:val="0"/>
                    <w:suppressLineNumbers w:val="0"/>
                    <w:spacing w:before="0" w:beforeAutospacing="0" w:after="0" w:afterAutospacing="0"/>
                    <w:ind w:left="0" w:right="0"/>
                    <w:rPr>
                      <w:rFonts w:hint="default"/>
                      <w:b/>
                      <w:color w:val="auto"/>
                    </w:rPr>
                  </w:pPr>
                  <w:r>
                    <w:rPr>
                      <w:rFonts w:hint="eastAsia"/>
                      <w:b/>
                      <w:color w:val="auto"/>
                    </w:rPr>
                    <w:t>名称</w:t>
                  </w:r>
                </w:p>
              </w:tc>
              <w:tc>
                <w:tcPr>
                  <w:tcW w:w="2126" w:type="dxa"/>
                  <w:vAlign w:val="center"/>
                </w:tcPr>
                <w:p>
                  <w:pPr>
                    <w:pStyle w:val="75"/>
                    <w:keepNext w:val="0"/>
                    <w:keepLines w:val="0"/>
                    <w:suppressLineNumbers w:val="0"/>
                    <w:spacing w:before="0" w:beforeAutospacing="0" w:after="0" w:afterAutospacing="0"/>
                    <w:ind w:left="0" w:right="0"/>
                    <w:rPr>
                      <w:rFonts w:hint="default"/>
                      <w:b/>
                      <w:color w:val="auto"/>
                    </w:rPr>
                  </w:pPr>
                  <w:r>
                    <w:rPr>
                      <w:rFonts w:hint="default"/>
                      <w:b/>
                      <w:color w:val="auto"/>
                    </w:rPr>
                    <w:t>地理坐标</w:t>
                  </w:r>
                </w:p>
              </w:tc>
              <w:tc>
                <w:tcPr>
                  <w:tcW w:w="991" w:type="dxa"/>
                  <w:vAlign w:val="center"/>
                </w:tcPr>
                <w:p>
                  <w:pPr>
                    <w:pStyle w:val="75"/>
                    <w:keepNext w:val="0"/>
                    <w:keepLines w:val="0"/>
                    <w:suppressLineNumbers w:val="0"/>
                    <w:spacing w:before="0" w:beforeAutospacing="0" w:after="0" w:afterAutospacing="0"/>
                    <w:ind w:left="0" w:right="0"/>
                    <w:rPr>
                      <w:rFonts w:hint="default"/>
                      <w:b/>
                      <w:color w:val="auto"/>
                    </w:rPr>
                  </w:pPr>
                  <w:r>
                    <w:rPr>
                      <w:rFonts w:hint="default"/>
                      <w:b/>
                      <w:color w:val="auto"/>
                    </w:rPr>
                    <w:t>方位</w:t>
                  </w:r>
                </w:p>
              </w:tc>
              <w:tc>
                <w:tcPr>
                  <w:tcW w:w="851" w:type="dxa"/>
                  <w:vAlign w:val="center"/>
                </w:tcPr>
                <w:p>
                  <w:pPr>
                    <w:pStyle w:val="75"/>
                    <w:keepNext w:val="0"/>
                    <w:keepLines w:val="0"/>
                    <w:suppressLineNumbers w:val="0"/>
                    <w:spacing w:before="0" w:beforeAutospacing="0" w:after="0" w:afterAutospacing="0"/>
                    <w:ind w:left="0" w:right="0"/>
                    <w:rPr>
                      <w:rFonts w:hint="default"/>
                      <w:b/>
                      <w:color w:val="auto"/>
                    </w:rPr>
                  </w:pPr>
                  <w:r>
                    <w:rPr>
                      <w:rFonts w:hint="eastAsia"/>
                      <w:b/>
                      <w:color w:val="auto"/>
                    </w:rPr>
                    <w:t>人口</w:t>
                  </w:r>
                </w:p>
                <w:p>
                  <w:pPr>
                    <w:pStyle w:val="75"/>
                    <w:keepNext w:val="0"/>
                    <w:keepLines w:val="0"/>
                    <w:suppressLineNumbers w:val="0"/>
                    <w:spacing w:before="0" w:beforeAutospacing="0" w:after="0" w:afterAutospacing="0"/>
                    <w:ind w:left="0" w:right="0"/>
                    <w:rPr>
                      <w:rFonts w:hint="default"/>
                      <w:b/>
                      <w:color w:val="auto"/>
                    </w:rPr>
                  </w:pPr>
                  <w:r>
                    <w:rPr>
                      <w:rFonts w:hint="eastAsia"/>
                      <w:b/>
                      <w:color w:val="auto"/>
                    </w:rPr>
                    <w:t>（人）</w:t>
                  </w:r>
                </w:p>
              </w:tc>
              <w:tc>
                <w:tcPr>
                  <w:tcW w:w="1195" w:type="dxa"/>
                  <w:vAlign w:val="center"/>
                </w:tcPr>
                <w:p>
                  <w:pPr>
                    <w:pStyle w:val="75"/>
                    <w:keepNext w:val="0"/>
                    <w:keepLines w:val="0"/>
                    <w:suppressLineNumbers w:val="0"/>
                    <w:spacing w:before="0" w:beforeAutospacing="0" w:after="0" w:afterAutospacing="0"/>
                    <w:ind w:left="0" w:right="0"/>
                    <w:rPr>
                      <w:rFonts w:hint="default"/>
                      <w:b/>
                      <w:color w:val="auto"/>
                    </w:rPr>
                  </w:pPr>
                  <w:r>
                    <w:rPr>
                      <w:rFonts w:hint="default"/>
                      <w:b/>
                      <w:color w:val="auto"/>
                    </w:rPr>
                    <w:t>与项目周界</w:t>
                  </w:r>
                </w:p>
                <w:p>
                  <w:pPr>
                    <w:pStyle w:val="75"/>
                    <w:keepNext w:val="0"/>
                    <w:keepLines w:val="0"/>
                    <w:suppressLineNumbers w:val="0"/>
                    <w:spacing w:before="0" w:beforeAutospacing="0" w:after="0" w:afterAutospacing="0"/>
                    <w:ind w:left="0" w:right="0"/>
                    <w:rPr>
                      <w:rFonts w:hint="default"/>
                      <w:b/>
                      <w:color w:val="auto"/>
                    </w:rPr>
                  </w:pPr>
                  <w:r>
                    <w:rPr>
                      <w:rFonts w:hint="default"/>
                      <w:b/>
                      <w:color w:val="auto"/>
                    </w:rPr>
                    <w:t>最近距离</w:t>
                  </w:r>
                </w:p>
              </w:tc>
              <w:tc>
                <w:tcPr>
                  <w:tcW w:w="1690" w:type="dxa"/>
                  <w:vAlign w:val="center"/>
                </w:tcPr>
                <w:p>
                  <w:pPr>
                    <w:pStyle w:val="75"/>
                    <w:keepNext w:val="0"/>
                    <w:keepLines w:val="0"/>
                    <w:suppressLineNumbers w:val="0"/>
                    <w:spacing w:before="0" w:beforeAutospacing="0" w:after="0" w:afterAutospacing="0"/>
                    <w:ind w:left="0" w:right="0"/>
                    <w:rPr>
                      <w:rFonts w:hint="default"/>
                      <w:b/>
                      <w:color w:val="auto"/>
                    </w:rPr>
                  </w:pPr>
                  <w:r>
                    <w:rPr>
                      <w:rFonts w:hint="default"/>
                      <w:b/>
                      <w:color w:val="auto"/>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527" w:type="dxa"/>
                  <w:vMerge w:val="restart"/>
                  <w:vAlign w:val="center"/>
                </w:tcPr>
                <w:p>
                  <w:pPr>
                    <w:pStyle w:val="75"/>
                    <w:keepNext w:val="0"/>
                    <w:keepLines w:val="0"/>
                    <w:suppressLineNumbers w:val="0"/>
                    <w:spacing w:before="0" w:beforeAutospacing="0" w:after="0" w:afterAutospacing="0"/>
                    <w:ind w:left="0" w:right="0"/>
                    <w:rPr>
                      <w:rFonts w:hint="default"/>
                      <w:color w:val="auto"/>
                    </w:rPr>
                  </w:pPr>
                  <w:r>
                    <w:rPr>
                      <w:rFonts w:hint="default"/>
                      <w:color w:val="auto"/>
                    </w:rPr>
                    <w:t>大</w:t>
                  </w:r>
                  <w:r>
                    <w:rPr>
                      <w:rFonts w:hint="eastAsia"/>
                      <w:color w:val="auto"/>
                    </w:rPr>
                    <w:t>气</w:t>
                  </w:r>
                  <w:r>
                    <w:rPr>
                      <w:rFonts w:hint="default"/>
                      <w:color w:val="auto"/>
                    </w:rPr>
                    <w:t>环境</w:t>
                  </w:r>
                </w:p>
              </w:tc>
              <w:tc>
                <w:tcPr>
                  <w:tcW w:w="994" w:type="dxa"/>
                  <w:vAlign w:val="center"/>
                </w:tcPr>
                <w:p>
                  <w:pPr>
                    <w:pStyle w:val="75"/>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遮放分场十二队</w:t>
                  </w:r>
                </w:p>
              </w:tc>
              <w:tc>
                <w:tcPr>
                  <w:tcW w:w="2126" w:type="dxa"/>
                  <w:vAlign w:val="center"/>
                </w:tcPr>
                <w:p>
                  <w:pPr>
                    <w:pStyle w:val="75"/>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98.4268，24.3951</w:t>
                  </w:r>
                </w:p>
              </w:tc>
              <w:tc>
                <w:tcPr>
                  <w:tcW w:w="991" w:type="dxa"/>
                  <w:vAlign w:val="center"/>
                </w:tcPr>
                <w:p>
                  <w:pPr>
                    <w:pStyle w:val="75"/>
                    <w:keepNext w:val="0"/>
                    <w:keepLines w:val="0"/>
                    <w:suppressLineNumbers w:val="0"/>
                    <w:spacing w:before="0" w:beforeAutospacing="0" w:after="0" w:afterAutospacing="0"/>
                    <w:ind w:left="0" w:right="0"/>
                    <w:rPr>
                      <w:rFonts w:hint="default"/>
                      <w:color w:val="auto"/>
                    </w:rPr>
                  </w:pPr>
                  <w:r>
                    <w:rPr>
                      <w:rFonts w:hint="eastAsia"/>
                      <w:color w:val="auto"/>
                    </w:rPr>
                    <w:t>西</w:t>
                  </w:r>
                  <w:r>
                    <w:rPr>
                      <w:rFonts w:hint="eastAsia"/>
                      <w:color w:val="auto"/>
                      <w:lang w:val="en-US" w:eastAsia="zh-CN"/>
                    </w:rPr>
                    <w:t>北</w:t>
                  </w:r>
                  <w:r>
                    <w:rPr>
                      <w:rFonts w:hint="eastAsia"/>
                      <w:color w:val="auto"/>
                    </w:rPr>
                    <w:t>侧</w:t>
                  </w:r>
                </w:p>
              </w:tc>
              <w:tc>
                <w:tcPr>
                  <w:tcW w:w="851" w:type="dxa"/>
                  <w:vAlign w:val="center"/>
                </w:tcPr>
                <w:p>
                  <w:pPr>
                    <w:pStyle w:val="75"/>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2</w:t>
                  </w:r>
                  <w:r>
                    <w:rPr>
                      <w:rFonts w:hint="eastAsia"/>
                      <w:color w:val="auto"/>
                    </w:rPr>
                    <w:t>25</w:t>
                  </w:r>
                </w:p>
              </w:tc>
              <w:tc>
                <w:tcPr>
                  <w:tcW w:w="1195" w:type="dxa"/>
                  <w:vAlign w:val="center"/>
                </w:tcPr>
                <w:p>
                  <w:pPr>
                    <w:pStyle w:val="75"/>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320</w:t>
                  </w:r>
                  <w:r>
                    <w:rPr>
                      <w:rFonts w:hint="eastAsia"/>
                      <w:color w:val="auto"/>
                    </w:rPr>
                    <w:t>m</w:t>
                  </w:r>
                </w:p>
              </w:tc>
              <w:tc>
                <w:tcPr>
                  <w:tcW w:w="1690" w:type="dxa"/>
                  <w:vMerge w:val="restart"/>
                  <w:vAlign w:val="center"/>
                </w:tcPr>
                <w:p>
                  <w:pPr>
                    <w:pStyle w:val="75"/>
                    <w:keepNext w:val="0"/>
                    <w:keepLines w:val="0"/>
                    <w:suppressLineNumbers w:val="0"/>
                    <w:spacing w:before="0" w:beforeAutospacing="0" w:after="0" w:afterAutospacing="0"/>
                    <w:ind w:left="0" w:right="0"/>
                    <w:jc w:val="left"/>
                    <w:rPr>
                      <w:rFonts w:hint="default"/>
                      <w:color w:val="auto"/>
                    </w:rPr>
                  </w:pPr>
                  <w:r>
                    <w:rPr>
                      <w:rFonts w:hint="default"/>
                      <w:color w:val="auto"/>
                    </w:rPr>
                    <w:t>《环境空气质量标准》（GB30</w:t>
                  </w:r>
                  <w:r>
                    <w:rPr>
                      <w:rFonts w:hint="default"/>
                      <w:color w:val="auto"/>
                    </w:rPr>
                    <w:cr/>
                  </w:r>
                  <w:r>
                    <w:rPr>
                      <w:rFonts w:hint="default"/>
                      <w:color w:val="auto"/>
                    </w:rPr>
                    <w:t>5-2012）二级</w:t>
                  </w:r>
                  <w:r>
                    <w:rPr>
                      <w:rFonts w:hint="eastAsia"/>
                      <w:color w:val="auto"/>
                    </w:rPr>
                    <w:t>标</w:t>
                  </w:r>
                  <w:r>
                    <w:rPr>
                      <w:rFonts w:hint="default"/>
                      <w:color w:val="auto"/>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27" w:type="dxa"/>
                  <w:vMerge w:val="continue"/>
                  <w:vAlign w:val="center"/>
                </w:tcPr>
                <w:p>
                  <w:pPr>
                    <w:pStyle w:val="75"/>
                    <w:keepNext w:val="0"/>
                    <w:keepLines w:val="0"/>
                    <w:suppressLineNumbers w:val="0"/>
                    <w:spacing w:before="0" w:beforeAutospacing="0" w:after="0" w:afterAutospacing="0"/>
                    <w:ind w:left="0" w:right="0"/>
                    <w:rPr>
                      <w:rFonts w:hint="default"/>
                      <w:color w:val="auto"/>
                    </w:rPr>
                  </w:pPr>
                </w:p>
              </w:tc>
              <w:tc>
                <w:tcPr>
                  <w:tcW w:w="994" w:type="dxa"/>
                  <w:vAlign w:val="center"/>
                </w:tcPr>
                <w:p>
                  <w:pPr>
                    <w:pStyle w:val="75"/>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遮放分场十三队</w:t>
                  </w:r>
                </w:p>
              </w:tc>
              <w:tc>
                <w:tcPr>
                  <w:tcW w:w="2126" w:type="dxa"/>
                  <w:vAlign w:val="center"/>
                </w:tcPr>
                <w:p>
                  <w:pPr>
                    <w:pStyle w:val="75"/>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98.4247，24.3964</w:t>
                  </w:r>
                </w:p>
              </w:tc>
              <w:tc>
                <w:tcPr>
                  <w:tcW w:w="991" w:type="dxa"/>
                  <w:vAlign w:val="center"/>
                </w:tcPr>
                <w:p>
                  <w:pPr>
                    <w:pStyle w:val="75"/>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西北</w:t>
                  </w:r>
                  <w:r>
                    <w:rPr>
                      <w:rFonts w:hint="eastAsia"/>
                      <w:color w:val="auto"/>
                    </w:rPr>
                    <w:t>侧</w:t>
                  </w:r>
                </w:p>
              </w:tc>
              <w:tc>
                <w:tcPr>
                  <w:tcW w:w="851" w:type="dxa"/>
                  <w:vAlign w:val="center"/>
                </w:tcPr>
                <w:p>
                  <w:pPr>
                    <w:pStyle w:val="75"/>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1</w:t>
                  </w:r>
                  <w:r>
                    <w:rPr>
                      <w:rFonts w:hint="eastAsia"/>
                      <w:color w:val="auto"/>
                    </w:rPr>
                    <w:t>37</w:t>
                  </w:r>
                </w:p>
              </w:tc>
              <w:tc>
                <w:tcPr>
                  <w:tcW w:w="1195" w:type="dxa"/>
                  <w:vAlign w:val="center"/>
                </w:tcPr>
                <w:p>
                  <w:pPr>
                    <w:pStyle w:val="75"/>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610</w:t>
                  </w:r>
                  <w:r>
                    <w:rPr>
                      <w:rFonts w:hint="eastAsia"/>
                      <w:color w:val="auto"/>
                    </w:rPr>
                    <w:t>m</w:t>
                  </w:r>
                </w:p>
              </w:tc>
              <w:tc>
                <w:tcPr>
                  <w:tcW w:w="1690" w:type="dxa"/>
                  <w:vMerge w:val="continue"/>
                  <w:vAlign w:val="center"/>
                </w:tcPr>
                <w:p>
                  <w:pPr>
                    <w:pStyle w:val="75"/>
                    <w:keepNext w:val="0"/>
                    <w:keepLines w:val="0"/>
                    <w:suppressLineNumbers w:val="0"/>
                    <w:spacing w:before="0" w:beforeAutospacing="0" w:after="0" w:afterAutospacing="0"/>
                    <w:ind w:left="0" w:right="0" w:firstLine="48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527" w:type="dxa"/>
                  <w:vMerge w:val="continue"/>
                  <w:vAlign w:val="center"/>
                </w:tcPr>
                <w:p>
                  <w:pPr>
                    <w:pStyle w:val="75"/>
                    <w:keepNext w:val="0"/>
                    <w:keepLines w:val="0"/>
                    <w:suppressLineNumbers w:val="0"/>
                    <w:spacing w:before="0" w:beforeAutospacing="0" w:after="0" w:afterAutospacing="0"/>
                    <w:ind w:left="0" w:right="0"/>
                    <w:rPr>
                      <w:rFonts w:hint="default"/>
                      <w:color w:val="auto"/>
                    </w:rPr>
                  </w:pPr>
                </w:p>
              </w:tc>
              <w:tc>
                <w:tcPr>
                  <w:tcW w:w="994" w:type="dxa"/>
                  <w:vAlign w:val="center"/>
                </w:tcPr>
                <w:p>
                  <w:pPr>
                    <w:pStyle w:val="75"/>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芒究</w:t>
                  </w:r>
                </w:p>
              </w:tc>
              <w:tc>
                <w:tcPr>
                  <w:tcW w:w="2126" w:type="dxa"/>
                  <w:vAlign w:val="center"/>
                </w:tcPr>
                <w:p>
                  <w:pPr>
                    <w:pStyle w:val="75"/>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98.4232，24.3922</w:t>
                  </w:r>
                </w:p>
              </w:tc>
              <w:tc>
                <w:tcPr>
                  <w:tcW w:w="991" w:type="dxa"/>
                  <w:vAlign w:val="center"/>
                </w:tcPr>
                <w:p>
                  <w:pPr>
                    <w:pStyle w:val="75"/>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西</w:t>
                  </w:r>
                  <w:r>
                    <w:rPr>
                      <w:rFonts w:hint="eastAsia"/>
                      <w:color w:val="auto"/>
                    </w:rPr>
                    <w:t>侧</w:t>
                  </w:r>
                </w:p>
              </w:tc>
              <w:tc>
                <w:tcPr>
                  <w:tcW w:w="851" w:type="dxa"/>
                  <w:vAlign w:val="center"/>
                </w:tcPr>
                <w:p>
                  <w:pPr>
                    <w:pStyle w:val="75"/>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950</w:t>
                  </w:r>
                </w:p>
              </w:tc>
              <w:tc>
                <w:tcPr>
                  <w:tcW w:w="1195" w:type="dxa"/>
                  <w:vAlign w:val="center"/>
                </w:tcPr>
                <w:p>
                  <w:pPr>
                    <w:pStyle w:val="75"/>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370</w:t>
                  </w:r>
                  <w:r>
                    <w:rPr>
                      <w:rFonts w:hint="eastAsia"/>
                      <w:color w:val="auto"/>
                    </w:rPr>
                    <w:t>m</w:t>
                  </w:r>
                </w:p>
              </w:tc>
              <w:tc>
                <w:tcPr>
                  <w:tcW w:w="1690" w:type="dxa"/>
                  <w:vMerge w:val="continue"/>
                  <w:vAlign w:val="center"/>
                </w:tcPr>
                <w:p>
                  <w:pPr>
                    <w:pStyle w:val="75"/>
                    <w:keepNext w:val="0"/>
                    <w:keepLines w:val="0"/>
                    <w:suppressLineNumbers w:val="0"/>
                    <w:spacing w:before="0" w:beforeAutospacing="0" w:after="0" w:afterAutospacing="0"/>
                    <w:ind w:left="0" w:right="0" w:firstLine="48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527" w:type="dxa"/>
                  <w:vAlign w:val="center"/>
                </w:tcPr>
                <w:p>
                  <w:pPr>
                    <w:pStyle w:val="75"/>
                    <w:keepNext w:val="0"/>
                    <w:keepLines w:val="0"/>
                    <w:suppressLineNumbers w:val="0"/>
                    <w:spacing w:before="0" w:beforeAutospacing="0" w:after="0" w:afterAutospacing="0"/>
                    <w:ind w:left="0" w:right="0"/>
                    <w:rPr>
                      <w:rFonts w:hint="default"/>
                      <w:color w:val="auto"/>
                    </w:rPr>
                  </w:pPr>
                  <w:r>
                    <w:rPr>
                      <w:rFonts w:hint="default"/>
                      <w:color w:val="auto"/>
                    </w:rPr>
                    <w:t>地表水</w:t>
                  </w:r>
                </w:p>
              </w:tc>
              <w:tc>
                <w:tcPr>
                  <w:tcW w:w="994" w:type="dxa"/>
                  <w:vAlign w:val="center"/>
                </w:tcPr>
                <w:p>
                  <w:pPr>
                    <w:pStyle w:val="7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Cs/>
                      <w:color w:val="auto"/>
                      <w:kern w:val="0"/>
                      <w:sz w:val="21"/>
                      <w:szCs w:val="18"/>
                      <w:lang w:val="en-US" w:eastAsia="zh-CN" w:bidi="ar-SA"/>
                    </w:rPr>
                  </w:pPr>
                  <w:r>
                    <w:rPr>
                      <w:rFonts w:hint="default"/>
                      <w:color w:val="auto"/>
                    </w:rPr>
                    <w:t>芒市河</w:t>
                  </w:r>
                </w:p>
              </w:tc>
              <w:tc>
                <w:tcPr>
                  <w:tcW w:w="2126" w:type="dxa"/>
                  <w:vAlign w:val="center"/>
                </w:tcPr>
                <w:p>
                  <w:pPr>
                    <w:pStyle w:val="7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Cs/>
                      <w:color w:val="auto"/>
                      <w:kern w:val="0"/>
                      <w:sz w:val="21"/>
                      <w:szCs w:val="18"/>
                      <w:lang w:val="en-US" w:eastAsia="zh-CN" w:bidi="ar-SA"/>
                    </w:rPr>
                  </w:pPr>
                  <w:r>
                    <w:rPr>
                      <w:rFonts w:hint="eastAsia"/>
                      <w:color w:val="auto"/>
                    </w:rPr>
                    <w:t>/</w:t>
                  </w:r>
                </w:p>
              </w:tc>
              <w:tc>
                <w:tcPr>
                  <w:tcW w:w="991" w:type="dxa"/>
                  <w:vAlign w:val="center"/>
                </w:tcPr>
                <w:p>
                  <w:pPr>
                    <w:pStyle w:val="7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Cs/>
                      <w:color w:val="auto"/>
                      <w:kern w:val="0"/>
                      <w:sz w:val="21"/>
                      <w:szCs w:val="18"/>
                      <w:lang w:val="en-US" w:eastAsia="zh-CN" w:bidi="ar-SA"/>
                    </w:rPr>
                  </w:pPr>
                  <w:r>
                    <w:rPr>
                      <w:rFonts w:hint="eastAsia"/>
                      <w:color w:val="auto"/>
                    </w:rPr>
                    <w:t>北侧</w:t>
                  </w:r>
                </w:p>
              </w:tc>
              <w:tc>
                <w:tcPr>
                  <w:tcW w:w="851" w:type="dxa"/>
                  <w:vAlign w:val="center"/>
                </w:tcPr>
                <w:p>
                  <w:pPr>
                    <w:pStyle w:val="7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Cs/>
                      <w:color w:val="auto"/>
                      <w:kern w:val="0"/>
                      <w:sz w:val="21"/>
                      <w:szCs w:val="18"/>
                      <w:lang w:val="en-US" w:eastAsia="zh-CN" w:bidi="ar-SA"/>
                    </w:rPr>
                  </w:pPr>
                  <w:r>
                    <w:rPr>
                      <w:rFonts w:hint="eastAsia"/>
                      <w:color w:val="auto"/>
                    </w:rPr>
                    <w:t>/</w:t>
                  </w:r>
                </w:p>
              </w:tc>
              <w:tc>
                <w:tcPr>
                  <w:tcW w:w="1195" w:type="dxa"/>
                  <w:vAlign w:val="center"/>
                </w:tcPr>
                <w:p>
                  <w:pPr>
                    <w:pStyle w:val="75"/>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Cs/>
                      <w:color w:val="auto"/>
                      <w:kern w:val="0"/>
                      <w:sz w:val="21"/>
                      <w:szCs w:val="18"/>
                      <w:lang w:val="en-US" w:eastAsia="zh-CN" w:bidi="ar-SA"/>
                    </w:rPr>
                  </w:pPr>
                  <w:r>
                    <w:rPr>
                      <w:rFonts w:hint="eastAsia"/>
                      <w:color w:val="auto"/>
                    </w:rPr>
                    <w:t>20m</w:t>
                  </w:r>
                </w:p>
              </w:tc>
              <w:tc>
                <w:tcPr>
                  <w:tcW w:w="1690" w:type="dxa"/>
                  <w:vAlign w:val="center"/>
                </w:tcPr>
                <w:p>
                  <w:pPr>
                    <w:pStyle w:val="75"/>
                    <w:keepNext w:val="0"/>
                    <w:keepLines w:val="0"/>
                    <w:suppressLineNumbers w:val="0"/>
                    <w:spacing w:before="0" w:beforeAutospacing="0" w:after="0" w:afterAutospacing="0"/>
                    <w:ind w:left="0" w:right="0"/>
                    <w:jc w:val="left"/>
                    <w:rPr>
                      <w:rFonts w:hint="default"/>
                      <w:color w:val="auto"/>
                    </w:rPr>
                  </w:pPr>
                  <w:r>
                    <w:rPr>
                      <w:rFonts w:hint="eastAsia"/>
                      <w:color w:val="auto"/>
                    </w:rPr>
                    <w:t>《地表水环境质量标准》Ⅲ类标准</w:t>
                  </w:r>
                </w:p>
              </w:tc>
            </w:tr>
          </w:tbl>
          <w:p>
            <w:pPr>
              <w:pStyle w:val="8"/>
              <w:keepNext w:val="0"/>
              <w:keepLines w:val="0"/>
              <w:suppressLineNumbers w:val="0"/>
              <w:spacing w:before="0" w:beforeAutospacing="0" w:after="0" w:afterAutospacing="0"/>
              <w:ind w:left="0" w:right="0" w:firstLine="480"/>
              <w:rPr>
                <w:rFonts w:hint="default"/>
                <w:color w:val="auto"/>
                <w:szCs w:val="21"/>
              </w:rPr>
            </w:pPr>
          </w:p>
          <w:p>
            <w:pPr>
              <w:pStyle w:val="8"/>
              <w:keepNext w:val="0"/>
              <w:keepLines w:val="0"/>
              <w:suppressLineNumbers w:val="0"/>
              <w:spacing w:before="0" w:beforeAutospacing="0" w:after="0" w:afterAutospacing="0"/>
              <w:ind w:left="0" w:right="0" w:firstLine="0" w:firstLineChars="0"/>
              <w:rPr>
                <w:rFonts w:hint="default"/>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461" w:type="dxa"/>
            <w:vAlign w:val="center"/>
          </w:tcPr>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污染</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物排</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放控</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制标</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准</w:t>
            </w:r>
          </w:p>
        </w:tc>
        <w:tc>
          <w:tcPr>
            <w:tcW w:w="8600" w:type="dxa"/>
            <w:vAlign w:val="center"/>
          </w:tcPr>
          <w:p>
            <w:pPr>
              <w:pStyle w:val="51"/>
              <w:keepNext w:val="0"/>
              <w:keepLines w:val="0"/>
              <w:suppressLineNumbers w:val="0"/>
              <w:spacing w:before="0" w:beforeAutospacing="0" w:after="0" w:afterAutospacing="0"/>
              <w:ind w:left="0" w:right="0" w:firstLine="482"/>
              <w:rPr>
                <w:rFonts w:hint="default"/>
                <w:b/>
                <w:color w:val="auto"/>
              </w:rPr>
            </w:pPr>
            <w:r>
              <w:rPr>
                <w:rFonts w:hint="default"/>
                <w:b/>
                <w:color w:val="auto"/>
              </w:rPr>
              <w:t>1、废水排放标准</w:t>
            </w:r>
          </w:p>
          <w:p>
            <w:pPr>
              <w:keepNext w:val="0"/>
              <w:keepLines w:val="0"/>
              <w:suppressLineNumbers w:val="0"/>
              <w:spacing w:before="0" w:beforeAutospacing="0" w:after="0" w:afterAutospacing="0"/>
              <w:ind w:left="0" w:right="0" w:firstLine="480"/>
              <w:contextualSpacing/>
              <w:jc w:val="left"/>
              <w:rPr>
                <w:rFonts w:hint="default"/>
                <w:color w:val="auto"/>
              </w:rPr>
            </w:pPr>
            <w:r>
              <w:rPr>
                <w:rFonts w:hint="eastAsia"/>
                <w:color w:val="auto"/>
              </w:rPr>
              <w:t>（1）施工期</w:t>
            </w:r>
          </w:p>
          <w:p>
            <w:pPr>
              <w:keepNext w:val="0"/>
              <w:keepLines w:val="0"/>
              <w:suppressLineNumbers w:val="0"/>
              <w:spacing w:before="0" w:beforeAutospacing="0" w:after="0" w:afterAutospacing="0"/>
              <w:ind w:left="0" w:right="0" w:firstLine="480"/>
              <w:contextualSpacing/>
              <w:jc w:val="left"/>
              <w:rPr>
                <w:rFonts w:hint="default"/>
                <w:color w:val="auto"/>
              </w:rPr>
            </w:pPr>
            <w:r>
              <w:rPr>
                <w:rFonts w:hint="default"/>
                <w:color w:val="auto"/>
              </w:rPr>
              <w:t>施工期产生的废水主要为施工人员生活废水以及初期雨水；施工人员生活污水经沉淀池沉淀处理后用于项目区的洒水降尘；初期雨水经沉淀后排入项目区周边雨水沟渠。</w:t>
            </w:r>
          </w:p>
          <w:p>
            <w:pPr>
              <w:keepNext w:val="0"/>
              <w:keepLines w:val="0"/>
              <w:suppressLineNumbers w:val="0"/>
              <w:spacing w:before="0" w:beforeAutospacing="0" w:after="0" w:afterAutospacing="0"/>
              <w:ind w:left="0" w:right="0" w:firstLine="480"/>
              <w:contextualSpacing/>
              <w:jc w:val="left"/>
              <w:rPr>
                <w:rFonts w:hint="default"/>
                <w:color w:val="auto"/>
                <w:highlight w:val="none"/>
              </w:rPr>
            </w:pPr>
            <w:r>
              <w:rPr>
                <w:rFonts w:hint="eastAsia"/>
                <w:color w:val="auto"/>
                <w:highlight w:val="none"/>
              </w:rPr>
              <w:t>（2）运营期</w:t>
            </w:r>
          </w:p>
          <w:p>
            <w:pPr>
              <w:keepNext w:val="0"/>
              <w:keepLines w:val="0"/>
              <w:suppressLineNumbers w:val="0"/>
              <w:spacing w:before="0" w:beforeAutospacing="0" w:after="0" w:afterAutospacing="0"/>
              <w:ind w:left="0" w:right="0" w:firstLine="480"/>
              <w:contextualSpacing/>
              <w:jc w:val="left"/>
              <w:rPr>
                <w:rFonts w:hint="default"/>
                <w:color w:val="auto"/>
              </w:rPr>
            </w:pPr>
            <w:r>
              <w:rPr>
                <w:rFonts w:hint="default"/>
                <w:color w:val="auto"/>
              </w:rPr>
              <w:t>项目区运营期产生的废水主要有员工生活污水和初期雨水，员工生活污水经隔油池及化粪池处理后</w:t>
            </w:r>
            <w:r>
              <w:rPr>
                <w:rFonts w:hint="eastAsia"/>
                <w:color w:val="auto"/>
                <w:lang w:val="en-US" w:eastAsia="zh-CN"/>
              </w:rPr>
              <w:t>回用于项目区绿化施肥</w:t>
            </w:r>
            <w:r>
              <w:rPr>
                <w:rFonts w:hint="default"/>
                <w:color w:val="auto"/>
              </w:rPr>
              <w:t>；初期雨水经雨水收集池</w:t>
            </w:r>
            <w:r>
              <w:rPr>
                <w:rFonts w:hint="eastAsia"/>
                <w:color w:val="auto"/>
                <w:lang w:val="en-US" w:eastAsia="zh-CN"/>
              </w:rPr>
              <w:t>收集后经过自建污水处理站处理，之后回用于项目区绿化灌溉及洒水降尘</w:t>
            </w:r>
            <w:r>
              <w:rPr>
                <w:rFonts w:hint="default"/>
                <w:color w:val="auto"/>
              </w:rPr>
              <w:t>。</w:t>
            </w:r>
            <w:r>
              <w:rPr>
                <w:rFonts w:hint="eastAsia"/>
                <w:color w:val="auto"/>
                <w:lang w:val="en-US" w:eastAsia="zh-CN"/>
              </w:rPr>
              <w:t>回用于绿化灌溉</w:t>
            </w:r>
            <w:r>
              <w:rPr>
                <w:rFonts w:hint="default"/>
                <w:color w:val="auto"/>
              </w:rPr>
              <w:t>的</w:t>
            </w:r>
            <w:r>
              <w:rPr>
                <w:rFonts w:hint="eastAsia"/>
                <w:color w:val="auto"/>
              </w:rPr>
              <w:t>废水</w:t>
            </w:r>
            <w:r>
              <w:rPr>
                <w:rFonts w:hint="default"/>
                <w:color w:val="auto"/>
              </w:rPr>
              <w:t>执行《</w:t>
            </w:r>
            <w:r>
              <w:rPr>
                <w:rFonts w:hint="eastAsia"/>
                <w:color w:val="auto"/>
                <w:lang w:val="en-US" w:eastAsia="zh-CN"/>
              </w:rPr>
              <w:t>城市污水再生利用 城市杂用水水质</w:t>
            </w:r>
            <w:r>
              <w:rPr>
                <w:rFonts w:hint="default"/>
                <w:color w:val="auto"/>
              </w:rPr>
              <w:t>》（</w:t>
            </w:r>
            <w:r>
              <w:rPr>
                <w:rFonts w:hint="eastAsia"/>
                <w:color w:val="auto"/>
              </w:rPr>
              <w:t>GB/T</w:t>
            </w:r>
            <w:r>
              <w:rPr>
                <w:rFonts w:hint="eastAsia"/>
                <w:color w:val="auto"/>
                <w:lang w:val="en-US" w:eastAsia="zh-CN"/>
              </w:rPr>
              <w:t>18920</w:t>
            </w:r>
            <w:r>
              <w:rPr>
                <w:rFonts w:hint="eastAsia"/>
                <w:color w:val="auto"/>
              </w:rPr>
              <w:t>-20</w:t>
            </w:r>
            <w:r>
              <w:rPr>
                <w:rFonts w:hint="eastAsia"/>
                <w:color w:val="auto"/>
                <w:lang w:val="en-US" w:eastAsia="zh-CN"/>
              </w:rPr>
              <w:t>02</w:t>
            </w:r>
            <w:r>
              <w:rPr>
                <w:rFonts w:hint="default"/>
                <w:color w:val="auto"/>
              </w:rPr>
              <w:t>）</w:t>
            </w:r>
            <w:r>
              <w:rPr>
                <w:rFonts w:hint="eastAsia"/>
                <w:color w:val="auto"/>
                <w:lang w:val="en-US" w:eastAsia="zh-CN"/>
              </w:rPr>
              <w:t>标准中城市绿化标准值</w:t>
            </w:r>
            <w:r>
              <w:rPr>
                <w:rFonts w:hint="default"/>
                <w:color w:val="auto"/>
              </w:rPr>
              <w:t>，标准限值如下：</w:t>
            </w:r>
          </w:p>
          <w:p>
            <w:pPr>
              <w:pStyle w:val="15"/>
              <w:keepNext w:val="0"/>
              <w:keepLines w:val="0"/>
              <w:suppressLineNumbers w:val="0"/>
              <w:pBdr>
                <w:bottom w:val="none" w:color="auto" w:sz="0" w:space="0"/>
              </w:pBdr>
              <w:spacing w:before="0" w:beforeAutospacing="0" w:after="0" w:afterAutospacing="0"/>
              <w:ind w:left="0" w:right="0" w:firstLine="482"/>
              <w:rPr>
                <w:rFonts w:hint="default"/>
                <w:b/>
                <w:color w:val="auto"/>
                <w:sz w:val="24"/>
                <w:szCs w:val="24"/>
              </w:rPr>
            </w:pPr>
            <w:r>
              <w:rPr>
                <w:rFonts w:hint="eastAsia"/>
                <w:b/>
                <w:color w:val="auto"/>
                <w:sz w:val="24"/>
                <w:szCs w:val="24"/>
              </w:rPr>
              <w:t xml:space="preserve">表3-12  </w:t>
            </w:r>
            <w:r>
              <w:rPr>
                <w:rFonts w:hint="eastAsia"/>
                <w:b/>
                <w:color w:val="auto"/>
                <w:sz w:val="24"/>
                <w:szCs w:val="24"/>
                <w:lang w:val="en-US" w:eastAsia="zh-CN"/>
              </w:rPr>
              <w:t>回用水</w:t>
            </w:r>
            <w:r>
              <w:rPr>
                <w:rFonts w:hint="eastAsia"/>
                <w:b/>
                <w:color w:val="auto"/>
                <w:sz w:val="24"/>
                <w:szCs w:val="24"/>
              </w:rPr>
              <w:t>水质标准</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2864"/>
              <w:gridCol w:w="1976"/>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color w:val="auto"/>
                      <w:sz w:val="21"/>
                      <w:szCs w:val="21"/>
                      <w:lang w:val="en-US" w:eastAsia="zh-CN"/>
                    </w:rPr>
                  </w:pPr>
                  <w:r>
                    <w:rPr>
                      <w:rFonts w:hint="eastAsia"/>
                      <w:b/>
                      <w:color w:val="auto"/>
                      <w:sz w:val="21"/>
                      <w:szCs w:val="21"/>
                      <w:lang w:val="en-US" w:eastAsia="zh-CN"/>
                    </w:rPr>
                    <w:t>序号</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color w:val="auto"/>
                      <w:sz w:val="21"/>
                      <w:szCs w:val="21"/>
                      <w:lang w:val="en-US" w:eastAsia="zh-CN"/>
                    </w:rPr>
                  </w:pPr>
                  <w:r>
                    <w:rPr>
                      <w:rFonts w:hint="eastAsia"/>
                      <w:b/>
                      <w:color w:val="auto"/>
                      <w:sz w:val="21"/>
                      <w:szCs w:val="21"/>
                      <w:lang w:val="en-US" w:eastAsia="zh-CN"/>
                    </w:rPr>
                    <w:t>项目</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color w:val="auto"/>
                      <w:sz w:val="21"/>
                      <w:szCs w:val="21"/>
                      <w:lang w:val="en-US" w:eastAsia="zh-CN"/>
                    </w:rPr>
                  </w:pPr>
                  <w:r>
                    <w:rPr>
                      <w:rFonts w:hint="eastAsia"/>
                      <w:b/>
                      <w:color w:val="auto"/>
                      <w:sz w:val="21"/>
                      <w:szCs w:val="21"/>
                      <w:lang w:val="en-US" w:eastAsia="zh-CN"/>
                    </w:rPr>
                    <w:t>标准</w:t>
                  </w:r>
                </w:p>
              </w:tc>
              <w:tc>
                <w:tcPr>
                  <w:tcW w:w="119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b/>
                      <w:color w:val="auto"/>
                      <w:sz w:val="21"/>
                      <w:szCs w:val="21"/>
                      <w:lang w:val="en-US" w:eastAsia="zh-CN"/>
                    </w:rPr>
                  </w:pPr>
                  <w:r>
                    <w:rPr>
                      <w:rFonts w:hint="eastAsia"/>
                      <w:b/>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1</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pH</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6-9</w:t>
                  </w:r>
                </w:p>
              </w:tc>
              <w:tc>
                <w:tcPr>
                  <w:tcW w:w="1198"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eastAsia="zh-CN"/>
                    </w:rPr>
                    <w:t>《</w:t>
                  </w:r>
                  <w:r>
                    <w:rPr>
                      <w:rFonts w:hint="eastAsia"/>
                      <w:color w:val="auto"/>
                      <w:sz w:val="21"/>
                      <w:szCs w:val="21"/>
                      <w:lang w:val="en-US" w:eastAsia="zh-CN"/>
                    </w:rPr>
                    <w:t>城市污水再生利用 城市杂用水水质</w:t>
                  </w:r>
                  <w:r>
                    <w:rPr>
                      <w:rFonts w:hint="eastAsia"/>
                      <w:color w:val="auto"/>
                      <w:sz w:val="21"/>
                      <w:szCs w:val="21"/>
                      <w:lang w:eastAsia="zh-CN"/>
                    </w:rPr>
                    <w:t>》（</w:t>
                  </w:r>
                  <w:r>
                    <w:rPr>
                      <w:rFonts w:hint="eastAsia"/>
                      <w:color w:val="auto"/>
                      <w:sz w:val="21"/>
                      <w:szCs w:val="21"/>
                      <w:lang w:val="en-US" w:eastAsia="zh-CN"/>
                    </w:rPr>
                    <w:t>GB/T18920-2002</w:t>
                  </w:r>
                  <w:r>
                    <w:rPr>
                      <w:rFonts w:hint="eastAsia"/>
                      <w:color w:val="auto"/>
                      <w:sz w:val="21"/>
                      <w:szCs w:val="21"/>
                      <w:lang w:eastAsia="zh-CN"/>
                    </w:rPr>
                    <w:t>）</w:t>
                  </w:r>
                  <w:r>
                    <w:rPr>
                      <w:rFonts w:hint="eastAsia"/>
                      <w:color w:val="auto"/>
                      <w:sz w:val="21"/>
                      <w:szCs w:val="21"/>
                      <w:lang w:val="en-US" w:eastAsia="zh-CN"/>
                    </w:rPr>
                    <w:t>标准（城市绿化）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色度</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30</w:t>
                  </w:r>
                </w:p>
              </w:tc>
              <w:tc>
                <w:tcPr>
                  <w:tcW w:w="119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3</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嗅</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无不快感</w:t>
                  </w:r>
                </w:p>
              </w:tc>
              <w:tc>
                <w:tcPr>
                  <w:tcW w:w="119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4</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浊度（NTU）</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119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5</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溶解性总固体（mg/L）</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1000</w:t>
                  </w:r>
                </w:p>
              </w:tc>
              <w:tc>
                <w:tcPr>
                  <w:tcW w:w="119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6</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vertAlign w:val="subscript"/>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r>
                    <w:rPr>
                      <w:rFonts w:hint="eastAsia"/>
                      <w:color w:val="auto"/>
                      <w:sz w:val="21"/>
                      <w:szCs w:val="21"/>
                      <w:lang w:val="en-US" w:eastAsia="zh-CN"/>
                    </w:rPr>
                    <w:t>（mg/L）</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119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7</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氨氮（mg/L）</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119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8</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阴离子表面活性剂（mg/L）</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119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9</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溶解氧（mg/L）</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119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总余氯（mg/L）</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接触30min后≥1.0，管网末端≥0.2</w:t>
                  </w:r>
                </w:p>
              </w:tc>
              <w:tc>
                <w:tcPr>
                  <w:tcW w:w="119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11</w:t>
                  </w:r>
                </w:p>
              </w:tc>
              <w:tc>
                <w:tcPr>
                  <w:tcW w:w="171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总大肠菌群（个/L）</w:t>
                  </w:r>
                </w:p>
              </w:tc>
              <w:tc>
                <w:tcPr>
                  <w:tcW w:w="118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3</w:t>
                  </w:r>
                </w:p>
              </w:tc>
              <w:tc>
                <w:tcPr>
                  <w:tcW w:w="1198"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bl>
          <w:p>
            <w:pPr>
              <w:pStyle w:val="51"/>
              <w:keepNext w:val="0"/>
              <w:keepLines w:val="0"/>
              <w:suppressLineNumbers w:val="0"/>
              <w:spacing w:before="0" w:beforeAutospacing="0" w:after="0" w:afterAutospacing="0"/>
              <w:ind w:left="0" w:right="0" w:firstLine="482"/>
              <w:rPr>
                <w:rFonts w:hint="default"/>
                <w:b/>
                <w:color w:val="auto"/>
              </w:rPr>
            </w:pPr>
            <w:r>
              <w:rPr>
                <w:rFonts w:hint="default"/>
                <w:b/>
                <w:color w:val="auto"/>
              </w:rPr>
              <w:t>2、废气排放标准</w:t>
            </w:r>
          </w:p>
          <w:p>
            <w:pPr>
              <w:pStyle w:val="51"/>
              <w:keepNext w:val="0"/>
              <w:keepLines w:val="0"/>
              <w:suppressLineNumbers w:val="0"/>
              <w:spacing w:before="0" w:beforeAutospacing="0" w:after="0" w:afterAutospacing="0"/>
              <w:ind w:left="0" w:right="0" w:firstLine="482"/>
              <w:rPr>
                <w:rFonts w:hint="default"/>
                <w:b/>
                <w:color w:val="auto"/>
              </w:rPr>
            </w:pPr>
            <w:r>
              <w:rPr>
                <w:rFonts w:hint="default"/>
                <w:b/>
                <w:color w:val="auto"/>
              </w:rPr>
              <w:t>（1）施工期</w:t>
            </w:r>
          </w:p>
          <w:p>
            <w:pPr>
              <w:keepNext w:val="0"/>
              <w:keepLines w:val="0"/>
              <w:widowControl/>
              <w:suppressLineNumbers w:val="0"/>
              <w:spacing w:before="0" w:beforeAutospacing="0" w:after="0" w:afterAutospacing="0"/>
              <w:ind w:left="0" w:right="0" w:firstLine="480"/>
              <w:contextualSpacing/>
              <w:rPr>
                <w:rFonts w:hint="default"/>
                <w:bCs/>
                <w:color w:val="auto"/>
              </w:rPr>
            </w:pPr>
            <w:r>
              <w:rPr>
                <w:rFonts w:hint="default"/>
                <w:bCs/>
                <w:color w:val="auto"/>
              </w:rPr>
              <w:t>施工扬尘排放标准执行《大气污染物综合排放标准》（GB16297-1996）中无组织排放监控浓度限值，详见表</w:t>
            </w:r>
            <w:r>
              <w:rPr>
                <w:rFonts w:hint="eastAsia"/>
                <w:bCs/>
                <w:color w:val="auto"/>
              </w:rPr>
              <w:t>3-13</w:t>
            </w:r>
            <w:r>
              <w:rPr>
                <w:rFonts w:hint="default"/>
                <w:bCs/>
                <w:color w:val="auto"/>
              </w:rPr>
              <w:t>。</w:t>
            </w:r>
          </w:p>
          <w:p>
            <w:pPr>
              <w:pStyle w:val="76"/>
              <w:keepNext w:val="0"/>
              <w:keepLines w:val="0"/>
              <w:suppressLineNumbers w:val="0"/>
              <w:spacing w:before="0" w:beforeAutospacing="0" w:after="0" w:afterAutospacing="0"/>
              <w:ind w:left="0" w:right="0"/>
              <w:rPr>
                <w:rFonts w:hint="default"/>
                <w:color w:val="auto"/>
              </w:rPr>
            </w:pPr>
            <w:r>
              <w:rPr>
                <w:rFonts w:hint="default"/>
                <w:color w:val="auto"/>
              </w:rPr>
              <w:t>表</w:t>
            </w:r>
            <w:r>
              <w:rPr>
                <w:rFonts w:hint="eastAsia"/>
                <w:color w:val="auto"/>
              </w:rPr>
              <w:t xml:space="preserve">3-13   </w:t>
            </w:r>
            <w:r>
              <w:rPr>
                <w:rFonts w:hint="default"/>
                <w:color w:val="auto"/>
              </w:rPr>
              <w:t>大气污染物综合排放标准  单位：mg/m³</w:t>
            </w:r>
          </w:p>
          <w:tbl>
            <w:tblPr>
              <w:tblStyle w:val="22"/>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1316"/>
              <w:gridCol w:w="4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4"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污染物名称</w:t>
                  </w:r>
                </w:p>
              </w:tc>
              <w:tc>
                <w:tcPr>
                  <w:tcW w:w="1316"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标准值</w:t>
                  </w:r>
                </w:p>
              </w:tc>
              <w:tc>
                <w:tcPr>
                  <w:tcW w:w="4224"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监控点位置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834"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bCs/>
                      <w:color w:val="auto"/>
                    </w:rPr>
                  </w:pPr>
                  <w:r>
                    <w:rPr>
                      <w:rFonts w:hint="default"/>
                      <w:bCs/>
                      <w:color w:val="auto"/>
                    </w:rPr>
                    <w:t>颗粒物</w:t>
                  </w:r>
                </w:p>
              </w:tc>
              <w:tc>
                <w:tcPr>
                  <w:tcW w:w="1316"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bCs/>
                      <w:color w:val="auto"/>
                    </w:rPr>
                  </w:pPr>
                  <w:r>
                    <w:rPr>
                      <w:rFonts w:hint="default"/>
                      <w:bCs/>
                      <w:color w:val="auto"/>
                    </w:rPr>
                    <w:t>1.0</w:t>
                  </w:r>
                </w:p>
              </w:tc>
              <w:tc>
                <w:tcPr>
                  <w:tcW w:w="4224" w:type="dxa"/>
                  <w:tcBorders>
                    <w:top w:val="single" w:color="auto" w:sz="4" w:space="0"/>
                    <w:left w:val="single" w:color="auto" w:sz="4" w:space="0"/>
                    <w:bottom w:val="single" w:color="auto" w:sz="4" w:space="0"/>
                    <w:right w:val="single" w:color="auto" w:sz="4" w:space="0"/>
                  </w:tcBorders>
                  <w:vAlign w:val="center"/>
                </w:tcPr>
                <w:p>
                  <w:pPr>
                    <w:pStyle w:val="69"/>
                    <w:keepNext w:val="0"/>
                    <w:keepLines w:val="0"/>
                    <w:suppressLineNumbers w:val="0"/>
                    <w:spacing w:before="0" w:beforeAutospacing="0" w:after="0" w:afterAutospacing="0"/>
                    <w:ind w:left="0" w:right="0"/>
                    <w:rPr>
                      <w:rFonts w:hint="default"/>
                      <w:bCs/>
                      <w:color w:val="auto"/>
                    </w:rPr>
                  </w:pPr>
                  <w:r>
                    <w:rPr>
                      <w:rFonts w:hint="default"/>
                      <w:bCs/>
                      <w:color w:val="auto"/>
                    </w:rPr>
                    <w:t>周界外浓度最高点</w:t>
                  </w:r>
                </w:p>
              </w:tc>
            </w:tr>
          </w:tbl>
          <w:p>
            <w:pPr>
              <w:pStyle w:val="69"/>
              <w:keepNext w:val="0"/>
              <w:keepLines w:val="0"/>
              <w:suppressLineNumbers w:val="0"/>
              <w:spacing w:before="0" w:beforeAutospacing="0" w:after="0" w:afterAutospacing="0"/>
              <w:ind w:left="0" w:right="0"/>
              <w:rPr>
                <w:rFonts w:hint="default"/>
                <w:color w:val="auto"/>
              </w:rPr>
            </w:pPr>
          </w:p>
          <w:p>
            <w:pPr>
              <w:pStyle w:val="51"/>
              <w:keepNext w:val="0"/>
              <w:keepLines w:val="0"/>
              <w:suppressLineNumbers w:val="0"/>
              <w:spacing w:before="0" w:beforeAutospacing="0" w:after="0" w:afterAutospacing="0"/>
              <w:ind w:left="0" w:right="0" w:firstLine="482"/>
              <w:rPr>
                <w:rFonts w:hint="default"/>
                <w:b/>
                <w:color w:val="auto"/>
              </w:rPr>
            </w:pPr>
            <w:r>
              <w:rPr>
                <w:rFonts w:hint="default"/>
                <w:b/>
                <w:color w:val="auto"/>
              </w:rPr>
              <w:t>（2）运营期</w:t>
            </w:r>
          </w:p>
          <w:p>
            <w:pPr>
              <w:keepNext w:val="0"/>
              <w:keepLines w:val="0"/>
              <w:widowControl/>
              <w:suppressLineNumbers w:val="0"/>
              <w:spacing w:before="0" w:beforeAutospacing="0" w:after="0" w:afterAutospacing="0"/>
              <w:ind w:left="0" w:right="0" w:firstLine="480"/>
              <w:rPr>
                <w:rFonts w:hint="default"/>
                <w:color w:val="auto"/>
              </w:rPr>
            </w:pPr>
            <w:r>
              <w:rPr>
                <w:rFonts w:hint="eastAsia"/>
                <w:color w:val="auto"/>
              </w:rPr>
              <w:t>项目废气污染物主要为拆解时废钢铁破碎粉尘、切割粉尘、废油抽取产生的挥发性有机物非甲烷总以及拆解时产生的无组织粉尘。其中，废钢铁破碎过程产生的粉尘为有组织排放，其余均属于无组织排放。</w:t>
            </w:r>
          </w:p>
          <w:p>
            <w:pPr>
              <w:keepNext w:val="0"/>
              <w:keepLines w:val="0"/>
              <w:widowControl/>
              <w:suppressLineNumbers w:val="0"/>
              <w:spacing w:before="0" w:beforeAutospacing="0" w:after="0" w:afterAutospacing="0"/>
              <w:ind w:left="0" w:right="0" w:firstLine="480"/>
              <w:rPr>
                <w:rFonts w:hint="default"/>
                <w:color w:val="auto"/>
              </w:rPr>
            </w:pPr>
            <w:r>
              <w:rPr>
                <w:rFonts w:hint="default"/>
                <w:color w:val="auto"/>
              </w:rPr>
              <w:t>破碎机有组织粉尘排放执行《</w:t>
            </w:r>
            <w:r>
              <w:rPr>
                <w:rFonts w:hint="eastAsia"/>
                <w:color w:val="auto"/>
              </w:rPr>
              <w:t>大气污染物综合排放标准</w:t>
            </w:r>
            <w:r>
              <w:rPr>
                <w:rFonts w:hint="default"/>
                <w:color w:val="auto"/>
              </w:rPr>
              <w:t>》（GB</w:t>
            </w:r>
            <w:r>
              <w:rPr>
                <w:rFonts w:hint="eastAsia"/>
                <w:color w:val="auto"/>
              </w:rPr>
              <w:t>16297-1996</w:t>
            </w:r>
            <w:r>
              <w:rPr>
                <w:rFonts w:hint="default"/>
                <w:color w:val="auto"/>
              </w:rPr>
              <w:t>）中表</w:t>
            </w:r>
            <w:r>
              <w:rPr>
                <w:rFonts w:hint="eastAsia"/>
                <w:color w:val="auto"/>
              </w:rPr>
              <w:t>2</w:t>
            </w:r>
            <w:r>
              <w:rPr>
                <w:rFonts w:hint="default"/>
                <w:color w:val="auto"/>
              </w:rPr>
              <w:t>的大气污染排放限值，详见表3-</w:t>
            </w:r>
            <w:r>
              <w:rPr>
                <w:rFonts w:hint="eastAsia"/>
                <w:color w:val="auto"/>
              </w:rPr>
              <w:t>14</w:t>
            </w:r>
            <w:r>
              <w:rPr>
                <w:rFonts w:hint="default"/>
                <w:bCs/>
                <w:color w:val="auto"/>
              </w:rPr>
              <w:t>。</w:t>
            </w:r>
          </w:p>
          <w:p>
            <w:pPr>
              <w:pStyle w:val="54"/>
              <w:keepNext w:val="0"/>
              <w:keepLines w:val="0"/>
              <w:suppressLineNumbers w:val="0"/>
              <w:spacing w:before="0" w:beforeAutospacing="0" w:afterAutospacing="0"/>
              <w:ind w:right="0"/>
              <w:rPr>
                <w:rFonts w:hint="default"/>
                <w:color w:val="auto"/>
              </w:rPr>
            </w:pPr>
            <w:r>
              <w:rPr>
                <w:rFonts w:hint="default"/>
                <w:color w:val="auto"/>
              </w:rPr>
              <w:t>表3-</w:t>
            </w:r>
            <w:r>
              <w:rPr>
                <w:rFonts w:hint="eastAsia"/>
                <w:color w:val="auto"/>
              </w:rPr>
              <w:t>14  有组织大气污染物</w:t>
            </w:r>
            <w:r>
              <w:rPr>
                <w:rFonts w:hint="default"/>
                <w:color w:val="auto"/>
              </w:rPr>
              <w:t>排放标准</w:t>
            </w:r>
          </w:p>
          <w:tbl>
            <w:tblPr>
              <w:tblStyle w:val="22"/>
              <w:tblW w:w="83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2"/>
              <w:gridCol w:w="1397"/>
              <w:gridCol w:w="1717"/>
              <w:gridCol w:w="1561"/>
              <w:gridCol w:w="2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1522"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污染物名称</w:t>
                  </w:r>
                </w:p>
              </w:tc>
              <w:tc>
                <w:tcPr>
                  <w:tcW w:w="1397" w:type="dxa"/>
                  <w:tcBorders>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排放限制(mg/m</w:t>
                  </w:r>
                  <w:r>
                    <w:rPr>
                      <w:rFonts w:hint="default"/>
                      <w:color w:val="auto"/>
                      <w:vertAlign w:val="superscript"/>
                    </w:rPr>
                    <w:t>3</w:t>
                  </w:r>
                  <w:r>
                    <w:rPr>
                      <w:rFonts w:hint="default"/>
                      <w:color w:val="auto"/>
                    </w:rPr>
                    <w:t>)</w:t>
                  </w:r>
                </w:p>
              </w:tc>
              <w:tc>
                <w:tcPr>
                  <w:tcW w:w="3278" w:type="dxa"/>
                  <w:gridSpan w:val="2"/>
                  <w:tcBorders>
                    <w:lef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有组织排放速率</w:t>
                  </w:r>
                </w:p>
              </w:tc>
              <w:tc>
                <w:tcPr>
                  <w:tcW w:w="2177"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1522" w:type="dxa"/>
                  <w:vMerge w:val="restart"/>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颗粒物</w:t>
                  </w:r>
                </w:p>
              </w:tc>
              <w:tc>
                <w:tcPr>
                  <w:tcW w:w="1397" w:type="dxa"/>
                  <w:vMerge w:val="restart"/>
                  <w:tcBorders>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120</w:t>
                  </w:r>
                </w:p>
              </w:tc>
              <w:tc>
                <w:tcPr>
                  <w:tcW w:w="1717" w:type="dxa"/>
                  <w:tcBorders>
                    <w:lef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排气筒高度m</w:t>
                  </w:r>
                </w:p>
              </w:tc>
              <w:tc>
                <w:tcPr>
                  <w:tcW w:w="1561" w:type="dxa"/>
                </w:tcPr>
                <w:p>
                  <w:pPr>
                    <w:pStyle w:val="69"/>
                    <w:keepNext w:val="0"/>
                    <w:keepLines w:val="0"/>
                    <w:suppressLineNumbers w:val="0"/>
                    <w:spacing w:before="0" w:beforeAutospacing="0" w:after="0" w:afterAutospacing="0"/>
                    <w:ind w:left="0" w:right="0"/>
                    <w:rPr>
                      <w:rFonts w:hint="default"/>
                      <w:color w:val="auto"/>
                    </w:rPr>
                  </w:pPr>
                  <w:r>
                    <w:rPr>
                      <w:rFonts w:hint="default"/>
                      <w:color w:val="auto"/>
                    </w:rPr>
                    <w:t>二级（</w:t>
                  </w:r>
                  <w:r>
                    <w:rPr>
                      <w:rFonts w:hint="eastAsia"/>
                      <w:color w:val="auto"/>
                    </w:rPr>
                    <w:t>kg/h</w:t>
                  </w:r>
                  <w:r>
                    <w:rPr>
                      <w:rFonts w:hint="default"/>
                      <w:color w:val="auto"/>
                    </w:rPr>
                    <w:t>）</w:t>
                  </w:r>
                </w:p>
              </w:tc>
              <w:tc>
                <w:tcPr>
                  <w:tcW w:w="2177" w:type="dxa"/>
                  <w:vMerge w:val="restart"/>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排气筒排口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1522"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1397" w:type="dxa"/>
                  <w:vMerge w:val="continue"/>
                  <w:tcBorders>
                    <w:righ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p>
              </w:tc>
              <w:tc>
                <w:tcPr>
                  <w:tcW w:w="1717" w:type="dxa"/>
                  <w:tcBorders>
                    <w:left w:val="single" w:color="auto" w:sz="4"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15</w:t>
                  </w:r>
                </w:p>
              </w:tc>
              <w:tc>
                <w:tcPr>
                  <w:tcW w:w="1561" w:type="dxa"/>
                </w:tcPr>
                <w:p>
                  <w:pPr>
                    <w:pStyle w:val="69"/>
                    <w:keepNext w:val="0"/>
                    <w:keepLines w:val="0"/>
                    <w:suppressLineNumbers w:val="0"/>
                    <w:spacing w:before="0" w:beforeAutospacing="0" w:after="0" w:afterAutospacing="0"/>
                    <w:ind w:left="0" w:right="0"/>
                    <w:rPr>
                      <w:rFonts w:hint="default"/>
                      <w:color w:val="auto"/>
                    </w:rPr>
                  </w:pPr>
                  <w:r>
                    <w:rPr>
                      <w:rFonts w:hint="eastAsia"/>
                      <w:color w:val="auto"/>
                    </w:rPr>
                    <w:t>3.5</w:t>
                  </w:r>
                </w:p>
              </w:tc>
              <w:tc>
                <w:tcPr>
                  <w:tcW w:w="2177"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r>
          </w:tbl>
          <w:p>
            <w:pPr>
              <w:pStyle w:val="51"/>
              <w:keepNext w:val="0"/>
              <w:keepLines w:val="0"/>
              <w:suppressLineNumbers w:val="0"/>
              <w:spacing w:before="0" w:beforeAutospacing="0" w:after="0" w:afterAutospacing="0"/>
              <w:ind w:left="0" w:right="0" w:firstLine="480"/>
              <w:rPr>
                <w:rFonts w:hint="default"/>
                <w:color w:val="auto"/>
              </w:rPr>
            </w:pPr>
            <w:r>
              <w:rPr>
                <w:rFonts w:hint="eastAsia"/>
                <w:color w:val="auto"/>
              </w:rPr>
              <w:t>无组织切割粉尘、破碎粉尘、非甲烷总烃执行</w:t>
            </w:r>
            <w:r>
              <w:rPr>
                <w:rFonts w:hint="default"/>
                <w:color w:val="auto"/>
              </w:rPr>
              <w:t>《</w:t>
            </w:r>
            <w:r>
              <w:rPr>
                <w:rFonts w:hint="eastAsia"/>
                <w:color w:val="auto"/>
              </w:rPr>
              <w:t>大气污染物综合排放标准</w:t>
            </w:r>
            <w:r>
              <w:rPr>
                <w:rFonts w:hint="default"/>
                <w:color w:val="auto"/>
              </w:rPr>
              <w:t>》（GB</w:t>
            </w:r>
            <w:r>
              <w:rPr>
                <w:rFonts w:hint="eastAsia"/>
                <w:color w:val="auto"/>
              </w:rPr>
              <w:t>16297-1996</w:t>
            </w:r>
            <w:r>
              <w:rPr>
                <w:rFonts w:hint="default"/>
                <w:color w:val="auto"/>
              </w:rPr>
              <w:t>）中表</w:t>
            </w:r>
            <w:r>
              <w:rPr>
                <w:rFonts w:hint="eastAsia"/>
                <w:color w:val="auto"/>
              </w:rPr>
              <w:t>2</w:t>
            </w:r>
            <w:r>
              <w:rPr>
                <w:rFonts w:hint="default"/>
                <w:color w:val="auto"/>
              </w:rPr>
              <w:t>的大气污染排放限值。详见表</w:t>
            </w:r>
            <w:r>
              <w:rPr>
                <w:rFonts w:hint="eastAsia"/>
                <w:color w:val="auto"/>
              </w:rPr>
              <w:t>3-15。</w:t>
            </w:r>
          </w:p>
          <w:p>
            <w:pPr>
              <w:pStyle w:val="51"/>
              <w:keepNext w:val="0"/>
              <w:keepLines w:val="0"/>
              <w:suppressLineNumbers w:val="0"/>
              <w:spacing w:before="0" w:beforeAutospacing="0" w:after="0" w:afterAutospacing="0"/>
              <w:ind w:left="0" w:right="0" w:firstLine="482"/>
              <w:jc w:val="center"/>
              <w:rPr>
                <w:rFonts w:hint="default"/>
                <w:b/>
                <w:color w:val="auto"/>
              </w:rPr>
            </w:pPr>
            <w:r>
              <w:rPr>
                <w:rFonts w:hint="eastAsia"/>
                <w:b/>
                <w:color w:val="auto"/>
              </w:rPr>
              <w:t>表3-15   运营期无组织大气污染物排放标准</w:t>
            </w:r>
          </w:p>
          <w:tbl>
            <w:tblPr>
              <w:tblStyle w:val="23"/>
              <w:tblW w:w="83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092"/>
              <w:gridCol w:w="2092"/>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污染源</w:t>
                  </w:r>
                </w:p>
              </w:tc>
              <w:tc>
                <w:tcPr>
                  <w:tcW w:w="2092"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污染源名称</w:t>
                  </w:r>
                </w:p>
              </w:tc>
              <w:tc>
                <w:tcPr>
                  <w:tcW w:w="4185" w:type="dxa"/>
                  <w:gridSpan w:val="2"/>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无组织排放监控点浓度限值mg/m</w:t>
                  </w:r>
                  <w:r>
                    <w:rPr>
                      <w:rFonts w:hint="eastAsia"/>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092"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0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浓度</w:t>
                  </w:r>
                </w:p>
              </w:tc>
              <w:tc>
                <w:tcPr>
                  <w:tcW w:w="209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生产区</w:t>
                  </w:r>
                </w:p>
              </w:tc>
              <w:tc>
                <w:tcPr>
                  <w:tcW w:w="20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非甲烷总烃</w:t>
                  </w:r>
                </w:p>
              </w:tc>
              <w:tc>
                <w:tcPr>
                  <w:tcW w:w="20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4.0</w:t>
                  </w:r>
                </w:p>
              </w:tc>
              <w:tc>
                <w:tcPr>
                  <w:tcW w:w="2093"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厂界外浓度最高点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0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颗粒物</w:t>
                  </w:r>
                </w:p>
              </w:tc>
              <w:tc>
                <w:tcPr>
                  <w:tcW w:w="20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1.0</w:t>
                  </w:r>
                </w:p>
              </w:tc>
              <w:tc>
                <w:tcPr>
                  <w:tcW w:w="2093"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bl>
          <w:p>
            <w:pPr>
              <w:pStyle w:val="51"/>
              <w:keepNext w:val="0"/>
              <w:keepLines w:val="0"/>
              <w:suppressLineNumbers w:val="0"/>
              <w:spacing w:before="0" w:beforeAutospacing="0" w:after="0" w:afterAutospacing="0"/>
              <w:ind w:left="0" w:right="0" w:firstLine="480"/>
              <w:rPr>
                <w:rFonts w:hint="default"/>
                <w:bCs/>
                <w:color w:val="auto"/>
              </w:rPr>
            </w:pPr>
            <w:r>
              <w:rPr>
                <w:rFonts w:hint="eastAsia"/>
                <w:bCs/>
                <w:color w:val="auto"/>
              </w:rPr>
              <w:t>项目区的挥发性有机物（VOCs）执行《挥发性有机物无组织排放控制标准》（GB37822-2019）中附录A的排放限值。</w:t>
            </w:r>
          </w:p>
          <w:p>
            <w:pPr>
              <w:pStyle w:val="51"/>
              <w:keepNext w:val="0"/>
              <w:keepLines w:val="0"/>
              <w:suppressLineNumbers w:val="0"/>
              <w:spacing w:before="0" w:beforeAutospacing="0" w:after="0" w:afterAutospacing="0"/>
              <w:ind w:left="0" w:right="0" w:firstLine="482"/>
              <w:jc w:val="center"/>
              <w:rPr>
                <w:rFonts w:hint="default"/>
                <w:b/>
                <w:color w:val="auto"/>
              </w:rPr>
            </w:pPr>
            <w:r>
              <w:rPr>
                <w:rFonts w:hint="eastAsia"/>
                <w:b/>
                <w:color w:val="auto"/>
              </w:rPr>
              <w:t>表3-16   运营期挥发性有机物无组织排放标准</w:t>
            </w:r>
          </w:p>
          <w:tbl>
            <w:tblPr>
              <w:tblStyle w:val="23"/>
              <w:tblW w:w="83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092"/>
              <w:gridCol w:w="2092"/>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污染源</w:t>
                  </w:r>
                </w:p>
              </w:tc>
              <w:tc>
                <w:tcPr>
                  <w:tcW w:w="2092" w:type="dxa"/>
                  <w:vMerge w:val="restart"/>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污染源名称</w:t>
                  </w:r>
                </w:p>
              </w:tc>
              <w:tc>
                <w:tcPr>
                  <w:tcW w:w="4185" w:type="dxa"/>
                  <w:gridSpan w:val="2"/>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无组织排放监控点浓度限值mg/m</w:t>
                  </w:r>
                  <w:r>
                    <w:rPr>
                      <w:rFonts w:hint="eastAsia"/>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092" w:type="dxa"/>
                  <w:vMerge w:val="continue"/>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0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浓度</w:t>
                  </w:r>
                </w:p>
              </w:tc>
              <w:tc>
                <w:tcPr>
                  <w:tcW w:w="209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生产区</w:t>
                  </w:r>
                </w:p>
              </w:tc>
              <w:tc>
                <w:tcPr>
                  <w:tcW w:w="20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NMHC</w:t>
                  </w:r>
                </w:p>
              </w:tc>
              <w:tc>
                <w:tcPr>
                  <w:tcW w:w="2092"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30（监控点任意一次浓度值）</w:t>
                  </w:r>
                </w:p>
              </w:tc>
              <w:tc>
                <w:tcPr>
                  <w:tcW w:w="2093" w:type="dxa"/>
                  <w:vAlign w:val="center"/>
                </w:tcPr>
                <w:p>
                  <w:pPr>
                    <w:pStyle w:val="51"/>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厂房外设置监控点</w:t>
                  </w:r>
                </w:p>
              </w:tc>
            </w:tr>
          </w:tbl>
          <w:p>
            <w:pPr>
              <w:pStyle w:val="51"/>
              <w:keepNext w:val="0"/>
              <w:keepLines w:val="0"/>
              <w:suppressLineNumbers w:val="0"/>
              <w:spacing w:before="0" w:beforeAutospacing="0" w:after="0" w:afterAutospacing="0"/>
              <w:ind w:left="0" w:right="0" w:firstLine="480"/>
              <w:rPr>
                <w:rFonts w:hint="default"/>
                <w:bCs/>
                <w:color w:val="auto"/>
              </w:rPr>
            </w:pPr>
          </w:p>
          <w:p>
            <w:pPr>
              <w:pStyle w:val="51"/>
              <w:keepNext w:val="0"/>
              <w:keepLines w:val="0"/>
              <w:suppressLineNumbers w:val="0"/>
              <w:spacing w:before="0" w:beforeAutospacing="0" w:after="0" w:afterAutospacing="0"/>
              <w:ind w:left="0" w:right="0" w:firstLine="482"/>
              <w:rPr>
                <w:rFonts w:hint="default"/>
                <w:b/>
                <w:color w:val="auto"/>
              </w:rPr>
            </w:pPr>
            <w:r>
              <w:rPr>
                <w:rFonts w:hint="default"/>
                <w:b/>
                <w:color w:val="auto"/>
              </w:rPr>
              <w:t>3、噪声排放标准</w:t>
            </w:r>
          </w:p>
          <w:p>
            <w:pPr>
              <w:pStyle w:val="49"/>
              <w:keepNext w:val="0"/>
              <w:keepLines w:val="0"/>
              <w:suppressLineNumbers w:val="0"/>
              <w:spacing w:before="0" w:beforeAutospacing="0" w:after="0" w:afterAutospacing="0"/>
              <w:ind w:left="0" w:right="0"/>
              <w:rPr>
                <w:rFonts w:hint="default"/>
                <w:color w:val="auto"/>
              </w:rPr>
            </w:pPr>
            <w:r>
              <w:rPr>
                <w:rFonts w:hint="default"/>
                <w:color w:val="auto"/>
              </w:rPr>
              <w:t>（1）施工期</w:t>
            </w:r>
          </w:p>
          <w:p>
            <w:pPr>
              <w:pStyle w:val="49"/>
              <w:keepNext w:val="0"/>
              <w:keepLines w:val="0"/>
              <w:suppressLineNumbers w:val="0"/>
              <w:spacing w:before="0" w:beforeAutospacing="0" w:after="0" w:afterAutospacing="0"/>
              <w:ind w:left="0" w:right="0"/>
              <w:rPr>
                <w:rFonts w:hint="default"/>
                <w:color w:val="auto"/>
                <w:szCs w:val="22"/>
              </w:rPr>
            </w:pPr>
            <w:r>
              <w:rPr>
                <w:rFonts w:hint="default"/>
                <w:color w:val="auto"/>
                <w:szCs w:val="22"/>
              </w:rPr>
              <w:t>项目施工期噪声排放执行《建筑施工场界环境噪声排放标准》（GB12523-2011）。</w:t>
            </w:r>
          </w:p>
          <w:p>
            <w:pPr>
              <w:pStyle w:val="54"/>
              <w:keepNext w:val="0"/>
              <w:keepLines w:val="0"/>
              <w:suppressLineNumbers w:val="0"/>
              <w:spacing w:before="0" w:beforeAutospacing="0" w:afterAutospacing="0"/>
              <w:ind w:right="0"/>
              <w:rPr>
                <w:rFonts w:hint="default"/>
                <w:color w:val="auto"/>
              </w:rPr>
            </w:pPr>
            <w:r>
              <w:rPr>
                <w:rFonts w:hint="default"/>
                <w:color w:val="auto"/>
              </w:rPr>
              <w:t>表</w:t>
            </w:r>
            <w:r>
              <w:rPr>
                <w:rFonts w:hint="eastAsia"/>
                <w:color w:val="auto"/>
              </w:rPr>
              <w:t xml:space="preserve">3-17   </w:t>
            </w:r>
            <w:r>
              <w:rPr>
                <w:rFonts w:hint="default"/>
                <w:color w:val="auto"/>
              </w:rPr>
              <w:t>建筑施工场界环境噪声排放限值  单位：dB(A)</w:t>
            </w:r>
          </w:p>
          <w:tbl>
            <w:tblPr>
              <w:tblStyle w:val="22"/>
              <w:tblW w:w="8368" w:type="dxa"/>
              <w:jc w:val="center"/>
              <w:tblLayout w:type="fixed"/>
              <w:tblCellMar>
                <w:top w:w="0" w:type="dxa"/>
                <w:left w:w="108" w:type="dxa"/>
                <w:bottom w:w="0" w:type="dxa"/>
                <w:right w:w="108" w:type="dxa"/>
              </w:tblCellMar>
            </w:tblPr>
            <w:tblGrid>
              <w:gridCol w:w="4184"/>
              <w:gridCol w:w="4184"/>
            </w:tblGrid>
            <w:tr>
              <w:tblPrEx>
                <w:tblCellMar>
                  <w:top w:w="0" w:type="dxa"/>
                  <w:left w:w="108" w:type="dxa"/>
                  <w:bottom w:w="0" w:type="dxa"/>
                  <w:right w:w="108" w:type="dxa"/>
                </w:tblCellMar>
              </w:tblPrEx>
              <w:trPr>
                <w:trHeight w:val="217" w:hRule="atLeast"/>
                <w:jc w:val="center"/>
              </w:trPr>
              <w:tc>
                <w:tcPr>
                  <w:tcW w:w="4184" w:type="dxa"/>
                  <w:tcBorders>
                    <w:top w:val="single" w:color="auto" w:sz="6" w:space="0"/>
                    <w:left w:val="single" w:color="auto" w:sz="6" w:space="0"/>
                    <w:bottom w:val="single" w:color="auto" w:sz="6" w:space="0"/>
                    <w:right w:val="single" w:color="auto" w:sz="6"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4184" w:type="dxa"/>
                  <w:tcBorders>
                    <w:top w:val="single" w:color="auto" w:sz="6" w:space="0"/>
                    <w:left w:val="single" w:color="auto" w:sz="6" w:space="0"/>
                    <w:bottom w:val="single" w:color="auto" w:sz="6" w:space="0"/>
                    <w:right w:val="single" w:color="auto" w:sz="6" w:space="0"/>
                  </w:tcBorders>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夜间</w:t>
                  </w:r>
                </w:p>
              </w:tc>
            </w:tr>
            <w:tr>
              <w:tblPrEx>
                <w:tblCellMar>
                  <w:top w:w="0" w:type="dxa"/>
                  <w:left w:w="108" w:type="dxa"/>
                  <w:bottom w:w="0" w:type="dxa"/>
                  <w:right w:w="108" w:type="dxa"/>
                </w:tblCellMar>
              </w:tblPrEx>
              <w:trPr>
                <w:trHeight w:val="162" w:hRule="atLeast"/>
                <w:jc w:val="center"/>
              </w:trPr>
              <w:tc>
                <w:tcPr>
                  <w:tcW w:w="4184" w:type="dxa"/>
                  <w:tcBorders>
                    <w:top w:val="single" w:color="auto" w:sz="6" w:space="0"/>
                    <w:left w:val="single" w:color="auto" w:sz="6" w:space="0"/>
                    <w:bottom w:val="single" w:color="auto" w:sz="6" w:space="0"/>
                    <w:right w:val="single" w:color="auto" w:sz="6" w:space="0"/>
                  </w:tcBorders>
                  <w:vAlign w:val="center"/>
                </w:tcPr>
                <w:p>
                  <w:pPr>
                    <w:pStyle w:val="69"/>
                    <w:keepNext w:val="0"/>
                    <w:keepLines w:val="0"/>
                    <w:suppressLineNumbers w:val="0"/>
                    <w:spacing w:before="0" w:beforeAutospacing="0" w:after="0" w:afterAutospacing="0"/>
                    <w:ind w:left="0" w:right="0"/>
                    <w:rPr>
                      <w:rFonts w:hint="default"/>
                      <w:bCs/>
                      <w:color w:val="auto"/>
                    </w:rPr>
                  </w:pPr>
                  <w:r>
                    <w:rPr>
                      <w:rFonts w:hint="default"/>
                      <w:bCs/>
                      <w:color w:val="auto"/>
                    </w:rPr>
                    <w:t>70</w:t>
                  </w:r>
                </w:p>
              </w:tc>
              <w:tc>
                <w:tcPr>
                  <w:tcW w:w="4184" w:type="dxa"/>
                  <w:tcBorders>
                    <w:top w:val="single" w:color="auto" w:sz="6" w:space="0"/>
                    <w:left w:val="single" w:color="auto" w:sz="6" w:space="0"/>
                    <w:bottom w:val="single" w:color="auto" w:sz="6" w:space="0"/>
                    <w:right w:val="single" w:color="auto" w:sz="6" w:space="0"/>
                  </w:tcBorders>
                  <w:vAlign w:val="center"/>
                </w:tcPr>
                <w:p>
                  <w:pPr>
                    <w:pStyle w:val="69"/>
                    <w:keepNext w:val="0"/>
                    <w:keepLines w:val="0"/>
                    <w:suppressLineNumbers w:val="0"/>
                    <w:spacing w:before="0" w:beforeAutospacing="0" w:after="0" w:afterAutospacing="0"/>
                    <w:ind w:left="0" w:right="0"/>
                    <w:rPr>
                      <w:rFonts w:hint="default"/>
                      <w:bCs/>
                      <w:color w:val="auto"/>
                    </w:rPr>
                  </w:pPr>
                  <w:r>
                    <w:rPr>
                      <w:rFonts w:hint="default"/>
                      <w:bCs/>
                      <w:color w:val="auto"/>
                    </w:rPr>
                    <w:t>55</w:t>
                  </w:r>
                </w:p>
              </w:tc>
            </w:tr>
          </w:tbl>
          <w:p>
            <w:pPr>
              <w:pStyle w:val="51"/>
              <w:keepNext w:val="0"/>
              <w:keepLines w:val="0"/>
              <w:suppressLineNumbers w:val="0"/>
              <w:spacing w:before="0" w:beforeAutospacing="0" w:after="0" w:afterAutospacing="0"/>
              <w:ind w:left="0" w:right="0" w:firstLine="480"/>
              <w:rPr>
                <w:rFonts w:hint="default"/>
                <w:color w:val="auto"/>
              </w:rPr>
            </w:pPr>
            <w:r>
              <w:rPr>
                <w:rFonts w:hint="default"/>
                <w:color w:val="auto"/>
              </w:rPr>
              <w:t>（2）运营期</w:t>
            </w:r>
          </w:p>
          <w:p>
            <w:pPr>
              <w:pStyle w:val="51"/>
              <w:keepNext w:val="0"/>
              <w:keepLines w:val="0"/>
              <w:suppressLineNumbers w:val="0"/>
              <w:spacing w:before="0" w:beforeAutospacing="0" w:after="0" w:afterAutospacing="0"/>
              <w:ind w:left="0" w:right="0" w:firstLine="480"/>
              <w:rPr>
                <w:rFonts w:hint="default"/>
                <w:color w:val="auto"/>
              </w:rPr>
            </w:pPr>
            <w:r>
              <w:rPr>
                <w:rFonts w:hint="default"/>
                <w:color w:val="auto"/>
                <w:kern w:val="2"/>
              </w:rPr>
              <w:t>项目营运期噪声排放执行《工业企业厂界环境噪声排放标准》（GB12348－2008）2类标准，</w:t>
            </w:r>
            <w:r>
              <w:rPr>
                <w:rFonts w:hint="default"/>
                <w:color w:val="auto"/>
              </w:rPr>
              <w:t>详值见表3-</w:t>
            </w:r>
            <w:r>
              <w:rPr>
                <w:rFonts w:hint="eastAsia"/>
                <w:color w:val="auto"/>
              </w:rPr>
              <w:t>18</w:t>
            </w:r>
            <w:r>
              <w:rPr>
                <w:rFonts w:hint="default"/>
                <w:color w:val="auto"/>
              </w:rPr>
              <w:t>。</w:t>
            </w:r>
          </w:p>
          <w:p>
            <w:pPr>
              <w:pStyle w:val="76"/>
              <w:keepNext w:val="0"/>
              <w:keepLines w:val="0"/>
              <w:suppressLineNumbers w:val="0"/>
              <w:spacing w:before="0" w:beforeAutospacing="0" w:after="0" w:afterAutospacing="0"/>
              <w:ind w:left="0" w:right="0"/>
              <w:rPr>
                <w:rFonts w:hint="default"/>
                <w:bCs/>
                <w:color w:val="auto"/>
                <w:lang w:val="en-GB"/>
              </w:rPr>
            </w:pPr>
            <w:r>
              <w:rPr>
                <w:rFonts w:hint="default"/>
                <w:color w:val="auto"/>
              </w:rPr>
              <w:t>表3-</w:t>
            </w:r>
            <w:r>
              <w:rPr>
                <w:rFonts w:hint="eastAsia"/>
                <w:color w:val="auto"/>
              </w:rPr>
              <w:t xml:space="preserve">18   </w:t>
            </w:r>
            <w:r>
              <w:rPr>
                <w:rFonts w:hint="default"/>
                <w:color w:val="auto"/>
              </w:rPr>
              <w:t>工业企业厂界环境噪声排放标准   单位</w:t>
            </w:r>
            <w:r>
              <w:rPr>
                <w:rFonts w:hint="default"/>
                <w:color w:val="auto"/>
                <w:lang w:val="en-GB"/>
              </w:rPr>
              <w:t>：</w:t>
            </w:r>
            <w:r>
              <w:rPr>
                <w:rFonts w:hint="default"/>
                <w:color w:val="auto"/>
              </w:rPr>
              <w:t>dB(A)</w:t>
            </w:r>
          </w:p>
          <w:tbl>
            <w:tblPr>
              <w:tblStyle w:val="22"/>
              <w:tblW w:w="837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52"/>
              <w:gridCol w:w="3331"/>
              <w:gridCol w:w="269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52" w:type="dxa"/>
                  <w:vMerge w:val="restart"/>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类别</w:t>
                  </w:r>
                </w:p>
              </w:tc>
              <w:tc>
                <w:tcPr>
                  <w:tcW w:w="6022" w:type="dxa"/>
                  <w:gridSpan w:val="2"/>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等效声级[dB(A)]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352" w:type="dxa"/>
                  <w:vMerge w:val="continue"/>
                  <w:vAlign w:val="center"/>
                </w:tcPr>
                <w:p>
                  <w:pPr>
                    <w:pStyle w:val="69"/>
                    <w:keepNext w:val="0"/>
                    <w:keepLines w:val="0"/>
                    <w:suppressLineNumbers w:val="0"/>
                    <w:spacing w:before="0" w:beforeAutospacing="0" w:after="0" w:afterAutospacing="0"/>
                    <w:ind w:left="0" w:right="0"/>
                    <w:rPr>
                      <w:rFonts w:hint="default"/>
                      <w:color w:val="auto"/>
                    </w:rPr>
                  </w:pPr>
                </w:p>
              </w:tc>
              <w:tc>
                <w:tcPr>
                  <w:tcW w:w="3331"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2691"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2352"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2类</w:t>
                  </w:r>
                </w:p>
              </w:tc>
              <w:tc>
                <w:tcPr>
                  <w:tcW w:w="3331"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60</w:t>
                  </w:r>
                </w:p>
              </w:tc>
              <w:tc>
                <w:tcPr>
                  <w:tcW w:w="2691" w:type="dxa"/>
                  <w:vAlign w:val="center"/>
                </w:tcPr>
                <w:p>
                  <w:pPr>
                    <w:pStyle w:val="69"/>
                    <w:keepNext w:val="0"/>
                    <w:keepLines w:val="0"/>
                    <w:suppressLineNumbers w:val="0"/>
                    <w:spacing w:before="0" w:beforeAutospacing="0" w:after="0" w:afterAutospacing="0"/>
                    <w:ind w:left="0" w:right="0"/>
                    <w:rPr>
                      <w:rFonts w:hint="default"/>
                      <w:color w:val="auto"/>
                    </w:rPr>
                  </w:pPr>
                  <w:r>
                    <w:rPr>
                      <w:rFonts w:hint="default"/>
                      <w:color w:val="auto"/>
                    </w:rPr>
                    <w:t>50</w:t>
                  </w:r>
                </w:p>
              </w:tc>
            </w:tr>
          </w:tbl>
          <w:p>
            <w:pPr>
              <w:pStyle w:val="69"/>
              <w:keepNext w:val="0"/>
              <w:keepLines w:val="0"/>
              <w:suppressLineNumbers w:val="0"/>
              <w:spacing w:before="0" w:beforeAutospacing="0" w:after="0" w:afterAutospacing="0"/>
              <w:ind w:left="0" w:right="0"/>
              <w:rPr>
                <w:rFonts w:hint="default"/>
                <w:color w:val="auto"/>
              </w:rPr>
            </w:pPr>
          </w:p>
          <w:p>
            <w:pPr>
              <w:pStyle w:val="51"/>
              <w:keepNext w:val="0"/>
              <w:keepLines w:val="0"/>
              <w:suppressLineNumbers w:val="0"/>
              <w:spacing w:before="0" w:beforeAutospacing="0" w:after="0" w:afterAutospacing="0"/>
              <w:ind w:left="0" w:right="0" w:firstLine="482"/>
              <w:rPr>
                <w:rFonts w:hint="default"/>
                <w:b/>
                <w:color w:val="auto"/>
              </w:rPr>
            </w:pPr>
            <w:r>
              <w:rPr>
                <w:rFonts w:hint="default"/>
                <w:b/>
                <w:color w:val="auto"/>
              </w:rPr>
              <w:t>4、固体废物</w:t>
            </w:r>
          </w:p>
          <w:p>
            <w:pPr>
              <w:pStyle w:val="8"/>
              <w:keepNext w:val="0"/>
              <w:keepLines w:val="0"/>
              <w:suppressLineNumbers w:val="0"/>
              <w:spacing w:before="0" w:beforeAutospacing="0" w:after="0" w:afterAutospacing="0"/>
              <w:ind w:left="0" w:right="0" w:firstLine="480"/>
              <w:rPr>
                <w:rStyle w:val="48"/>
                <w:rFonts w:hint="default"/>
                <w:color w:val="auto"/>
              </w:rPr>
            </w:pPr>
            <w:r>
              <w:rPr>
                <w:rFonts w:hint="default"/>
                <w:color w:val="auto"/>
                <w:szCs w:val="21"/>
                <w:lang w:val="en-GB"/>
              </w:rPr>
              <w:t>项目产生的一般固废执行</w:t>
            </w:r>
            <w:r>
              <w:rPr>
                <w:rStyle w:val="48"/>
                <w:rFonts w:hint="eastAsia"/>
                <w:color w:val="auto"/>
              </w:rPr>
              <w:t>《一般工业固体废物贮存和填埋污染控制标准》（GB18599-2020）</w:t>
            </w:r>
            <w:r>
              <w:rPr>
                <w:rStyle w:val="48"/>
                <w:rFonts w:hint="default"/>
                <w:color w:val="auto"/>
              </w:rPr>
              <w:t>。</w:t>
            </w:r>
          </w:p>
          <w:p>
            <w:pPr>
              <w:pStyle w:val="49"/>
              <w:keepNext w:val="0"/>
              <w:keepLines w:val="0"/>
              <w:suppressLineNumbers w:val="0"/>
              <w:spacing w:before="0" w:beforeAutospacing="0" w:after="0" w:afterAutospacing="0"/>
              <w:ind w:left="0" w:right="0"/>
              <w:rPr>
                <w:rStyle w:val="48"/>
                <w:rFonts w:hint="default"/>
                <w:color w:val="auto"/>
              </w:rPr>
            </w:pPr>
            <w:r>
              <w:rPr>
                <w:rFonts w:hint="default"/>
                <w:snapToGrid w:val="0"/>
                <w:color w:val="auto"/>
              </w:rPr>
              <w:t>运营期产生的危险废物执行《危险废物贮存污染控制标准（GB18597-2001）及2013年修改单（环保部公告2013年第36号）。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4" w:hRule="atLeast"/>
          <w:jc w:val="center"/>
        </w:trPr>
        <w:tc>
          <w:tcPr>
            <w:tcW w:w="461" w:type="dxa"/>
            <w:vAlign w:val="center"/>
          </w:tcPr>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总量</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控制</w:t>
            </w:r>
          </w:p>
          <w:p>
            <w:pPr>
              <w:pStyle w:val="69"/>
              <w:keepNext w:val="0"/>
              <w:keepLines w:val="0"/>
              <w:suppressLineNumbers w:val="0"/>
              <w:spacing w:before="0" w:beforeAutospacing="0" w:after="0" w:afterAutospacing="0"/>
              <w:ind w:left="0" w:right="0"/>
              <w:rPr>
                <w:rFonts w:hint="default"/>
                <w:color w:val="auto"/>
                <w:kern w:val="0"/>
                <w:szCs w:val="21"/>
              </w:rPr>
            </w:pPr>
            <w:r>
              <w:rPr>
                <w:rFonts w:hint="default"/>
                <w:color w:val="auto"/>
                <w:sz w:val="24"/>
                <w:szCs w:val="24"/>
              </w:rPr>
              <w:t>指标</w:t>
            </w:r>
          </w:p>
        </w:tc>
        <w:tc>
          <w:tcPr>
            <w:tcW w:w="8600" w:type="dxa"/>
            <w:vAlign w:val="center"/>
          </w:tcPr>
          <w:p>
            <w:pPr>
              <w:pStyle w:val="49"/>
              <w:keepNext w:val="0"/>
              <w:keepLines w:val="0"/>
              <w:suppressLineNumbers w:val="0"/>
              <w:spacing w:before="0" w:beforeAutospacing="0" w:after="0" w:afterAutospacing="0"/>
              <w:ind w:left="0" w:right="0"/>
              <w:rPr>
                <w:rFonts w:hint="default"/>
                <w:color w:val="auto"/>
                <w:lang w:bidi="ar"/>
              </w:rPr>
            </w:pPr>
            <w:r>
              <w:rPr>
                <w:rFonts w:hint="default"/>
                <w:color w:val="auto"/>
                <w:lang w:bidi="ar"/>
              </w:rPr>
              <w:t>根据项目的具体情况，结合国家污染物排放总量控制原则，列出项目需执行的总量控制指标：</w:t>
            </w:r>
            <w:r>
              <w:rPr>
                <w:rFonts w:hint="default"/>
                <w:color w:val="auto"/>
                <w:highlight w:val="none"/>
                <w:lang w:bidi="ar"/>
              </w:rPr>
              <w:t>污染物总量控制指标如下（单位：t/a）：</w:t>
            </w:r>
          </w:p>
          <w:p>
            <w:pPr>
              <w:pStyle w:val="49"/>
              <w:keepNext w:val="0"/>
              <w:keepLines w:val="0"/>
              <w:suppressLineNumbers w:val="0"/>
              <w:spacing w:before="0" w:beforeAutospacing="0" w:after="0" w:afterAutospacing="0"/>
              <w:ind w:left="0" w:right="0"/>
              <w:rPr>
                <w:rFonts w:hint="default"/>
                <w:color w:val="auto"/>
                <w:lang w:bidi="ar"/>
              </w:rPr>
            </w:pPr>
            <w:r>
              <w:rPr>
                <w:rFonts w:hint="default"/>
                <w:color w:val="auto"/>
                <w:lang w:bidi="ar"/>
              </w:rPr>
              <w:t>1、废气：不涉及二氧化硫和氮氧化物排放，不设总量控制指标。</w:t>
            </w:r>
            <w:r>
              <w:rPr>
                <w:rFonts w:hint="eastAsia"/>
                <w:color w:val="auto"/>
                <w:lang w:bidi="ar"/>
              </w:rPr>
              <w:t>非甲烷总烃无组织排放量为0.134t/a，颗粒物无组织排放量为0.</w:t>
            </w:r>
            <w:r>
              <w:rPr>
                <w:rFonts w:hint="eastAsia"/>
                <w:color w:val="auto"/>
                <w:lang w:val="en-US" w:eastAsia="zh-CN" w:bidi="ar"/>
              </w:rPr>
              <w:t>067</w:t>
            </w:r>
            <w:r>
              <w:rPr>
                <w:rFonts w:hint="eastAsia"/>
                <w:color w:val="auto"/>
                <w:lang w:bidi="ar"/>
              </w:rPr>
              <w:t>t/a，颗粒物有组织排放量为0.0</w:t>
            </w:r>
            <w:r>
              <w:rPr>
                <w:rFonts w:hint="eastAsia"/>
                <w:color w:val="auto"/>
                <w:lang w:val="en-US" w:eastAsia="zh-CN" w:bidi="ar"/>
              </w:rPr>
              <w:t>43</w:t>
            </w:r>
            <w:r>
              <w:rPr>
                <w:rFonts w:hint="eastAsia"/>
                <w:color w:val="auto"/>
                <w:lang w:bidi="ar"/>
              </w:rPr>
              <w:t>t/a。</w:t>
            </w:r>
          </w:p>
          <w:p>
            <w:pPr>
              <w:pStyle w:val="49"/>
              <w:keepNext w:val="0"/>
              <w:keepLines w:val="0"/>
              <w:suppressLineNumbers w:val="0"/>
              <w:spacing w:before="0" w:beforeAutospacing="0" w:after="0" w:afterAutospacing="0"/>
              <w:ind w:left="0" w:right="0"/>
              <w:rPr>
                <w:rFonts w:hint="default"/>
                <w:color w:val="auto"/>
              </w:rPr>
            </w:pPr>
            <w:r>
              <w:rPr>
                <w:rFonts w:hint="default"/>
                <w:color w:val="auto"/>
                <w:lang w:bidi="ar"/>
              </w:rPr>
              <w:t>2、废水：项目区生活污水经隔油池及化粪池处理后</w:t>
            </w:r>
            <w:r>
              <w:rPr>
                <w:rFonts w:hint="eastAsia"/>
                <w:color w:val="auto"/>
                <w:lang w:val="en-US" w:eastAsia="zh-CN" w:bidi="ar"/>
              </w:rPr>
              <w:t>回用于项目区绿化施肥</w:t>
            </w:r>
            <w:r>
              <w:rPr>
                <w:rFonts w:hint="default"/>
                <w:color w:val="auto"/>
                <w:lang w:bidi="ar"/>
              </w:rPr>
              <w:t>，初期雨水经收集池</w:t>
            </w:r>
            <w:r>
              <w:rPr>
                <w:rFonts w:hint="eastAsia"/>
                <w:color w:val="auto"/>
                <w:lang w:val="en-US" w:eastAsia="zh-CN" w:bidi="ar"/>
              </w:rPr>
              <w:t>收集后进入自建污水处理站处理，之后回用于项目区绿化灌溉及洒水降尘，废水不外排。</w:t>
            </w:r>
            <w:r>
              <w:rPr>
                <w:rFonts w:hint="default"/>
                <w:color w:val="auto"/>
                <w:lang w:bidi="ar"/>
              </w:rPr>
              <w:t>因此本项目不设废水总量控制指标。</w:t>
            </w:r>
          </w:p>
          <w:p>
            <w:pPr>
              <w:pStyle w:val="49"/>
              <w:keepNext w:val="0"/>
              <w:keepLines w:val="0"/>
              <w:suppressLineNumbers w:val="0"/>
              <w:spacing w:before="0" w:beforeAutospacing="0" w:after="0" w:afterAutospacing="0"/>
              <w:ind w:left="0" w:right="0"/>
              <w:rPr>
                <w:rFonts w:hint="default"/>
                <w:color w:val="auto"/>
                <w:kern w:val="0"/>
                <w:szCs w:val="21"/>
              </w:rPr>
            </w:pPr>
            <w:r>
              <w:rPr>
                <w:rFonts w:hint="default"/>
                <w:color w:val="auto"/>
              </w:rPr>
              <w:t>3、固体废物：</w:t>
            </w:r>
            <w:r>
              <w:rPr>
                <w:rFonts w:hint="default"/>
                <w:color w:val="auto"/>
                <w:lang w:bidi="ar"/>
              </w:rPr>
              <w:t>固体废物处置率100％。</w:t>
            </w:r>
          </w:p>
        </w:tc>
      </w:tr>
    </w:tbl>
    <w:p>
      <w:pPr>
        <w:pStyle w:val="4"/>
        <w:ind w:firstLine="602"/>
        <w:rPr>
          <w:snapToGrid w:val="0"/>
          <w:color w:val="auto"/>
        </w:rPr>
      </w:pPr>
      <w:bookmarkStart w:id="7" w:name="_Toc68166146"/>
    </w:p>
    <w:p>
      <w:pPr>
        <w:pStyle w:val="15"/>
        <w:ind w:firstLine="360"/>
        <w:rPr>
          <w:rFonts w:eastAsia="黑体"/>
          <w:snapToGrid w:val="0"/>
          <w:kern w:val="44"/>
          <w:sz w:val="30"/>
          <w:szCs w:val="30"/>
        </w:rPr>
      </w:pPr>
      <w:r>
        <w:rPr>
          <w:snapToGrid w:val="0"/>
        </w:rPr>
        <w:br w:type="page"/>
      </w:r>
    </w:p>
    <w:p>
      <w:pPr>
        <w:pStyle w:val="4"/>
        <w:ind w:firstLine="602"/>
        <w:rPr>
          <w:snapToGrid w:val="0"/>
          <w:color w:val="auto"/>
        </w:rPr>
      </w:pPr>
      <w:bookmarkStart w:id="8" w:name="_Toc105597207"/>
      <w:r>
        <w:rPr>
          <w:snapToGrid w:val="0"/>
          <w:color w:val="auto"/>
        </w:rPr>
        <w:t>四、主要环境影响和保护措施</w:t>
      </w:r>
      <w:bookmarkEnd w:id="7"/>
      <w:bookmarkEnd w:id="8"/>
    </w:p>
    <w:tbl>
      <w:tblPr>
        <w:tblStyle w:val="2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1"/>
        <w:gridCol w:w="86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301" w:type="dxa"/>
            <w:tcMar>
              <w:left w:w="28" w:type="dxa"/>
              <w:right w:w="28" w:type="dxa"/>
            </w:tcMar>
            <w:vAlign w:val="center"/>
          </w:tcPr>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施工</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期环</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境保</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护措</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施</w:t>
            </w:r>
          </w:p>
        </w:tc>
        <w:tc>
          <w:tcPr>
            <w:tcW w:w="8680" w:type="dxa"/>
            <w:vAlign w:val="center"/>
          </w:tcPr>
          <w:p>
            <w:pPr>
              <w:pStyle w:val="49"/>
              <w:keepNext w:val="0"/>
              <w:keepLines w:val="0"/>
              <w:suppressLineNumbers w:val="0"/>
              <w:spacing w:before="0" w:beforeAutospacing="0" w:after="0" w:afterAutospacing="0"/>
              <w:ind w:left="0" w:right="0"/>
              <w:rPr>
                <w:rFonts w:hint="default"/>
                <w:color w:val="auto"/>
              </w:rPr>
            </w:pPr>
            <w:r>
              <w:rPr>
                <w:rFonts w:hint="eastAsia"/>
                <w:color w:val="auto"/>
              </w:rPr>
              <w:t>一、</w:t>
            </w:r>
            <w:r>
              <w:rPr>
                <w:rFonts w:hint="default"/>
                <w:color w:val="auto"/>
              </w:rPr>
              <w:t>施工期环境影响和保护措施如下：</w:t>
            </w:r>
          </w:p>
          <w:p>
            <w:pPr>
              <w:pStyle w:val="49"/>
              <w:keepNext w:val="0"/>
              <w:keepLines/>
              <w:suppressLineNumbers w:val="0"/>
              <w:spacing w:before="0" w:beforeAutospacing="0" w:after="0" w:afterAutospacing="0"/>
              <w:ind w:left="0" w:right="0"/>
              <w:rPr>
                <w:rFonts w:hint="default"/>
                <w:color w:val="auto"/>
              </w:rPr>
            </w:pPr>
            <w:r>
              <w:rPr>
                <w:rFonts w:hint="eastAsia"/>
                <w:color w:val="auto"/>
              </w:rPr>
              <w:t>1、施工期废气影响和保护措施</w:t>
            </w:r>
          </w:p>
          <w:p>
            <w:pPr>
              <w:pStyle w:val="49"/>
              <w:keepNext w:val="0"/>
              <w:keepLines/>
              <w:suppressLineNumbers w:val="0"/>
              <w:spacing w:before="0" w:beforeAutospacing="0" w:after="0" w:afterAutospacing="0"/>
              <w:ind w:left="0" w:right="0"/>
              <w:rPr>
                <w:rFonts w:hint="default"/>
                <w:color w:val="auto"/>
              </w:rPr>
            </w:pPr>
            <w:r>
              <w:rPr>
                <w:rFonts w:hint="eastAsia"/>
                <w:color w:val="auto"/>
              </w:rPr>
              <w:t>施工期对大气的污染主要表现在土石方的挖填以及建筑材料运输过程中产生的扬尘及装修废气。由市政工程施工期大气环境影响类比调查表明，施工现场扬尘污染较严重，一般超标2~5倍，但距施工现场150m之外处基本不受影响。同时对各类工程施工现场扬尘监测结果说明，围挡作业对减少施工扬尘对环境的污染有明显作用，可使被污染地区的扬尘浓度减少1/4，在风速不大时，采取围挡等措施可以有效减少施工扬尘的扩散。</w:t>
            </w:r>
          </w:p>
          <w:p>
            <w:pPr>
              <w:pStyle w:val="49"/>
              <w:keepNext w:val="0"/>
              <w:keepLines/>
              <w:suppressLineNumbers w:val="0"/>
              <w:spacing w:before="0" w:beforeAutospacing="0" w:after="0" w:afterAutospacing="0"/>
              <w:ind w:left="0" w:right="0"/>
              <w:rPr>
                <w:rFonts w:hint="default"/>
                <w:color w:val="auto"/>
              </w:rPr>
            </w:pPr>
            <w:r>
              <w:rPr>
                <w:rFonts w:hint="eastAsia"/>
                <w:color w:val="auto"/>
              </w:rPr>
              <w:t>为了进一步减少施工期对大气环境的污染，本环评建议采取以下具体措施减轻施工废气对周边环境的影响。</w:t>
            </w:r>
          </w:p>
          <w:p>
            <w:pPr>
              <w:pStyle w:val="49"/>
              <w:keepNext w:val="0"/>
              <w:keepLines/>
              <w:suppressLineNumbers w:val="0"/>
              <w:spacing w:before="0" w:beforeAutospacing="0" w:after="0" w:afterAutospacing="0"/>
              <w:ind w:left="0" w:right="0"/>
              <w:rPr>
                <w:rFonts w:hint="default"/>
                <w:color w:val="auto"/>
              </w:rPr>
            </w:pPr>
            <w:r>
              <w:rPr>
                <w:rFonts w:hint="eastAsia"/>
                <w:color w:val="auto"/>
              </w:rPr>
              <w:t>（1）根据气象、季节合理安排施工，当空气质量为重度污染（空气质量指数201-300）和气象预报风速达5级以上时，停止土方施工，并做好覆盖工作；当空气质量为中度污染（空气质量指数151-200）和风速达4级以上时，停止土方施工，场地配置洒水车一辆，并每隔2小时对施工现场洒水1次；当空气质量为轻度污染（空气质量指数101-150）时，应每隔4小时对施工现场洒水1次。在居民区集中区域施工时，入场道路或其它引起扬尘的工地，严禁在大风天气下施工。储料场在雨天和大风日将堆放的易产生扬尘的材料用篷布遮盖。</w:t>
            </w:r>
          </w:p>
          <w:p>
            <w:pPr>
              <w:keepNext w:val="0"/>
              <w:keepLines/>
              <w:suppressLineNumbers w:val="0"/>
              <w:spacing w:before="0" w:beforeAutospacing="0" w:after="0" w:afterAutospacing="0"/>
              <w:ind w:left="0" w:right="0" w:firstLine="480"/>
              <w:rPr>
                <w:rFonts w:hint="default"/>
                <w:bCs/>
                <w:color w:val="auto"/>
              </w:rPr>
            </w:pPr>
            <w:r>
              <w:rPr>
                <w:rFonts w:hint="eastAsia"/>
                <w:bCs/>
                <w:color w:val="auto"/>
              </w:rPr>
              <w:t>（2）土方、砂石料运输时用篷布遮盖，防止运输途中物料的撒漏。施工生产生活区内运输通道及时清扫、冲洗，以减少汽车行驶扬尘；运输车辆进入施工生产生活区低速行驶或限速行驶，以减少产尘量；所有来往施工生产生活区的多尘物料均用帆布覆盖。</w:t>
            </w:r>
          </w:p>
          <w:p>
            <w:pPr>
              <w:keepNext w:val="0"/>
              <w:keepLines/>
              <w:suppressLineNumbers w:val="0"/>
              <w:spacing w:before="0" w:beforeAutospacing="0" w:after="0" w:afterAutospacing="0"/>
              <w:ind w:left="0" w:right="0" w:firstLine="480"/>
              <w:rPr>
                <w:rFonts w:hint="default"/>
                <w:bCs/>
                <w:color w:val="auto"/>
              </w:rPr>
            </w:pPr>
            <w:r>
              <w:rPr>
                <w:rFonts w:hint="eastAsia"/>
                <w:bCs/>
                <w:color w:val="auto"/>
              </w:rPr>
              <w:t>（3）施工建设过程中产生的建筑垃圾及工程渣土按政府有关要求执行。在各类建设工程竣工后，施工单位在一个月内将工地的剩余建筑垃圾、工程渣土处理干净。</w:t>
            </w:r>
          </w:p>
          <w:p>
            <w:pPr>
              <w:keepNext w:val="0"/>
              <w:keepLines/>
              <w:suppressLineNumbers w:val="0"/>
              <w:spacing w:before="0" w:beforeAutospacing="0" w:after="0" w:afterAutospacing="0"/>
              <w:ind w:left="0" w:right="0" w:firstLine="480"/>
              <w:rPr>
                <w:rFonts w:hint="default"/>
                <w:bCs/>
                <w:color w:val="auto"/>
              </w:rPr>
            </w:pPr>
            <w:r>
              <w:rPr>
                <w:rFonts w:hint="eastAsia"/>
                <w:bCs/>
                <w:color w:val="auto"/>
              </w:rPr>
              <w:t>（4）临时储存物料处四周设置挡风墙（网），大风时，用篷布覆盖，以减少扬尘。</w:t>
            </w:r>
          </w:p>
          <w:p>
            <w:pPr>
              <w:keepNext w:val="0"/>
              <w:keepLines/>
              <w:suppressLineNumbers w:val="0"/>
              <w:spacing w:before="0" w:beforeAutospacing="0" w:after="0" w:afterAutospacing="0"/>
              <w:ind w:left="0" w:right="0" w:firstLine="480"/>
              <w:rPr>
                <w:rFonts w:hint="default"/>
                <w:bCs/>
                <w:color w:val="auto"/>
              </w:rPr>
            </w:pPr>
            <w:r>
              <w:rPr>
                <w:rFonts w:hint="eastAsia"/>
                <w:bCs/>
                <w:color w:val="auto"/>
              </w:rPr>
              <w:t>通过采取以上措施，可大量减少向外扩散的扬尘，也减少了对施工人员健康的影响，工程施工期污染具有一定的时限性，随着施工的结束，施工期的影响自行消失。</w:t>
            </w:r>
          </w:p>
          <w:p>
            <w:pPr>
              <w:keepNext w:val="0"/>
              <w:keepLines/>
              <w:suppressLineNumbers w:val="0"/>
              <w:spacing w:before="0" w:beforeAutospacing="0" w:after="0" w:afterAutospacing="0"/>
              <w:ind w:left="0" w:right="0" w:firstLine="480"/>
              <w:rPr>
                <w:rFonts w:hint="default"/>
                <w:color w:val="auto"/>
              </w:rPr>
            </w:pPr>
            <w:r>
              <w:rPr>
                <w:rFonts w:hint="eastAsia"/>
                <w:bCs/>
                <w:color w:val="auto"/>
              </w:rPr>
              <w:t>2、</w:t>
            </w:r>
            <w:r>
              <w:rPr>
                <w:rFonts w:hint="default"/>
                <w:color w:val="auto"/>
              </w:rPr>
              <w:t>施工期废水影响和保护措施</w:t>
            </w:r>
          </w:p>
          <w:p>
            <w:pPr>
              <w:keepNext w:val="0"/>
              <w:keepLines/>
              <w:suppressLineNumbers w:val="0"/>
              <w:spacing w:before="0" w:beforeAutospacing="0" w:after="0" w:afterAutospacing="0"/>
              <w:ind w:left="0" w:right="0" w:firstLine="480"/>
              <w:rPr>
                <w:rFonts w:hint="default"/>
                <w:color w:val="auto"/>
              </w:rPr>
            </w:pPr>
            <w:r>
              <w:rPr>
                <w:rFonts w:hint="eastAsia"/>
                <w:color w:val="auto"/>
              </w:rPr>
              <w:t>本项目施工期废水主要为施工废水和施工人员的洗手废水。</w:t>
            </w:r>
          </w:p>
          <w:p>
            <w:pPr>
              <w:keepNext w:val="0"/>
              <w:keepLines/>
              <w:suppressLineNumbers w:val="0"/>
              <w:spacing w:before="0" w:beforeAutospacing="0" w:after="0" w:afterAutospacing="0"/>
              <w:ind w:left="0" w:right="0" w:firstLine="480"/>
              <w:rPr>
                <w:rFonts w:hint="default"/>
                <w:color w:val="auto"/>
              </w:rPr>
            </w:pPr>
            <w:r>
              <w:rPr>
                <w:rFonts w:hint="eastAsia"/>
                <w:color w:val="auto"/>
              </w:rPr>
              <w:t>施工废水污染的控制措施：</w:t>
            </w:r>
          </w:p>
          <w:p>
            <w:pPr>
              <w:keepNext w:val="0"/>
              <w:keepLines/>
              <w:suppressLineNumbers w:val="0"/>
              <w:spacing w:before="0" w:beforeAutospacing="0" w:after="0" w:afterAutospacing="0"/>
              <w:ind w:left="0" w:right="0" w:firstLine="480"/>
              <w:rPr>
                <w:rFonts w:hint="default"/>
                <w:color w:val="auto"/>
              </w:rPr>
            </w:pPr>
            <w:r>
              <w:rPr>
                <w:rFonts w:hint="eastAsia"/>
                <w:color w:val="auto"/>
              </w:rPr>
              <w:t>（1）工地设置沉淀池，施工废水及施工人员洗手废水经沉淀后回用于洒水抑尘。</w:t>
            </w:r>
          </w:p>
          <w:p>
            <w:pPr>
              <w:keepNext w:val="0"/>
              <w:keepLines/>
              <w:suppressLineNumbers w:val="0"/>
              <w:spacing w:before="0" w:beforeAutospacing="0" w:after="0" w:afterAutospacing="0"/>
              <w:ind w:left="0" w:right="0" w:firstLine="480"/>
              <w:rPr>
                <w:rFonts w:hint="default"/>
                <w:color w:val="auto"/>
              </w:rPr>
            </w:pPr>
            <w:r>
              <w:rPr>
                <w:rFonts w:hint="eastAsia"/>
                <w:color w:val="auto"/>
              </w:rPr>
              <w:t>（2）合理选择施工工期，尽量避免在雨季。在施工完成后，不得闲置土地，应尽快对建设区进行环境绿化工程和地面硬化的建设，使场地土面及时得到绿化覆盖和硬化，避免水土流失，美化环境。</w:t>
            </w:r>
          </w:p>
          <w:p>
            <w:pPr>
              <w:keepNext w:val="0"/>
              <w:keepLines/>
              <w:suppressLineNumbers w:val="0"/>
              <w:spacing w:before="0" w:beforeAutospacing="0" w:after="0" w:afterAutospacing="0"/>
              <w:ind w:left="0" w:right="0" w:firstLine="480"/>
              <w:rPr>
                <w:rFonts w:hint="default"/>
                <w:b/>
                <w:bCs/>
                <w:color w:val="auto"/>
              </w:rPr>
            </w:pPr>
            <w:r>
              <w:rPr>
                <w:rFonts w:hint="eastAsia"/>
                <w:bCs/>
                <w:color w:val="auto"/>
              </w:rPr>
              <w:t>3、</w:t>
            </w:r>
            <w:r>
              <w:rPr>
                <w:rFonts w:hint="default"/>
                <w:color w:val="auto"/>
              </w:rPr>
              <w:t>施工期噪声影响和保护措施</w:t>
            </w:r>
          </w:p>
          <w:p>
            <w:pPr>
              <w:keepNext w:val="0"/>
              <w:keepLines/>
              <w:suppressLineNumbers w:val="0"/>
              <w:spacing w:before="0" w:beforeAutospacing="0" w:after="0" w:afterAutospacing="0"/>
              <w:ind w:left="0" w:right="0" w:firstLine="480"/>
              <w:rPr>
                <w:rFonts w:hint="default"/>
                <w:color w:val="auto"/>
              </w:rPr>
            </w:pPr>
            <w:r>
              <w:rPr>
                <w:rFonts w:hint="default"/>
                <w:color w:val="auto"/>
              </w:rPr>
              <w:t>项目施工噪声主要来源于运输车辆、挖掘机、推土机等，噪声源强一般在</w:t>
            </w:r>
            <w:r>
              <w:rPr>
                <w:rFonts w:hint="eastAsia"/>
                <w:color w:val="auto"/>
              </w:rPr>
              <w:t>76</w:t>
            </w:r>
            <w:r>
              <w:rPr>
                <w:rFonts w:hint="default"/>
                <w:color w:val="auto"/>
              </w:rPr>
              <w:t>-9</w:t>
            </w:r>
            <w:r>
              <w:rPr>
                <w:rFonts w:hint="eastAsia"/>
                <w:color w:val="auto"/>
              </w:rPr>
              <w:t>0</w:t>
            </w:r>
            <w:r>
              <w:rPr>
                <w:rFonts w:hint="default"/>
                <w:color w:val="auto"/>
              </w:rPr>
              <w:t>dB(A)之间，</w:t>
            </w:r>
            <w:r>
              <w:rPr>
                <w:rFonts w:hint="eastAsia"/>
                <w:color w:val="auto"/>
              </w:rPr>
              <w:t>施工时会产生较强的噪声，必须采用相应的措施以减小施工噪声对周围环境的影响。</w:t>
            </w:r>
          </w:p>
          <w:p>
            <w:pPr>
              <w:keepNext w:val="0"/>
              <w:keepLines/>
              <w:suppressLineNumbers w:val="0"/>
              <w:spacing w:before="0" w:beforeAutospacing="0" w:after="0" w:afterAutospacing="0"/>
              <w:ind w:left="0" w:right="0" w:firstLine="480"/>
              <w:rPr>
                <w:rFonts w:hint="default"/>
                <w:color w:val="auto"/>
              </w:rPr>
            </w:pPr>
            <w:r>
              <w:rPr>
                <w:rFonts w:hint="eastAsia"/>
                <w:color w:val="auto"/>
              </w:rPr>
              <w:t>（1）选用低噪声机械设备，在施工过程中应设专人对设备进行定期保养和维护，并负责对现场工作人员进行培训，严格按操作规范使用各类机械。</w:t>
            </w:r>
          </w:p>
          <w:p>
            <w:pPr>
              <w:keepNext w:val="0"/>
              <w:keepLines/>
              <w:suppressLineNumbers w:val="0"/>
              <w:spacing w:before="0" w:beforeAutospacing="0" w:after="0" w:afterAutospacing="0"/>
              <w:ind w:left="0" w:right="0" w:firstLine="480"/>
              <w:rPr>
                <w:rFonts w:hint="default"/>
                <w:color w:val="auto"/>
              </w:rPr>
            </w:pPr>
            <w:r>
              <w:rPr>
                <w:rFonts w:hint="eastAsia"/>
                <w:color w:val="auto"/>
              </w:rPr>
              <w:t>（2）车辆出入现场和途经运输沿线居民敏感点时应低速、禁鸣。</w:t>
            </w:r>
          </w:p>
          <w:p>
            <w:pPr>
              <w:keepNext w:val="0"/>
              <w:keepLines/>
              <w:suppressLineNumbers w:val="0"/>
              <w:spacing w:before="0" w:beforeAutospacing="0" w:after="0" w:afterAutospacing="0"/>
              <w:ind w:left="0" w:right="0" w:firstLine="480"/>
              <w:rPr>
                <w:rFonts w:hint="default"/>
                <w:color w:val="auto"/>
              </w:rPr>
            </w:pPr>
            <w:r>
              <w:rPr>
                <w:rFonts w:hint="eastAsia"/>
                <w:color w:val="auto"/>
              </w:rPr>
              <w:t>（3）建设管理部门应加强对施工场地的噪声管理，施工企业也应对施工噪声进行自</w:t>
            </w:r>
          </w:p>
          <w:p>
            <w:pPr>
              <w:keepNext w:val="0"/>
              <w:keepLines/>
              <w:suppressLineNumbers w:val="0"/>
              <w:spacing w:before="0" w:beforeAutospacing="0" w:after="0" w:afterAutospacing="0"/>
              <w:ind w:left="0" w:right="0" w:firstLine="480"/>
              <w:rPr>
                <w:rFonts w:hint="default"/>
                <w:color w:val="auto"/>
              </w:rPr>
            </w:pPr>
            <w:r>
              <w:rPr>
                <w:rFonts w:hint="eastAsia"/>
                <w:color w:val="auto"/>
              </w:rPr>
              <w:t>律，文明施工，避免因施工噪声产生纠纷。</w:t>
            </w:r>
          </w:p>
          <w:p>
            <w:pPr>
              <w:keepNext w:val="0"/>
              <w:keepLines/>
              <w:suppressLineNumbers w:val="0"/>
              <w:spacing w:before="0" w:beforeAutospacing="0" w:after="0" w:afterAutospacing="0"/>
              <w:ind w:left="0" w:right="0" w:firstLine="480"/>
              <w:rPr>
                <w:rFonts w:hint="default"/>
                <w:color w:val="auto"/>
              </w:rPr>
            </w:pPr>
            <w:r>
              <w:rPr>
                <w:rFonts w:hint="eastAsia"/>
                <w:color w:val="auto"/>
              </w:rPr>
              <w:t>（4）施工单位应合理规划施工过程与高噪声设备的使用时间，避开休息时间（中午12:00～14:00、夜间 22:00～06:00）进行施工作业。</w:t>
            </w:r>
          </w:p>
          <w:p>
            <w:pPr>
              <w:keepNext w:val="0"/>
              <w:keepLines/>
              <w:suppressLineNumbers w:val="0"/>
              <w:spacing w:before="0" w:beforeAutospacing="0" w:after="0" w:afterAutospacing="0"/>
              <w:ind w:left="0" w:right="0" w:firstLine="480"/>
              <w:rPr>
                <w:rFonts w:hint="default"/>
                <w:color w:val="auto"/>
              </w:rPr>
            </w:pPr>
            <w:r>
              <w:rPr>
                <w:rFonts w:hint="eastAsia"/>
                <w:color w:val="auto"/>
              </w:rPr>
              <w:t>随着本项目竣工，施工噪声的影响将不再存在，施工噪声对环境的不利影响是暂时的、短期的行为</w:t>
            </w:r>
            <w:r>
              <w:rPr>
                <w:rFonts w:hint="default"/>
                <w:color w:val="auto"/>
              </w:rPr>
              <w:t>。</w:t>
            </w:r>
          </w:p>
          <w:p>
            <w:pPr>
              <w:keepNext w:val="0"/>
              <w:keepLines/>
              <w:suppressLineNumbers w:val="0"/>
              <w:spacing w:before="0" w:beforeAutospacing="0" w:after="0" w:afterAutospacing="0"/>
              <w:ind w:left="0" w:right="0" w:firstLine="480"/>
              <w:rPr>
                <w:rFonts w:hint="default"/>
                <w:b/>
                <w:bCs/>
                <w:color w:val="auto"/>
              </w:rPr>
            </w:pPr>
            <w:r>
              <w:rPr>
                <w:rFonts w:hint="eastAsia"/>
                <w:bCs/>
                <w:color w:val="auto"/>
              </w:rPr>
              <w:t>4、</w:t>
            </w:r>
            <w:r>
              <w:rPr>
                <w:rFonts w:hint="default"/>
                <w:color w:val="auto"/>
              </w:rPr>
              <w:t>施工期固体废物影响和保护措施</w:t>
            </w:r>
          </w:p>
          <w:p>
            <w:pPr>
              <w:pStyle w:val="49"/>
              <w:keepNext w:val="0"/>
              <w:keepLines/>
              <w:suppressLineNumbers w:val="0"/>
              <w:spacing w:before="0" w:beforeAutospacing="0" w:after="0" w:afterAutospacing="0"/>
              <w:ind w:left="0" w:right="0"/>
              <w:rPr>
                <w:rFonts w:hint="default"/>
                <w:color w:val="auto"/>
              </w:rPr>
            </w:pPr>
            <w:r>
              <w:rPr>
                <w:rFonts w:hint="eastAsia"/>
                <w:color w:val="auto"/>
              </w:rPr>
              <w:t>施工期主要固体废物为建筑垃圾、施工人员的生活垃圾。</w:t>
            </w:r>
          </w:p>
          <w:p>
            <w:pPr>
              <w:pStyle w:val="49"/>
              <w:keepNext w:val="0"/>
              <w:keepLines/>
              <w:suppressLineNumbers w:val="0"/>
              <w:spacing w:before="0" w:beforeAutospacing="0" w:after="0" w:afterAutospacing="0"/>
              <w:ind w:left="0" w:right="0"/>
              <w:rPr>
                <w:rFonts w:hint="default"/>
                <w:color w:val="auto"/>
              </w:rPr>
            </w:pPr>
            <w:r>
              <w:rPr>
                <w:rFonts w:hint="eastAsia"/>
                <w:color w:val="auto"/>
              </w:rPr>
              <w:t>（1）建筑垃圾：各类建筑垃圾应定期清理，统一堆放，按照建设部规定运至建筑垃圾堆放处，以免影响周边环境。建筑材料运输时应限时限量、封闭式运输，防止沿途洒落</w:t>
            </w:r>
            <w:r>
              <w:rPr>
                <w:rFonts w:hint="default"/>
                <w:color w:val="auto"/>
              </w:rPr>
              <w:t>。</w:t>
            </w:r>
          </w:p>
          <w:p>
            <w:pPr>
              <w:pStyle w:val="49"/>
              <w:keepNext w:val="0"/>
              <w:keepLines/>
              <w:suppressLineNumbers w:val="0"/>
              <w:spacing w:before="0" w:beforeAutospacing="0" w:after="0" w:afterAutospacing="0"/>
              <w:ind w:left="0" w:right="0"/>
              <w:rPr>
                <w:rFonts w:hint="default"/>
                <w:color w:val="auto"/>
              </w:rPr>
            </w:pPr>
            <w:r>
              <w:rPr>
                <w:rFonts w:hint="default"/>
                <w:color w:val="auto"/>
              </w:rPr>
              <w:t>（</w:t>
            </w:r>
            <w:r>
              <w:rPr>
                <w:rFonts w:hint="eastAsia"/>
                <w:color w:val="auto"/>
              </w:rPr>
              <w:t>2</w:t>
            </w:r>
            <w:r>
              <w:rPr>
                <w:rFonts w:hint="default"/>
                <w:color w:val="auto"/>
              </w:rPr>
              <w:t>）</w:t>
            </w:r>
            <w:r>
              <w:rPr>
                <w:rFonts w:hint="eastAsia"/>
                <w:color w:val="auto"/>
              </w:rPr>
              <w:t>生活垃圾：施工期产生的生活垃圾通过设临时垃圾箱，妥善安排收集工地内产生的生活垃圾，并统一由环卫部门处理，不会对环境造成不利的影响。</w:t>
            </w:r>
          </w:p>
          <w:p>
            <w:pPr>
              <w:pStyle w:val="49"/>
              <w:keepNext w:val="0"/>
              <w:keepLines/>
              <w:suppressLineNumbers w:val="0"/>
              <w:spacing w:before="0" w:beforeAutospacing="0" w:after="0" w:afterAutospacing="0"/>
              <w:ind w:left="0" w:right="0"/>
              <w:rPr>
                <w:rFonts w:hint="default"/>
                <w:color w:val="auto"/>
              </w:rPr>
            </w:pPr>
            <w:r>
              <w:rPr>
                <w:rFonts w:hint="eastAsia"/>
                <w:color w:val="auto"/>
              </w:rPr>
              <w:t>综上，本项目固废均能得到合理处置，对环境影响较小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301" w:type="dxa"/>
            <w:tcMar>
              <w:left w:w="28" w:type="dxa"/>
              <w:right w:w="28" w:type="dxa"/>
            </w:tcMar>
            <w:vAlign w:val="center"/>
          </w:tcPr>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运营</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期环</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境影</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响和</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保护</w:t>
            </w:r>
          </w:p>
          <w:p>
            <w:pPr>
              <w:pStyle w:val="69"/>
              <w:keepNext w:val="0"/>
              <w:keepLines w:val="0"/>
              <w:suppressLineNumbers w:val="0"/>
              <w:spacing w:before="0" w:beforeAutospacing="0" w:after="0" w:afterAutospacing="0"/>
              <w:ind w:left="0" w:right="0"/>
              <w:rPr>
                <w:rFonts w:hint="default"/>
                <w:color w:val="auto"/>
                <w:sz w:val="24"/>
                <w:szCs w:val="24"/>
              </w:rPr>
            </w:pPr>
            <w:r>
              <w:rPr>
                <w:rFonts w:hint="default"/>
                <w:color w:val="auto"/>
                <w:sz w:val="24"/>
                <w:szCs w:val="24"/>
              </w:rPr>
              <w:t>措施</w:t>
            </w:r>
          </w:p>
        </w:tc>
        <w:tc>
          <w:tcPr>
            <w:tcW w:w="8680" w:type="dxa"/>
          </w:tcPr>
          <w:p>
            <w:pPr>
              <w:pStyle w:val="49"/>
              <w:keepNext w:val="0"/>
              <w:keepLines w:val="0"/>
              <w:numPr>
                <w:ilvl w:val="0"/>
                <w:numId w:val="2"/>
              </w:numPr>
              <w:suppressLineNumbers w:val="0"/>
              <w:spacing w:before="0" w:beforeAutospacing="0" w:after="0" w:afterAutospacing="0"/>
              <w:ind w:right="0" w:firstLineChars="0"/>
              <w:jc w:val="left"/>
              <w:rPr>
                <w:rFonts w:hint="default"/>
                <w:b/>
                <w:color w:val="auto"/>
              </w:rPr>
            </w:pPr>
            <w:r>
              <w:rPr>
                <w:rFonts w:hint="eastAsia"/>
                <w:b/>
                <w:color w:val="auto"/>
              </w:rPr>
              <w:t>大气环境影响分析</w:t>
            </w:r>
          </w:p>
          <w:p>
            <w:pPr>
              <w:pStyle w:val="49"/>
              <w:keepNext w:val="0"/>
              <w:keepLines w:val="0"/>
              <w:suppressLineNumbers w:val="0"/>
              <w:spacing w:before="0" w:beforeAutospacing="0" w:after="0" w:afterAutospacing="0"/>
              <w:ind w:left="482" w:right="0" w:firstLine="0" w:firstLineChars="0"/>
              <w:jc w:val="left"/>
              <w:rPr>
                <w:rFonts w:hint="default"/>
                <w:b/>
                <w:color w:val="auto"/>
              </w:rPr>
            </w:pPr>
            <w:r>
              <w:rPr>
                <w:rFonts w:hint="eastAsia"/>
                <w:b/>
                <w:color w:val="auto"/>
              </w:rPr>
              <w:t>（一）正常工况分析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1、废气主要污染工序</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项目营运期废气主要包括拆解过程中产生的废油液挥发废气（以非甲烷总烃计）、制冷剂废气、拆解粉尘、破碎粉尘。</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（1）颗粒物（切割粉尘）</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项目在汽车拆解过程中配合切剪机等，仅对较难拆解部分进行切割，其中车门、车身、悬架重量合计为5820t/a，按照10%计算，切割量为582t/a，切割时间取每天8h。根据《排放源统计调查产排污核算方法和系数手册》（42 废弃资源综合利用行业系数手册）可知，废钢铁切割工序产生的颗粒物产污系数为7.2g/t-原料，因此颗粒物产生量为0.0042t/a，0.0017kg/h。切割是在半封闭车间内部操作，切割废气粉尘大部分随重力作用在车间内沉降，再经过洒水降尘后，粉尘在车间的沉降量按70%计算，粉尘沉降至地面由人工进行清扫，则粉尘排放量为0.00126t/a，0.00053kg/h。</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本项目切割过程是采用人工移动式切割，不具备上废气治理措施的条件，鉴于本项目切割粉尘排放量较小，不会造成超标情况。且生产车间通风性好，有利于污染物的扩散，厂界排放浓度可达标。</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（2）破碎粉尘</w:t>
            </w:r>
          </w:p>
          <w:p>
            <w:pPr>
              <w:pStyle w:val="49"/>
              <w:keepNext w:val="0"/>
              <w:keepLines w:val="0"/>
              <w:suppressLineNumbers w:val="0"/>
              <w:spacing w:before="0" w:beforeAutospacing="0" w:after="0" w:afterAutospacing="0"/>
              <w:ind w:left="0" w:right="0"/>
              <w:jc w:val="left"/>
              <w:rPr>
                <w:rFonts w:hint="default"/>
                <w:color w:val="auto"/>
              </w:rPr>
            </w:pPr>
            <w:r>
              <w:rPr>
                <w:rFonts w:hint="default"/>
                <w:color w:val="auto"/>
              </w:rPr>
              <w:t>项目配备一台废钢破碎机，大块的废钢破碎后由钢铁回收企业回收，本项目车身破碎主要是汽车的外壳。根据建设单位提供的数据可知，本项目需要破碎的钢铁约为废钢的</w:t>
            </w:r>
            <w:r>
              <w:rPr>
                <w:rFonts w:hint="eastAsia"/>
                <w:color w:val="auto"/>
              </w:rPr>
              <w:t>30%，上文中得知废钢总量为10000t/a，则需要破碎的废钢为3000t/a，废钢在破碎过程中会产生粉尘，根据《排放源统计调查产排污核算方法和系数手册》（42 废弃资源综合利用行业系数手册）可知，废钢铁破碎过程粉尘产生量按360g/t-原料计，则破碎时粉尘产生量为1080kg/a，破碎工序每天工作时间取2h。</w:t>
            </w:r>
          </w:p>
          <w:p>
            <w:pPr>
              <w:pStyle w:val="49"/>
              <w:keepNext w:val="0"/>
              <w:keepLines w:val="0"/>
              <w:suppressLineNumbers w:val="0"/>
              <w:spacing w:before="0" w:beforeAutospacing="0" w:after="0" w:afterAutospacing="0"/>
              <w:ind w:left="0" w:right="0"/>
              <w:jc w:val="left"/>
              <w:rPr>
                <w:rFonts w:hint="default"/>
                <w:color w:val="auto"/>
              </w:rPr>
            </w:pPr>
            <w:r>
              <w:rPr>
                <w:rFonts w:hint="default"/>
                <w:color w:val="auto"/>
              </w:rPr>
              <w:t>破碎机自带除尘装置，产生的颗粒物通过集气罩（集气效率</w:t>
            </w:r>
            <w:r>
              <w:rPr>
                <w:rFonts w:hint="eastAsia"/>
                <w:color w:val="auto"/>
              </w:rPr>
              <w:t>80%</w:t>
            </w:r>
            <w:r>
              <w:rPr>
                <w:rFonts w:hint="default"/>
                <w:color w:val="auto"/>
              </w:rPr>
              <w:t>）收集后进入自带布袋除尘器（除尘效率</w:t>
            </w:r>
            <w:r>
              <w:rPr>
                <w:rFonts w:hint="eastAsia"/>
                <w:color w:val="auto"/>
              </w:rPr>
              <w:t>95%，风量为5000m</w:t>
            </w:r>
            <w:r>
              <w:rPr>
                <w:rFonts w:hint="eastAsia"/>
                <w:color w:val="auto"/>
                <w:vertAlign w:val="superscript"/>
              </w:rPr>
              <w:t>3</w:t>
            </w:r>
            <w:r>
              <w:rPr>
                <w:rFonts w:hint="eastAsia"/>
                <w:color w:val="auto"/>
              </w:rPr>
              <w:t>/h</w:t>
            </w:r>
            <w:r>
              <w:rPr>
                <w:rFonts w:hint="default"/>
                <w:color w:val="auto"/>
              </w:rPr>
              <w:t>）</w:t>
            </w:r>
            <w:r>
              <w:rPr>
                <w:rFonts w:hint="eastAsia"/>
                <w:color w:val="auto"/>
              </w:rPr>
              <w:t>除尘后，引至15m排气筒排放。破碎时间为2h/d，全年破碎时间为300天，则有组织破碎粉尘产生量为1.08t/a，</w:t>
            </w:r>
            <w:r>
              <w:rPr>
                <w:rFonts w:hint="eastAsia"/>
                <w:color w:val="auto"/>
                <w:lang w:val="en-US" w:eastAsia="zh-CN"/>
              </w:rPr>
              <w:t>1.8</w:t>
            </w:r>
            <w:r>
              <w:rPr>
                <w:rFonts w:hint="eastAsia"/>
                <w:color w:val="auto"/>
              </w:rPr>
              <w:t>kg/h，排放量为0.043t/a，0.072kg/h，排放浓度为14.4mg/ m</w:t>
            </w:r>
            <w:r>
              <w:rPr>
                <w:rFonts w:hint="eastAsia"/>
                <w:color w:val="auto"/>
                <w:vertAlign w:val="superscript"/>
              </w:rPr>
              <w:t>3</w:t>
            </w:r>
            <w:r>
              <w:rPr>
                <w:rFonts w:hint="eastAsia"/>
                <w:color w:val="auto"/>
              </w:rPr>
              <w:t>，排放速率和排放浓度可满足《大气污染物综合排放标准》（GB16297-1996）二级标准（15m 排气筒排放限值要求 3.5kg/h、120mg/m</w:t>
            </w:r>
            <w:r>
              <w:rPr>
                <w:rFonts w:hint="eastAsia"/>
                <w:color w:val="auto"/>
                <w:vertAlign w:val="superscript"/>
              </w:rPr>
              <w:t>3</w:t>
            </w:r>
            <w:r>
              <w:rPr>
                <w:rFonts w:hint="eastAsia"/>
                <w:color w:val="auto"/>
              </w:rPr>
              <w:t>）要求。</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未被收集的粉尘量为0.22t/a，通过加强车间管理，定期清扫、洒水降尘后，降尘效率约为70%，则本项目破碎工序的无组织颗粒物排出厂房量约为0.066t/a，0.11kg/h。</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（3）废油液挥发废气（以非甲烷总烃计）</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项目报废机动车拆解过程中产生的有机废气主要来源于废油液抽取和残留于油箱内的燃油挥发产生的废气。本项目收集的燃料油、发动机机油、变速器机油、传动机机油、动力转向油、防冻油、制动液等各种液体总量为 33.5t/a，参照《散装液态石油产品损耗》（GB11085-89）中灌桶（0.18%）和零售加注时（0.22%）的两部分的损失率，按总体0.40%的损失率进行计算，则本项目废油液挥发产生的非甲烷总烃产生量约为 0.134t/a 。项目年工作 300天，按每天工作4小时计算，排放速率为0.112kg/h，全部呈无组织排放。</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（4）制冷剂废气（氟利昂）</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项目采用专门的制冷剂回收装置对制冷剂进行回收，使用时，将回收罐连接在回收装置的气阀上并把回收罐的液阀连接在制冷系统的液体一侧，当降低回收罐的压力时，回收装置会把被回收设备中的液态制冷剂“拉出”来。从回收罐抽出蒸汽，又会进回收装置的运行，把它排到(推回)被回收设备的蒸汽入口处。在制冷剂的收集过程中，仅在连接、储存过程中会有少量制冷剂（氟利昂）通过管线、阀门等以无组织形式释放到环境空气中，经大气稀释扩散后对周边环境影响较小。对周围的环境影响也很小。</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（5）安全气囊废气</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经查阅相关资料，目前汽车安全气囊主要填充物为叠氮化钠（NaN</w:t>
            </w:r>
            <w:r>
              <w:rPr>
                <w:rFonts w:hint="eastAsia"/>
                <w:color w:val="auto"/>
                <w:vertAlign w:val="subscript"/>
              </w:rPr>
              <w:t>3</w:t>
            </w:r>
            <w:r>
              <w:rPr>
                <w:rFonts w:hint="eastAsia"/>
                <w:color w:val="auto"/>
              </w:rPr>
              <w:t>）、硝酸钠（NaNO</w:t>
            </w:r>
            <w:r>
              <w:rPr>
                <w:rFonts w:hint="eastAsia"/>
                <w:color w:val="auto"/>
                <w:vertAlign w:val="subscript"/>
              </w:rPr>
              <w:t>3</w:t>
            </w:r>
            <w:r>
              <w:rPr>
                <w:rFonts w:hint="eastAsia"/>
                <w:color w:val="auto"/>
              </w:rPr>
              <w:t>）、二氧化硅（SiO</w:t>
            </w:r>
            <w:r>
              <w:rPr>
                <w:rFonts w:hint="eastAsia"/>
                <w:color w:val="auto"/>
                <w:vertAlign w:val="subscript"/>
              </w:rPr>
              <w:t>2</w:t>
            </w:r>
            <w:r>
              <w:rPr>
                <w:rFonts w:hint="eastAsia"/>
                <w:color w:val="auto"/>
              </w:rPr>
              <w:t>）。</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叠氮化钠（NaN</w:t>
            </w:r>
            <w:r>
              <w:rPr>
                <w:rFonts w:hint="eastAsia"/>
                <w:color w:val="auto"/>
                <w:vertAlign w:val="subscript"/>
              </w:rPr>
              <w:t>3</w:t>
            </w:r>
            <w:r>
              <w:rPr>
                <w:rFonts w:hint="eastAsia"/>
                <w:color w:val="auto"/>
              </w:rPr>
              <w:t>）为无色六角形晶体，易溶于水和液氮。微溶于乙醇，不溶于乙醚。在常温下稳定，高温分解。在撞击下爆炸性分解。</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汽车安全气囊利用其高速反应迅速生成氮气的特性制作。项目所采用引爆装置主要采用电流模拟气囊组件中电控单元所产生的电讯号，在安全可控装置内引爆气囊。主要化学反应为：</w:t>
            </w:r>
          </w:p>
          <w:p>
            <w:pPr>
              <w:pStyle w:val="49"/>
              <w:keepNext w:val="0"/>
              <w:keepLines w:val="0"/>
              <w:suppressLineNumbers w:val="0"/>
              <w:spacing w:before="0" w:beforeAutospacing="0" w:after="0" w:afterAutospacing="0"/>
              <w:ind w:left="0" w:right="0"/>
              <w:jc w:val="center"/>
              <w:rPr>
                <w:rFonts w:hint="default"/>
                <w:color w:val="auto"/>
              </w:rPr>
            </w:pPr>
            <w:r>
              <w:rPr>
                <w:rFonts w:hint="default"/>
                <w:color w:val="auto"/>
              </w:rPr>
              <w:drawing>
                <wp:inline distT="0" distB="0" distL="0" distR="0">
                  <wp:extent cx="3140710" cy="674370"/>
                  <wp:effectExtent l="0" t="0" r="2540" b="0"/>
                  <wp:docPr id="8" name="图片 8" descr="C:\Users\ADMINI~1\AppData\Local\Temp\16524237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65242373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49906" cy="676856"/>
                          </a:xfrm>
                          <a:prstGeom prst="rect">
                            <a:avLst/>
                          </a:prstGeom>
                          <a:noFill/>
                          <a:ln>
                            <a:noFill/>
                          </a:ln>
                        </pic:spPr>
                      </pic:pic>
                    </a:graphicData>
                  </a:graphic>
                </wp:inline>
              </w:drawing>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本项目安全气囊引爆过程所产生的气体为氮气（N</w:t>
            </w:r>
            <w:r>
              <w:rPr>
                <w:rFonts w:hint="eastAsia"/>
                <w:color w:val="auto"/>
                <w:vertAlign w:val="subscript"/>
              </w:rPr>
              <w:t>2</w:t>
            </w:r>
            <w:r>
              <w:rPr>
                <w:rFonts w:hint="eastAsia"/>
                <w:color w:val="auto"/>
              </w:rPr>
              <w:t>），氮气是一种无色无味无嗅无毒的气体。氮气占大气总量为78.12%，不属于空气污染物。项目安全气囊引爆所产生的气体不会对周围环境质量造成影响。</w:t>
            </w:r>
          </w:p>
          <w:p>
            <w:pPr>
              <w:pStyle w:val="49"/>
              <w:keepNext w:val="0"/>
              <w:keepLines w:val="0"/>
              <w:suppressLineNumbers w:val="0"/>
              <w:spacing w:before="0" w:beforeAutospacing="0" w:after="0" w:afterAutospacing="0"/>
              <w:ind w:left="0" w:right="0" w:firstLine="482"/>
              <w:jc w:val="left"/>
              <w:rPr>
                <w:rFonts w:hint="default"/>
                <w:b/>
                <w:color w:val="auto"/>
              </w:rPr>
            </w:pPr>
            <w:r>
              <w:rPr>
                <w:rFonts w:hint="default"/>
                <w:b/>
                <w:color w:val="auto"/>
              </w:rPr>
              <w:t>（二）非正常工况分析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1、破碎机布袋除尘器损坏</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破碎机自带除尘装置，产生的颗粒物通过该集气罩（集气效率 80%）收集后，进入自带布袋除尘器（除尘效率95%）除尘后，引至15m排气筒排放。项目布袋除尘器故障状态下，除尘效率降低，当除尘效率下降至50%或0时，操作人员凭对项目区粉尘的观感及操作参数的变化，就可判断出布袋除尘器已发生故障，非正常排放情况见下表。</w:t>
            </w:r>
          </w:p>
          <w:p>
            <w:pPr>
              <w:pStyle w:val="49"/>
              <w:keepNext w:val="0"/>
              <w:keepLines w:val="0"/>
              <w:suppressLineNumbers w:val="0"/>
              <w:spacing w:before="0" w:beforeAutospacing="0" w:after="0" w:afterAutospacing="0"/>
              <w:ind w:left="0" w:right="0" w:firstLine="482"/>
              <w:jc w:val="center"/>
              <w:rPr>
                <w:rFonts w:hint="default"/>
                <w:b/>
                <w:color w:val="auto"/>
              </w:rPr>
            </w:pPr>
            <w:r>
              <w:rPr>
                <w:rFonts w:hint="eastAsia"/>
                <w:b/>
                <w:color w:val="auto"/>
              </w:rPr>
              <w:t>表4-1  除尘器故障废气非正常排放情况</w:t>
            </w:r>
          </w:p>
          <w:tbl>
            <w:tblPr>
              <w:tblStyle w:val="23"/>
              <w:tblW w:w="8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123"/>
              <w:gridCol w:w="1276"/>
              <w:gridCol w:w="1856"/>
              <w:gridCol w:w="1517"/>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排放源</w:t>
                  </w:r>
                </w:p>
              </w:tc>
              <w:tc>
                <w:tcPr>
                  <w:tcW w:w="1123"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污染物</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除尘效率</w:t>
                  </w:r>
                </w:p>
              </w:tc>
              <w:tc>
                <w:tcPr>
                  <w:tcW w:w="185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排放量（t/a）</w:t>
                  </w:r>
                </w:p>
              </w:tc>
              <w:tc>
                <w:tcPr>
                  <w:tcW w:w="151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排放速率（kg/h）</w:t>
                  </w:r>
                </w:p>
              </w:tc>
              <w:tc>
                <w:tcPr>
                  <w:tcW w:w="131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排放浓度（mg/m</w:t>
                  </w:r>
                  <w:r>
                    <w:rPr>
                      <w:rFonts w:hint="eastAsia"/>
                      <w:color w:val="auto"/>
                      <w:sz w:val="21"/>
                      <w:szCs w:val="21"/>
                      <w:vertAlign w:val="superscript"/>
                    </w:rPr>
                    <w:t>3</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布袋除尘器</w:t>
                  </w:r>
                </w:p>
              </w:tc>
              <w:tc>
                <w:tcPr>
                  <w:tcW w:w="1123"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颗粒物</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50%</w:t>
                  </w:r>
                </w:p>
              </w:tc>
              <w:tc>
                <w:tcPr>
                  <w:tcW w:w="185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0.225</w:t>
                  </w:r>
                </w:p>
              </w:tc>
              <w:tc>
                <w:tcPr>
                  <w:tcW w:w="151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0.375</w:t>
                  </w:r>
                </w:p>
              </w:tc>
              <w:tc>
                <w:tcPr>
                  <w:tcW w:w="131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123"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w:t>
                  </w:r>
                </w:p>
              </w:tc>
              <w:tc>
                <w:tcPr>
                  <w:tcW w:w="185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0.45</w:t>
                  </w:r>
                </w:p>
              </w:tc>
              <w:tc>
                <w:tcPr>
                  <w:tcW w:w="151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0.75</w:t>
                  </w:r>
                </w:p>
              </w:tc>
              <w:tc>
                <w:tcPr>
                  <w:tcW w:w="131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150</w:t>
                  </w:r>
                </w:p>
              </w:tc>
            </w:tr>
          </w:tbl>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由上表可知，非正常工况下，在布袋除尘器除尘效率降低到0%时，项目有组织颗粒物超过《大气污染物综合排放标准》（GB16297-1996）二级标准（15m 排气筒排放限值要求 3.5kg/h、120mg/m</w:t>
            </w:r>
            <w:r>
              <w:rPr>
                <w:rFonts w:hint="eastAsia"/>
                <w:color w:val="auto"/>
                <w:vertAlign w:val="superscript"/>
              </w:rPr>
              <w:t>3</w:t>
            </w:r>
            <w:r>
              <w:rPr>
                <w:rFonts w:hint="eastAsia"/>
                <w:color w:val="auto"/>
              </w:rPr>
              <w:t>）要求。因此，要求建设单位应对项目区的有组织废气治理措施定期维护检查，定期更换布袋，降低损坏的概率，以减少对大气环境的影响。</w:t>
            </w:r>
          </w:p>
          <w:p>
            <w:pPr>
              <w:pStyle w:val="49"/>
              <w:keepNext w:val="0"/>
              <w:keepLines w:val="0"/>
              <w:suppressLineNumbers w:val="0"/>
              <w:spacing w:before="0" w:beforeAutospacing="0" w:after="0" w:afterAutospacing="0"/>
              <w:ind w:left="0" w:right="0"/>
              <w:jc w:val="left"/>
              <w:rPr>
                <w:rFonts w:hint="default"/>
                <w:color w:val="auto"/>
              </w:rPr>
            </w:pPr>
            <w:r>
              <w:rPr>
                <w:rFonts w:hint="default"/>
                <w:color w:val="auto"/>
              </w:rPr>
              <w:t>（三）废气污染物排放量核算</w:t>
            </w:r>
          </w:p>
          <w:p>
            <w:pPr>
              <w:pStyle w:val="49"/>
              <w:keepNext w:val="0"/>
              <w:keepLines w:val="0"/>
              <w:suppressLineNumbers w:val="0"/>
              <w:spacing w:before="0" w:beforeAutospacing="0" w:after="0" w:afterAutospacing="0"/>
              <w:ind w:left="0" w:right="0" w:firstLine="482"/>
              <w:jc w:val="center"/>
              <w:rPr>
                <w:rFonts w:hint="default"/>
                <w:b/>
                <w:color w:val="auto"/>
              </w:rPr>
            </w:pPr>
            <w:r>
              <w:rPr>
                <w:rFonts w:hint="eastAsia"/>
                <w:b/>
                <w:color w:val="auto"/>
              </w:rPr>
              <w:t>表4-2  本项目大气污染物年排放量核算表</w:t>
            </w:r>
          </w:p>
          <w:tbl>
            <w:tblPr>
              <w:tblStyle w:val="23"/>
              <w:tblW w:w="8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985"/>
              <w:gridCol w:w="1701"/>
              <w:gridCol w:w="1984"/>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序号</w:t>
                  </w:r>
                </w:p>
              </w:tc>
              <w:tc>
                <w:tcPr>
                  <w:tcW w:w="1985" w:type="dxa"/>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污染物</w:t>
                  </w:r>
                </w:p>
              </w:tc>
              <w:tc>
                <w:tcPr>
                  <w:tcW w:w="1701" w:type="dxa"/>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年排放量（t/a）</w:t>
                  </w:r>
                </w:p>
              </w:tc>
              <w:tc>
                <w:tcPr>
                  <w:tcW w:w="1984" w:type="dxa"/>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排放速率（</w:t>
                  </w:r>
                  <w:r>
                    <w:rPr>
                      <w:rFonts w:hint="default"/>
                      <w:b/>
                      <w:color w:val="auto"/>
                      <w:sz w:val="21"/>
                      <w:szCs w:val="21"/>
                    </w:rPr>
                    <w:t>kg/h</w:t>
                  </w:r>
                  <w:r>
                    <w:rPr>
                      <w:rFonts w:hint="eastAsia"/>
                      <w:b/>
                      <w:color w:val="auto"/>
                      <w:sz w:val="21"/>
                      <w:szCs w:val="21"/>
                    </w:rPr>
                    <w:t>）</w:t>
                  </w:r>
                </w:p>
              </w:tc>
              <w:tc>
                <w:tcPr>
                  <w:tcW w:w="1996" w:type="dxa"/>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排放浓度（mg/m</w:t>
                  </w:r>
                  <w:r>
                    <w:rPr>
                      <w:rFonts w:hint="eastAsia"/>
                      <w:b/>
                      <w:color w:val="auto"/>
                      <w:sz w:val="21"/>
                      <w:szCs w:val="21"/>
                      <w:vertAlign w:val="superscript"/>
                    </w:rPr>
                    <w:t>3</w:t>
                  </w:r>
                  <w:r>
                    <w:rPr>
                      <w:rFonts w:hint="eastAsia"/>
                      <w:b/>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1985"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有组织颗粒物</w:t>
                  </w:r>
                </w:p>
              </w:tc>
              <w:tc>
                <w:tcPr>
                  <w:tcW w:w="1701"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0.043</w:t>
                  </w:r>
                </w:p>
              </w:tc>
              <w:tc>
                <w:tcPr>
                  <w:tcW w:w="1984"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0.072</w:t>
                  </w:r>
                </w:p>
              </w:tc>
              <w:tc>
                <w:tcPr>
                  <w:tcW w:w="1996"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1985"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无组织颗粒物</w:t>
                  </w:r>
                </w:p>
              </w:tc>
              <w:tc>
                <w:tcPr>
                  <w:tcW w:w="1701" w:type="dxa"/>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rPr>
                    <w:t>0.06</w:t>
                  </w:r>
                  <w:r>
                    <w:rPr>
                      <w:rFonts w:hint="eastAsia"/>
                      <w:color w:val="auto"/>
                      <w:sz w:val="21"/>
                      <w:szCs w:val="21"/>
                      <w:lang w:val="en-US" w:eastAsia="zh-CN"/>
                    </w:rPr>
                    <w:t>7</w:t>
                  </w:r>
                </w:p>
              </w:tc>
              <w:tc>
                <w:tcPr>
                  <w:tcW w:w="1984"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0.11</w:t>
                  </w:r>
                </w:p>
              </w:tc>
              <w:tc>
                <w:tcPr>
                  <w:tcW w:w="1996"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w:t>
                  </w:r>
                </w:p>
              </w:tc>
              <w:tc>
                <w:tcPr>
                  <w:tcW w:w="1985"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无组织非甲烷总烃</w:t>
                  </w:r>
                </w:p>
              </w:tc>
              <w:tc>
                <w:tcPr>
                  <w:tcW w:w="1701"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0.134</w:t>
                  </w:r>
                </w:p>
              </w:tc>
              <w:tc>
                <w:tcPr>
                  <w:tcW w:w="1984"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0.112</w:t>
                  </w:r>
                </w:p>
              </w:tc>
              <w:tc>
                <w:tcPr>
                  <w:tcW w:w="1996" w:type="dxa"/>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w:t>
                  </w:r>
                </w:p>
              </w:tc>
            </w:tr>
          </w:tbl>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（三）运营期大气环境影响分析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1、有组织排放达标分析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根据环境质量公报以及环境质量补充监测可知，项目所在区域为大气环境质量达标区域。项目的破碎粉尘经集气罩收集后再经布袋除尘器处理后，排放速率为0.072kg/h，排放浓度为14.4</w:t>
            </w:r>
            <w:r>
              <w:rPr>
                <w:rFonts w:hint="default"/>
                <w:color w:val="auto"/>
              </w:rPr>
              <w:t xml:space="preserve"> mg/m</w:t>
            </w:r>
            <w:r>
              <w:rPr>
                <w:rFonts w:hint="default"/>
                <w:color w:val="auto"/>
                <w:vertAlign w:val="superscript"/>
              </w:rPr>
              <w:t>3</w:t>
            </w:r>
            <w:r>
              <w:rPr>
                <w:rFonts w:hint="default"/>
                <w:color w:val="auto"/>
              </w:rPr>
              <w:t>，满足《</w:t>
            </w:r>
            <w:r>
              <w:rPr>
                <w:rFonts w:hint="eastAsia"/>
                <w:color w:val="auto"/>
              </w:rPr>
              <w:t>大气污染物综合排放标准》（GB16297-1996）二级标准（15m 排气筒排放限值要求3.5kg/h、120mg/m</w:t>
            </w:r>
            <w:r>
              <w:rPr>
                <w:rFonts w:hint="eastAsia"/>
                <w:color w:val="auto"/>
                <w:vertAlign w:val="superscript"/>
              </w:rPr>
              <w:t>3</w:t>
            </w:r>
            <w:r>
              <w:rPr>
                <w:rFonts w:hint="eastAsia"/>
                <w:color w:val="auto"/>
              </w:rPr>
              <w:t>）要求。</w:t>
            </w:r>
          </w:p>
          <w:p>
            <w:pPr>
              <w:pStyle w:val="49"/>
              <w:keepNext w:val="0"/>
              <w:keepLines w:val="0"/>
              <w:suppressLineNumbers w:val="0"/>
              <w:spacing w:before="0" w:beforeAutospacing="0" w:after="0" w:afterAutospacing="0"/>
              <w:ind w:left="0" w:right="0"/>
              <w:jc w:val="left"/>
              <w:rPr>
                <w:rFonts w:hint="default"/>
                <w:color w:val="auto"/>
                <w:highlight w:val="red"/>
              </w:rPr>
            </w:pPr>
            <w:r>
              <w:rPr>
                <w:rFonts w:hint="eastAsia"/>
                <w:color w:val="auto"/>
                <w:highlight w:val="none"/>
              </w:rPr>
              <w:t>有组织污染源情况见下表：</w:t>
            </w:r>
          </w:p>
          <w:p>
            <w:pPr>
              <w:pStyle w:val="49"/>
              <w:keepNext w:val="0"/>
              <w:keepLines w:val="0"/>
              <w:suppressLineNumbers w:val="0"/>
              <w:spacing w:before="0" w:beforeAutospacing="0" w:after="0" w:afterAutospacing="0"/>
              <w:ind w:left="0" w:right="0" w:firstLine="482"/>
              <w:jc w:val="center"/>
              <w:rPr>
                <w:rFonts w:hint="default"/>
                <w:b/>
                <w:bCs/>
                <w:color w:val="auto"/>
              </w:rPr>
            </w:pPr>
            <w:r>
              <w:rPr>
                <w:rFonts w:hint="eastAsia"/>
                <w:b/>
                <w:bCs/>
                <w:color w:val="auto"/>
              </w:rPr>
              <w:t>表4-3   有组织污染源情况一览表</w:t>
            </w:r>
          </w:p>
          <w:tbl>
            <w:tblPr>
              <w:tblStyle w:val="23"/>
              <w:tblW w:w="8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41"/>
              <w:gridCol w:w="982"/>
              <w:gridCol w:w="1036"/>
              <w:gridCol w:w="888"/>
              <w:gridCol w:w="941"/>
              <w:gridCol w:w="803"/>
              <w:gridCol w:w="846"/>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污染源名称</w:t>
                  </w:r>
                </w:p>
              </w:tc>
              <w:tc>
                <w:tcPr>
                  <w:tcW w:w="1923" w:type="dxa"/>
                  <w:gridSpan w:val="2"/>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排气筒底部中心坐标</w:t>
                  </w:r>
                </w:p>
              </w:tc>
              <w:tc>
                <w:tcPr>
                  <w:tcW w:w="1036"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排气筒底部海拔高度</w:t>
                  </w:r>
                </w:p>
              </w:tc>
              <w:tc>
                <w:tcPr>
                  <w:tcW w:w="3478" w:type="dxa"/>
                  <w:gridSpan w:val="4"/>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排气筒参数</w:t>
                  </w:r>
                </w:p>
              </w:tc>
              <w:tc>
                <w:tcPr>
                  <w:tcW w:w="117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941"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经度</w:t>
                  </w:r>
                </w:p>
              </w:tc>
              <w:tc>
                <w:tcPr>
                  <w:tcW w:w="982"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纬度</w:t>
                  </w:r>
                </w:p>
              </w:tc>
              <w:tc>
                <w:tcPr>
                  <w:tcW w:w="1036"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88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高度（m）</w:t>
                  </w:r>
                </w:p>
              </w:tc>
              <w:tc>
                <w:tcPr>
                  <w:tcW w:w="941"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内径（m）</w:t>
                  </w:r>
                </w:p>
              </w:tc>
              <w:tc>
                <w:tcPr>
                  <w:tcW w:w="80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温度（℃）</w:t>
                  </w:r>
                </w:p>
              </w:tc>
              <w:tc>
                <w:tcPr>
                  <w:tcW w:w="84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流速（m/s）</w:t>
                  </w:r>
                </w:p>
              </w:tc>
              <w:tc>
                <w:tcPr>
                  <w:tcW w:w="117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PM</w:t>
                  </w:r>
                  <w:r>
                    <w:rPr>
                      <w:rFonts w:hint="eastAsia"/>
                      <w:bCs/>
                      <w:color w:val="auto"/>
                      <w:kern w:val="0"/>
                      <w:sz w:val="21"/>
                      <w:szCs w:val="18"/>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DA001</w:t>
                  </w:r>
                </w:p>
              </w:tc>
              <w:tc>
                <w:tcPr>
                  <w:tcW w:w="941"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bCs/>
                      <w:color w:val="auto"/>
                      <w:kern w:val="0"/>
                      <w:sz w:val="21"/>
                      <w:szCs w:val="18"/>
                      <w:lang w:val="en-US" w:eastAsia="zh-CN"/>
                    </w:rPr>
                  </w:pPr>
                  <w:r>
                    <w:rPr>
                      <w:rFonts w:hint="eastAsia"/>
                      <w:bCs/>
                      <w:color w:val="auto"/>
                      <w:kern w:val="0"/>
                      <w:sz w:val="21"/>
                      <w:szCs w:val="18"/>
                    </w:rPr>
                    <w:t>98.</w:t>
                  </w:r>
                  <w:r>
                    <w:rPr>
                      <w:rFonts w:hint="eastAsia"/>
                      <w:bCs/>
                      <w:color w:val="auto"/>
                      <w:kern w:val="0"/>
                      <w:sz w:val="21"/>
                      <w:szCs w:val="18"/>
                      <w:lang w:val="en-US" w:eastAsia="zh-CN"/>
                    </w:rPr>
                    <w:t>4285</w:t>
                  </w:r>
                </w:p>
              </w:tc>
              <w:tc>
                <w:tcPr>
                  <w:tcW w:w="982"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bCs/>
                      <w:color w:val="auto"/>
                      <w:kern w:val="0"/>
                      <w:sz w:val="21"/>
                      <w:szCs w:val="18"/>
                      <w:lang w:val="en-US" w:eastAsia="zh-CN"/>
                    </w:rPr>
                  </w:pPr>
                  <w:r>
                    <w:rPr>
                      <w:rFonts w:hint="eastAsia"/>
                      <w:bCs/>
                      <w:color w:val="auto"/>
                      <w:kern w:val="0"/>
                      <w:sz w:val="21"/>
                      <w:szCs w:val="18"/>
                    </w:rPr>
                    <w:t>24.</w:t>
                  </w:r>
                  <w:r>
                    <w:rPr>
                      <w:rFonts w:hint="eastAsia"/>
                      <w:bCs/>
                      <w:color w:val="auto"/>
                      <w:kern w:val="0"/>
                      <w:sz w:val="21"/>
                      <w:szCs w:val="18"/>
                      <w:lang w:val="en-US" w:eastAsia="zh-CN"/>
                    </w:rPr>
                    <w:t>3909</w:t>
                  </w:r>
                </w:p>
              </w:tc>
              <w:tc>
                <w:tcPr>
                  <w:tcW w:w="103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bCs/>
                      <w:color w:val="auto"/>
                      <w:kern w:val="0"/>
                      <w:sz w:val="21"/>
                      <w:szCs w:val="18"/>
                      <w:lang w:val="en-US" w:eastAsia="zh-CN"/>
                    </w:rPr>
                  </w:pPr>
                  <w:r>
                    <w:rPr>
                      <w:rFonts w:hint="eastAsia"/>
                      <w:bCs/>
                      <w:color w:val="auto"/>
                      <w:kern w:val="0"/>
                      <w:sz w:val="21"/>
                      <w:szCs w:val="18"/>
                      <w:lang w:val="en-US" w:eastAsia="zh-CN"/>
                    </w:rPr>
                    <w:t>862</w:t>
                  </w:r>
                </w:p>
              </w:tc>
              <w:tc>
                <w:tcPr>
                  <w:tcW w:w="888"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15</w:t>
                  </w:r>
                </w:p>
              </w:tc>
              <w:tc>
                <w:tcPr>
                  <w:tcW w:w="941"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0.4</w:t>
                  </w:r>
                </w:p>
              </w:tc>
              <w:tc>
                <w:tcPr>
                  <w:tcW w:w="80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25</w:t>
                  </w:r>
                </w:p>
              </w:tc>
              <w:tc>
                <w:tcPr>
                  <w:tcW w:w="84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15.1</w:t>
                  </w:r>
                </w:p>
              </w:tc>
              <w:tc>
                <w:tcPr>
                  <w:tcW w:w="117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0.072</w:t>
                  </w:r>
                </w:p>
              </w:tc>
            </w:tr>
          </w:tbl>
          <w:p>
            <w:pPr>
              <w:pStyle w:val="49"/>
              <w:keepNext w:val="0"/>
              <w:keepLines w:val="0"/>
              <w:suppressLineNumbers w:val="0"/>
              <w:spacing w:before="0" w:beforeAutospacing="0" w:after="0" w:afterAutospacing="0"/>
              <w:ind w:left="0" w:right="0"/>
              <w:jc w:val="left"/>
              <w:rPr>
                <w:rFonts w:hint="default"/>
                <w:color w:val="auto"/>
              </w:rPr>
            </w:pP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2、无组织厂界达标分析</w:t>
            </w:r>
          </w:p>
          <w:p>
            <w:pPr>
              <w:keepNext w:val="0"/>
              <w:keepLines w:val="0"/>
              <w:suppressLineNumbers w:val="0"/>
              <w:spacing w:before="0" w:beforeAutospacing="0" w:after="0" w:afterAutospacing="0" w:line="240" w:lineRule="auto"/>
              <w:ind w:left="0" w:right="0" w:firstLine="0" w:firstLineChars="0"/>
              <w:jc w:val="center"/>
              <w:outlineLvl w:val="3"/>
              <w:rPr>
                <w:rFonts w:hint="default"/>
                <w:b/>
                <w:color w:val="auto"/>
              </w:rPr>
            </w:pPr>
            <w:r>
              <w:rPr>
                <w:rFonts w:hint="default"/>
                <w:b/>
                <w:color w:val="auto"/>
              </w:rPr>
              <w:t>表4</w:t>
            </w:r>
            <w:r>
              <w:rPr>
                <w:rFonts w:hint="eastAsia"/>
                <w:b/>
                <w:color w:val="auto"/>
              </w:rPr>
              <w:t>-4</w:t>
            </w:r>
            <w:r>
              <w:rPr>
                <w:rFonts w:hint="default"/>
                <w:b/>
                <w:color w:val="auto"/>
              </w:rPr>
              <w:t xml:space="preserve">  </w:t>
            </w:r>
            <w:r>
              <w:rPr>
                <w:rFonts w:hint="eastAsia"/>
                <w:b/>
                <w:color w:val="auto"/>
              </w:rPr>
              <w:t xml:space="preserve"> 无组织</w:t>
            </w:r>
            <w:r>
              <w:rPr>
                <w:rFonts w:hint="default"/>
                <w:b/>
                <w:color w:val="auto"/>
              </w:rPr>
              <w:t>废气污染源参数一览表</w:t>
            </w:r>
          </w:p>
          <w:tbl>
            <w:tblPr>
              <w:tblStyle w:val="22"/>
              <w:tblW w:w="846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76"/>
              <w:gridCol w:w="1063"/>
              <w:gridCol w:w="1231"/>
              <w:gridCol w:w="1190"/>
              <w:gridCol w:w="689"/>
              <w:gridCol w:w="794"/>
              <w:gridCol w:w="719"/>
              <w:gridCol w:w="1051"/>
              <w:gridCol w:w="105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731" w:hRule="atLeast"/>
              </w:trPr>
              <w:tc>
                <w:tcPr>
                  <w:tcW w:w="676"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污染源名称</w:t>
                  </w:r>
                </w:p>
              </w:tc>
              <w:tc>
                <w:tcPr>
                  <w:tcW w:w="2294" w:type="dxa"/>
                  <w:gridSpan w:val="2"/>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坐标(°)</w:t>
                  </w:r>
                </w:p>
              </w:tc>
              <w:tc>
                <w:tcPr>
                  <w:tcW w:w="1190"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海拔高度(m)</w:t>
                  </w:r>
                </w:p>
              </w:tc>
              <w:tc>
                <w:tcPr>
                  <w:tcW w:w="2202"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矩形面源</w:t>
                  </w:r>
                </w:p>
              </w:tc>
              <w:tc>
                <w:tcPr>
                  <w:tcW w:w="2102" w:type="dxa"/>
                  <w:gridSpan w:val="2"/>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29" w:hRule="atLeast"/>
              </w:trPr>
              <w:tc>
                <w:tcPr>
                  <w:tcW w:w="676"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106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经度</w:t>
                  </w:r>
                </w:p>
              </w:tc>
              <w:tc>
                <w:tcPr>
                  <w:tcW w:w="1231"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纬度</w:t>
                  </w:r>
                </w:p>
              </w:tc>
              <w:tc>
                <w:tcPr>
                  <w:tcW w:w="1190"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68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长度(m)</w:t>
                  </w:r>
                </w:p>
              </w:tc>
              <w:tc>
                <w:tcPr>
                  <w:tcW w:w="79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宽度(m)</w:t>
                  </w:r>
                </w:p>
              </w:tc>
              <w:tc>
                <w:tcPr>
                  <w:tcW w:w="71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有效高度(m)</w:t>
                  </w:r>
                </w:p>
              </w:tc>
              <w:tc>
                <w:tcPr>
                  <w:tcW w:w="1051"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NMHC</w:t>
                  </w:r>
                </w:p>
              </w:tc>
              <w:tc>
                <w:tcPr>
                  <w:tcW w:w="1051"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TSP</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95" w:hRule="atLeast"/>
              </w:trPr>
              <w:tc>
                <w:tcPr>
                  <w:tcW w:w="67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矩形面源</w:t>
                  </w:r>
                </w:p>
              </w:tc>
              <w:tc>
                <w:tcPr>
                  <w:tcW w:w="106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bCs/>
                      <w:color w:val="auto"/>
                      <w:kern w:val="0"/>
                      <w:sz w:val="21"/>
                      <w:szCs w:val="18"/>
                      <w:lang w:val="en-US" w:eastAsia="zh-CN"/>
                    </w:rPr>
                  </w:pPr>
                  <w:r>
                    <w:rPr>
                      <w:rFonts w:hint="eastAsia"/>
                      <w:bCs/>
                      <w:color w:val="auto"/>
                      <w:kern w:val="0"/>
                      <w:sz w:val="21"/>
                      <w:szCs w:val="18"/>
                    </w:rPr>
                    <w:t>98.</w:t>
                  </w:r>
                  <w:r>
                    <w:rPr>
                      <w:rFonts w:hint="eastAsia"/>
                      <w:bCs/>
                      <w:color w:val="auto"/>
                      <w:kern w:val="0"/>
                      <w:sz w:val="21"/>
                      <w:szCs w:val="18"/>
                      <w:lang w:val="en-US" w:eastAsia="zh-CN"/>
                    </w:rPr>
                    <w:t>4287</w:t>
                  </w:r>
                </w:p>
              </w:tc>
              <w:tc>
                <w:tcPr>
                  <w:tcW w:w="1231"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bCs/>
                      <w:color w:val="auto"/>
                      <w:kern w:val="0"/>
                      <w:sz w:val="21"/>
                      <w:szCs w:val="18"/>
                      <w:lang w:val="en-US" w:eastAsia="zh-CN"/>
                    </w:rPr>
                  </w:pPr>
                  <w:r>
                    <w:rPr>
                      <w:rFonts w:hint="eastAsia"/>
                      <w:bCs/>
                      <w:color w:val="auto"/>
                      <w:kern w:val="0"/>
                      <w:sz w:val="21"/>
                      <w:szCs w:val="18"/>
                    </w:rPr>
                    <w:t>24.</w:t>
                  </w:r>
                  <w:r>
                    <w:rPr>
                      <w:rFonts w:hint="eastAsia"/>
                      <w:bCs/>
                      <w:color w:val="auto"/>
                      <w:kern w:val="0"/>
                      <w:sz w:val="21"/>
                      <w:szCs w:val="18"/>
                      <w:lang w:val="en-US" w:eastAsia="zh-CN"/>
                    </w:rPr>
                    <w:t>3913</w:t>
                  </w:r>
                </w:p>
              </w:tc>
              <w:tc>
                <w:tcPr>
                  <w:tcW w:w="119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bCs/>
                      <w:color w:val="auto"/>
                      <w:kern w:val="0"/>
                      <w:sz w:val="21"/>
                      <w:szCs w:val="18"/>
                      <w:lang w:val="en-US" w:eastAsia="zh-CN"/>
                    </w:rPr>
                  </w:pPr>
                  <w:r>
                    <w:rPr>
                      <w:rFonts w:hint="eastAsia"/>
                      <w:bCs/>
                      <w:color w:val="auto"/>
                      <w:kern w:val="0"/>
                      <w:sz w:val="21"/>
                      <w:szCs w:val="18"/>
                      <w:lang w:val="en-US" w:eastAsia="zh-CN"/>
                    </w:rPr>
                    <w:t>872</w:t>
                  </w:r>
                </w:p>
              </w:tc>
              <w:tc>
                <w:tcPr>
                  <w:tcW w:w="68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71</w:t>
                  </w:r>
                </w:p>
              </w:tc>
              <w:tc>
                <w:tcPr>
                  <w:tcW w:w="79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bCs/>
                      <w:color w:val="auto"/>
                      <w:kern w:val="0"/>
                      <w:sz w:val="21"/>
                      <w:szCs w:val="18"/>
                      <w:lang w:val="en-US" w:eastAsia="zh-CN"/>
                    </w:rPr>
                  </w:pPr>
                  <w:r>
                    <w:rPr>
                      <w:rFonts w:hint="eastAsia"/>
                      <w:bCs/>
                      <w:color w:val="auto"/>
                      <w:kern w:val="0"/>
                      <w:sz w:val="21"/>
                      <w:szCs w:val="18"/>
                      <w:lang w:val="en-US" w:eastAsia="zh-CN"/>
                    </w:rPr>
                    <w:t>52</w:t>
                  </w:r>
                </w:p>
              </w:tc>
              <w:tc>
                <w:tcPr>
                  <w:tcW w:w="71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5</w:t>
                  </w:r>
                </w:p>
              </w:tc>
              <w:tc>
                <w:tcPr>
                  <w:tcW w:w="1051"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0.112</w:t>
                  </w:r>
                </w:p>
              </w:tc>
              <w:tc>
                <w:tcPr>
                  <w:tcW w:w="1051"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0.11</w:t>
                  </w:r>
                </w:p>
              </w:tc>
            </w:tr>
          </w:tbl>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本次评价根据《环境影响评价技术导则</w:t>
            </w:r>
            <w:r>
              <w:rPr>
                <w:rFonts w:hint="default"/>
                <w:color w:val="auto"/>
              </w:rPr>
              <w:t>-</w:t>
            </w:r>
            <w:r>
              <w:rPr>
                <w:rFonts w:hint="eastAsia"/>
                <w:color w:val="auto"/>
              </w:rPr>
              <w:t>大气环境》</w:t>
            </w:r>
            <w:r>
              <w:rPr>
                <w:rFonts w:hint="default"/>
                <w:color w:val="auto"/>
              </w:rPr>
              <w:t>(HJ2.2-2018)</w:t>
            </w:r>
            <w:r>
              <w:rPr>
                <w:rFonts w:hint="eastAsia"/>
                <w:color w:val="auto"/>
              </w:rPr>
              <w:t>中采用附录</w:t>
            </w:r>
            <w:r>
              <w:rPr>
                <w:rFonts w:hint="default"/>
                <w:color w:val="auto"/>
              </w:rPr>
              <w:t>A</w:t>
            </w:r>
            <w:r>
              <w:rPr>
                <w:rFonts w:hint="eastAsia"/>
                <w:color w:val="auto"/>
              </w:rPr>
              <w:t>推荐模型中的</w:t>
            </w:r>
            <w:r>
              <w:rPr>
                <w:rFonts w:hint="default"/>
                <w:color w:val="auto"/>
              </w:rPr>
              <w:t>AERSCREEN</w:t>
            </w:r>
            <w:r>
              <w:rPr>
                <w:rFonts w:hint="eastAsia"/>
                <w:color w:val="auto"/>
              </w:rPr>
              <w:t>模式计算，根据估算模式估算结果可知，车间外下风向1m处的TSP浓度为</w:t>
            </w:r>
            <w:r>
              <w:rPr>
                <w:rFonts w:hint="eastAsia"/>
                <w:color w:val="auto"/>
                <w:lang w:val="en-US" w:eastAsia="zh-CN"/>
              </w:rPr>
              <w:t>64.3873</w:t>
            </w:r>
            <w:r>
              <w:rPr>
                <w:rFonts w:hint="default" w:ascii="宋体"/>
                <w:color w:val="auto"/>
                <w:sz w:val="21"/>
                <w:szCs w:val="21"/>
              </w:rPr>
              <w:t>μ</w:t>
            </w:r>
            <w:r>
              <w:rPr>
                <w:rFonts w:hint="eastAsia" w:ascii="宋体"/>
                <w:color w:val="auto"/>
                <w:sz w:val="21"/>
                <w:szCs w:val="21"/>
                <w:lang w:val="en-US" w:eastAsia="zh-CN"/>
              </w:rPr>
              <w:t>g</w:t>
            </w:r>
            <w:r>
              <w:rPr>
                <w:rFonts w:hint="default"/>
                <w:color w:val="auto"/>
              </w:rPr>
              <w:t>/m</w:t>
            </w:r>
            <w:r>
              <w:rPr>
                <w:rFonts w:hint="default"/>
                <w:color w:val="auto"/>
                <w:vertAlign w:val="superscript"/>
              </w:rPr>
              <w:t>3</w:t>
            </w:r>
            <w:r>
              <w:rPr>
                <w:rFonts w:hint="default"/>
                <w:color w:val="auto"/>
              </w:rPr>
              <w:t>，非甲烷总烃浓度为</w:t>
            </w:r>
            <w:r>
              <w:rPr>
                <w:rFonts w:hint="eastAsia"/>
                <w:color w:val="auto"/>
                <w:lang w:val="en-US" w:eastAsia="zh-CN"/>
              </w:rPr>
              <w:t>65.5580</w:t>
            </w:r>
            <w:r>
              <w:rPr>
                <w:rFonts w:hint="default" w:ascii="宋体"/>
                <w:color w:val="auto"/>
                <w:sz w:val="23"/>
                <w:szCs w:val="23"/>
              </w:rPr>
              <w:t>μg</w:t>
            </w:r>
            <w:r>
              <w:rPr>
                <w:rFonts w:hint="default"/>
                <w:color w:val="auto"/>
              </w:rPr>
              <w:t>/m</w:t>
            </w:r>
            <w:r>
              <w:rPr>
                <w:rFonts w:hint="default"/>
                <w:color w:val="auto"/>
                <w:vertAlign w:val="superscript"/>
              </w:rPr>
              <w:t>3</w:t>
            </w:r>
            <w:r>
              <w:rPr>
                <w:rFonts w:hint="eastAsia"/>
                <w:color w:val="auto"/>
              </w:rPr>
              <w:t>，</w:t>
            </w:r>
            <w:r>
              <w:rPr>
                <w:rFonts w:hint="default"/>
                <w:color w:val="auto"/>
              </w:rPr>
              <w:t>因此，项目建成后，厂界无组织粉尘及非甲烷总烃排放浓度可达到</w:t>
            </w:r>
            <w:r>
              <w:rPr>
                <w:rFonts w:hint="eastAsia"/>
                <w:color w:val="auto"/>
              </w:rPr>
              <w:t>《大气污染物综合排放标准》（GB16297-1996）表2中的无组织排放浓度限值要求，即：颗粒物</w:t>
            </w:r>
            <w:r>
              <w:rPr>
                <w:rFonts w:hint="default"/>
                <w:color w:val="auto"/>
              </w:rPr>
              <w:t>≤1</w:t>
            </w:r>
            <w:r>
              <w:rPr>
                <w:rFonts w:hint="eastAsia"/>
                <w:color w:val="auto"/>
              </w:rPr>
              <w:t>.0</w:t>
            </w:r>
            <w:r>
              <w:rPr>
                <w:rFonts w:hint="default"/>
                <w:color w:val="auto"/>
              </w:rPr>
              <w:t>mg/m</w:t>
            </w:r>
            <w:r>
              <w:rPr>
                <w:rFonts w:hint="default"/>
                <w:color w:val="auto"/>
                <w:vertAlign w:val="superscript"/>
              </w:rPr>
              <w:t>3</w:t>
            </w:r>
            <w:r>
              <w:rPr>
                <w:rFonts w:hint="default"/>
                <w:color w:val="auto"/>
              </w:rPr>
              <w:t>，非甲烷总烃≤</w:t>
            </w:r>
            <w:r>
              <w:rPr>
                <w:rFonts w:hint="eastAsia"/>
                <w:color w:val="auto"/>
              </w:rPr>
              <w:t>4.0</w:t>
            </w:r>
            <w:r>
              <w:rPr>
                <w:rFonts w:hint="default"/>
                <w:color w:val="auto"/>
              </w:rPr>
              <w:t>mg/m</w:t>
            </w:r>
            <w:r>
              <w:rPr>
                <w:rFonts w:hint="default"/>
                <w:color w:val="auto"/>
                <w:vertAlign w:val="superscript"/>
              </w:rPr>
              <w:t>3</w:t>
            </w:r>
            <w:r>
              <w:rPr>
                <w:rFonts w:hint="default"/>
                <w:color w:val="auto"/>
              </w:rPr>
              <w:t>，</w:t>
            </w:r>
            <w:r>
              <w:rPr>
                <w:rFonts w:hint="eastAsia"/>
                <w:color w:val="auto"/>
              </w:rPr>
              <w:t>挥发性有机物（以非甲烷总烃计）满足《挥发性有机物无组织排放控制标准》，即NMHC≤30</w:t>
            </w:r>
            <w:r>
              <w:rPr>
                <w:rFonts w:hint="default"/>
                <w:color w:val="auto"/>
              </w:rPr>
              <w:t>mg/m</w:t>
            </w:r>
            <w:r>
              <w:rPr>
                <w:rFonts w:hint="default"/>
                <w:color w:val="auto"/>
                <w:vertAlign w:val="superscript"/>
              </w:rPr>
              <w:t>3</w:t>
            </w:r>
            <w:r>
              <w:rPr>
                <w:rFonts w:hint="eastAsia"/>
                <w:color w:val="auto"/>
              </w:rPr>
              <w:t>。因此，</w:t>
            </w:r>
            <w:r>
              <w:rPr>
                <w:rFonts w:hint="default"/>
                <w:color w:val="auto"/>
              </w:rPr>
              <w:t>项目建成后无组织粉尘及非甲烷总烃对周围环境影响可以接受。</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2、卫生防护距离</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根据计算，整个项目区无组织废气计算结果，项目区非甲烷总烃排放量为0.134t/a，无组织颗粒物排放量为0.</w:t>
            </w:r>
            <w:r>
              <w:rPr>
                <w:rFonts w:hint="eastAsia"/>
                <w:color w:val="auto"/>
                <w:lang w:val="en-US" w:eastAsia="zh-CN"/>
              </w:rPr>
              <w:t>067</w:t>
            </w:r>
            <w:r>
              <w:rPr>
                <w:rFonts w:hint="eastAsia"/>
                <w:color w:val="auto"/>
              </w:rPr>
              <w:t>t/a，当地多年平均风速为2.7m/s。</w:t>
            </w:r>
          </w:p>
          <w:p>
            <w:pPr>
              <w:keepNext w:val="0"/>
              <w:keepLines w:val="0"/>
              <w:suppressLineNumbers w:val="0"/>
              <w:spacing w:before="0" w:beforeAutospacing="0" w:after="0" w:afterAutospacing="0"/>
              <w:ind w:left="0" w:right="0" w:firstLine="480"/>
              <w:rPr>
                <w:rFonts w:hint="default"/>
                <w:color w:val="auto"/>
              </w:rPr>
            </w:pPr>
            <w:r>
              <w:rPr>
                <w:rFonts w:hint="eastAsia"/>
                <w:color w:val="auto"/>
              </w:rPr>
              <w:t>《大气有害物质无组织排放卫生防护距离推导技术导则》（GB/T39499-2020）规定，核算卫生防护距离计算公式如下。</w:t>
            </w:r>
          </w:p>
          <w:p>
            <w:pPr>
              <w:keepNext w:val="0"/>
              <w:keepLines w:val="0"/>
              <w:suppressLineNumbers w:val="0"/>
              <w:spacing w:before="0" w:beforeAutospacing="0" w:after="0" w:afterAutospacing="0"/>
              <w:ind w:left="0" w:right="0" w:firstLine="480"/>
              <w:jc w:val="center"/>
              <w:rPr>
                <w:rFonts w:hint="default"/>
                <w:color w:val="auto"/>
              </w:rPr>
            </w:pPr>
            <w:r>
              <w:rPr>
                <w:rFonts w:hint="default"/>
                <w:color w:val="auto"/>
                <w:kern w:val="0"/>
              </w:rPr>
              <w:drawing>
                <wp:inline distT="0" distB="0" distL="0" distR="0">
                  <wp:extent cx="2242185" cy="40576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42185" cy="405765"/>
                          </a:xfrm>
                          <a:prstGeom prst="rect">
                            <a:avLst/>
                          </a:prstGeom>
                          <a:noFill/>
                          <a:ln>
                            <a:noFill/>
                          </a:ln>
                          <a:effectLst/>
                        </pic:spPr>
                      </pic:pic>
                    </a:graphicData>
                  </a:graphic>
                </wp:inline>
              </w:drawing>
            </w:r>
          </w:p>
          <w:p>
            <w:pPr>
              <w:keepNext w:val="0"/>
              <w:keepLines w:val="0"/>
              <w:suppressLineNumbers w:val="0"/>
              <w:spacing w:before="0" w:beforeAutospacing="0" w:after="0" w:afterAutospacing="0"/>
              <w:ind w:left="0" w:right="0" w:firstLine="480"/>
              <w:jc w:val="left"/>
              <w:rPr>
                <w:rFonts w:hint="default"/>
                <w:color w:val="auto"/>
              </w:rPr>
            </w:pPr>
            <w:r>
              <w:rPr>
                <w:rFonts w:hint="default"/>
                <w:color w:val="auto"/>
              </w:rPr>
              <w:t>式中：L-卫生防护距离，m。</w:t>
            </w:r>
          </w:p>
          <w:p>
            <w:pPr>
              <w:keepNext w:val="0"/>
              <w:keepLines w:val="0"/>
              <w:suppressLineNumbers w:val="0"/>
              <w:spacing w:before="0" w:beforeAutospacing="0" w:after="0" w:afterAutospacing="0"/>
              <w:ind w:left="0" w:right="0" w:firstLine="1200" w:firstLineChars="500"/>
              <w:jc w:val="left"/>
              <w:rPr>
                <w:rFonts w:hint="default"/>
                <w:color w:val="auto"/>
              </w:rPr>
            </w:pPr>
            <w:r>
              <w:rPr>
                <w:rFonts w:hint="default"/>
                <w:color w:val="auto"/>
              </w:rPr>
              <w:t>Qc—工业企业无组织污染物排放量，kg/h；</w:t>
            </w:r>
          </w:p>
          <w:p>
            <w:pPr>
              <w:keepNext w:val="0"/>
              <w:keepLines w:val="0"/>
              <w:suppressLineNumbers w:val="0"/>
              <w:spacing w:before="0" w:beforeAutospacing="0" w:after="0" w:afterAutospacing="0"/>
              <w:ind w:left="0" w:right="0" w:firstLine="1200" w:firstLineChars="500"/>
              <w:jc w:val="left"/>
              <w:rPr>
                <w:rFonts w:hint="default"/>
                <w:color w:val="auto"/>
              </w:rPr>
            </w:pPr>
            <w:r>
              <w:rPr>
                <w:rFonts w:hint="default"/>
                <w:color w:val="auto"/>
              </w:rPr>
              <w:t>Cm—污染物的浓度标准限值，mg/m</w:t>
            </w:r>
            <w:r>
              <w:rPr>
                <w:rFonts w:hint="default"/>
                <w:color w:val="auto"/>
                <w:vertAlign w:val="superscript"/>
              </w:rPr>
              <w:t>3</w:t>
            </w:r>
            <w:r>
              <w:rPr>
                <w:rFonts w:hint="default"/>
                <w:color w:val="auto"/>
              </w:rPr>
              <w:t>；</w:t>
            </w:r>
          </w:p>
          <w:p>
            <w:pPr>
              <w:keepNext w:val="0"/>
              <w:keepLines w:val="0"/>
              <w:suppressLineNumbers w:val="0"/>
              <w:spacing w:before="0" w:beforeAutospacing="0" w:after="0" w:afterAutospacing="0"/>
              <w:ind w:left="0" w:right="0" w:firstLine="1200" w:firstLineChars="500"/>
              <w:jc w:val="left"/>
              <w:rPr>
                <w:rFonts w:hint="default"/>
                <w:color w:val="auto"/>
              </w:rPr>
            </w:pPr>
            <w:r>
              <w:rPr>
                <w:rFonts w:hint="default"/>
                <w:color w:val="auto"/>
              </w:rPr>
              <w:t>r—有毒有害气体无组织排放源所在生产单元的等效半径，可根据该生产单元占地面积（m</w:t>
            </w:r>
            <w:r>
              <w:rPr>
                <w:rFonts w:hint="default"/>
                <w:color w:val="auto"/>
                <w:vertAlign w:val="superscript"/>
              </w:rPr>
              <w:t>2</w:t>
            </w:r>
            <w:r>
              <w:rPr>
                <w:rFonts w:hint="default"/>
                <w:color w:val="auto"/>
              </w:rPr>
              <w:t>）计算，r=（S/π）</w:t>
            </w:r>
            <w:r>
              <w:rPr>
                <w:rFonts w:hint="default"/>
                <w:color w:val="auto"/>
                <w:vertAlign w:val="superscript"/>
              </w:rPr>
              <w:t>0.5</w:t>
            </w:r>
            <w:r>
              <w:rPr>
                <w:rFonts w:hint="default"/>
                <w:color w:val="auto"/>
              </w:rPr>
              <w:t>，m；</w:t>
            </w:r>
          </w:p>
          <w:p>
            <w:pPr>
              <w:keepNext w:val="0"/>
              <w:keepLines w:val="0"/>
              <w:suppressLineNumbers w:val="0"/>
              <w:spacing w:before="0" w:beforeAutospacing="0" w:after="0" w:afterAutospacing="0"/>
              <w:ind w:left="0" w:right="0" w:firstLine="480"/>
              <w:rPr>
                <w:rFonts w:hint="default"/>
                <w:color w:val="auto"/>
              </w:rPr>
            </w:pPr>
            <w:r>
              <w:rPr>
                <w:rFonts w:hint="eastAsia"/>
                <w:color w:val="auto"/>
              </w:rPr>
              <w:t>有关参数选择如下：</w:t>
            </w:r>
          </w:p>
          <w:p>
            <w:pPr>
              <w:keepNext w:val="0"/>
              <w:keepLines w:val="0"/>
              <w:suppressLineNumbers w:val="0"/>
              <w:spacing w:before="0" w:beforeAutospacing="0" w:after="0" w:afterAutospacing="0"/>
              <w:ind w:left="0" w:right="0" w:firstLine="480"/>
              <w:rPr>
                <w:rFonts w:hint="default"/>
                <w:color w:val="auto"/>
              </w:rPr>
            </w:pPr>
            <w:r>
              <w:rPr>
                <w:rFonts w:hint="default"/>
                <w:color w:val="auto"/>
              </w:rPr>
              <w:t>Qc</w:t>
            </w:r>
            <w:r>
              <w:rPr>
                <w:rFonts w:hint="eastAsia"/>
                <w:color w:val="auto"/>
              </w:rPr>
              <w:t>：颗粒物：0.</w:t>
            </w:r>
            <w:r>
              <w:rPr>
                <w:rFonts w:hint="eastAsia"/>
                <w:color w:val="auto"/>
                <w:lang w:val="en-US" w:eastAsia="zh-CN"/>
              </w:rPr>
              <w:t>11</w:t>
            </w:r>
            <w:r>
              <w:rPr>
                <w:rFonts w:hint="eastAsia"/>
                <w:color w:val="auto"/>
              </w:rPr>
              <w:t>kg/h；</w:t>
            </w:r>
          </w:p>
          <w:p>
            <w:pPr>
              <w:keepNext w:val="0"/>
              <w:keepLines w:val="0"/>
              <w:suppressLineNumbers w:val="0"/>
              <w:spacing w:before="0" w:beforeAutospacing="0" w:after="0" w:afterAutospacing="0"/>
              <w:ind w:left="0" w:right="0" w:firstLine="480"/>
              <w:rPr>
                <w:rFonts w:hint="default"/>
                <w:color w:val="auto"/>
              </w:rPr>
            </w:pPr>
            <w:r>
              <w:rPr>
                <w:rFonts w:hint="default"/>
                <w:color w:val="auto"/>
              </w:rPr>
              <w:t>Qc</w:t>
            </w:r>
            <w:r>
              <w:rPr>
                <w:rFonts w:hint="eastAsia"/>
                <w:color w:val="auto"/>
              </w:rPr>
              <w:t>：非甲烷总烃：0.112kg/h；</w:t>
            </w:r>
          </w:p>
          <w:p>
            <w:pPr>
              <w:keepNext w:val="0"/>
              <w:keepLines w:val="0"/>
              <w:suppressLineNumbers w:val="0"/>
              <w:spacing w:before="0" w:beforeAutospacing="0" w:after="0" w:afterAutospacing="0"/>
              <w:ind w:left="0" w:right="0" w:firstLine="480"/>
              <w:rPr>
                <w:rFonts w:hint="default"/>
                <w:color w:val="auto"/>
              </w:rPr>
            </w:pPr>
            <w:r>
              <w:rPr>
                <w:rFonts w:hint="eastAsia"/>
                <w:color w:val="auto"/>
              </w:rPr>
              <w:t>建设项目卫生防护距离计算系数见下表。</w:t>
            </w:r>
          </w:p>
          <w:p>
            <w:pPr>
              <w:keepNext w:val="0"/>
              <w:keepLines w:val="0"/>
              <w:suppressLineNumbers w:val="0"/>
              <w:spacing w:before="0" w:beforeAutospacing="0" w:after="0" w:afterAutospacing="0"/>
              <w:ind w:left="0" w:right="0" w:firstLine="480"/>
              <w:rPr>
                <w:rFonts w:hint="default"/>
                <w:color w:val="auto"/>
              </w:rPr>
            </w:pPr>
          </w:p>
          <w:p>
            <w:pPr>
              <w:keepNext w:val="0"/>
              <w:keepLines w:val="0"/>
              <w:suppressLineNumbers w:val="0"/>
              <w:spacing w:before="0" w:beforeAutospacing="0" w:after="0" w:afterAutospacing="0"/>
              <w:ind w:left="0" w:right="0" w:firstLine="480"/>
              <w:rPr>
                <w:rFonts w:hint="default"/>
                <w:color w:val="auto"/>
              </w:rPr>
            </w:pPr>
          </w:p>
          <w:p>
            <w:pPr>
              <w:keepNext w:val="0"/>
              <w:keepLines w:val="0"/>
              <w:suppressLineNumbers w:val="0"/>
              <w:spacing w:before="0" w:beforeAutospacing="0" w:after="0" w:afterAutospacing="0"/>
              <w:ind w:left="0" w:right="0" w:firstLine="480"/>
              <w:rPr>
                <w:rFonts w:hint="default"/>
                <w:color w:val="auto"/>
              </w:rPr>
            </w:pPr>
          </w:p>
          <w:p>
            <w:pPr>
              <w:keepNext w:val="0"/>
              <w:keepLines w:val="0"/>
              <w:suppressLineNumbers w:val="0"/>
              <w:spacing w:before="96" w:beforeAutospacing="0" w:after="36" w:afterAutospacing="0" w:line="240" w:lineRule="auto"/>
              <w:ind w:left="0" w:right="0" w:firstLine="0" w:firstLineChars="0"/>
              <w:jc w:val="center"/>
              <w:outlineLvl w:val="3"/>
              <w:rPr>
                <w:rFonts w:hint="default"/>
                <w:b/>
                <w:color w:val="auto"/>
              </w:rPr>
            </w:pPr>
            <w:r>
              <w:rPr>
                <w:rFonts w:hint="default"/>
                <w:b/>
                <w:color w:val="auto"/>
              </w:rPr>
              <w:t>表4-</w:t>
            </w:r>
            <w:r>
              <w:rPr>
                <w:rFonts w:hint="eastAsia"/>
                <w:b/>
                <w:color w:val="auto"/>
              </w:rPr>
              <w:t>5</w:t>
            </w:r>
            <w:r>
              <w:rPr>
                <w:rFonts w:hint="default"/>
                <w:b/>
                <w:color w:val="auto"/>
              </w:rPr>
              <w:t xml:space="preserve">   卫生防护距离计算系数</w:t>
            </w:r>
          </w:p>
          <w:tbl>
            <w:tblPr>
              <w:tblStyle w:val="22"/>
              <w:tblW w:w="8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816"/>
              <w:gridCol w:w="869"/>
              <w:gridCol w:w="727"/>
              <w:gridCol w:w="729"/>
              <w:gridCol w:w="814"/>
              <w:gridCol w:w="729"/>
              <w:gridCol w:w="729"/>
              <w:gridCol w:w="814"/>
              <w:gridCol w:w="729"/>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7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计算系数</w:t>
                  </w:r>
                </w:p>
              </w:tc>
              <w:tc>
                <w:tcPr>
                  <w:tcW w:w="816"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5年平均风速，m/s</w:t>
                  </w:r>
                </w:p>
              </w:tc>
              <w:tc>
                <w:tcPr>
                  <w:tcW w:w="6866" w:type="dxa"/>
                  <w:gridSpan w:val="9"/>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卫生防护距离L（m）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7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816"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2325"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L≤1000</w:t>
                  </w:r>
                </w:p>
              </w:tc>
              <w:tc>
                <w:tcPr>
                  <w:tcW w:w="2272"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1000＜L≤2000</w:t>
                  </w:r>
                </w:p>
              </w:tc>
              <w:tc>
                <w:tcPr>
                  <w:tcW w:w="2269"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L＞2000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7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816"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6866" w:type="dxa"/>
                  <w:gridSpan w:val="9"/>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工业大气污染源构成类别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816"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86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ascii="宋体" w:hAnsi="宋体" w:cs="宋体"/>
                      <w:bCs/>
                      <w:color w:val="auto"/>
                      <w:kern w:val="0"/>
                      <w:sz w:val="21"/>
                      <w:szCs w:val="18"/>
                    </w:rPr>
                    <w:t>Ⅰ</w:t>
                  </w:r>
                </w:p>
              </w:tc>
              <w:tc>
                <w:tcPr>
                  <w:tcW w:w="72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ascii="宋体" w:hAnsi="宋体" w:cs="宋体"/>
                      <w:bCs/>
                      <w:color w:val="auto"/>
                      <w:kern w:val="0"/>
                      <w:sz w:val="21"/>
                      <w:szCs w:val="18"/>
                    </w:rPr>
                    <w:t>Ⅱ</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ascii="宋体" w:hAnsi="宋体" w:cs="宋体"/>
                      <w:bCs/>
                      <w:color w:val="auto"/>
                      <w:kern w:val="0"/>
                      <w:sz w:val="21"/>
                      <w:szCs w:val="18"/>
                    </w:rPr>
                    <w:t>Ⅲ</w:t>
                  </w:r>
                </w:p>
              </w:tc>
              <w:tc>
                <w:tcPr>
                  <w:tcW w:w="81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ascii="宋体" w:hAnsi="宋体" w:cs="宋体"/>
                      <w:bCs/>
                      <w:color w:val="auto"/>
                      <w:kern w:val="0"/>
                      <w:sz w:val="21"/>
                      <w:szCs w:val="18"/>
                    </w:rPr>
                    <w:t>Ⅰ</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ascii="宋体" w:hAnsi="宋体" w:cs="宋体"/>
                      <w:bCs/>
                      <w:color w:val="auto"/>
                      <w:kern w:val="0"/>
                      <w:sz w:val="21"/>
                      <w:szCs w:val="18"/>
                    </w:rPr>
                    <w:t>Ⅱ</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ascii="宋体" w:hAnsi="宋体" w:cs="宋体"/>
                      <w:bCs/>
                      <w:color w:val="auto"/>
                      <w:kern w:val="0"/>
                      <w:sz w:val="21"/>
                      <w:szCs w:val="18"/>
                    </w:rPr>
                    <w:t>Ⅲ</w:t>
                  </w:r>
                </w:p>
              </w:tc>
              <w:tc>
                <w:tcPr>
                  <w:tcW w:w="81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ascii="宋体" w:hAnsi="宋体" w:cs="宋体"/>
                      <w:bCs/>
                      <w:color w:val="auto"/>
                      <w:kern w:val="0"/>
                      <w:sz w:val="21"/>
                      <w:szCs w:val="18"/>
                    </w:rPr>
                    <w:t>Ⅰ</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ascii="宋体" w:hAnsi="宋体" w:cs="宋体"/>
                      <w:bCs/>
                      <w:color w:val="auto"/>
                      <w:kern w:val="0"/>
                      <w:sz w:val="21"/>
                      <w:szCs w:val="18"/>
                    </w:rPr>
                    <w:t>Ⅱ</w:t>
                  </w:r>
                </w:p>
              </w:tc>
              <w:tc>
                <w:tcPr>
                  <w:tcW w:w="72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ascii="宋体" w:hAnsi="宋体" w:cs="宋体"/>
                      <w:bCs/>
                      <w:color w:val="auto"/>
                      <w:kern w:val="0"/>
                      <w:sz w:val="21"/>
                      <w:szCs w:val="18"/>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A</w:t>
                  </w:r>
                </w:p>
              </w:tc>
              <w:tc>
                <w:tcPr>
                  <w:tcW w:w="81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&lt;2</w:t>
                  </w:r>
                </w:p>
              </w:tc>
              <w:tc>
                <w:tcPr>
                  <w:tcW w:w="86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400</w:t>
                  </w:r>
                </w:p>
              </w:tc>
              <w:tc>
                <w:tcPr>
                  <w:tcW w:w="72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400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400</w:t>
                  </w:r>
                </w:p>
              </w:tc>
              <w:tc>
                <w:tcPr>
                  <w:tcW w:w="81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400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4000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400</w:t>
                  </w:r>
                </w:p>
              </w:tc>
              <w:tc>
                <w:tcPr>
                  <w:tcW w:w="81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80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80</w:t>
                  </w:r>
                </w:p>
              </w:tc>
              <w:tc>
                <w:tcPr>
                  <w:tcW w:w="72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81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2-4</w:t>
                  </w:r>
                </w:p>
              </w:tc>
              <w:tc>
                <w:tcPr>
                  <w:tcW w:w="86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700</w:t>
                  </w:r>
                </w:p>
              </w:tc>
              <w:tc>
                <w:tcPr>
                  <w:tcW w:w="72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470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350</w:t>
                  </w:r>
                </w:p>
              </w:tc>
              <w:tc>
                <w:tcPr>
                  <w:tcW w:w="81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700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470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350</w:t>
                  </w:r>
                </w:p>
              </w:tc>
              <w:tc>
                <w:tcPr>
                  <w:tcW w:w="81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380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250</w:t>
                  </w:r>
                </w:p>
              </w:tc>
              <w:tc>
                <w:tcPr>
                  <w:tcW w:w="72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81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&gt;4</w:t>
                  </w:r>
                </w:p>
              </w:tc>
              <w:tc>
                <w:tcPr>
                  <w:tcW w:w="86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530</w:t>
                  </w:r>
                </w:p>
              </w:tc>
              <w:tc>
                <w:tcPr>
                  <w:tcW w:w="727"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350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260</w:t>
                  </w:r>
                </w:p>
              </w:tc>
              <w:tc>
                <w:tcPr>
                  <w:tcW w:w="81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530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350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260</w:t>
                  </w:r>
                </w:p>
              </w:tc>
              <w:tc>
                <w:tcPr>
                  <w:tcW w:w="814"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290</w:t>
                  </w:r>
                </w:p>
              </w:tc>
              <w:tc>
                <w:tcPr>
                  <w:tcW w:w="729"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190</w:t>
                  </w:r>
                </w:p>
              </w:tc>
              <w:tc>
                <w:tcPr>
                  <w:tcW w:w="72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B</w:t>
                  </w:r>
                </w:p>
              </w:tc>
              <w:tc>
                <w:tcPr>
                  <w:tcW w:w="81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&lt;2</w:t>
                  </w:r>
                </w:p>
              </w:tc>
              <w:tc>
                <w:tcPr>
                  <w:tcW w:w="2325"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0.01</w:t>
                  </w:r>
                </w:p>
              </w:tc>
              <w:tc>
                <w:tcPr>
                  <w:tcW w:w="2272"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0.015</w:t>
                  </w:r>
                </w:p>
              </w:tc>
              <w:tc>
                <w:tcPr>
                  <w:tcW w:w="2269"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81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&gt;2</w:t>
                  </w:r>
                </w:p>
              </w:tc>
              <w:tc>
                <w:tcPr>
                  <w:tcW w:w="2325"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0.021</w:t>
                  </w:r>
                </w:p>
              </w:tc>
              <w:tc>
                <w:tcPr>
                  <w:tcW w:w="2272"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0.036</w:t>
                  </w:r>
                </w:p>
              </w:tc>
              <w:tc>
                <w:tcPr>
                  <w:tcW w:w="2269"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C</w:t>
                  </w:r>
                </w:p>
              </w:tc>
              <w:tc>
                <w:tcPr>
                  <w:tcW w:w="81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&lt;2</w:t>
                  </w:r>
                </w:p>
              </w:tc>
              <w:tc>
                <w:tcPr>
                  <w:tcW w:w="2325"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1.85</w:t>
                  </w:r>
                </w:p>
              </w:tc>
              <w:tc>
                <w:tcPr>
                  <w:tcW w:w="2272"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1.79</w:t>
                  </w:r>
                </w:p>
              </w:tc>
              <w:tc>
                <w:tcPr>
                  <w:tcW w:w="2269"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81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&gt;2</w:t>
                  </w:r>
                </w:p>
              </w:tc>
              <w:tc>
                <w:tcPr>
                  <w:tcW w:w="2325"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1.85</w:t>
                  </w:r>
                </w:p>
              </w:tc>
              <w:tc>
                <w:tcPr>
                  <w:tcW w:w="2272"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1.77</w:t>
                  </w:r>
                </w:p>
              </w:tc>
              <w:tc>
                <w:tcPr>
                  <w:tcW w:w="2269"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D</w:t>
                  </w:r>
                </w:p>
              </w:tc>
              <w:tc>
                <w:tcPr>
                  <w:tcW w:w="81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&lt;2</w:t>
                  </w:r>
                </w:p>
              </w:tc>
              <w:tc>
                <w:tcPr>
                  <w:tcW w:w="2325"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0.78</w:t>
                  </w:r>
                </w:p>
              </w:tc>
              <w:tc>
                <w:tcPr>
                  <w:tcW w:w="2272"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0.78</w:t>
                  </w:r>
                </w:p>
              </w:tc>
              <w:tc>
                <w:tcPr>
                  <w:tcW w:w="2269"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p>
              </w:tc>
              <w:tc>
                <w:tcPr>
                  <w:tcW w:w="81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&gt;2</w:t>
                  </w:r>
                </w:p>
              </w:tc>
              <w:tc>
                <w:tcPr>
                  <w:tcW w:w="2325"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0.84</w:t>
                  </w:r>
                </w:p>
              </w:tc>
              <w:tc>
                <w:tcPr>
                  <w:tcW w:w="2272"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0.84</w:t>
                  </w:r>
                </w:p>
              </w:tc>
              <w:tc>
                <w:tcPr>
                  <w:tcW w:w="2269"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0.76</w:t>
                  </w:r>
                </w:p>
              </w:tc>
            </w:tr>
          </w:tbl>
          <w:p>
            <w:pPr>
              <w:keepNext w:val="0"/>
              <w:keepLines w:val="0"/>
              <w:suppressLineNumbers w:val="0"/>
              <w:spacing w:before="0" w:beforeAutospacing="0" w:after="0" w:afterAutospacing="0"/>
              <w:ind w:left="0" w:right="0" w:firstLine="480"/>
              <w:rPr>
                <w:rFonts w:hint="default"/>
                <w:color w:val="auto"/>
              </w:rPr>
            </w:pPr>
          </w:p>
          <w:p>
            <w:pPr>
              <w:keepNext w:val="0"/>
              <w:keepLines w:val="0"/>
              <w:suppressLineNumbers w:val="0"/>
              <w:spacing w:before="0" w:beforeAutospacing="0" w:after="0" w:afterAutospacing="0"/>
              <w:ind w:left="0" w:right="0" w:firstLine="480"/>
              <w:rPr>
                <w:rFonts w:hint="default"/>
                <w:color w:val="auto"/>
              </w:rPr>
            </w:pPr>
            <w:r>
              <w:rPr>
                <w:rFonts w:hint="eastAsia"/>
                <w:color w:val="auto"/>
              </w:rPr>
              <w:t>根据工程分析及区域平均风速和本项目项目环境污染源情况，计算出无组织排放污染物的卫生防护距离，结果见表4-6。</w:t>
            </w:r>
          </w:p>
          <w:p>
            <w:pPr>
              <w:keepNext w:val="0"/>
              <w:keepLines w:val="0"/>
              <w:suppressLineNumbers w:val="0"/>
              <w:spacing w:before="96" w:beforeAutospacing="0" w:after="36" w:afterAutospacing="0" w:line="240" w:lineRule="auto"/>
              <w:ind w:left="0" w:right="0" w:firstLine="0" w:firstLineChars="0"/>
              <w:jc w:val="center"/>
              <w:outlineLvl w:val="3"/>
              <w:rPr>
                <w:rFonts w:hint="default"/>
                <w:b/>
                <w:color w:val="auto"/>
              </w:rPr>
            </w:pPr>
            <w:r>
              <w:rPr>
                <w:rFonts w:hint="default"/>
                <w:b/>
                <w:color w:val="auto"/>
              </w:rPr>
              <w:t>表4-</w:t>
            </w:r>
            <w:r>
              <w:rPr>
                <w:rFonts w:hint="eastAsia"/>
                <w:b/>
                <w:color w:val="auto"/>
              </w:rPr>
              <w:t xml:space="preserve">6 </w:t>
            </w:r>
            <w:r>
              <w:rPr>
                <w:rFonts w:hint="default"/>
                <w:b/>
                <w:color w:val="auto"/>
              </w:rPr>
              <w:t xml:space="preserve">  无组织排放污染物卫生防护距离计算结果</w:t>
            </w:r>
          </w:p>
          <w:tbl>
            <w:tblPr>
              <w:tblStyle w:val="22"/>
              <w:tblW w:w="8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1280"/>
              <w:gridCol w:w="1010"/>
              <w:gridCol w:w="1203"/>
              <w:gridCol w:w="1205"/>
              <w:gridCol w:w="1205"/>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34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无组织排放源</w:t>
                  </w:r>
                </w:p>
              </w:tc>
              <w:tc>
                <w:tcPr>
                  <w:tcW w:w="128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污染物</w:t>
                  </w:r>
                </w:p>
              </w:tc>
              <w:tc>
                <w:tcPr>
                  <w:tcW w:w="101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Qc（</w:t>
                  </w:r>
                  <w:r>
                    <w:rPr>
                      <w:rFonts w:hint="eastAsia"/>
                      <w:bCs/>
                      <w:color w:val="auto"/>
                      <w:kern w:val="0"/>
                      <w:sz w:val="21"/>
                      <w:szCs w:val="18"/>
                    </w:rPr>
                    <w:t>kg/h</w:t>
                  </w:r>
                  <w:r>
                    <w:rPr>
                      <w:rFonts w:hint="default"/>
                      <w:bCs/>
                      <w:color w:val="auto"/>
                      <w:kern w:val="0"/>
                      <w:sz w:val="21"/>
                      <w:szCs w:val="18"/>
                    </w:rPr>
                    <w:t>）</w:t>
                  </w:r>
                </w:p>
              </w:tc>
              <w:tc>
                <w:tcPr>
                  <w:tcW w:w="120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面源有效高度（m）</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面源面积（</w:t>
                  </w:r>
                  <w:r>
                    <w:rPr>
                      <w:rFonts w:hint="eastAsia"/>
                      <w:bCs/>
                      <w:color w:val="auto"/>
                      <w:kern w:val="0"/>
                      <w:sz w:val="21"/>
                      <w:szCs w:val="18"/>
                    </w:rPr>
                    <w:t>m</w:t>
                  </w:r>
                  <w:r>
                    <w:rPr>
                      <w:rFonts w:hint="eastAsia"/>
                      <w:bCs/>
                      <w:color w:val="auto"/>
                      <w:kern w:val="0"/>
                      <w:sz w:val="21"/>
                      <w:szCs w:val="18"/>
                      <w:vertAlign w:val="superscript"/>
                    </w:rPr>
                    <w:t>2</w:t>
                  </w:r>
                  <w:r>
                    <w:rPr>
                      <w:rFonts w:hint="default"/>
                      <w:bCs/>
                      <w:color w:val="auto"/>
                      <w:kern w:val="0"/>
                      <w:sz w:val="21"/>
                      <w:szCs w:val="18"/>
                    </w:rPr>
                    <w:t>）</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卫生防护距离计算值（m）</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34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拆解车间</w:t>
                  </w:r>
                </w:p>
              </w:tc>
              <w:tc>
                <w:tcPr>
                  <w:tcW w:w="128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颗粒物</w:t>
                  </w:r>
                </w:p>
              </w:tc>
              <w:tc>
                <w:tcPr>
                  <w:tcW w:w="101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0.11</w:t>
                  </w:r>
                </w:p>
              </w:tc>
              <w:tc>
                <w:tcPr>
                  <w:tcW w:w="120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5</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bCs/>
                      <w:color w:val="auto"/>
                      <w:kern w:val="0"/>
                      <w:sz w:val="21"/>
                      <w:szCs w:val="18"/>
                      <w:lang w:val="en-US" w:eastAsia="zh-CN"/>
                    </w:rPr>
                  </w:pPr>
                  <w:r>
                    <w:rPr>
                      <w:rFonts w:hint="eastAsia"/>
                      <w:bCs/>
                      <w:color w:val="auto"/>
                      <w:kern w:val="0"/>
                      <w:sz w:val="21"/>
                      <w:szCs w:val="18"/>
                      <w:lang w:val="en-US" w:eastAsia="zh-CN"/>
                    </w:rPr>
                    <w:t>3700</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bCs/>
                      <w:color w:val="auto"/>
                      <w:kern w:val="0"/>
                      <w:sz w:val="21"/>
                      <w:szCs w:val="18"/>
                      <w:lang w:val="en-US" w:eastAsia="zh-CN"/>
                    </w:rPr>
                  </w:pPr>
                  <w:r>
                    <w:rPr>
                      <w:rFonts w:hint="eastAsia"/>
                      <w:bCs/>
                      <w:color w:val="auto"/>
                      <w:kern w:val="0"/>
                      <w:sz w:val="21"/>
                      <w:szCs w:val="18"/>
                    </w:rPr>
                    <w:t>2.</w:t>
                  </w:r>
                  <w:r>
                    <w:rPr>
                      <w:rFonts w:hint="eastAsia"/>
                      <w:bCs/>
                      <w:color w:val="auto"/>
                      <w:kern w:val="0"/>
                      <w:sz w:val="21"/>
                      <w:szCs w:val="18"/>
                      <w:lang w:val="en-US" w:eastAsia="zh-CN"/>
                    </w:rPr>
                    <w:t>970</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34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拆解车间</w:t>
                  </w:r>
                </w:p>
              </w:tc>
              <w:tc>
                <w:tcPr>
                  <w:tcW w:w="128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default"/>
                      <w:bCs/>
                      <w:color w:val="auto"/>
                      <w:kern w:val="0"/>
                      <w:sz w:val="21"/>
                      <w:szCs w:val="18"/>
                    </w:rPr>
                    <w:t>非甲烷总烃</w:t>
                  </w:r>
                </w:p>
              </w:tc>
              <w:tc>
                <w:tcPr>
                  <w:tcW w:w="101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0.112</w:t>
                  </w:r>
                </w:p>
              </w:tc>
              <w:tc>
                <w:tcPr>
                  <w:tcW w:w="1203"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5</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bCs/>
                      <w:color w:val="auto"/>
                      <w:kern w:val="0"/>
                      <w:sz w:val="21"/>
                      <w:szCs w:val="18"/>
                      <w:lang w:val="en-US" w:eastAsia="zh-CN"/>
                    </w:rPr>
                  </w:pPr>
                  <w:r>
                    <w:rPr>
                      <w:rFonts w:hint="eastAsia"/>
                      <w:bCs/>
                      <w:color w:val="auto"/>
                      <w:kern w:val="0"/>
                      <w:sz w:val="21"/>
                      <w:szCs w:val="18"/>
                      <w:lang w:val="en-US" w:eastAsia="zh-CN"/>
                    </w:rPr>
                    <w:t>3700</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0.453</w:t>
                  </w:r>
                </w:p>
              </w:tc>
              <w:tc>
                <w:tcPr>
                  <w:tcW w:w="120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kern w:val="0"/>
                      <w:sz w:val="21"/>
                      <w:szCs w:val="18"/>
                    </w:rPr>
                  </w:pPr>
                  <w:r>
                    <w:rPr>
                      <w:rFonts w:hint="eastAsia"/>
                      <w:bCs/>
                      <w:color w:val="auto"/>
                      <w:kern w:val="0"/>
                      <w:sz w:val="21"/>
                      <w:szCs w:val="18"/>
                    </w:rPr>
                    <w:t>50</w:t>
                  </w:r>
                </w:p>
              </w:tc>
            </w:tr>
          </w:tbl>
          <w:p>
            <w:pPr>
              <w:pStyle w:val="49"/>
              <w:keepNext w:val="0"/>
              <w:keepLines w:val="0"/>
              <w:suppressLineNumbers w:val="0"/>
              <w:spacing w:before="0" w:beforeAutospacing="0" w:after="0" w:afterAutospacing="0"/>
              <w:ind w:left="0" w:right="0"/>
              <w:jc w:val="left"/>
              <w:rPr>
                <w:rFonts w:hint="default"/>
                <w:color w:val="auto"/>
              </w:rPr>
            </w:pPr>
            <w:r>
              <w:rPr>
                <w:rFonts w:hint="default"/>
                <w:color w:val="auto"/>
              </w:rPr>
              <w:t>根据上述结果可知，非甲烷总烃卫生防护距离为</w:t>
            </w:r>
            <w:r>
              <w:rPr>
                <w:rFonts w:hint="eastAsia"/>
                <w:color w:val="auto"/>
              </w:rPr>
              <w:t>50</w:t>
            </w:r>
            <w:r>
              <w:rPr>
                <w:rFonts w:hint="default"/>
                <w:color w:val="auto"/>
              </w:rPr>
              <w:t>m、</w:t>
            </w:r>
            <w:r>
              <w:rPr>
                <w:rFonts w:hint="eastAsia"/>
                <w:color w:val="auto"/>
              </w:rPr>
              <w:t>TSP</w:t>
            </w:r>
            <w:r>
              <w:rPr>
                <w:rFonts w:hint="default"/>
                <w:color w:val="auto"/>
              </w:rPr>
              <w:t>卫生防护距离为</w:t>
            </w:r>
            <w:r>
              <w:rPr>
                <w:rFonts w:hint="eastAsia"/>
                <w:color w:val="auto"/>
              </w:rPr>
              <w:t>50</w:t>
            </w:r>
            <w:r>
              <w:rPr>
                <w:rFonts w:hint="default"/>
                <w:color w:val="auto"/>
              </w:rPr>
              <w:t>m。根据《大气有害物质无组织排放卫生防护距离推导技术导则 》（GB/T 39499-2020）中规定，当企业某生产单元的无组织排放存在多种特征大气有害物质时，如果分别推导出的初值在同一级别时，则该企业的卫生防护距离终值应提高一级；卫生防护距离初值不在同一级别的，以卫生防护距离终值较大者为准。</w:t>
            </w:r>
            <w:r>
              <w:rPr>
                <w:rFonts w:hint="eastAsia"/>
                <w:color w:val="auto"/>
              </w:rPr>
              <w:t>因此</w:t>
            </w:r>
            <w:r>
              <w:rPr>
                <w:rFonts w:hint="default"/>
                <w:bCs/>
                <w:color w:val="auto"/>
              </w:rPr>
              <w:t>确定</w:t>
            </w:r>
            <w:r>
              <w:rPr>
                <w:rFonts w:hint="eastAsia"/>
                <w:bCs/>
                <w:color w:val="auto"/>
              </w:rPr>
              <w:t>本项目的</w:t>
            </w:r>
            <w:r>
              <w:rPr>
                <w:rFonts w:hint="default"/>
                <w:bCs/>
                <w:color w:val="auto"/>
              </w:rPr>
              <w:t>卫生防护距离为</w:t>
            </w:r>
            <w:r>
              <w:rPr>
                <w:rFonts w:hint="default"/>
                <w:color w:val="auto"/>
              </w:rPr>
              <w:t>生产</w:t>
            </w:r>
            <w:r>
              <w:rPr>
                <w:rFonts w:hint="eastAsia"/>
                <w:color w:val="auto"/>
              </w:rPr>
              <w:t>车间</w:t>
            </w:r>
            <w:r>
              <w:rPr>
                <w:rFonts w:hint="default"/>
                <w:color w:val="auto"/>
              </w:rPr>
              <w:t>边界</w:t>
            </w:r>
            <w:r>
              <w:rPr>
                <w:rFonts w:hint="default"/>
                <w:bCs/>
                <w:color w:val="auto"/>
              </w:rPr>
              <w:t>外</w:t>
            </w:r>
            <w:r>
              <w:rPr>
                <w:rFonts w:hint="eastAsia"/>
                <w:bCs/>
                <w:color w:val="auto"/>
              </w:rPr>
              <w:t>10</w:t>
            </w:r>
            <w:r>
              <w:rPr>
                <w:rFonts w:hint="default"/>
                <w:bCs/>
                <w:color w:val="auto"/>
              </w:rPr>
              <w:t>0m</w:t>
            </w:r>
            <w:r>
              <w:rPr>
                <w:rFonts w:hint="eastAsia"/>
                <w:bCs/>
                <w:color w:val="auto"/>
              </w:rPr>
              <w:t>。</w:t>
            </w:r>
            <w:r>
              <w:rPr>
                <w:rFonts w:hint="default"/>
                <w:bCs/>
                <w:color w:val="auto"/>
              </w:rPr>
              <w:t>根据现场踏勘，本项目卫生防护距离内无</w:t>
            </w:r>
            <w:r>
              <w:rPr>
                <w:rFonts w:hint="default"/>
                <w:color w:val="auto"/>
              </w:rPr>
              <w:t>居民区、学校、医院</w:t>
            </w:r>
            <w:r>
              <w:rPr>
                <w:rFonts w:hint="default"/>
                <w:bCs/>
                <w:color w:val="auto"/>
              </w:rPr>
              <w:t>，满足卫生防护距离要求。</w:t>
            </w:r>
            <w:r>
              <w:rPr>
                <w:rFonts w:hint="default"/>
                <w:color w:val="auto"/>
              </w:rPr>
              <w:t>在卫生防护距离</w:t>
            </w:r>
            <w:r>
              <w:rPr>
                <w:rFonts w:hint="eastAsia"/>
                <w:color w:val="auto"/>
              </w:rPr>
              <w:t>10</w:t>
            </w:r>
            <w:r>
              <w:rPr>
                <w:rFonts w:hint="default"/>
                <w:color w:val="auto"/>
              </w:rPr>
              <w:t>0m范围内不得规划建设居民区、学校、医院等对大气污染物比较敏感的保护目标。</w:t>
            </w:r>
            <w:r>
              <w:rPr>
                <w:rFonts w:hint="default"/>
                <w:bCs/>
                <w:color w:val="auto"/>
              </w:rPr>
              <w:t>项目</w:t>
            </w:r>
            <w:r>
              <w:rPr>
                <w:rFonts w:hint="eastAsia"/>
                <w:bCs/>
                <w:color w:val="auto"/>
              </w:rPr>
              <w:t>环境影响</w:t>
            </w:r>
            <w:r>
              <w:rPr>
                <w:rFonts w:hint="default"/>
                <w:bCs/>
                <w:color w:val="auto"/>
              </w:rPr>
              <w:t>报告表应提交当地规划主管部门作为区域城镇发展规划的依据</w:t>
            </w:r>
            <w:r>
              <w:rPr>
                <w:rFonts w:hint="eastAsia"/>
                <w:bCs/>
                <w:color w:val="auto"/>
              </w:rPr>
              <w:t>。</w:t>
            </w:r>
          </w:p>
          <w:p>
            <w:pPr>
              <w:pStyle w:val="49"/>
              <w:keepNext w:val="0"/>
              <w:keepLines w:val="0"/>
              <w:suppressLineNumbers w:val="0"/>
              <w:spacing w:before="0" w:beforeAutospacing="0" w:after="0" w:afterAutospacing="0"/>
              <w:ind w:left="0" w:right="0" w:firstLine="0" w:firstLineChars="0"/>
              <w:jc w:val="left"/>
              <w:rPr>
                <w:rFonts w:hint="eastAsia" w:eastAsia="宋体"/>
                <w:color w:val="auto"/>
                <w:lang w:eastAsia="zh-CN"/>
              </w:rPr>
            </w:pPr>
            <w:r>
              <w:rPr>
                <w:rFonts w:hint="eastAsia" w:eastAsia="宋体"/>
                <w:color w:val="auto"/>
                <w:lang w:eastAsia="zh-CN"/>
              </w:rPr>
              <w:drawing>
                <wp:inline distT="0" distB="0" distL="114300" distR="114300">
                  <wp:extent cx="5365750" cy="4076700"/>
                  <wp:effectExtent l="0" t="0" r="6350" b="0"/>
                  <wp:docPr id="10" name="图片 1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捕获"/>
                          <pic:cNvPicPr>
                            <a:picLocks noChangeAspect="1"/>
                          </pic:cNvPicPr>
                        </pic:nvPicPr>
                        <pic:blipFill>
                          <a:blip r:embed="rId20"/>
                          <a:stretch>
                            <a:fillRect/>
                          </a:stretch>
                        </pic:blipFill>
                        <pic:spPr>
                          <a:xfrm>
                            <a:off x="0" y="0"/>
                            <a:ext cx="5365750" cy="4076700"/>
                          </a:xfrm>
                          <a:prstGeom prst="rect">
                            <a:avLst/>
                          </a:prstGeom>
                        </pic:spPr>
                      </pic:pic>
                    </a:graphicData>
                  </a:graphic>
                </wp:inline>
              </w:drawing>
            </w:r>
          </w:p>
          <w:p>
            <w:pPr>
              <w:pStyle w:val="49"/>
              <w:keepNext w:val="0"/>
              <w:keepLines w:val="0"/>
              <w:suppressLineNumbers w:val="0"/>
              <w:spacing w:before="0" w:beforeAutospacing="0" w:after="0" w:afterAutospacing="0"/>
              <w:ind w:left="0" w:right="0"/>
              <w:jc w:val="center"/>
              <w:rPr>
                <w:rFonts w:hint="default"/>
                <w:color w:val="auto"/>
              </w:rPr>
            </w:pPr>
            <w:r>
              <w:rPr>
                <w:rFonts w:hint="default"/>
                <w:color w:val="auto"/>
                <w:highlight w:val="none"/>
              </w:rPr>
              <w:t>图</w:t>
            </w:r>
            <w:r>
              <w:rPr>
                <w:rFonts w:hint="eastAsia"/>
                <w:color w:val="auto"/>
                <w:highlight w:val="none"/>
              </w:rPr>
              <w:t>4-1 项目区卫生防护距离包络图</w:t>
            </w:r>
          </w:p>
          <w:p>
            <w:pPr>
              <w:keepNext w:val="0"/>
              <w:keepLines w:val="0"/>
              <w:suppressLineNumbers w:val="0"/>
              <w:spacing w:before="0" w:beforeAutospacing="0" w:after="0" w:afterAutospacing="0"/>
              <w:ind w:left="0" w:right="0" w:firstLine="480"/>
              <w:rPr>
                <w:rFonts w:hint="default"/>
                <w:color w:val="auto"/>
              </w:rPr>
            </w:pPr>
            <w:r>
              <w:rPr>
                <w:rFonts w:hint="eastAsia"/>
                <w:color w:val="auto"/>
              </w:rPr>
              <w:t>3、大气环境防护距离</w:t>
            </w:r>
          </w:p>
          <w:p>
            <w:pPr>
              <w:keepNext w:val="0"/>
              <w:keepLines w:val="0"/>
              <w:suppressLineNumbers w:val="0"/>
              <w:spacing w:before="0" w:beforeAutospacing="0" w:after="0" w:afterAutospacing="0"/>
              <w:ind w:left="0" w:right="0" w:firstLine="480"/>
              <w:rPr>
                <w:rFonts w:hint="default"/>
                <w:color w:val="auto"/>
              </w:rPr>
            </w:pPr>
            <w:r>
              <w:rPr>
                <w:rFonts w:hint="eastAsia"/>
                <w:color w:val="auto"/>
              </w:rPr>
              <w:t>根据《环境影响评价技术导则 大气环境》(HJ2.2-2018)大气环境防护距离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keepNext w:val="0"/>
              <w:keepLines w:val="0"/>
              <w:suppressLineNumbers w:val="0"/>
              <w:spacing w:before="0" w:beforeAutospacing="0" w:after="0" w:afterAutospacing="0"/>
              <w:ind w:left="0" w:right="0" w:firstLine="480"/>
              <w:rPr>
                <w:rFonts w:hint="default"/>
                <w:color w:val="auto"/>
              </w:rPr>
            </w:pPr>
            <w:r>
              <w:rPr>
                <w:rFonts w:hint="eastAsia"/>
                <w:color w:val="auto"/>
              </w:rPr>
              <w:t>经预测，项目区厂界外TSP及非甲烷总烃短期浓度贡献值均未超标，因此无需设置大气环境防护距离。</w:t>
            </w:r>
          </w:p>
          <w:p>
            <w:pPr>
              <w:keepNext w:val="0"/>
              <w:keepLines w:val="0"/>
              <w:suppressLineNumbers w:val="0"/>
              <w:spacing w:before="0" w:beforeAutospacing="0" w:after="0" w:afterAutospacing="0"/>
              <w:ind w:left="0" w:right="0" w:firstLine="480"/>
              <w:rPr>
                <w:rFonts w:hint="default"/>
                <w:color w:val="auto"/>
              </w:rPr>
            </w:pPr>
            <w:r>
              <w:rPr>
                <w:rFonts w:hint="eastAsia"/>
                <w:color w:val="auto"/>
              </w:rPr>
              <w:t>4、可行性分析</w:t>
            </w:r>
          </w:p>
          <w:p>
            <w:pPr>
              <w:keepNext w:val="0"/>
              <w:keepLines w:val="0"/>
              <w:suppressLineNumbers w:val="0"/>
              <w:spacing w:before="0" w:beforeAutospacing="0" w:after="0" w:afterAutospacing="0"/>
              <w:ind w:left="0" w:right="0" w:firstLine="480"/>
              <w:rPr>
                <w:rFonts w:hint="default"/>
                <w:color w:val="auto"/>
              </w:rPr>
            </w:pPr>
            <w:r>
              <w:rPr>
                <w:rFonts w:hint="eastAsia"/>
                <w:color w:val="auto"/>
              </w:rPr>
              <w:t>项目破碎机上方设置了一个集气罩（集气效率为80%），并设置了一台布袋除尘器（除尘效率为95%，风机风量为5000m</w:t>
            </w:r>
            <w:r>
              <w:rPr>
                <w:rFonts w:hint="eastAsia"/>
                <w:color w:val="auto"/>
                <w:vertAlign w:val="superscript"/>
              </w:rPr>
              <w:t>3</w:t>
            </w:r>
            <w:r>
              <w:rPr>
                <w:rFonts w:hint="eastAsia"/>
                <w:color w:val="auto"/>
              </w:rPr>
              <w:t>/h）处理后的废气通过一根15m的排气筒排放。根据计算可知，处理后的粉尘排放速率为0.072kg/h，排放浓度为14.4mg/ m</w:t>
            </w:r>
            <w:r>
              <w:rPr>
                <w:rFonts w:hint="eastAsia"/>
                <w:color w:val="auto"/>
                <w:vertAlign w:val="superscript"/>
              </w:rPr>
              <w:t>3</w:t>
            </w:r>
            <w:r>
              <w:rPr>
                <w:rFonts w:hint="eastAsia"/>
                <w:color w:val="auto"/>
              </w:rPr>
              <w:t>，排放速率和排放浓度均可满足《大气污染物综合排放标准》（GB16297-1996）二级标准（15m 排气筒排放限值要求 3.5kg/h、120mg/m</w:t>
            </w:r>
            <w:r>
              <w:rPr>
                <w:rFonts w:hint="eastAsia"/>
                <w:color w:val="auto"/>
                <w:vertAlign w:val="superscript"/>
              </w:rPr>
              <w:t>3</w:t>
            </w:r>
            <w:r>
              <w:rPr>
                <w:rFonts w:hint="eastAsia"/>
                <w:color w:val="auto"/>
              </w:rPr>
              <w:t>）要求。因此采用的废气处理措施是有效可行的。</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5、大气环境影响分析结论</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项目运营期产生的破碎粉尘经集气罩收集后引至布袋除尘器处理，之后通过15m的排气筒（DA001）排放，少量未收集到的颗粒物通过厂房通风无组织排放，排放量较小，经通风扩散后，可满足《大气污染物综合排放标准》（GB16297-1996）表2中相关标准。废油抽取工序的非甲烷总烃和切割粉尘通过加强厂区通风能满足《大气污染物综合排放标准》（GB16297-1996）表2中无组织排放监控浓度限值要求，经大气稀释后，对周边环境空气质量贡献较小。综上各类废气采取相应措施后均能够达标排放，对区域环境影响可以接受。</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（四）废气监测计划</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建设单位应委托有资质的监测机构定期对项目的污染源进行监测，并形成管理台账。为加强环境管理，较为准确客观地掌握其污染物的排放情况，根据《排污单位自行监测技术指南 总则》（HJ819-2017），项目运营期废气开展的监测计划详见下表。</w:t>
            </w:r>
          </w:p>
          <w:p>
            <w:pPr>
              <w:pStyle w:val="49"/>
              <w:keepNext w:val="0"/>
              <w:keepLines w:val="0"/>
              <w:suppressLineNumbers w:val="0"/>
              <w:spacing w:before="0" w:beforeAutospacing="0" w:after="0" w:afterAutospacing="0"/>
              <w:ind w:left="0" w:right="0" w:firstLine="482"/>
              <w:jc w:val="center"/>
              <w:rPr>
                <w:rFonts w:hint="default"/>
                <w:b/>
                <w:color w:val="auto"/>
              </w:rPr>
            </w:pPr>
            <w:r>
              <w:rPr>
                <w:rFonts w:hint="eastAsia"/>
                <w:b/>
                <w:color w:val="auto"/>
              </w:rPr>
              <w:t>表4-7   运营期环境监测计划</w:t>
            </w:r>
          </w:p>
          <w:tbl>
            <w:tblPr>
              <w:tblStyle w:val="23"/>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268"/>
              <w:gridCol w:w="1417"/>
              <w:gridCol w:w="1276"/>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类别</w:t>
                  </w:r>
                </w:p>
              </w:tc>
              <w:tc>
                <w:tcPr>
                  <w:tcW w:w="22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监测点位</w:t>
                  </w:r>
                </w:p>
              </w:tc>
              <w:tc>
                <w:tcPr>
                  <w:tcW w:w="141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监测因子</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监测频次</w:t>
                  </w:r>
                </w:p>
              </w:tc>
              <w:tc>
                <w:tcPr>
                  <w:tcW w:w="241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无组织废气</w:t>
                  </w:r>
                </w:p>
              </w:tc>
              <w:tc>
                <w:tcPr>
                  <w:tcW w:w="22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A1：上风向参照点</w:t>
                  </w:r>
                </w:p>
              </w:tc>
              <w:tc>
                <w:tcPr>
                  <w:tcW w:w="1417"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非甲烷总烃、颗粒物、NMHC</w:t>
                  </w:r>
                </w:p>
              </w:tc>
              <w:tc>
                <w:tcPr>
                  <w:tcW w:w="1276"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1次/年</w:t>
                  </w:r>
                </w:p>
              </w:tc>
              <w:tc>
                <w:tcPr>
                  <w:tcW w:w="2416"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《大气污染物综合排放标准》（GB16297-1996）表 2无组织标准，NMHC执行《挥发性有机物无组织排放控制标准》附录A的标准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2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A2：下风向监测点1</w:t>
                  </w:r>
                </w:p>
              </w:tc>
              <w:tc>
                <w:tcPr>
                  <w:tcW w:w="141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7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41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2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A3：下风向监测点2</w:t>
                  </w:r>
                </w:p>
              </w:tc>
              <w:tc>
                <w:tcPr>
                  <w:tcW w:w="141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7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41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有组织废气</w:t>
                  </w:r>
                </w:p>
              </w:tc>
              <w:tc>
                <w:tcPr>
                  <w:tcW w:w="22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排气筒（DA001）</w:t>
                  </w:r>
                </w:p>
              </w:tc>
              <w:tc>
                <w:tcPr>
                  <w:tcW w:w="141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颗粒物</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1次/年</w:t>
                  </w:r>
                </w:p>
              </w:tc>
              <w:tc>
                <w:tcPr>
                  <w:tcW w:w="241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《大气污染物综合排放标准》（GB16297-1996）表 2有组织标准</w:t>
                  </w:r>
                </w:p>
              </w:tc>
            </w:tr>
          </w:tbl>
          <w:p>
            <w:pPr>
              <w:pStyle w:val="49"/>
              <w:keepNext w:val="0"/>
              <w:keepLines w:val="0"/>
              <w:suppressLineNumbers w:val="0"/>
              <w:spacing w:before="0" w:beforeAutospacing="0" w:after="0" w:afterAutospacing="0"/>
              <w:ind w:left="0" w:right="0" w:firstLine="482"/>
              <w:jc w:val="center"/>
              <w:rPr>
                <w:rFonts w:hint="default"/>
                <w:b/>
                <w:color w:val="auto"/>
              </w:rPr>
            </w:pPr>
          </w:p>
          <w:p>
            <w:pPr>
              <w:pStyle w:val="49"/>
              <w:keepNext w:val="0"/>
              <w:keepLines w:val="0"/>
              <w:suppressLineNumbers w:val="0"/>
              <w:spacing w:before="0" w:beforeAutospacing="0" w:after="0" w:afterAutospacing="0"/>
              <w:ind w:left="0" w:right="0" w:firstLine="482"/>
              <w:jc w:val="left"/>
              <w:rPr>
                <w:rFonts w:hint="default"/>
                <w:b/>
                <w:color w:val="auto"/>
              </w:rPr>
            </w:pPr>
            <w:r>
              <w:rPr>
                <w:rFonts w:hint="eastAsia"/>
                <w:b/>
                <w:color w:val="auto"/>
              </w:rPr>
              <w:t>二、地表水水环境影响分析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1、废水主要污染工序</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项目本项目所拆解的报废汽车均无需冲洗。在报废汽车拆解中各类废油及废液抽取过程，采用较为先进的气动抽接油机设备，可有效防止废油、废液落地，本项目在拆解过程中油箱下部设置可移动式接液容器，以防止泄漏油液直接落于地上，容器内油液泵至储罐内暂存，粘在移动式接液容器上的废油液每天采用抹布收集处理，偶有落地油液立刻用抹布处理，本项目预处理车间地面用抹布和拖把清洁，不采用地面冲洗方式，使用后的抹布和拖把全部作为危废暂存于危废暂存间，之后委托资质单位清运处置。</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（1）食堂废水</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项目区内设置职工食堂，提供食宿，项目运营期劳动定员21人，根据类比同类型项目，职工食堂每天用水量以30L（人</w:t>
            </w:r>
            <w:r>
              <w:rPr>
                <w:rFonts w:hint="eastAsia"/>
                <w:color w:val="auto"/>
              </w:rPr>
              <w:sym w:font="Wingdings 2" w:char="F0B4"/>
            </w:r>
            <w:r>
              <w:rPr>
                <w:rFonts w:hint="eastAsia"/>
                <w:color w:val="auto"/>
              </w:rPr>
              <w:t>d）计，则食堂用水量为0.63 m</w:t>
            </w:r>
            <w:r>
              <w:rPr>
                <w:rFonts w:hint="eastAsia"/>
                <w:color w:val="auto"/>
                <w:vertAlign w:val="superscript"/>
              </w:rPr>
              <w:t>3</w:t>
            </w:r>
            <w:r>
              <w:rPr>
                <w:rFonts w:hint="eastAsia"/>
                <w:color w:val="auto"/>
              </w:rPr>
              <w:t>/d，共189 m</w:t>
            </w:r>
            <w:r>
              <w:rPr>
                <w:rFonts w:hint="eastAsia"/>
                <w:color w:val="auto"/>
                <w:vertAlign w:val="superscript"/>
              </w:rPr>
              <w:t>3</w:t>
            </w:r>
            <w:r>
              <w:rPr>
                <w:rFonts w:hint="eastAsia"/>
                <w:color w:val="auto"/>
              </w:rPr>
              <w:t>/a。食堂废水产生量为用水量为80%，食堂废水产生量为0.5 m</w:t>
            </w:r>
            <w:r>
              <w:rPr>
                <w:rFonts w:hint="eastAsia"/>
                <w:color w:val="auto"/>
                <w:vertAlign w:val="superscript"/>
              </w:rPr>
              <w:t>3</w:t>
            </w:r>
            <w:r>
              <w:rPr>
                <w:rFonts w:hint="eastAsia"/>
                <w:color w:val="auto"/>
              </w:rPr>
              <w:t>/d，共151.2 m</w:t>
            </w:r>
            <w:r>
              <w:rPr>
                <w:rFonts w:hint="eastAsia"/>
                <w:color w:val="auto"/>
                <w:vertAlign w:val="superscript"/>
              </w:rPr>
              <w:t>3</w:t>
            </w:r>
            <w:r>
              <w:rPr>
                <w:rFonts w:hint="eastAsia"/>
                <w:color w:val="auto"/>
              </w:rPr>
              <w:t>/a。食堂废水通过隔油池预处理后，与生活污水一起进入化粪池处理后，最终排入项目区南侧道路的市政污水管网。</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（2）生活污水</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项目运营期劳动定员为21人，年工作天数为300天，根据《云南省地方标准用水定额》（DB53/T168-2019），用水量为110L（人</w:t>
            </w:r>
            <w:r>
              <w:rPr>
                <w:rFonts w:hint="eastAsia"/>
                <w:color w:val="auto"/>
              </w:rPr>
              <w:sym w:font="Wingdings 2" w:char="F0B4"/>
            </w:r>
            <w:r>
              <w:rPr>
                <w:rFonts w:hint="eastAsia"/>
                <w:color w:val="auto"/>
              </w:rPr>
              <w:t>d），考虑到扣除食堂用水后，员工生活用水以80L（人</w:t>
            </w:r>
            <w:r>
              <w:rPr>
                <w:rFonts w:hint="eastAsia"/>
                <w:color w:val="auto"/>
              </w:rPr>
              <w:sym w:font="Wingdings 2" w:char="F0B4"/>
            </w:r>
            <w:r>
              <w:rPr>
                <w:rFonts w:hint="eastAsia"/>
                <w:color w:val="auto"/>
              </w:rPr>
              <w:t>d）计，则办公生活用水量为1.68 m</w:t>
            </w:r>
            <w:r>
              <w:rPr>
                <w:rFonts w:hint="eastAsia"/>
                <w:color w:val="auto"/>
                <w:vertAlign w:val="superscript"/>
              </w:rPr>
              <w:t>3</w:t>
            </w:r>
            <w:r>
              <w:rPr>
                <w:rFonts w:hint="eastAsia"/>
                <w:color w:val="auto"/>
              </w:rPr>
              <w:t>/d，共504 m</w:t>
            </w:r>
            <w:r>
              <w:rPr>
                <w:rFonts w:hint="eastAsia"/>
                <w:color w:val="auto"/>
                <w:vertAlign w:val="superscript"/>
              </w:rPr>
              <w:t>3</w:t>
            </w:r>
            <w:r>
              <w:rPr>
                <w:rFonts w:hint="eastAsia"/>
                <w:color w:val="auto"/>
              </w:rPr>
              <w:t>/a，污水按用水量90%计，项目运营期生活废水产生量为1.51 m</w:t>
            </w:r>
            <w:r>
              <w:rPr>
                <w:rFonts w:hint="eastAsia"/>
                <w:color w:val="auto"/>
                <w:vertAlign w:val="superscript"/>
              </w:rPr>
              <w:t>3</w:t>
            </w:r>
            <w:r>
              <w:rPr>
                <w:rFonts w:hint="eastAsia"/>
                <w:color w:val="auto"/>
              </w:rPr>
              <w:t>/d，共453 m</w:t>
            </w:r>
            <w:r>
              <w:rPr>
                <w:rFonts w:hint="eastAsia"/>
                <w:color w:val="auto"/>
                <w:vertAlign w:val="superscript"/>
              </w:rPr>
              <w:t>3</w:t>
            </w:r>
            <w:r>
              <w:rPr>
                <w:rFonts w:hint="eastAsia"/>
                <w:color w:val="auto"/>
              </w:rPr>
              <w:t>/a。废水主要污染物为COD、BOD、SS。</w:t>
            </w:r>
            <w:r>
              <w:rPr>
                <w:rFonts w:hint="default"/>
                <w:color w:val="auto"/>
              </w:rPr>
              <w:t xml:space="preserve"> </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（3）初期雨水</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项目厂区地面均为水泥硬化地面，贮存及运输过程中可能有各种污染物滴漏、散落在露天场地及路面上，遇雨天形成地表径流，污染物会随水流带入周边水体，造成一定的环境污染。根据《报废机动车拆解环境保护技术规范》(HJ348-2007)“5.8 节报废机动车拆解企业应实行清污分流，在厂区内（除管理区外）收集的雨水、清洗水和其他非生活废水应设置专门的收集设施和污水处理设施。”要求建设单位对厂区露天面积初期雨污水进行收集处理。</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根据项目组成情况，拆解车间、仓库、报废汽车堆场等均为钢混结构厂房，厂区露天面积为道路和空地，降雨时雨水冲刷场地产生一定的污染物，主要含 SS、石油类，本环评要求场地初期雨污水应进行收集处理。</w:t>
            </w:r>
          </w:p>
          <w:p>
            <w:pPr>
              <w:pStyle w:val="49"/>
              <w:keepNext w:val="0"/>
              <w:keepLines w:val="0"/>
              <w:suppressLineNumbers w:val="0"/>
              <w:spacing w:before="0" w:beforeAutospacing="0" w:after="0" w:afterAutospacing="0"/>
              <w:ind w:left="0" w:right="0"/>
              <w:rPr>
                <w:rFonts w:hint="default"/>
                <w:color w:val="auto"/>
              </w:rPr>
            </w:pPr>
            <w:r>
              <w:rPr>
                <w:rFonts w:hint="eastAsia"/>
                <w:color w:val="auto"/>
              </w:rPr>
              <w:t>根据《中国城市新一代暴雨强度公式》（2014.05），参照腾冲市暴雨强度计算公式，具体如下</w:t>
            </w:r>
          </w:p>
          <w:p>
            <w:pPr>
              <w:pStyle w:val="49"/>
              <w:keepNext w:val="0"/>
              <w:keepLines w:val="0"/>
              <w:suppressLineNumbers w:val="0"/>
              <w:spacing w:before="0" w:beforeAutospacing="0" w:after="0" w:afterAutospacing="0"/>
              <w:ind w:left="0" w:right="0"/>
              <w:rPr>
                <w:rFonts w:hint="default"/>
                <w:color w:val="auto"/>
              </w:rPr>
            </w:pPr>
            <w:r>
              <w:rPr>
                <w:rFonts w:hint="eastAsia"/>
                <w:color w:val="auto"/>
              </w:rPr>
              <w:t>初期雨水产生量核算如下：</w:t>
            </w:r>
          </w:p>
          <w:p>
            <w:pPr>
              <w:pStyle w:val="49"/>
              <w:keepNext w:val="0"/>
              <w:keepLines w:val="0"/>
              <w:suppressLineNumbers w:val="0"/>
              <w:spacing w:before="0" w:beforeAutospacing="0" w:after="0" w:afterAutospacing="0"/>
              <w:ind w:left="0" w:right="0" w:firstLine="562"/>
              <w:jc w:val="center"/>
              <w:rPr>
                <w:rFonts w:hint="default"/>
                <w:b/>
                <w:color w:val="auto"/>
                <w:sz w:val="28"/>
              </w:rPr>
            </w:pPr>
            <w:r>
              <w:rPr>
                <w:rFonts w:hint="eastAsia"/>
                <w:b/>
                <w:color w:val="auto"/>
                <w:sz w:val="28"/>
              </w:rPr>
              <w:t>q=4342（1+0.961lgp）/（t+13P</w:t>
            </w:r>
            <w:r>
              <w:rPr>
                <w:rFonts w:hint="eastAsia"/>
                <w:b/>
                <w:color w:val="auto"/>
                <w:sz w:val="28"/>
                <w:vertAlign w:val="superscript"/>
              </w:rPr>
              <w:t>0.09</w:t>
            </w:r>
            <w:r>
              <w:rPr>
                <w:rFonts w:hint="eastAsia"/>
                <w:b/>
                <w:color w:val="auto"/>
                <w:sz w:val="28"/>
              </w:rPr>
              <w:t>）</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雨水流量按下式计算：</w:t>
            </w:r>
          </w:p>
          <w:p>
            <w:pPr>
              <w:pStyle w:val="49"/>
              <w:keepNext w:val="0"/>
              <w:keepLines w:val="0"/>
              <w:suppressLineNumbers w:val="0"/>
              <w:spacing w:before="0" w:beforeAutospacing="0" w:after="0" w:afterAutospacing="0"/>
              <w:ind w:left="0" w:right="0" w:firstLine="562"/>
              <w:jc w:val="center"/>
              <w:rPr>
                <w:rFonts w:hint="default"/>
                <w:b/>
                <w:color w:val="auto"/>
                <w:sz w:val="28"/>
              </w:rPr>
            </w:pPr>
            <w:r>
              <w:rPr>
                <w:rFonts w:hint="eastAsia"/>
                <w:b/>
                <w:color w:val="auto"/>
                <w:sz w:val="28"/>
                <w:szCs w:val="28"/>
              </w:rPr>
              <w:t>Q=ψ.q.F</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式中：Q—雨水流量，m</w:t>
            </w:r>
            <w:r>
              <w:rPr>
                <w:rFonts w:hint="eastAsia"/>
                <w:color w:val="auto"/>
                <w:vertAlign w:val="superscript"/>
              </w:rPr>
              <w:t>3</w:t>
            </w:r>
            <w:r>
              <w:rPr>
                <w:rFonts w:hint="eastAsia"/>
                <w:color w:val="auto"/>
              </w:rPr>
              <w:t>/h；</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Ψ—径流系数，经验数值为0.8（地面硬化）；</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F—汇水面积，约</w:t>
            </w:r>
            <w:r>
              <w:rPr>
                <w:rFonts w:hint="eastAsia"/>
                <w:color w:val="auto"/>
                <w:lang w:val="en-US" w:eastAsia="zh-CN"/>
              </w:rPr>
              <w:t>2743</w:t>
            </w:r>
            <w:r>
              <w:rPr>
                <w:rFonts w:hint="eastAsia"/>
                <w:color w:val="auto"/>
              </w:rPr>
              <w:t>m</w:t>
            </w:r>
            <w:r>
              <w:rPr>
                <w:rFonts w:hint="eastAsia"/>
                <w:color w:val="auto"/>
                <w:vertAlign w:val="superscript"/>
              </w:rPr>
              <w:t>2</w:t>
            </w:r>
            <w:r>
              <w:rPr>
                <w:rFonts w:hint="eastAsia"/>
                <w:color w:val="auto"/>
              </w:rPr>
              <w:t>；（只考虑露天地面面积）</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q—设计暴雨强度，L/S.hm</w:t>
            </w:r>
            <w:r>
              <w:rPr>
                <w:rFonts w:hint="eastAsia"/>
                <w:color w:val="auto"/>
                <w:vertAlign w:val="superscript"/>
              </w:rPr>
              <w:t>2</w:t>
            </w:r>
            <w:r>
              <w:rPr>
                <w:rFonts w:hint="eastAsia"/>
                <w:color w:val="auto"/>
              </w:rPr>
              <w:t>；</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t—降雨历时（h），30min；</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p—暴雨重现期（年），1年</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根据计算，暴雨强度q为100.98（L/S.hm</w:t>
            </w:r>
            <w:r>
              <w:rPr>
                <w:rFonts w:hint="eastAsia"/>
                <w:color w:val="auto"/>
                <w:vertAlign w:val="superscript"/>
              </w:rPr>
              <w:t>2</w:t>
            </w:r>
            <w:r>
              <w:rPr>
                <w:rFonts w:hint="eastAsia"/>
                <w:color w:val="auto"/>
              </w:rPr>
              <w:t>）。</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本项目区集雨面积取</w:t>
            </w:r>
            <w:r>
              <w:rPr>
                <w:rFonts w:hint="eastAsia"/>
                <w:color w:val="auto"/>
                <w:lang w:val="en-US" w:eastAsia="zh-CN"/>
              </w:rPr>
              <w:t>2743</w:t>
            </w:r>
            <w:r>
              <w:rPr>
                <w:rFonts w:hint="eastAsia"/>
                <w:color w:val="auto"/>
              </w:rPr>
              <w:t>m</w:t>
            </w:r>
            <w:r>
              <w:rPr>
                <w:rFonts w:hint="eastAsia"/>
                <w:color w:val="auto"/>
                <w:vertAlign w:val="superscript"/>
              </w:rPr>
              <w:t>2</w:t>
            </w:r>
            <w:r>
              <w:rPr>
                <w:rFonts w:hint="eastAsia"/>
                <w:color w:val="auto"/>
              </w:rPr>
              <w:t>，经计算，初期雨水量为</w:t>
            </w:r>
            <w:r>
              <w:rPr>
                <w:rFonts w:hint="eastAsia"/>
                <w:color w:val="auto"/>
                <w:lang w:val="en-US" w:eastAsia="zh-CN"/>
              </w:rPr>
              <w:t>79.8</w:t>
            </w:r>
            <w:r>
              <w:rPr>
                <w:rFonts w:hint="eastAsia"/>
                <w:color w:val="auto"/>
              </w:rPr>
              <w:t>m</w:t>
            </w:r>
            <w:r>
              <w:rPr>
                <w:rFonts w:hint="eastAsia"/>
                <w:color w:val="auto"/>
                <w:vertAlign w:val="superscript"/>
              </w:rPr>
              <w:t>3</w:t>
            </w:r>
            <w:r>
              <w:rPr>
                <w:rFonts w:hint="eastAsia"/>
                <w:color w:val="auto"/>
              </w:rPr>
              <w:t>/h。收集下雨前15分钟的初期雨水，初期雨水量为</w:t>
            </w:r>
            <w:r>
              <w:rPr>
                <w:rFonts w:hint="eastAsia"/>
                <w:color w:val="auto"/>
                <w:lang w:val="en-US" w:eastAsia="zh-CN"/>
              </w:rPr>
              <w:t>19.95</w:t>
            </w:r>
            <w:r>
              <w:rPr>
                <w:rFonts w:hint="eastAsia"/>
                <w:color w:val="auto"/>
              </w:rPr>
              <w:t>m</w:t>
            </w:r>
            <w:r>
              <w:rPr>
                <w:rFonts w:hint="eastAsia"/>
                <w:color w:val="auto"/>
                <w:vertAlign w:val="superscript"/>
              </w:rPr>
              <w:t>3</w:t>
            </w:r>
            <w:r>
              <w:rPr>
                <w:rFonts w:hint="eastAsia"/>
                <w:color w:val="auto"/>
              </w:rPr>
              <w:t>/次、</w:t>
            </w:r>
            <w:r>
              <w:rPr>
                <w:rFonts w:hint="eastAsia"/>
                <w:color w:val="auto"/>
                <w:lang w:val="en-US" w:eastAsia="zh-CN"/>
              </w:rPr>
              <w:t>2693.3</w:t>
            </w:r>
            <w:r>
              <w:rPr>
                <w:rFonts w:hint="eastAsia"/>
                <w:color w:val="auto"/>
              </w:rPr>
              <w:t>m</w:t>
            </w:r>
            <w:r>
              <w:rPr>
                <w:rFonts w:hint="eastAsia"/>
                <w:color w:val="auto"/>
                <w:vertAlign w:val="superscript"/>
              </w:rPr>
              <w:t>3</w:t>
            </w:r>
            <w:r>
              <w:rPr>
                <w:rFonts w:hint="eastAsia"/>
                <w:color w:val="auto"/>
              </w:rPr>
              <w:t>/a，项目设置1个容积为40m</w:t>
            </w:r>
            <w:r>
              <w:rPr>
                <w:rFonts w:hint="eastAsia"/>
                <w:color w:val="auto"/>
                <w:vertAlign w:val="superscript"/>
              </w:rPr>
              <w:t>3</w:t>
            </w:r>
            <w:r>
              <w:rPr>
                <w:rFonts w:hint="eastAsia"/>
                <w:color w:val="auto"/>
              </w:rPr>
              <w:t>的初期雨水收集池，</w:t>
            </w:r>
            <w:r>
              <w:rPr>
                <w:rFonts w:hint="default"/>
                <w:color w:val="auto"/>
                <w:spacing w:val="2"/>
                <w:lang w:bidi="ar"/>
              </w:rPr>
              <w:t>初期雨水经初期雨水收集池</w:t>
            </w:r>
            <w:r>
              <w:rPr>
                <w:rFonts w:hint="eastAsia"/>
                <w:color w:val="auto"/>
                <w:spacing w:val="2"/>
                <w:lang w:bidi="ar"/>
              </w:rPr>
              <w:t>收集后</w:t>
            </w:r>
            <w:r>
              <w:rPr>
                <w:rFonts w:hint="eastAsia"/>
                <w:color w:val="auto"/>
                <w:spacing w:val="2"/>
                <w:lang w:val="en-US" w:eastAsia="zh-CN" w:bidi="ar"/>
              </w:rPr>
              <w:t>进入自建的污水处理站处理，之后回用于项目区绿化灌溉及洒水降尘，不外排。</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（4）洒水降尘用水</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项目区报废汽车堆场、拆解车间总面积为</w:t>
            </w:r>
            <w:r>
              <w:rPr>
                <w:rFonts w:hint="eastAsia"/>
                <w:color w:val="auto"/>
                <w:lang w:val="en-US" w:eastAsia="zh-CN"/>
              </w:rPr>
              <w:t>5495</w:t>
            </w:r>
            <w:r>
              <w:rPr>
                <w:rFonts w:hint="eastAsia"/>
                <w:color w:val="auto"/>
              </w:rPr>
              <w:t>m</w:t>
            </w:r>
            <w:r>
              <w:rPr>
                <w:rFonts w:hint="eastAsia"/>
                <w:color w:val="auto"/>
                <w:vertAlign w:val="superscript"/>
              </w:rPr>
              <w:t>2</w:t>
            </w:r>
            <w:r>
              <w:rPr>
                <w:rFonts w:hint="eastAsia"/>
                <w:color w:val="auto"/>
              </w:rPr>
              <w:t>，</w:t>
            </w:r>
            <w:r>
              <w:rPr>
                <w:rFonts w:hint="default"/>
                <w:color w:val="auto"/>
              </w:rPr>
              <w:t>用水量按1L/m</w:t>
            </w:r>
            <w:r>
              <w:rPr>
                <w:rFonts w:hint="default"/>
                <w:color w:val="auto"/>
                <w:vertAlign w:val="superscript"/>
              </w:rPr>
              <w:t>2</w:t>
            </w:r>
            <w:r>
              <w:rPr>
                <w:rFonts w:hint="default"/>
                <w:color w:val="auto"/>
              </w:rPr>
              <w:t>·次计，非雨天洒水每天</w:t>
            </w:r>
            <w:r>
              <w:rPr>
                <w:rFonts w:hint="eastAsia"/>
                <w:color w:val="auto"/>
                <w:lang w:val="en-US" w:eastAsia="zh-CN"/>
              </w:rPr>
              <w:t>1</w:t>
            </w:r>
            <w:r>
              <w:rPr>
                <w:rFonts w:hint="default"/>
                <w:color w:val="auto"/>
              </w:rPr>
              <w:t>次，非雨天以230天计，抑尘用水量约为</w:t>
            </w:r>
            <w:r>
              <w:rPr>
                <w:rFonts w:hint="eastAsia"/>
                <w:color w:val="auto"/>
                <w:lang w:val="en-US" w:eastAsia="zh-CN"/>
              </w:rPr>
              <w:t>5.5</w:t>
            </w:r>
            <w:r>
              <w:rPr>
                <w:rFonts w:hint="default"/>
                <w:color w:val="auto"/>
              </w:rPr>
              <w:t>m</w:t>
            </w:r>
            <w:r>
              <w:rPr>
                <w:rFonts w:hint="default"/>
                <w:color w:val="auto"/>
                <w:vertAlign w:val="superscript"/>
              </w:rPr>
              <w:t>3</w:t>
            </w:r>
            <w:r>
              <w:rPr>
                <w:rFonts w:hint="default"/>
                <w:color w:val="auto"/>
              </w:rPr>
              <w:t>/d、</w:t>
            </w:r>
            <w:r>
              <w:rPr>
                <w:rFonts w:hint="eastAsia"/>
                <w:color w:val="auto"/>
                <w:lang w:val="en-US" w:eastAsia="zh-CN"/>
              </w:rPr>
              <w:t>1265</w:t>
            </w:r>
            <w:r>
              <w:rPr>
                <w:rFonts w:hint="default"/>
                <w:color w:val="auto"/>
              </w:rPr>
              <w:t>m</w:t>
            </w:r>
            <w:r>
              <w:rPr>
                <w:rFonts w:hint="default"/>
                <w:color w:val="auto"/>
                <w:vertAlign w:val="superscript"/>
              </w:rPr>
              <w:t>3</w:t>
            </w:r>
            <w:r>
              <w:rPr>
                <w:rFonts w:hint="default"/>
                <w:color w:val="auto"/>
              </w:rPr>
              <w:t>/a，</w:t>
            </w:r>
            <w:r>
              <w:rPr>
                <w:rFonts w:hint="eastAsia"/>
                <w:color w:val="auto"/>
              </w:rPr>
              <w:t>全部使用处理后的初期雨水，</w:t>
            </w:r>
            <w:r>
              <w:rPr>
                <w:rFonts w:hint="default"/>
                <w:color w:val="auto"/>
              </w:rPr>
              <w:t>此部分用水</w:t>
            </w:r>
            <w:r>
              <w:rPr>
                <w:rFonts w:hint="eastAsia"/>
                <w:color w:val="auto"/>
                <w:lang w:val="en-US" w:eastAsia="zh-CN"/>
              </w:rPr>
              <w:t>全部</w:t>
            </w:r>
            <w:r>
              <w:rPr>
                <w:rFonts w:hint="default"/>
                <w:color w:val="auto"/>
              </w:rPr>
              <w:t>蒸发，不外排</w:t>
            </w:r>
            <w:r>
              <w:rPr>
                <w:rFonts w:hint="eastAsia"/>
                <w:color w:val="auto"/>
              </w:rPr>
              <w:t>。</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（5）绿化用水</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 xml:space="preserve">根据设计资料可知，项目绿化面积约 </w:t>
            </w:r>
            <w:r>
              <w:rPr>
                <w:rFonts w:hint="eastAsia"/>
                <w:color w:val="auto"/>
                <w:lang w:val="en-US" w:eastAsia="zh-CN"/>
              </w:rPr>
              <w:t>2100</w:t>
            </w:r>
            <w:r>
              <w:rPr>
                <w:rFonts w:hint="eastAsia"/>
                <w:color w:val="auto"/>
              </w:rPr>
              <w:t>m</w:t>
            </w:r>
            <w:r>
              <w:rPr>
                <w:rFonts w:hint="eastAsia"/>
                <w:color w:val="auto"/>
                <w:vertAlign w:val="superscript"/>
              </w:rPr>
              <w:t>2</w:t>
            </w:r>
            <w:r>
              <w:rPr>
                <w:rFonts w:hint="eastAsia"/>
                <w:color w:val="auto"/>
              </w:rPr>
              <w:t>，根据《云南省用水定额标准》(DB53/T168-2019)，绿化用水量按 3L/(m</w:t>
            </w:r>
            <w:r>
              <w:rPr>
                <w:rFonts w:hint="eastAsia"/>
                <w:color w:val="auto"/>
                <w:vertAlign w:val="superscript"/>
              </w:rPr>
              <w:t>2</w:t>
            </w:r>
            <w:r>
              <w:rPr>
                <w:rFonts w:hint="eastAsia"/>
                <w:b/>
                <w:color w:val="auto"/>
              </w:rPr>
              <w:sym w:font="Wingdings 2" w:char="F0B4"/>
            </w:r>
            <w:r>
              <w:rPr>
                <w:rFonts w:hint="eastAsia"/>
                <w:color w:val="auto"/>
              </w:rPr>
              <w:t xml:space="preserve">次)计，非雨天（以230天计）每天浇洒一次，则绿化用水量为 </w:t>
            </w:r>
            <w:r>
              <w:rPr>
                <w:rFonts w:hint="eastAsia"/>
                <w:color w:val="auto"/>
                <w:lang w:val="en-US" w:eastAsia="zh-CN"/>
              </w:rPr>
              <w:t>6.3</w:t>
            </w:r>
            <w:r>
              <w:rPr>
                <w:rFonts w:hint="eastAsia"/>
                <w:color w:val="auto"/>
              </w:rPr>
              <w:t>m</w:t>
            </w:r>
            <w:r>
              <w:rPr>
                <w:rFonts w:hint="eastAsia"/>
                <w:color w:val="auto"/>
                <w:vertAlign w:val="superscript"/>
              </w:rPr>
              <w:t>3</w:t>
            </w:r>
            <w:r>
              <w:rPr>
                <w:rFonts w:hint="eastAsia"/>
                <w:color w:val="auto"/>
              </w:rPr>
              <w:t>/d。共</w:t>
            </w:r>
            <w:r>
              <w:rPr>
                <w:rFonts w:hint="eastAsia"/>
                <w:color w:val="auto"/>
                <w:lang w:val="en-US" w:eastAsia="zh-CN"/>
              </w:rPr>
              <w:t>1449</w:t>
            </w:r>
            <w:r>
              <w:rPr>
                <w:rFonts w:hint="eastAsia"/>
                <w:color w:val="auto"/>
              </w:rPr>
              <w:t>m</w:t>
            </w:r>
            <w:r>
              <w:rPr>
                <w:rFonts w:hint="eastAsia"/>
                <w:color w:val="auto"/>
                <w:vertAlign w:val="superscript"/>
              </w:rPr>
              <w:t>3</w:t>
            </w:r>
            <w:r>
              <w:rPr>
                <w:rFonts w:hint="eastAsia"/>
                <w:color w:val="auto"/>
              </w:rPr>
              <w:t>/a，绿化用水使用</w:t>
            </w:r>
            <w:r>
              <w:rPr>
                <w:rFonts w:hint="eastAsia"/>
                <w:color w:val="auto"/>
                <w:lang w:val="en-US" w:eastAsia="zh-CN"/>
              </w:rPr>
              <w:t>处理过后的初期雨水，不足部分用新鲜水补充</w:t>
            </w:r>
            <w:r>
              <w:rPr>
                <w:rFonts w:hint="eastAsia"/>
                <w:color w:val="auto"/>
              </w:rPr>
              <w:t>。绿化用水经土地吸收渗滤、植物吸收和蒸发后，无废水外排。</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（5）水平衡</w:t>
            </w:r>
          </w:p>
          <w:p>
            <w:pPr>
              <w:pStyle w:val="49"/>
              <w:keepNext w:val="0"/>
              <w:keepLines w:val="0"/>
              <w:suppressLineNumbers w:val="0"/>
              <w:spacing w:before="0" w:beforeAutospacing="0" w:after="0" w:afterAutospacing="0"/>
              <w:ind w:left="0" w:right="0"/>
              <w:jc w:val="left"/>
              <w:rPr>
                <w:rFonts w:hint="default"/>
                <w:color w:val="auto"/>
              </w:rPr>
            </w:pPr>
            <w:r>
              <w:rPr>
                <w:rFonts w:hint="default"/>
                <w:color w:val="auto"/>
              </w:rPr>
              <w:t>项目运营期用水及废水汇总详见下表：</w:t>
            </w:r>
          </w:p>
          <w:p>
            <w:pPr>
              <w:pStyle w:val="49"/>
              <w:keepNext w:val="0"/>
              <w:keepLines w:val="0"/>
              <w:suppressLineNumbers w:val="0"/>
              <w:spacing w:before="0" w:beforeAutospacing="0" w:after="0" w:afterAutospacing="0"/>
              <w:ind w:left="0" w:right="0" w:firstLine="482"/>
              <w:jc w:val="center"/>
              <w:rPr>
                <w:rFonts w:hint="default"/>
                <w:b/>
                <w:color w:val="auto"/>
              </w:rPr>
            </w:pPr>
            <w:r>
              <w:rPr>
                <w:rFonts w:hint="eastAsia"/>
                <w:b/>
                <w:color w:val="auto"/>
              </w:rPr>
              <w:t>表4-</w:t>
            </w:r>
            <w:r>
              <w:rPr>
                <w:rFonts w:hint="eastAsia"/>
                <w:b/>
                <w:color w:val="auto"/>
                <w:lang w:val="en-US" w:eastAsia="zh-CN"/>
              </w:rPr>
              <w:t>8</w:t>
            </w:r>
            <w:r>
              <w:rPr>
                <w:rFonts w:hint="eastAsia"/>
                <w:b/>
                <w:color w:val="auto"/>
              </w:rPr>
              <w:t xml:space="preserve">   项目运营期用水及废水汇总表</w:t>
            </w:r>
          </w:p>
          <w:tbl>
            <w:tblPr>
              <w:tblStyle w:val="23"/>
              <w:tblW w:w="8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56"/>
              <w:gridCol w:w="999"/>
              <w:gridCol w:w="1283"/>
              <w:gridCol w:w="1425"/>
              <w:gridCol w:w="129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序号</w:t>
                  </w:r>
                </w:p>
              </w:tc>
              <w:tc>
                <w:tcPr>
                  <w:tcW w:w="85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产污环节</w:t>
                  </w:r>
                </w:p>
              </w:tc>
              <w:tc>
                <w:tcPr>
                  <w:tcW w:w="99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类别</w:t>
                  </w:r>
                </w:p>
              </w:tc>
              <w:tc>
                <w:tcPr>
                  <w:tcW w:w="1283"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定额</w:t>
                  </w:r>
                </w:p>
              </w:tc>
              <w:tc>
                <w:tcPr>
                  <w:tcW w:w="142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用水量</w:t>
                  </w:r>
                  <w:r>
                    <w:rPr>
                      <w:rFonts w:hint="eastAsia"/>
                      <w:b/>
                      <w:color w:val="auto"/>
                      <w:sz w:val="21"/>
                      <w:szCs w:val="21"/>
                    </w:rPr>
                    <w:t>m</w:t>
                  </w:r>
                  <w:r>
                    <w:rPr>
                      <w:rFonts w:hint="eastAsia"/>
                      <w:b/>
                      <w:color w:val="auto"/>
                      <w:sz w:val="21"/>
                      <w:szCs w:val="21"/>
                      <w:vertAlign w:val="superscript"/>
                    </w:rPr>
                    <w:t>3</w:t>
                  </w:r>
                  <w:r>
                    <w:rPr>
                      <w:rFonts w:hint="eastAsia"/>
                      <w:b/>
                      <w:color w:val="auto"/>
                      <w:sz w:val="21"/>
                      <w:szCs w:val="21"/>
                    </w:rPr>
                    <w:t>/d</w:t>
                  </w:r>
                </w:p>
              </w:tc>
              <w:tc>
                <w:tcPr>
                  <w:tcW w:w="129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污水量</w:t>
                  </w:r>
                  <w:r>
                    <w:rPr>
                      <w:rFonts w:hint="eastAsia"/>
                      <w:b/>
                      <w:color w:val="auto"/>
                      <w:sz w:val="21"/>
                      <w:szCs w:val="21"/>
                    </w:rPr>
                    <w:t>m</w:t>
                  </w:r>
                  <w:r>
                    <w:rPr>
                      <w:rFonts w:hint="eastAsia"/>
                      <w:b/>
                      <w:color w:val="auto"/>
                      <w:sz w:val="21"/>
                      <w:szCs w:val="21"/>
                      <w:vertAlign w:val="superscript"/>
                    </w:rPr>
                    <w:t>3</w:t>
                  </w:r>
                  <w:r>
                    <w:rPr>
                      <w:rFonts w:hint="eastAsia"/>
                      <w:b/>
                      <w:color w:val="auto"/>
                      <w:sz w:val="21"/>
                      <w:szCs w:val="21"/>
                    </w:rPr>
                    <w:t>/d</w:t>
                  </w:r>
                </w:p>
              </w:tc>
              <w:tc>
                <w:tcPr>
                  <w:tcW w:w="213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5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856"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员工生活</w:t>
                  </w:r>
                </w:p>
              </w:tc>
              <w:tc>
                <w:tcPr>
                  <w:tcW w:w="99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食堂废水</w:t>
                  </w:r>
                </w:p>
              </w:tc>
              <w:tc>
                <w:tcPr>
                  <w:tcW w:w="1283"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30</w:t>
                  </w:r>
                  <w:r>
                    <w:rPr>
                      <w:rFonts w:hint="eastAsia"/>
                      <w:color w:val="auto"/>
                    </w:rPr>
                    <w:t xml:space="preserve"> </w:t>
                  </w:r>
                  <w:r>
                    <w:rPr>
                      <w:rFonts w:hint="eastAsia"/>
                      <w:color w:val="auto"/>
                      <w:sz w:val="21"/>
                      <w:szCs w:val="21"/>
                    </w:rPr>
                    <w:t>L（人</w:t>
                  </w:r>
                  <w:r>
                    <w:rPr>
                      <w:rFonts w:hint="eastAsia"/>
                      <w:color w:val="auto"/>
                      <w:sz w:val="21"/>
                      <w:szCs w:val="21"/>
                    </w:rPr>
                    <w:sym w:font="Wingdings 2" w:char="F0B4"/>
                  </w:r>
                  <w:r>
                    <w:rPr>
                      <w:rFonts w:hint="eastAsia"/>
                      <w:color w:val="auto"/>
                      <w:sz w:val="21"/>
                      <w:szCs w:val="21"/>
                    </w:rPr>
                    <w:t>d）</w:t>
                  </w:r>
                </w:p>
              </w:tc>
              <w:tc>
                <w:tcPr>
                  <w:tcW w:w="142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0.63</w:t>
                  </w:r>
                </w:p>
              </w:tc>
              <w:tc>
                <w:tcPr>
                  <w:tcW w:w="129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0.5</w:t>
                  </w:r>
                </w:p>
              </w:tc>
              <w:tc>
                <w:tcPr>
                  <w:tcW w:w="2137"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default"/>
                      <w:color w:val="auto"/>
                      <w:sz w:val="21"/>
                      <w:szCs w:val="21"/>
                    </w:rPr>
                    <w:t>食堂废水经隔油池处理后与生活污水一起进入化粪池，之后</w:t>
                  </w:r>
                  <w:r>
                    <w:rPr>
                      <w:rFonts w:hint="eastAsia"/>
                      <w:color w:val="auto"/>
                      <w:sz w:val="21"/>
                      <w:szCs w:val="21"/>
                      <w:lang w:val="en-US" w:eastAsia="zh-CN"/>
                    </w:rPr>
                    <w:t>回用于绿化施肥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85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99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办公生活废水</w:t>
                  </w:r>
                </w:p>
              </w:tc>
              <w:tc>
                <w:tcPr>
                  <w:tcW w:w="1283"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80</w:t>
                  </w:r>
                  <w:r>
                    <w:rPr>
                      <w:rFonts w:hint="eastAsia"/>
                      <w:color w:val="auto"/>
                    </w:rPr>
                    <w:t xml:space="preserve"> </w:t>
                  </w:r>
                  <w:r>
                    <w:rPr>
                      <w:rFonts w:hint="eastAsia"/>
                      <w:color w:val="auto"/>
                      <w:sz w:val="21"/>
                      <w:szCs w:val="21"/>
                    </w:rPr>
                    <w:t>L（人</w:t>
                  </w:r>
                  <w:r>
                    <w:rPr>
                      <w:rFonts w:hint="eastAsia"/>
                      <w:color w:val="auto"/>
                      <w:sz w:val="21"/>
                      <w:szCs w:val="21"/>
                    </w:rPr>
                    <w:sym w:font="Wingdings 2" w:char="F0B4"/>
                  </w:r>
                  <w:r>
                    <w:rPr>
                      <w:rFonts w:hint="eastAsia"/>
                      <w:color w:val="auto"/>
                      <w:sz w:val="21"/>
                      <w:szCs w:val="21"/>
                    </w:rPr>
                    <w:t>d）</w:t>
                  </w:r>
                </w:p>
              </w:tc>
              <w:tc>
                <w:tcPr>
                  <w:tcW w:w="142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1.68</w:t>
                  </w:r>
                </w:p>
              </w:tc>
              <w:tc>
                <w:tcPr>
                  <w:tcW w:w="129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51</w:t>
                  </w:r>
                </w:p>
              </w:tc>
              <w:tc>
                <w:tcPr>
                  <w:tcW w:w="213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w:t>
                  </w:r>
                </w:p>
              </w:tc>
              <w:tc>
                <w:tcPr>
                  <w:tcW w:w="85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初期雨水</w:t>
                  </w:r>
                </w:p>
              </w:tc>
              <w:tc>
                <w:tcPr>
                  <w:tcW w:w="99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初期雨水</w:t>
                  </w:r>
                </w:p>
              </w:tc>
              <w:tc>
                <w:tcPr>
                  <w:tcW w:w="1283"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w:t>
                  </w:r>
                </w:p>
              </w:tc>
              <w:tc>
                <w:tcPr>
                  <w:tcW w:w="142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w:t>
                  </w:r>
                </w:p>
              </w:tc>
              <w:tc>
                <w:tcPr>
                  <w:tcW w:w="129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19.95</w:t>
                  </w:r>
                  <w:r>
                    <w:rPr>
                      <w:rFonts w:hint="eastAsia"/>
                      <w:color w:val="auto"/>
                      <w:sz w:val="21"/>
                      <w:szCs w:val="21"/>
                    </w:rPr>
                    <w:t>m</w:t>
                  </w:r>
                  <w:r>
                    <w:rPr>
                      <w:rFonts w:hint="eastAsia"/>
                      <w:color w:val="auto"/>
                      <w:sz w:val="21"/>
                      <w:szCs w:val="21"/>
                      <w:vertAlign w:val="superscript"/>
                    </w:rPr>
                    <w:t>3</w:t>
                  </w:r>
                  <w:r>
                    <w:rPr>
                      <w:rFonts w:hint="eastAsia"/>
                      <w:color w:val="auto"/>
                      <w:sz w:val="21"/>
                      <w:szCs w:val="21"/>
                    </w:rPr>
                    <w:t>/次</w:t>
                  </w:r>
                </w:p>
              </w:tc>
              <w:tc>
                <w:tcPr>
                  <w:tcW w:w="213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default"/>
                      <w:color w:val="auto"/>
                      <w:sz w:val="21"/>
                      <w:szCs w:val="21"/>
                    </w:rPr>
                    <w:t>经</w:t>
                  </w:r>
                  <w:r>
                    <w:rPr>
                      <w:rFonts w:hint="eastAsia"/>
                      <w:color w:val="auto"/>
                      <w:sz w:val="21"/>
                      <w:szCs w:val="21"/>
                      <w:lang w:val="en-US" w:eastAsia="zh-CN"/>
                    </w:rPr>
                    <w:t>雨水收集池收集后进入自建的污水处理站处理，之后回用于项目区绿化灌溉和洒水降尘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4</w:t>
                  </w:r>
                </w:p>
              </w:tc>
              <w:tc>
                <w:tcPr>
                  <w:tcW w:w="85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降尘</w:t>
                  </w:r>
                </w:p>
              </w:tc>
              <w:tc>
                <w:tcPr>
                  <w:tcW w:w="99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降尘用水</w:t>
                  </w:r>
                </w:p>
              </w:tc>
              <w:tc>
                <w:tcPr>
                  <w:tcW w:w="1283"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1L/m</w:t>
                  </w:r>
                  <w:r>
                    <w:rPr>
                      <w:rFonts w:hint="eastAsia"/>
                      <w:color w:val="auto"/>
                      <w:sz w:val="21"/>
                      <w:szCs w:val="21"/>
                      <w:vertAlign w:val="superscript"/>
                    </w:rPr>
                    <w:t>2</w:t>
                  </w:r>
                  <w:r>
                    <w:rPr>
                      <w:rFonts w:hint="eastAsia"/>
                      <w:color w:val="auto"/>
                      <w:sz w:val="21"/>
                      <w:szCs w:val="21"/>
                    </w:rPr>
                    <w:t>·次</w:t>
                  </w:r>
                </w:p>
              </w:tc>
              <w:tc>
                <w:tcPr>
                  <w:tcW w:w="142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5.5</w:t>
                  </w:r>
                  <w:r>
                    <w:rPr>
                      <w:rFonts w:hint="eastAsia"/>
                      <w:color w:val="auto"/>
                      <w:sz w:val="21"/>
                      <w:szCs w:val="21"/>
                    </w:rPr>
                    <w:t>m</w:t>
                  </w:r>
                  <w:r>
                    <w:rPr>
                      <w:rFonts w:hint="eastAsia"/>
                      <w:color w:val="auto"/>
                      <w:sz w:val="21"/>
                      <w:szCs w:val="21"/>
                      <w:vertAlign w:val="superscript"/>
                    </w:rPr>
                    <w:t>3</w:t>
                  </w:r>
                  <w:r>
                    <w:rPr>
                      <w:rFonts w:hint="eastAsia"/>
                      <w:color w:val="auto"/>
                      <w:sz w:val="21"/>
                      <w:szCs w:val="21"/>
                    </w:rPr>
                    <w:t>/d</w:t>
                  </w:r>
                </w:p>
              </w:tc>
              <w:tc>
                <w:tcPr>
                  <w:tcW w:w="129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w:t>
                  </w:r>
                </w:p>
              </w:tc>
              <w:tc>
                <w:tcPr>
                  <w:tcW w:w="213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全部蒸发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5</w:t>
                  </w:r>
                </w:p>
              </w:tc>
              <w:tc>
                <w:tcPr>
                  <w:tcW w:w="85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绿化</w:t>
                  </w:r>
                </w:p>
              </w:tc>
              <w:tc>
                <w:tcPr>
                  <w:tcW w:w="99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绿化用水</w:t>
                  </w:r>
                </w:p>
              </w:tc>
              <w:tc>
                <w:tcPr>
                  <w:tcW w:w="1283"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3L/(m</w:t>
                  </w:r>
                  <w:r>
                    <w:rPr>
                      <w:rFonts w:hint="eastAsia"/>
                      <w:color w:val="auto"/>
                      <w:sz w:val="21"/>
                      <w:szCs w:val="21"/>
                      <w:vertAlign w:val="superscript"/>
                    </w:rPr>
                    <w:t>2</w:t>
                  </w:r>
                  <w:r>
                    <w:rPr>
                      <w:rFonts w:hint="eastAsia"/>
                      <w:b/>
                      <w:color w:val="auto"/>
                      <w:sz w:val="21"/>
                      <w:szCs w:val="21"/>
                    </w:rPr>
                    <w:sym w:font="Wingdings 2" w:char="F0B4"/>
                  </w:r>
                  <w:r>
                    <w:rPr>
                      <w:rFonts w:hint="eastAsia"/>
                      <w:color w:val="auto"/>
                      <w:sz w:val="21"/>
                      <w:szCs w:val="21"/>
                    </w:rPr>
                    <w:t>次)</w:t>
                  </w:r>
                </w:p>
              </w:tc>
              <w:tc>
                <w:tcPr>
                  <w:tcW w:w="142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6.3</w:t>
                  </w:r>
                  <w:r>
                    <w:rPr>
                      <w:rFonts w:hint="eastAsia"/>
                      <w:color w:val="auto"/>
                    </w:rPr>
                    <w:t xml:space="preserve"> </w:t>
                  </w:r>
                  <w:r>
                    <w:rPr>
                      <w:rFonts w:hint="eastAsia"/>
                      <w:color w:val="auto"/>
                      <w:sz w:val="21"/>
                      <w:szCs w:val="21"/>
                    </w:rPr>
                    <w:t>m</w:t>
                  </w:r>
                  <w:r>
                    <w:rPr>
                      <w:rFonts w:hint="eastAsia"/>
                      <w:color w:val="auto"/>
                      <w:sz w:val="21"/>
                      <w:szCs w:val="21"/>
                      <w:vertAlign w:val="superscript"/>
                    </w:rPr>
                    <w:t>3</w:t>
                  </w:r>
                  <w:r>
                    <w:rPr>
                      <w:rFonts w:hint="eastAsia"/>
                      <w:color w:val="auto"/>
                      <w:sz w:val="21"/>
                      <w:szCs w:val="21"/>
                    </w:rPr>
                    <w:t>/d</w:t>
                  </w:r>
                </w:p>
              </w:tc>
              <w:tc>
                <w:tcPr>
                  <w:tcW w:w="129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w:t>
                  </w:r>
                </w:p>
              </w:tc>
              <w:tc>
                <w:tcPr>
                  <w:tcW w:w="213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非雨天</w:t>
                  </w:r>
                  <w:r>
                    <w:rPr>
                      <w:rFonts w:hint="eastAsia"/>
                      <w:color w:val="auto"/>
                      <w:sz w:val="21"/>
                      <w:szCs w:val="21"/>
                    </w:rPr>
                    <w:t>1d/次，全部蒸发，</w:t>
                  </w:r>
                  <w:r>
                    <w:rPr>
                      <w:rFonts w:hint="default"/>
                      <w:color w:val="auto"/>
                      <w:sz w:val="21"/>
                      <w:szCs w:val="21"/>
                    </w:rPr>
                    <w:t xml:space="preserve"> </w:t>
                  </w:r>
                </w:p>
              </w:tc>
            </w:tr>
          </w:tbl>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项目区全年水平衡图见下图：</w:t>
            </w:r>
          </w:p>
          <w:p>
            <w:pPr>
              <w:pStyle w:val="49"/>
              <w:keepNext w:val="0"/>
              <w:keepLines w:val="0"/>
              <w:suppressLineNumbers w:val="0"/>
              <w:spacing w:before="0" w:beforeAutospacing="0" w:after="0" w:afterAutospacing="0"/>
              <w:ind w:left="0" w:right="0"/>
              <w:jc w:val="center"/>
              <w:rPr>
                <w:rFonts w:hint="default"/>
                <w:color w:val="auto"/>
              </w:rPr>
            </w:pPr>
          </w:p>
          <w:p>
            <w:pPr>
              <w:pStyle w:val="49"/>
              <w:keepNext w:val="0"/>
              <w:keepLines w:val="0"/>
              <w:suppressLineNumbers w:val="0"/>
              <w:spacing w:before="0" w:beforeAutospacing="0" w:after="0" w:afterAutospacing="0"/>
              <w:ind w:left="0" w:right="0" w:firstLine="0" w:firstLineChars="0"/>
              <w:jc w:val="center"/>
              <w:rPr>
                <w:rFonts w:hint="default"/>
                <w:b/>
                <w:color w:val="auto"/>
              </w:rPr>
            </w:pPr>
            <w:r>
              <w:rPr>
                <w:rFonts w:hint="default"/>
                <w:color w:val="auto"/>
              </w:rPr>
              <w:object>
                <v:shape id="_x0000_i1026" o:spt="75" type="#_x0000_t75" style="height:201.9pt;width:423.85pt;" o:ole="t" filled="f" o:preferrelative="t" stroked="f" coordsize="21600,21600">
                  <v:path/>
                  <v:fill on="f" focussize="0,0"/>
                  <v:stroke on="f"/>
                  <v:imagedata r:id="rId22" o:title=""/>
                  <o:lock v:ext="edit" aspectratio="t"/>
                  <w10:wrap type="none"/>
                  <w10:anchorlock/>
                </v:shape>
                <o:OLEObject Type="Embed" ProgID="Visio.Drawing.11" ShapeID="_x0000_i1026" DrawAspect="Content" ObjectID="_1468075726" r:id="rId21">
                  <o:LockedField>false</o:LockedField>
                </o:OLEObject>
              </w:object>
            </w:r>
            <w:r>
              <w:rPr>
                <w:rFonts w:hint="eastAsia"/>
                <w:b/>
                <w:color w:val="auto"/>
                <w:highlight w:val="none"/>
              </w:rPr>
              <w:t>图4-2 项目运营期非雨天水平衡图（m</w:t>
            </w:r>
            <w:r>
              <w:rPr>
                <w:rFonts w:hint="eastAsia"/>
                <w:b/>
                <w:color w:val="auto"/>
                <w:highlight w:val="none"/>
                <w:vertAlign w:val="superscript"/>
              </w:rPr>
              <w:t>3</w:t>
            </w:r>
            <w:r>
              <w:rPr>
                <w:rFonts w:hint="eastAsia"/>
                <w:b/>
                <w:color w:val="auto"/>
                <w:highlight w:val="none"/>
              </w:rPr>
              <w:t>/d）</w:t>
            </w:r>
          </w:p>
          <w:p>
            <w:pPr>
              <w:pStyle w:val="49"/>
              <w:keepNext w:val="0"/>
              <w:keepLines w:val="0"/>
              <w:suppressLineNumbers w:val="0"/>
              <w:spacing w:before="0" w:beforeAutospacing="0" w:after="0" w:afterAutospacing="0"/>
              <w:ind w:left="0" w:right="0" w:firstLine="0" w:firstLineChars="0"/>
              <w:jc w:val="center"/>
              <w:rPr>
                <w:rFonts w:hint="default"/>
                <w:b/>
                <w:color w:val="auto"/>
                <w:highlight w:val="red"/>
              </w:rPr>
            </w:pPr>
            <w:r>
              <w:rPr>
                <w:rFonts w:hint="default"/>
                <w:color w:val="auto"/>
              </w:rPr>
              <w:object>
                <v:shape id="_x0000_i1027" o:spt="75" type="#_x0000_t75" style="height:142.05pt;width:423.85pt;" o:ole="t" filled="f" o:preferrelative="t" stroked="f" coordsize="21600,21600">
                  <v:path/>
                  <v:fill on="f" focussize="0,0"/>
                  <v:stroke on="f"/>
                  <v:imagedata r:id="rId24" o:title=""/>
                  <o:lock v:ext="edit" aspectratio="t"/>
                  <w10:wrap type="none"/>
                  <w10:anchorlock/>
                </v:shape>
                <o:OLEObject Type="Embed" ProgID="Visio.Drawing.11" ShapeID="_x0000_i1027" DrawAspect="Content" ObjectID="_1468075727" r:id="rId23">
                  <o:LockedField>false</o:LockedField>
                </o:OLEObject>
              </w:object>
            </w:r>
            <w:r>
              <w:rPr>
                <w:rFonts w:hint="eastAsia"/>
                <w:b/>
                <w:color w:val="auto"/>
                <w:highlight w:val="none"/>
              </w:rPr>
              <w:t>图4-3 项目运营期雨天水平衡图（m</w:t>
            </w:r>
            <w:r>
              <w:rPr>
                <w:rFonts w:hint="eastAsia"/>
                <w:b/>
                <w:color w:val="auto"/>
                <w:highlight w:val="none"/>
                <w:vertAlign w:val="superscript"/>
              </w:rPr>
              <w:t>3</w:t>
            </w:r>
            <w:r>
              <w:rPr>
                <w:rFonts w:hint="eastAsia"/>
                <w:b/>
                <w:color w:val="auto"/>
                <w:highlight w:val="none"/>
              </w:rPr>
              <w:t>/d，初期雨水m</w:t>
            </w:r>
            <w:r>
              <w:rPr>
                <w:rFonts w:hint="eastAsia"/>
                <w:b/>
                <w:color w:val="auto"/>
                <w:highlight w:val="none"/>
                <w:vertAlign w:val="superscript"/>
              </w:rPr>
              <w:t>3</w:t>
            </w:r>
            <w:r>
              <w:rPr>
                <w:rFonts w:hint="eastAsia"/>
                <w:b/>
                <w:color w:val="auto"/>
                <w:highlight w:val="none"/>
              </w:rPr>
              <w:t>/次）</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2、水污染物产生及排放量</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生活污水主要污染物因子为COD、BOD</w:t>
            </w:r>
            <w:r>
              <w:rPr>
                <w:rFonts w:hint="eastAsia"/>
                <w:color w:val="auto"/>
                <w:vertAlign w:val="subscript"/>
              </w:rPr>
              <w:t>5</w:t>
            </w:r>
            <w:r>
              <w:rPr>
                <w:rFonts w:hint="eastAsia"/>
                <w:color w:val="auto"/>
              </w:rPr>
              <w:t>、SS、氨氮等，个污染因子的产生浓度分别为：COD：350mg/L、BOD</w:t>
            </w:r>
            <w:r>
              <w:rPr>
                <w:rFonts w:hint="eastAsia"/>
                <w:color w:val="auto"/>
                <w:vertAlign w:val="subscript"/>
              </w:rPr>
              <w:t>5</w:t>
            </w:r>
            <w:r>
              <w:rPr>
                <w:rFonts w:hint="eastAsia"/>
                <w:color w:val="auto"/>
              </w:rPr>
              <w:t>：200mg/L、SS：150mg/L、氨氮：40mg/L。</w:t>
            </w:r>
          </w:p>
          <w:p>
            <w:pPr>
              <w:keepNext w:val="0"/>
              <w:keepLines w:val="0"/>
              <w:widowControl/>
              <w:suppressLineNumbers w:val="0"/>
              <w:spacing w:before="0" w:beforeAutospacing="0" w:after="0" w:afterAutospacing="0"/>
              <w:ind w:left="0" w:right="0"/>
              <w:jc w:val="left"/>
              <w:rPr>
                <w:rFonts w:hint="default"/>
                <w:color w:val="auto"/>
              </w:rPr>
            </w:pPr>
            <w:r>
              <w:rPr>
                <w:rFonts w:hint="eastAsia"/>
                <w:color w:val="auto"/>
              </w:rPr>
              <w:t>初期雨水中的主要污染物为：COD、SS、石油类；</w:t>
            </w:r>
            <w:r>
              <w:rPr>
                <w:rFonts w:hint="eastAsia" w:ascii="宋体" w:hAnsi="宋体" w:eastAsia="宋体" w:cs="宋体"/>
                <w:color w:val="auto"/>
                <w:kern w:val="0"/>
                <w:sz w:val="24"/>
                <w:szCs w:val="24"/>
                <w:lang w:val="en-US" w:eastAsia="zh-CN" w:bidi="ar"/>
              </w:rPr>
              <w:t>本项目污水处理站工艺采用</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气浮装置</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生物接触氧化</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絮凝沉淀</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消毒</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其去除效率参照《红河州顺福再生资源利用有限责任公司报废汽车回收拆解项目竣工环境保护验收监测报告》中的监测数据进行分析，本项目污水处理站工艺与《红河州顺福再生资源利用有限责任公司报废汽车回收拆解项目》污水处理工艺一致，参考数据有效。</w:t>
            </w:r>
          </w:p>
          <w:p>
            <w:pPr>
              <w:pStyle w:val="49"/>
              <w:keepNext w:val="0"/>
              <w:keepLines w:val="0"/>
              <w:suppressLineNumbers w:val="0"/>
              <w:spacing w:before="0" w:beforeAutospacing="0" w:after="0" w:afterAutospacing="0"/>
              <w:ind w:left="0" w:right="0"/>
              <w:jc w:val="left"/>
              <w:rPr>
                <w:rFonts w:hint="eastAsia"/>
                <w:color w:val="auto"/>
              </w:rPr>
            </w:pPr>
            <w:r>
              <w:rPr>
                <w:rFonts w:hint="eastAsia"/>
                <w:color w:val="auto"/>
              </w:rPr>
              <w:t>建设项目废水污染物产生及排放情况见表4-</w:t>
            </w:r>
            <w:r>
              <w:rPr>
                <w:rFonts w:hint="eastAsia"/>
                <w:color w:val="auto"/>
                <w:lang w:val="en-US" w:eastAsia="zh-CN"/>
              </w:rPr>
              <w:t>9</w:t>
            </w:r>
            <w:r>
              <w:rPr>
                <w:rFonts w:hint="eastAsia"/>
                <w:color w:val="auto"/>
              </w:rPr>
              <w:t>。</w:t>
            </w:r>
          </w:p>
          <w:p>
            <w:pPr>
              <w:pStyle w:val="4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b/>
                <w:bCs/>
                <w:color w:val="auto"/>
                <w:lang w:val="en-US" w:eastAsia="zh-CN"/>
              </w:rPr>
              <w:t>表4-9  废水污染物产排情况</w:t>
            </w:r>
          </w:p>
          <w:tbl>
            <w:tblPr>
              <w:tblStyle w:val="23"/>
              <w:tblW w:w="8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690"/>
              <w:gridCol w:w="750"/>
              <w:gridCol w:w="750"/>
              <w:gridCol w:w="859"/>
              <w:gridCol w:w="750"/>
              <w:gridCol w:w="982"/>
              <w:gridCol w:w="859"/>
              <w:gridCol w:w="627"/>
              <w:gridCol w:w="668"/>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废水源</w:t>
                  </w:r>
                </w:p>
              </w:tc>
              <w:tc>
                <w:tcPr>
                  <w:tcW w:w="690"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产生水量（m</w:t>
                  </w:r>
                  <w:r>
                    <w:rPr>
                      <w:rFonts w:hint="eastAsia"/>
                      <w:color w:val="auto"/>
                      <w:sz w:val="21"/>
                      <w:szCs w:val="21"/>
                      <w:vertAlign w:val="superscript"/>
                    </w:rPr>
                    <w:t>3</w:t>
                  </w:r>
                  <w:r>
                    <w:rPr>
                      <w:rFonts w:hint="eastAsia"/>
                      <w:color w:val="auto"/>
                      <w:sz w:val="21"/>
                      <w:szCs w:val="21"/>
                    </w:rPr>
                    <w:t>/a）</w:t>
                  </w:r>
                </w:p>
              </w:tc>
              <w:tc>
                <w:tcPr>
                  <w:tcW w:w="750"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污染物名称</w:t>
                  </w:r>
                </w:p>
              </w:tc>
              <w:tc>
                <w:tcPr>
                  <w:tcW w:w="1609"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治理前</w:t>
                  </w:r>
                </w:p>
              </w:tc>
              <w:tc>
                <w:tcPr>
                  <w:tcW w:w="750"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去除率%</w:t>
                  </w:r>
                </w:p>
              </w:tc>
              <w:tc>
                <w:tcPr>
                  <w:tcW w:w="1841" w:type="dxa"/>
                  <w:gridSpan w:val="2"/>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治理后</w:t>
                  </w:r>
                </w:p>
              </w:tc>
              <w:tc>
                <w:tcPr>
                  <w:tcW w:w="627"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标准</w:t>
                  </w:r>
                </w:p>
              </w:tc>
              <w:tc>
                <w:tcPr>
                  <w:tcW w:w="668"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达标情况</w:t>
                  </w:r>
                </w:p>
              </w:tc>
              <w:tc>
                <w:tcPr>
                  <w:tcW w:w="1093"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690"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750"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浓度（mg/L）</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产生量（t/a）</w:t>
                  </w:r>
                </w:p>
              </w:tc>
              <w:tc>
                <w:tcPr>
                  <w:tcW w:w="750"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98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浓度（mg/L）</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排放量（t/a）</w:t>
                  </w:r>
                </w:p>
              </w:tc>
              <w:tc>
                <w:tcPr>
                  <w:tcW w:w="62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668"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093"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生活污水</w:t>
                  </w:r>
                </w:p>
              </w:tc>
              <w:tc>
                <w:tcPr>
                  <w:tcW w:w="690"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604.2</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COD</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350</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0.21</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15</w:t>
                  </w:r>
                </w:p>
              </w:tc>
              <w:tc>
                <w:tcPr>
                  <w:tcW w:w="98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297.5</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0.18</w:t>
                  </w:r>
                </w:p>
              </w:tc>
              <w:tc>
                <w:tcPr>
                  <w:tcW w:w="62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500</w:t>
                  </w:r>
                </w:p>
              </w:tc>
              <w:tc>
                <w:tcPr>
                  <w:tcW w:w="6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达标</w:t>
                  </w:r>
                </w:p>
              </w:tc>
              <w:tc>
                <w:tcPr>
                  <w:tcW w:w="1093"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rPr>
                    <w:t>经化粪池处理后</w:t>
                  </w:r>
                  <w:r>
                    <w:rPr>
                      <w:rFonts w:hint="eastAsia"/>
                      <w:color w:val="auto"/>
                      <w:sz w:val="21"/>
                      <w:szCs w:val="21"/>
                      <w:lang w:val="en-US" w:eastAsia="zh-CN"/>
                    </w:rPr>
                    <w:t>回用于项目区绿化施肥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690"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vertAlign w:val="subscript"/>
                    </w:rPr>
                  </w:pPr>
                  <w:r>
                    <w:rPr>
                      <w:rFonts w:hint="eastAsia"/>
                      <w:color w:val="auto"/>
                      <w:sz w:val="21"/>
                      <w:szCs w:val="21"/>
                    </w:rPr>
                    <w:t>BOD</w:t>
                  </w:r>
                  <w:r>
                    <w:rPr>
                      <w:rFonts w:hint="eastAsia"/>
                      <w:color w:val="auto"/>
                      <w:sz w:val="21"/>
                      <w:szCs w:val="21"/>
                      <w:vertAlign w:val="subscript"/>
                    </w:rPr>
                    <w:t>5</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200</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0.12</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9</w:t>
                  </w:r>
                </w:p>
              </w:tc>
              <w:tc>
                <w:tcPr>
                  <w:tcW w:w="98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182</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0.11</w:t>
                  </w:r>
                </w:p>
              </w:tc>
              <w:tc>
                <w:tcPr>
                  <w:tcW w:w="62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350</w:t>
                  </w:r>
                </w:p>
              </w:tc>
              <w:tc>
                <w:tcPr>
                  <w:tcW w:w="6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达标</w:t>
                  </w:r>
                </w:p>
              </w:tc>
              <w:tc>
                <w:tcPr>
                  <w:tcW w:w="1093"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690"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SS</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150</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0.09</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30</w:t>
                  </w:r>
                </w:p>
              </w:tc>
              <w:tc>
                <w:tcPr>
                  <w:tcW w:w="98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105</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0.063</w:t>
                  </w:r>
                </w:p>
              </w:tc>
              <w:tc>
                <w:tcPr>
                  <w:tcW w:w="62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400</w:t>
                  </w:r>
                </w:p>
              </w:tc>
              <w:tc>
                <w:tcPr>
                  <w:tcW w:w="6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达标</w:t>
                  </w:r>
                </w:p>
              </w:tc>
              <w:tc>
                <w:tcPr>
                  <w:tcW w:w="1093"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690"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氨氮</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40</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0.024</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w:t>
                  </w:r>
                </w:p>
              </w:tc>
              <w:tc>
                <w:tcPr>
                  <w:tcW w:w="98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38.8</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0.023</w:t>
                  </w:r>
                </w:p>
              </w:tc>
              <w:tc>
                <w:tcPr>
                  <w:tcW w:w="62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45</w:t>
                  </w:r>
                </w:p>
              </w:tc>
              <w:tc>
                <w:tcPr>
                  <w:tcW w:w="6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达标</w:t>
                  </w:r>
                </w:p>
              </w:tc>
              <w:tc>
                <w:tcPr>
                  <w:tcW w:w="1093"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初期雨污水</w:t>
                  </w:r>
                </w:p>
              </w:tc>
              <w:tc>
                <w:tcPr>
                  <w:tcW w:w="690"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2693.3</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COD</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121.5</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0.33</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74.79</w:t>
                  </w:r>
                </w:p>
              </w:tc>
              <w:tc>
                <w:tcPr>
                  <w:tcW w:w="98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30.63</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0.08</w:t>
                  </w:r>
                </w:p>
              </w:tc>
              <w:tc>
                <w:tcPr>
                  <w:tcW w:w="62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w:t>
                  </w:r>
                </w:p>
              </w:tc>
              <w:tc>
                <w:tcPr>
                  <w:tcW w:w="6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093"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rPr>
                    <w:t>收集后</w:t>
                  </w:r>
                  <w:r>
                    <w:rPr>
                      <w:rFonts w:hint="eastAsia"/>
                      <w:color w:val="auto"/>
                      <w:sz w:val="21"/>
                      <w:szCs w:val="21"/>
                      <w:lang w:val="en-US" w:eastAsia="zh-CN"/>
                    </w:rPr>
                    <w:t>经一体化污水处理站处理后回用于项目区绿化灌溉及洒水降尘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690"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vertAlign w:val="subscript"/>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35.44</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0.095</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76.99</w:t>
                  </w:r>
                </w:p>
              </w:tc>
              <w:tc>
                <w:tcPr>
                  <w:tcW w:w="98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8.15</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0.022</w:t>
                  </w:r>
                </w:p>
              </w:tc>
              <w:tc>
                <w:tcPr>
                  <w:tcW w:w="62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6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达标</w:t>
                  </w:r>
                </w:p>
              </w:tc>
              <w:tc>
                <w:tcPr>
                  <w:tcW w:w="1093"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690"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氨氮</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1.12</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0.003</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68.75</w:t>
                  </w:r>
                </w:p>
              </w:tc>
              <w:tc>
                <w:tcPr>
                  <w:tcW w:w="98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0.35</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0.0009</w:t>
                  </w:r>
                </w:p>
              </w:tc>
              <w:tc>
                <w:tcPr>
                  <w:tcW w:w="62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6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达标</w:t>
                  </w:r>
                </w:p>
              </w:tc>
              <w:tc>
                <w:tcPr>
                  <w:tcW w:w="1093"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690"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SS</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23.38</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0.06</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54.02</w:t>
                  </w:r>
                </w:p>
              </w:tc>
              <w:tc>
                <w:tcPr>
                  <w:tcW w:w="98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10.75</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0.029</w:t>
                  </w:r>
                </w:p>
              </w:tc>
              <w:tc>
                <w:tcPr>
                  <w:tcW w:w="62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6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093"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690"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石油类</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7.87</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0.02</w:t>
                  </w:r>
                </w:p>
              </w:tc>
              <w:tc>
                <w:tcPr>
                  <w:tcW w:w="75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92.99</w:t>
                  </w:r>
                </w:p>
              </w:tc>
              <w:tc>
                <w:tcPr>
                  <w:tcW w:w="98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0.56</w:t>
                  </w:r>
                </w:p>
              </w:tc>
              <w:tc>
                <w:tcPr>
                  <w:tcW w:w="859"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0.0015</w:t>
                  </w:r>
                </w:p>
              </w:tc>
              <w:tc>
                <w:tcPr>
                  <w:tcW w:w="62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668"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093"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bl>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3、运营期水环境影响分析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本项目食堂废水经隔油池处理后与生活污水一起进入化粪池处理，之后</w:t>
            </w:r>
            <w:r>
              <w:rPr>
                <w:rFonts w:hint="eastAsia"/>
                <w:color w:val="auto"/>
                <w:lang w:val="en-US" w:eastAsia="zh-CN"/>
              </w:rPr>
              <w:t>回用于项目区绿化施肥</w:t>
            </w:r>
            <w:r>
              <w:rPr>
                <w:rFonts w:hint="eastAsia"/>
                <w:color w:val="auto"/>
              </w:rPr>
              <w:t>。项目不产生生产废水。雨天产生的初期雨水经收集后</w:t>
            </w:r>
            <w:r>
              <w:rPr>
                <w:rFonts w:hint="eastAsia"/>
                <w:color w:val="auto"/>
                <w:lang w:val="en-US" w:eastAsia="zh-CN"/>
              </w:rPr>
              <w:t>进入自建的污水处理站处理</w:t>
            </w:r>
            <w:r>
              <w:rPr>
                <w:rFonts w:hint="eastAsia"/>
                <w:color w:val="auto"/>
              </w:rPr>
              <w:t>，</w:t>
            </w:r>
            <w:r>
              <w:rPr>
                <w:rFonts w:hint="eastAsia"/>
                <w:color w:val="auto"/>
                <w:lang w:val="en-US" w:eastAsia="zh-CN"/>
              </w:rPr>
              <w:t>之后</w:t>
            </w:r>
            <w:r>
              <w:rPr>
                <w:rFonts w:hint="eastAsia"/>
                <w:color w:val="auto"/>
              </w:rPr>
              <w:t>回用于项目区</w:t>
            </w:r>
            <w:r>
              <w:rPr>
                <w:rFonts w:hint="eastAsia"/>
                <w:color w:val="auto"/>
                <w:lang w:val="en-US" w:eastAsia="zh-CN"/>
              </w:rPr>
              <w:t>绿化灌溉和</w:t>
            </w:r>
            <w:r>
              <w:rPr>
                <w:rFonts w:hint="eastAsia"/>
                <w:color w:val="auto"/>
              </w:rPr>
              <w:t>洒水降尘，</w:t>
            </w:r>
            <w:r>
              <w:rPr>
                <w:rFonts w:hint="eastAsia"/>
                <w:color w:val="auto"/>
                <w:lang w:val="en-US" w:eastAsia="zh-CN"/>
              </w:rPr>
              <w:t>不外排</w:t>
            </w:r>
            <w:r>
              <w:rPr>
                <w:rFonts w:hint="eastAsia"/>
                <w:color w:val="auto"/>
              </w:rPr>
              <w:t>。</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（1）污水处理设施</w:t>
            </w:r>
            <w:r>
              <w:rPr>
                <w:rFonts w:hint="eastAsia"/>
                <w:color w:val="auto"/>
                <w:lang w:val="en-US" w:eastAsia="zh-CN"/>
              </w:rPr>
              <w:t>可行性</w:t>
            </w:r>
            <w:r>
              <w:rPr>
                <w:rFonts w:hint="eastAsia"/>
                <w:color w:val="auto"/>
              </w:rPr>
              <w:t>分析</w:t>
            </w:r>
          </w:p>
          <w:p>
            <w:pPr>
              <w:pStyle w:val="49"/>
              <w:keepNext w:val="0"/>
              <w:keepLines w:val="0"/>
              <w:suppressLineNumbers w:val="0"/>
              <w:spacing w:before="0" w:beforeAutospacing="0" w:after="0" w:afterAutospacing="0"/>
              <w:ind w:left="0" w:right="0"/>
              <w:jc w:val="left"/>
              <w:rPr>
                <w:rFonts w:hint="default"/>
                <w:color w:val="auto"/>
              </w:rPr>
            </w:pPr>
            <w:r>
              <w:rPr>
                <w:rFonts w:hint="default"/>
                <w:color w:val="auto"/>
              </w:rPr>
              <w:fldChar w:fldCharType="begin"/>
            </w:r>
            <w:r>
              <w:rPr>
                <w:rFonts w:hint="default"/>
                <w:color w:val="auto"/>
              </w:rPr>
              <w:instrText xml:space="preserve"> </w:instrText>
            </w:r>
            <w:r>
              <w:rPr>
                <w:rFonts w:hint="eastAsia"/>
                <w:color w:val="auto"/>
              </w:rPr>
              <w:instrText xml:space="preserve">= 1 \* GB3</w:instrText>
            </w:r>
            <w:r>
              <w:rPr>
                <w:rFonts w:hint="default"/>
                <w:color w:val="auto"/>
              </w:rPr>
              <w:instrText xml:space="preserve"> </w:instrText>
            </w:r>
            <w:r>
              <w:rPr>
                <w:rFonts w:hint="default"/>
                <w:color w:val="auto"/>
              </w:rPr>
              <w:fldChar w:fldCharType="separate"/>
            </w:r>
            <w:r>
              <w:rPr>
                <w:rFonts w:hint="eastAsia"/>
                <w:color w:val="auto"/>
              </w:rPr>
              <w:t>①</w:t>
            </w:r>
            <w:r>
              <w:rPr>
                <w:rFonts w:hint="default"/>
                <w:color w:val="auto"/>
              </w:rPr>
              <w:fldChar w:fldCharType="end"/>
            </w:r>
            <w:r>
              <w:rPr>
                <w:rFonts w:hint="default"/>
                <w:color w:val="auto"/>
              </w:rPr>
              <w:t>隔油池</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根据分析可知，项目食堂废水产生量为0.5</w:t>
            </w:r>
            <w:r>
              <w:rPr>
                <w:rFonts w:hint="default"/>
                <w:color w:val="auto"/>
              </w:rPr>
              <w:t xml:space="preserve"> m³/d，考虑食堂运行时间为</w:t>
            </w:r>
            <w:r>
              <w:rPr>
                <w:rFonts w:hint="eastAsia"/>
                <w:color w:val="auto"/>
              </w:rPr>
              <w:t>4h，则食堂废水产生量为0.125</w:t>
            </w:r>
            <w:r>
              <w:rPr>
                <w:rFonts w:hint="default"/>
                <w:color w:val="auto"/>
              </w:rPr>
              <w:t xml:space="preserve"> m³/</w:t>
            </w:r>
            <w:r>
              <w:rPr>
                <w:rFonts w:hint="eastAsia"/>
                <w:color w:val="auto"/>
              </w:rPr>
              <w:t>h，隔油池废水停留时间约30min，且预留25%的存油空间，则隔油池理论容积应不小于0.078</w:t>
            </w:r>
            <w:r>
              <w:rPr>
                <w:rFonts w:hint="default"/>
                <w:color w:val="auto"/>
              </w:rPr>
              <w:t xml:space="preserve"> m</w:t>
            </w:r>
            <w:r>
              <w:rPr>
                <w:rFonts w:hint="default"/>
                <w:color w:val="auto"/>
                <w:vertAlign w:val="superscript"/>
              </w:rPr>
              <w:t>3</w:t>
            </w:r>
            <w:r>
              <w:rPr>
                <w:rFonts w:hint="default"/>
                <w:color w:val="auto"/>
              </w:rPr>
              <w:t>。</w:t>
            </w:r>
          </w:p>
          <w:p>
            <w:pPr>
              <w:pStyle w:val="49"/>
              <w:keepNext w:val="0"/>
              <w:keepLines w:val="0"/>
              <w:suppressLineNumbers w:val="0"/>
              <w:spacing w:before="0" w:beforeAutospacing="0" w:after="0" w:afterAutospacing="0"/>
              <w:ind w:left="0" w:right="0"/>
              <w:jc w:val="left"/>
              <w:rPr>
                <w:rFonts w:hint="default"/>
                <w:color w:val="auto"/>
              </w:rPr>
            </w:pPr>
            <w:r>
              <w:rPr>
                <w:rFonts w:hint="default"/>
                <w:color w:val="auto"/>
              </w:rPr>
              <w:t>本项目设置</w:t>
            </w:r>
            <w:r>
              <w:rPr>
                <w:rFonts w:hint="eastAsia"/>
                <w:color w:val="auto"/>
              </w:rPr>
              <w:t>1个容积为0.2</w:t>
            </w:r>
            <w:r>
              <w:rPr>
                <w:rFonts w:hint="default"/>
                <w:color w:val="auto"/>
              </w:rPr>
              <w:t xml:space="preserve"> m</w:t>
            </w:r>
            <w:r>
              <w:rPr>
                <w:rFonts w:hint="default"/>
                <w:color w:val="auto"/>
                <w:vertAlign w:val="superscript"/>
              </w:rPr>
              <w:t>3</w:t>
            </w:r>
            <w:r>
              <w:rPr>
                <w:rFonts w:hint="default"/>
                <w:color w:val="auto"/>
              </w:rPr>
              <w:t>的隔油池，完全满足食堂废水的处理需求，因此隔油池的容积设置合理。</w:t>
            </w:r>
          </w:p>
          <w:p>
            <w:pPr>
              <w:pStyle w:val="49"/>
              <w:keepNext w:val="0"/>
              <w:keepLines w:val="0"/>
              <w:suppressLineNumbers w:val="0"/>
              <w:spacing w:before="0" w:beforeAutospacing="0" w:after="0" w:afterAutospacing="0"/>
              <w:ind w:left="0" w:right="0"/>
              <w:jc w:val="left"/>
              <w:rPr>
                <w:rFonts w:hint="default"/>
                <w:color w:val="auto"/>
              </w:rPr>
            </w:pPr>
            <w:r>
              <w:rPr>
                <w:rFonts w:hint="default"/>
                <w:color w:val="auto"/>
              </w:rPr>
              <w:fldChar w:fldCharType="begin"/>
            </w:r>
            <w:r>
              <w:rPr>
                <w:rFonts w:hint="default"/>
                <w:color w:val="auto"/>
              </w:rPr>
              <w:instrText xml:space="preserve"> </w:instrText>
            </w:r>
            <w:r>
              <w:rPr>
                <w:rFonts w:hint="eastAsia"/>
                <w:color w:val="auto"/>
              </w:rPr>
              <w:instrText xml:space="preserve">= 2 \* GB3</w:instrText>
            </w:r>
            <w:r>
              <w:rPr>
                <w:rFonts w:hint="default"/>
                <w:color w:val="auto"/>
              </w:rPr>
              <w:instrText xml:space="preserve"> </w:instrText>
            </w:r>
            <w:r>
              <w:rPr>
                <w:rFonts w:hint="default"/>
                <w:color w:val="auto"/>
              </w:rPr>
              <w:fldChar w:fldCharType="separate"/>
            </w:r>
            <w:r>
              <w:rPr>
                <w:rFonts w:hint="eastAsia"/>
                <w:color w:val="auto"/>
              </w:rPr>
              <w:t>②</w:t>
            </w:r>
            <w:r>
              <w:rPr>
                <w:rFonts w:hint="default"/>
                <w:color w:val="auto"/>
              </w:rPr>
              <w:fldChar w:fldCharType="end"/>
            </w:r>
            <w:r>
              <w:rPr>
                <w:rFonts w:hint="default"/>
                <w:color w:val="auto"/>
              </w:rPr>
              <w:t>化粪池</w:t>
            </w:r>
          </w:p>
          <w:p>
            <w:pPr>
              <w:pStyle w:val="49"/>
              <w:keepNext w:val="0"/>
              <w:keepLines w:val="0"/>
              <w:suppressLineNumbers w:val="0"/>
              <w:spacing w:before="0" w:beforeAutospacing="0" w:after="0" w:afterAutospacing="0"/>
              <w:ind w:left="0" w:right="0"/>
              <w:jc w:val="left"/>
              <w:rPr>
                <w:rFonts w:hint="default"/>
                <w:color w:val="auto"/>
              </w:rPr>
            </w:pPr>
            <w:r>
              <w:rPr>
                <w:rFonts w:hint="default"/>
                <w:color w:val="auto"/>
              </w:rPr>
              <w:t>根据上文分析可知，本项目食堂废水、生活污水产生量为</w:t>
            </w:r>
            <w:r>
              <w:rPr>
                <w:rFonts w:hint="eastAsia"/>
                <w:color w:val="auto"/>
              </w:rPr>
              <w:t>2.01</w:t>
            </w:r>
            <w:r>
              <w:rPr>
                <w:rFonts w:hint="default"/>
                <w:color w:val="auto"/>
              </w:rPr>
              <w:t xml:space="preserve"> m³/d，化粪池停留时间一般在</w:t>
            </w:r>
            <w:r>
              <w:rPr>
                <w:rFonts w:hint="eastAsia"/>
                <w:color w:val="auto"/>
              </w:rPr>
              <w:t>12-24h，本项目取24h计，安全系数取1.2，则化粪池容积应不小于2.4</w:t>
            </w:r>
            <w:r>
              <w:rPr>
                <w:rFonts w:hint="default"/>
                <w:color w:val="auto"/>
              </w:rPr>
              <w:t xml:space="preserve"> m</w:t>
            </w:r>
            <w:r>
              <w:rPr>
                <w:rFonts w:hint="default"/>
                <w:color w:val="auto"/>
                <w:vertAlign w:val="superscript"/>
              </w:rPr>
              <w:t>3</w:t>
            </w:r>
            <w:r>
              <w:rPr>
                <w:rFonts w:hint="eastAsia"/>
                <w:color w:val="auto"/>
              </w:rPr>
              <w:t>。</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本项目设置1个容积为3</w:t>
            </w:r>
            <w:r>
              <w:rPr>
                <w:rFonts w:hint="default"/>
                <w:color w:val="auto"/>
              </w:rPr>
              <w:t>m</w:t>
            </w:r>
            <w:r>
              <w:rPr>
                <w:rFonts w:hint="default"/>
                <w:color w:val="auto"/>
                <w:vertAlign w:val="superscript"/>
              </w:rPr>
              <w:t>3</w:t>
            </w:r>
            <w:r>
              <w:rPr>
                <w:rFonts w:hint="default"/>
                <w:color w:val="auto"/>
              </w:rPr>
              <w:t>的化粪池，完全满足项目区生活污水的处理需求，因此，化粪池的容积设置合理。</w:t>
            </w:r>
          </w:p>
          <w:p>
            <w:pPr>
              <w:pStyle w:val="49"/>
              <w:keepNext w:val="0"/>
              <w:keepLines w:val="0"/>
              <w:suppressLineNumbers w:val="0"/>
              <w:spacing w:before="0" w:beforeAutospacing="0" w:after="0" w:afterAutospacing="0"/>
              <w:ind w:left="0" w:right="0"/>
              <w:jc w:val="left"/>
              <w:rPr>
                <w:rFonts w:hint="default"/>
                <w:color w:val="auto"/>
              </w:rPr>
            </w:pPr>
            <w:r>
              <w:rPr>
                <w:rFonts w:hint="default"/>
                <w:color w:val="auto"/>
              </w:rPr>
              <w:fldChar w:fldCharType="begin"/>
            </w:r>
            <w:r>
              <w:rPr>
                <w:rFonts w:hint="default"/>
                <w:color w:val="auto"/>
              </w:rPr>
              <w:instrText xml:space="preserve"> </w:instrText>
            </w:r>
            <w:r>
              <w:rPr>
                <w:rFonts w:hint="eastAsia"/>
                <w:color w:val="auto"/>
              </w:rPr>
              <w:instrText xml:space="preserve">= 3 \* GB3</w:instrText>
            </w:r>
            <w:r>
              <w:rPr>
                <w:rFonts w:hint="default"/>
                <w:color w:val="auto"/>
              </w:rPr>
              <w:instrText xml:space="preserve"> </w:instrText>
            </w:r>
            <w:r>
              <w:rPr>
                <w:rFonts w:hint="default"/>
                <w:color w:val="auto"/>
              </w:rPr>
              <w:fldChar w:fldCharType="separate"/>
            </w:r>
            <w:r>
              <w:rPr>
                <w:rFonts w:hint="eastAsia"/>
                <w:color w:val="auto"/>
              </w:rPr>
              <w:t>③</w:t>
            </w:r>
            <w:r>
              <w:rPr>
                <w:rFonts w:hint="default"/>
                <w:color w:val="auto"/>
              </w:rPr>
              <w:fldChar w:fldCharType="end"/>
            </w:r>
            <w:r>
              <w:rPr>
                <w:rFonts w:hint="default"/>
                <w:color w:val="auto"/>
              </w:rPr>
              <w:t>雨水收集池</w:t>
            </w:r>
          </w:p>
          <w:p>
            <w:pPr>
              <w:pStyle w:val="49"/>
              <w:keepNext w:val="0"/>
              <w:keepLines w:val="0"/>
              <w:suppressLineNumbers w:val="0"/>
              <w:spacing w:before="0" w:beforeAutospacing="0" w:after="0" w:afterAutospacing="0"/>
              <w:ind w:left="0" w:right="0"/>
              <w:jc w:val="left"/>
              <w:rPr>
                <w:rFonts w:hint="eastAsia"/>
                <w:color w:val="auto"/>
              </w:rPr>
            </w:pPr>
            <w:r>
              <w:rPr>
                <w:rFonts w:hint="eastAsia"/>
                <w:color w:val="auto"/>
              </w:rPr>
              <w:t>根据上文分析，本项目每次的初期雨水产生量为</w:t>
            </w:r>
            <w:r>
              <w:rPr>
                <w:rFonts w:hint="eastAsia"/>
                <w:color w:val="auto"/>
                <w:lang w:val="en-US" w:eastAsia="zh-CN"/>
              </w:rPr>
              <w:t>19.95</w:t>
            </w:r>
            <w:r>
              <w:rPr>
                <w:rFonts w:hint="eastAsia"/>
                <w:color w:val="auto"/>
              </w:rPr>
              <w:t>m</w:t>
            </w:r>
            <w:r>
              <w:rPr>
                <w:rFonts w:hint="eastAsia"/>
                <w:color w:val="auto"/>
                <w:vertAlign w:val="superscript"/>
              </w:rPr>
              <w:t>3</w:t>
            </w:r>
            <w:r>
              <w:rPr>
                <w:rFonts w:hint="eastAsia"/>
                <w:color w:val="auto"/>
              </w:rPr>
              <w:t>/次，本项目设置了1个容积为40m</w:t>
            </w:r>
            <w:r>
              <w:rPr>
                <w:rFonts w:hint="eastAsia"/>
                <w:color w:val="auto"/>
                <w:vertAlign w:val="superscript"/>
              </w:rPr>
              <w:t>3</w:t>
            </w:r>
            <w:r>
              <w:rPr>
                <w:rFonts w:hint="eastAsia"/>
                <w:color w:val="auto"/>
              </w:rPr>
              <w:t>的初期雨水收集池，因此本项目设置的初期雨水收集池满足处理需求。</w:t>
            </w:r>
          </w:p>
          <w:p>
            <w:pPr>
              <w:pStyle w:val="49"/>
              <w:keepNext w:val="0"/>
              <w:keepLines w:val="0"/>
              <w:suppressLineNumbers w:val="0"/>
              <w:spacing w:before="0" w:beforeAutospacing="0" w:after="0" w:afterAutospacing="0"/>
              <w:ind w:left="0" w:right="0"/>
              <w:jc w:val="left"/>
              <w:rPr>
                <w:rFonts w:hint="default" w:eastAsia="宋体"/>
                <w:color w:val="auto"/>
                <w:lang w:val="en-US" w:eastAsia="zh-CN"/>
              </w:rPr>
            </w:pPr>
            <w:r>
              <w:rPr>
                <w:rFonts w:hint="eastAsia"/>
                <w:color w:val="auto"/>
              </w:rPr>
              <w:fldChar w:fldCharType="begin"/>
            </w:r>
            <w:r>
              <w:rPr>
                <w:rFonts w:hint="eastAsia"/>
                <w:color w:val="auto"/>
              </w:rPr>
              <w:instrText xml:space="preserve"> = 4 \* GB3 \* MERGEFORMAT </w:instrText>
            </w:r>
            <w:r>
              <w:rPr>
                <w:rFonts w:hint="eastAsia"/>
                <w:color w:val="auto"/>
              </w:rPr>
              <w:fldChar w:fldCharType="separate"/>
            </w:r>
            <w:r>
              <w:rPr>
                <w:rFonts w:hint="default"/>
                <w:color w:val="auto"/>
              </w:rPr>
              <w:t>④</w:t>
            </w:r>
            <w:r>
              <w:rPr>
                <w:rFonts w:hint="eastAsia"/>
                <w:color w:val="auto"/>
              </w:rPr>
              <w:fldChar w:fldCharType="end"/>
            </w:r>
            <w:r>
              <w:rPr>
                <w:rFonts w:hint="eastAsia"/>
                <w:color w:val="auto"/>
                <w:lang w:val="en-US" w:eastAsia="zh-CN"/>
              </w:rPr>
              <w:t>一体化污水处理站可行性分析</w:t>
            </w:r>
          </w:p>
          <w:p>
            <w:pPr>
              <w:keepNext w:val="0"/>
              <w:keepLines w:val="0"/>
              <w:widowControl/>
              <w:suppressLineNumbers w:val="0"/>
              <w:spacing w:before="0" w:beforeAutospacing="0" w:after="0" w:afterAutospacing="0"/>
              <w:ind w:left="0" w:right="0"/>
              <w:jc w:val="left"/>
              <w:rPr>
                <w:rFonts w:hint="default"/>
                <w:color w:val="auto"/>
              </w:rPr>
            </w:pPr>
            <w:r>
              <w:rPr>
                <w:rFonts w:hint="eastAsia" w:ascii="宋体" w:hAnsi="宋体" w:eastAsia="宋体" w:cs="宋体"/>
                <w:color w:val="auto"/>
                <w:kern w:val="0"/>
                <w:sz w:val="24"/>
                <w:szCs w:val="24"/>
                <w:lang w:val="en-US" w:eastAsia="zh-CN" w:bidi="ar"/>
              </w:rPr>
              <w:t>根据工程分析，全年进入项目自建污水处理站处理的废水总量为</w:t>
            </w:r>
            <w:r>
              <w:rPr>
                <w:rFonts w:hint="eastAsia" w:ascii="宋体" w:hAnsi="宋体" w:cs="宋体"/>
                <w:color w:val="auto"/>
                <w:kern w:val="0"/>
                <w:sz w:val="24"/>
                <w:szCs w:val="24"/>
                <w:lang w:val="en-US" w:eastAsia="zh-CN" w:bidi="ar"/>
              </w:rPr>
              <w:t>2693.3</w:t>
            </w:r>
            <w:r>
              <w:rPr>
                <w:rFonts w:hint="default" w:ascii="Times New Roman" w:hAnsi="Times New Roman" w:eastAsia="宋体"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8.98</w:t>
            </w:r>
            <w:r>
              <w:rPr>
                <w:rFonts w:hint="default" w:ascii="Times New Roman" w:hAnsi="Times New Roman" w:eastAsia="宋体"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15"/>
                <w:szCs w:val="15"/>
                <w:lang w:val="en-US" w:eastAsia="zh-CN" w:bidi="ar"/>
              </w:rPr>
              <w:t xml:space="preserve"> </w:t>
            </w:r>
            <w:r>
              <w:rPr>
                <w:rFonts w:hint="default" w:ascii="Times New Roman" w:hAnsi="Times New Roman" w:eastAsia="宋体" w:cs="Times New Roman"/>
                <w:color w:val="auto"/>
                <w:kern w:val="0"/>
                <w:sz w:val="24"/>
                <w:szCs w:val="24"/>
                <w:lang w:val="en-US" w:eastAsia="zh-CN" w:bidi="ar"/>
              </w:rPr>
              <w:t>/d</w:t>
            </w:r>
            <w:r>
              <w:rPr>
                <w:rFonts w:hint="eastAsia" w:ascii="宋体" w:hAnsi="宋体" w:eastAsia="宋体" w:cs="宋体"/>
                <w:color w:val="auto"/>
                <w:kern w:val="0"/>
                <w:sz w:val="24"/>
                <w:szCs w:val="24"/>
                <w:lang w:val="en-US" w:eastAsia="zh-CN" w:bidi="ar"/>
              </w:rPr>
              <w:t>。项目拟建一套处理规模为</w:t>
            </w:r>
            <w:r>
              <w:rPr>
                <w:rFonts w:hint="eastAsia" w:ascii="宋体" w:hAnsi="宋体" w:cs="宋体"/>
                <w:color w:val="auto"/>
                <w:kern w:val="0"/>
                <w:sz w:val="24"/>
                <w:szCs w:val="24"/>
                <w:lang w:val="en-US" w:eastAsia="zh-CN" w:bidi="ar"/>
              </w:rPr>
              <w:t>20</w:t>
            </w:r>
            <w:r>
              <w:rPr>
                <w:rFonts w:hint="default" w:ascii="Times New Roman" w:hAnsi="Times New Roman" w:eastAsia="宋体"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15"/>
                <w:szCs w:val="15"/>
                <w:lang w:val="en-US" w:eastAsia="zh-CN" w:bidi="ar"/>
              </w:rPr>
              <w:t xml:space="preserve"> </w:t>
            </w:r>
            <w:r>
              <w:rPr>
                <w:rFonts w:hint="default" w:ascii="Times New Roman" w:hAnsi="Times New Roman" w:eastAsia="宋体" w:cs="Times New Roman"/>
                <w:color w:val="auto"/>
                <w:kern w:val="0"/>
                <w:sz w:val="24"/>
                <w:szCs w:val="24"/>
                <w:lang w:val="en-US" w:eastAsia="zh-CN" w:bidi="ar"/>
              </w:rPr>
              <w:t>/d</w:t>
            </w:r>
            <w:r>
              <w:rPr>
                <w:rFonts w:hint="eastAsia" w:ascii="宋体" w:hAnsi="宋体" w:eastAsia="宋体" w:cs="宋体"/>
                <w:color w:val="auto"/>
                <w:kern w:val="0"/>
                <w:sz w:val="24"/>
                <w:szCs w:val="24"/>
                <w:lang w:val="en-US" w:eastAsia="zh-CN" w:bidi="ar"/>
              </w:rPr>
              <w:t>的污水处理站，当污水达到一定量的时候再进行污水处理，污水处理站的处理规模能满足整个项目废水处理要求，因此从污水处理站处理规模来讲，项目设置的污水处理站可行</w:t>
            </w:r>
            <w:r>
              <w:rPr>
                <w:rFonts w:hint="eastAsia" w:ascii="宋体" w:hAnsi="宋体" w:cs="宋体"/>
                <w:color w:val="auto"/>
                <w:kern w:val="0"/>
                <w:sz w:val="24"/>
                <w:szCs w:val="24"/>
                <w:lang w:val="en-US" w:eastAsia="zh-CN" w:bidi="ar"/>
              </w:rPr>
              <w:t>。</w:t>
            </w:r>
          </w:p>
          <w:p>
            <w:pPr>
              <w:keepNext w:val="0"/>
              <w:keepLines w:val="0"/>
              <w:widowControl/>
              <w:suppressLineNumbers w:val="0"/>
              <w:spacing w:before="0" w:beforeAutospacing="0" w:after="0" w:afterAutospacing="0"/>
              <w:ind w:left="0" w:right="0"/>
              <w:jc w:val="left"/>
              <w:rPr>
                <w:rFonts w:hint="default"/>
                <w:color w:val="auto"/>
              </w:rPr>
            </w:pPr>
            <w:r>
              <w:rPr>
                <w:rFonts w:hint="eastAsia" w:ascii="宋体" w:hAnsi="宋体" w:eastAsia="宋体" w:cs="宋体"/>
                <w:color w:val="auto"/>
                <w:kern w:val="0"/>
                <w:sz w:val="24"/>
                <w:szCs w:val="24"/>
                <w:lang w:val="en-US" w:eastAsia="zh-CN" w:bidi="ar"/>
              </w:rPr>
              <w:t>环评推荐本项目污水处理采用</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气浮装置</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生物接触氧化</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絮凝沉淀</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消毒</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工艺。</w:t>
            </w:r>
          </w:p>
          <w:p>
            <w:pPr>
              <w:keepNext w:val="0"/>
              <w:keepLines w:val="0"/>
              <w:widowControl/>
              <w:suppressLineNumbers w:val="0"/>
              <w:spacing w:before="0" w:beforeAutospacing="0" w:after="0" w:afterAutospacing="0"/>
              <w:ind w:left="0" w:right="0"/>
              <w:jc w:val="left"/>
              <w:rPr>
                <w:rFonts w:hint="default"/>
                <w:color w:val="auto"/>
              </w:rPr>
            </w:pPr>
            <w:r>
              <w:rPr>
                <w:rFonts w:hint="eastAsia" w:ascii="宋体" w:hAnsi="宋体" w:eastAsia="宋体" w:cs="宋体"/>
                <w:color w:val="auto"/>
                <w:kern w:val="0"/>
                <w:sz w:val="24"/>
                <w:szCs w:val="24"/>
                <w:lang w:val="en-US" w:eastAsia="zh-CN" w:bidi="ar"/>
              </w:rPr>
              <w:t xml:space="preserve">工艺流程及原理： </w:t>
            </w:r>
          </w:p>
          <w:p>
            <w:pPr>
              <w:keepNext w:val="0"/>
              <w:keepLines w:val="0"/>
              <w:widowControl/>
              <w:suppressLineNumbers w:val="0"/>
              <w:spacing w:before="0" w:beforeAutospacing="0" w:after="0" w:afterAutospacing="0"/>
              <w:ind w:left="0" w:right="0"/>
              <w:jc w:val="left"/>
              <w:rPr>
                <w:rFonts w:hint="default"/>
                <w:color w:val="auto"/>
              </w:rPr>
            </w:pP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、原水进入混合反应器，在混合反应器中加入药剂</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除油剂</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，以形成可分离的絮凝物。 </w:t>
            </w:r>
          </w:p>
          <w:p>
            <w:pPr>
              <w:keepNext w:val="0"/>
              <w:keepLines w:val="0"/>
              <w:widowControl/>
              <w:suppressLineNumbers w:val="0"/>
              <w:spacing w:before="0" w:beforeAutospacing="0" w:after="0" w:afterAutospacing="0"/>
              <w:ind w:left="0" w:right="0"/>
              <w:jc w:val="left"/>
              <w:rPr>
                <w:rFonts w:hint="default"/>
                <w:color w:val="auto"/>
              </w:rPr>
            </w:pPr>
            <w:r>
              <w:rPr>
                <w:rFonts w:hint="default" w:ascii="Times New Roman" w:hAnsi="Times New Roman" w:eastAsia="宋体" w:cs="Times New Roman"/>
                <w:color w:val="auto"/>
                <w:kern w:val="0"/>
                <w:sz w:val="24"/>
                <w:szCs w:val="24"/>
                <w:lang w:val="en-US" w:eastAsia="zh-CN" w:bidi="ar"/>
              </w:rPr>
              <w:t>B</w:t>
            </w:r>
            <w:r>
              <w:rPr>
                <w:rFonts w:hint="eastAsia" w:ascii="宋体" w:hAnsi="宋体" w:eastAsia="宋体" w:cs="宋体"/>
                <w:color w:val="auto"/>
                <w:kern w:val="0"/>
                <w:sz w:val="24"/>
                <w:szCs w:val="24"/>
                <w:lang w:val="en-US" w:eastAsia="zh-CN" w:bidi="ar"/>
              </w:rPr>
              <w:t xml:space="preserve">、经预处理后的污水进入气浮装置，在进水室污水和气水混合物中释放的微小气泡 </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气泡直径范围 </w:t>
            </w:r>
            <w:r>
              <w:rPr>
                <w:rFonts w:hint="default" w:ascii="Times New Roman" w:hAnsi="Times New Roman" w:eastAsia="宋体" w:cs="Times New Roman"/>
                <w:color w:val="auto"/>
                <w:kern w:val="0"/>
                <w:sz w:val="24"/>
                <w:szCs w:val="24"/>
                <w:lang w:val="en-US" w:eastAsia="zh-CN" w:bidi="ar"/>
              </w:rPr>
              <w:t>30</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50um)</w:t>
            </w:r>
            <w:r>
              <w:rPr>
                <w:rFonts w:hint="eastAsia" w:ascii="宋体" w:hAnsi="宋体" w:eastAsia="宋体" w:cs="宋体"/>
                <w:color w:val="auto"/>
                <w:kern w:val="0"/>
                <w:sz w:val="24"/>
                <w:szCs w:val="24"/>
                <w:lang w:val="en-US" w:eastAsia="zh-CN" w:bidi="ar"/>
              </w:rPr>
              <w:t>混合。这些微小气泡粘附在污水中的絮体上，形成比重小于水的气浮体。气浮体上升至水面凝聚成浮油</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或浮渣</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，通过刮油</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渣</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机刮至收油</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渣</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槽； </w:t>
            </w:r>
          </w:p>
          <w:p>
            <w:pPr>
              <w:keepNext w:val="0"/>
              <w:keepLines w:val="0"/>
              <w:widowControl/>
              <w:suppressLineNumbers w:val="0"/>
              <w:spacing w:before="0" w:beforeAutospacing="0" w:after="0" w:afterAutospacing="0"/>
              <w:ind w:left="0" w:right="0"/>
              <w:jc w:val="left"/>
              <w:rPr>
                <w:rFonts w:hint="default"/>
                <w:color w:val="auto"/>
              </w:rPr>
            </w:pPr>
            <w:r>
              <w:rPr>
                <w:rFonts w:hint="default" w:ascii="Times New Roman" w:hAnsi="Times New Roman" w:eastAsia="宋体" w:cs="Times New Roman"/>
                <w:color w:val="auto"/>
                <w:kern w:val="0"/>
                <w:sz w:val="24"/>
                <w:szCs w:val="24"/>
                <w:lang w:val="en-US" w:eastAsia="zh-CN" w:bidi="ar"/>
              </w:rPr>
              <w:t>C</w:t>
            </w:r>
            <w:r>
              <w:rPr>
                <w:rFonts w:hint="eastAsia" w:ascii="宋体" w:hAnsi="宋体" w:eastAsia="宋体" w:cs="宋体"/>
                <w:color w:val="auto"/>
                <w:kern w:val="0"/>
                <w:sz w:val="24"/>
                <w:szCs w:val="24"/>
                <w:lang w:val="en-US" w:eastAsia="zh-CN" w:bidi="ar"/>
              </w:rPr>
              <w:t xml:space="preserve">、在进水室较重的固体颗粒在此沉淀，通过排砂阀排出，系统要求定期开启排砂阀以保持进水室清洁； </w:t>
            </w:r>
          </w:p>
          <w:p>
            <w:pPr>
              <w:keepNext w:val="0"/>
              <w:keepLines w:val="0"/>
              <w:widowControl/>
              <w:suppressLineNumbers w:val="0"/>
              <w:spacing w:before="0" w:beforeAutospacing="0" w:after="0" w:afterAutospacing="0"/>
              <w:ind w:left="0" w:right="0"/>
              <w:jc w:val="left"/>
              <w:rPr>
                <w:rFonts w:hint="default"/>
                <w:color w:val="auto"/>
              </w:rPr>
            </w:pPr>
            <w:r>
              <w:rPr>
                <w:rFonts w:hint="default" w:ascii="Times New Roman" w:hAnsi="Times New Roman" w:eastAsia="宋体" w:cs="Times New Roman"/>
                <w:color w:val="auto"/>
                <w:kern w:val="0"/>
                <w:sz w:val="24"/>
                <w:szCs w:val="24"/>
                <w:lang w:val="en-US" w:eastAsia="zh-CN" w:bidi="ar"/>
              </w:rPr>
              <w:t>D</w:t>
            </w:r>
            <w:r>
              <w:rPr>
                <w:rFonts w:hint="eastAsia" w:ascii="宋体" w:hAnsi="宋体" w:eastAsia="宋体" w:cs="宋体"/>
                <w:color w:val="auto"/>
                <w:kern w:val="0"/>
                <w:sz w:val="24"/>
                <w:szCs w:val="24"/>
                <w:lang w:val="en-US" w:eastAsia="zh-CN" w:bidi="ar"/>
              </w:rPr>
              <w:t xml:space="preserve">、污水进入气浮装置布水区，快速上升的粒子将浮到水面；上升较慢的粒子在波纹斜板中分离，一旦一个粒子接触到波纹斜板，在浮力的作用下，它能够逆着水流方向上升； </w:t>
            </w:r>
          </w:p>
          <w:p>
            <w:pPr>
              <w:keepNext w:val="0"/>
              <w:keepLines w:val="0"/>
              <w:widowControl/>
              <w:suppressLineNumbers w:val="0"/>
              <w:spacing w:before="0" w:beforeAutospacing="0" w:after="0" w:afterAutospacing="0"/>
              <w:ind w:left="0" w:right="0"/>
              <w:jc w:val="left"/>
              <w:rPr>
                <w:rFonts w:hint="default"/>
                <w:color w:val="auto"/>
              </w:rPr>
            </w:pPr>
            <w:r>
              <w:rPr>
                <w:rFonts w:hint="default" w:ascii="Times New Roman" w:hAnsi="Times New Roman" w:eastAsia="宋体" w:cs="Times New Roman"/>
                <w:color w:val="auto"/>
                <w:kern w:val="0"/>
                <w:sz w:val="24"/>
                <w:szCs w:val="24"/>
                <w:lang w:val="en-US" w:eastAsia="zh-CN" w:bidi="ar"/>
              </w:rPr>
              <w:t>E</w:t>
            </w:r>
            <w:r>
              <w:rPr>
                <w:rFonts w:hint="eastAsia" w:ascii="宋体" w:hAnsi="宋体" w:eastAsia="宋体" w:cs="宋体"/>
                <w:color w:val="auto"/>
                <w:kern w:val="0"/>
                <w:sz w:val="24"/>
                <w:szCs w:val="24"/>
                <w:lang w:val="en-US" w:eastAsia="zh-CN" w:bidi="ar"/>
              </w:rPr>
              <w:t xml:space="preserve">、所有重的粒子将下沉，下沉的粒子通过底部刮渣机收集，通过定期开启排泥阀排出。 </w:t>
            </w:r>
          </w:p>
          <w:p>
            <w:pPr>
              <w:keepNext w:val="0"/>
              <w:keepLines w:val="0"/>
              <w:widowControl/>
              <w:suppressLineNumbers w:val="0"/>
              <w:spacing w:before="0" w:beforeAutospacing="0" w:after="0" w:afterAutospacing="0"/>
              <w:ind w:left="0" w:right="0"/>
              <w:jc w:val="left"/>
              <w:rPr>
                <w:rFonts w:hint="default"/>
                <w:color w:val="auto"/>
              </w:rPr>
            </w:pPr>
            <w:r>
              <w:rPr>
                <w:rFonts w:hint="eastAsia" w:ascii="宋体" w:hAnsi="宋体" w:eastAsia="宋体" w:cs="宋体"/>
                <w:color w:val="auto"/>
                <w:kern w:val="0"/>
                <w:sz w:val="24"/>
                <w:szCs w:val="24"/>
                <w:lang w:val="en-US" w:eastAsia="zh-CN" w:bidi="ar"/>
              </w:rPr>
              <w:t>污水经气浮装置处理后进入接触氧化池，同时加入絮凝剂进行絮凝沉淀，再加入消毒剂，最终进入清水池。</w:t>
            </w:r>
          </w:p>
          <w:p>
            <w:pPr>
              <w:keepNext w:val="0"/>
              <w:keepLines w:val="0"/>
              <w:widowControl/>
              <w:suppressLineNumbers w:val="0"/>
              <w:spacing w:before="0" w:beforeAutospacing="0" w:after="0" w:afterAutospacing="0"/>
              <w:ind w:left="0" w:right="0"/>
              <w:jc w:val="left"/>
              <w:rPr>
                <w:rFonts w:hint="default"/>
                <w:color w:val="auto"/>
              </w:rPr>
            </w:pPr>
            <w:r>
              <w:rPr>
                <w:rFonts w:hint="eastAsia"/>
                <w:color w:val="auto"/>
                <w:lang w:val="en-US" w:eastAsia="zh-CN"/>
              </w:rPr>
              <w:t>根据上文计算，</w:t>
            </w:r>
            <w:r>
              <w:rPr>
                <w:rFonts w:hint="eastAsia" w:ascii="宋体" w:hAnsi="宋体" w:eastAsia="宋体" w:cs="宋体"/>
                <w:color w:val="auto"/>
                <w:kern w:val="0"/>
                <w:sz w:val="24"/>
                <w:szCs w:val="24"/>
                <w:lang w:val="en-US" w:eastAsia="zh-CN" w:bidi="ar"/>
              </w:rPr>
              <w:t>污水处理站出水水质能够达到达到《城市污水再生利用 城市杂用水水质》（</w:t>
            </w:r>
            <w:r>
              <w:rPr>
                <w:rFonts w:hint="default" w:ascii="Times New Roman" w:hAnsi="Times New Roman" w:eastAsia="宋体" w:cs="Times New Roman"/>
                <w:color w:val="auto"/>
                <w:kern w:val="0"/>
                <w:sz w:val="24"/>
                <w:szCs w:val="24"/>
                <w:lang w:val="en-US" w:eastAsia="zh-CN" w:bidi="ar"/>
              </w:rPr>
              <w:t>GB/T18920-2002</w:t>
            </w:r>
            <w:r>
              <w:rPr>
                <w:rFonts w:hint="eastAsia" w:ascii="宋体" w:hAnsi="宋体" w:eastAsia="宋体" w:cs="宋体"/>
                <w:color w:val="auto"/>
                <w:kern w:val="0"/>
                <w:sz w:val="24"/>
                <w:szCs w:val="24"/>
                <w:lang w:val="en-US" w:eastAsia="zh-CN" w:bidi="ar"/>
              </w:rPr>
              <w:t>）标准中城市绿化标准，可全部回用于厂区绿化</w:t>
            </w:r>
            <w:r>
              <w:rPr>
                <w:rFonts w:hint="eastAsia" w:ascii="宋体" w:hAnsi="宋体" w:cs="宋体"/>
                <w:color w:val="auto"/>
                <w:kern w:val="0"/>
                <w:sz w:val="24"/>
                <w:szCs w:val="24"/>
                <w:lang w:val="en-US" w:eastAsia="zh-CN" w:bidi="ar"/>
              </w:rPr>
              <w:t>和洒水降尘</w:t>
            </w:r>
            <w:r>
              <w:rPr>
                <w:rFonts w:hint="eastAsia" w:ascii="宋体" w:hAnsi="宋体" w:eastAsia="宋体" w:cs="宋体"/>
                <w:color w:val="auto"/>
                <w:kern w:val="0"/>
                <w:sz w:val="24"/>
                <w:szCs w:val="24"/>
                <w:lang w:val="en-US" w:eastAsia="zh-CN" w:bidi="ar"/>
              </w:rPr>
              <w:t>，不外排。</w:t>
            </w:r>
          </w:p>
          <w:p>
            <w:pPr>
              <w:pStyle w:val="4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eastAsia="宋体"/>
                <w:color w:val="auto"/>
                <w:lang w:val="en-US" w:eastAsia="zh-CN"/>
              </w:rPr>
              <w:fldChar w:fldCharType="begin"/>
            </w:r>
            <w:r>
              <w:rPr>
                <w:rFonts w:hint="default" w:eastAsia="宋体"/>
                <w:color w:val="auto"/>
                <w:lang w:val="en-US" w:eastAsia="zh-CN"/>
              </w:rPr>
              <w:instrText xml:space="preserve"> = 5 \* GB3 \* MERGEFORMAT </w:instrText>
            </w:r>
            <w:r>
              <w:rPr>
                <w:rFonts w:hint="default" w:eastAsia="宋体"/>
                <w:color w:val="auto"/>
                <w:lang w:val="en-US" w:eastAsia="zh-CN"/>
              </w:rPr>
              <w:fldChar w:fldCharType="separate"/>
            </w:r>
            <w:r>
              <w:rPr>
                <w:rFonts w:hint="default"/>
                <w:color w:val="auto"/>
              </w:rPr>
              <w:t>⑤</w:t>
            </w:r>
            <w:r>
              <w:rPr>
                <w:rFonts w:hint="default" w:eastAsia="宋体"/>
                <w:color w:val="auto"/>
                <w:lang w:val="en-US" w:eastAsia="zh-CN"/>
              </w:rPr>
              <w:fldChar w:fldCharType="end"/>
            </w:r>
            <w:r>
              <w:rPr>
                <w:rFonts w:hint="eastAsia"/>
                <w:color w:val="auto"/>
                <w:lang w:val="en-US" w:eastAsia="zh-CN"/>
              </w:rPr>
              <w:t>中水回用可行性分析</w:t>
            </w:r>
          </w:p>
          <w:p>
            <w:pPr>
              <w:pStyle w:val="49"/>
              <w:keepNext w:val="0"/>
              <w:keepLines w:val="0"/>
              <w:suppressLineNumbers w:val="0"/>
              <w:spacing w:before="0" w:beforeAutospacing="0" w:after="0" w:afterAutospacing="0"/>
              <w:ind w:left="0" w:right="0"/>
              <w:jc w:val="left"/>
              <w:rPr>
                <w:rFonts w:hint="default" w:eastAsia="宋体"/>
                <w:color w:val="auto"/>
                <w:vertAlign w:val="baseline"/>
                <w:lang w:val="en-US" w:eastAsia="zh-CN"/>
              </w:rPr>
            </w:pPr>
            <w:r>
              <w:rPr>
                <w:rFonts w:hint="eastAsia"/>
                <w:color w:val="auto"/>
                <w:lang w:val="en-US" w:eastAsia="zh-CN"/>
              </w:rPr>
              <w:t>根据上文核算可知，项目经污水处理站处理的废水为2693.3m</w:t>
            </w:r>
            <w:r>
              <w:rPr>
                <w:rFonts w:hint="eastAsia"/>
                <w:color w:val="auto"/>
                <w:vertAlign w:val="superscript"/>
                <w:lang w:val="en-US" w:eastAsia="zh-CN"/>
              </w:rPr>
              <w:t>3</w:t>
            </w:r>
            <w:r>
              <w:rPr>
                <w:rFonts w:hint="eastAsia"/>
                <w:color w:val="auto"/>
                <w:vertAlign w:val="baseline"/>
                <w:lang w:val="en-US" w:eastAsia="zh-CN"/>
              </w:rPr>
              <w:t>/a，项目</w:t>
            </w:r>
            <w:r>
              <w:rPr>
                <w:rFonts w:hint="default"/>
                <w:color w:val="auto"/>
              </w:rPr>
              <w:t>抑尘用水量约为</w:t>
            </w:r>
            <w:r>
              <w:rPr>
                <w:rFonts w:hint="eastAsia"/>
                <w:color w:val="auto"/>
                <w:lang w:val="en-US" w:eastAsia="zh-CN"/>
              </w:rPr>
              <w:t>5.5</w:t>
            </w:r>
            <w:r>
              <w:rPr>
                <w:rFonts w:hint="default"/>
                <w:color w:val="auto"/>
              </w:rPr>
              <w:t>m</w:t>
            </w:r>
            <w:r>
              <w:rPr>
                <w:rFonts w:hint="default"/>
                <w:color w:val="auto"/>
                <w:vertAlign w:val="superscript"/>
              </w:rPr>
              <w:t>3</w:t>
            </w:r>
            <w:r>
              <w:rPr>
                <w:rFonts w:hint="default"/>
                <w:color w:val="auto"/>
              </w:rPr>
              <w:t>/d、</w:t>
            </w:r>
            <w:r>
              <w:rPr>
                <w:rFonts w:hint="eastAsia"/>
                <w:color w:val="auto"/>
                <w:lang w:val="en-US" w:eastAsia="zh-CN"/>
              </w:rPr>
              <w:t>1265</w:t>
            </w:r>
            <w:r>
              <w:rPr>
                <w:rFonts w:hint="default"/>
                <w:color w:val="auto"/>
              </w:rPr>
              <w:t>m</w:t>
            </w:r>
            <w:r>
              <w:rPr>
                <w:rFonts w:hint="default"/>
                <w:color w:val="auto"/>
                <w:vertAlign w:val="superscript"/>
              </w:rPr>
              <w:t>3</w:t>
            </w:r>
            <w:r>
              <w:rPr>
                <w:rFonts w:hint="default"/>
                <w:color w:val="auto"/>
              </w:rPr>
              <w:t>/a，</w:t>
            </w:r>
            <w:r>
              <w:rPr>
                <w:rFonts w:hint="eastAsia"/>
                <w:color w:val="auto"/>
              </w:rPr>
              <w:t xml:space="preserve">绿化用水量为 </w:t>
            </w:r>
            <w:r>
              <w:rPr>
                <w:rFonts w:hint="eastAsia"/>
                <w:color w:val="auto"/>
                <w:lang w:val="en-US" w:eastAsia="zh-CN"/>
              </w:rPr>
              <w:t>6.3</w:t>
            </w:r>
            <w:r>
              <w:rPr>
                <w:rFonts w:hint="eastAsia"/>
                <w:color w:val="auto"/>
              </w:rPr>
              <w:t>m</w:t>
            </w:r>
            <w:r>
              <w:rPr>
                <w:rFonts w:hint="eastAsia"/>
                <w:color w:val="auto"/>
                <w:vertAlign w:val="superscript"/>
              </w:rPr>
              <w:t>3</w:t>
            </w:r>
            <w:r>
              <w:rPr>
                <w:rFonts w:hint="eastAsia"/>
                <w:color w:val="auto"/>
              </w:rPr>
              <w:t>/d。共</w:t>
            </w:r>
            <w:r>
              <w:rPr>
                <w:rFonts w:hint="eastAsia"/>
                <w:color w:val="auto"/>
                <w:lang w:val="en-US" w:eastAsia="zh-CN"/>
              </w:rPr>
              <w:t>1449</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lang w:val="en-US" w:eastAsia="zh-CN"/>
              </w:rPr>
              <w:t>总用水量为2714m</w:t>
            </w:r>
            <w:r>
              <w:rPr>
                <w:rFonts w:hint="eastAsia"/>
                <w:color w:val="auto"/>
                <w:vertAlign w:val="superscript"/>
                <w:lang w:val="en-US" w:eastAsia="zh-CN"/>
              </w:rPr>
              <w:t>3</w:t>
            </w:r>
            <w:r>
              <w:rPr>
                <w:rFonts w:hint="eastAsia"/>
                <w:color w:val="auto"/>
                <w:vertAlign w:val="baseline"/>
                <w:lang w:val="en-US" w:eastAsia="zh-CN"/>
              </w:rPr>
              <w:t>/a大于</w:t>
            </w:r>
            <w:r>
              <w:rPr>
                <w:rFonts w:hint="eastAsia"/>
                <w:color w:val="auto"/>
                <w:lang w:val="en-US" w:eastAsia="zh-CN"/>
              </w:rPr>
              <w:t>2693.3m</w:t>
            </w:r>
            <w:r>
              <w:rPr>
                <w:rFonts w:hint="eastAsia"/>
                <w:color w:val="auto"/>
                <w:vertAlign w:val="superscript"/>
                <w:lang w:val="en-US" w:eastAsia="zh-CN"/>
              </w:rPr>
              <w:t>3</w:t>
            </w:r>
            <w:r>
              <w:rPr>
                <w:rFonts w:hint="eastAsia"/>
                <w:color w:val="auto"/>
                <w:vertAlign w:val="baseline"/>
                <w:lang w:val="en-US" w:eastAsia="zh-CN"/>
              </w:rPr>
              <w:t>/a，则项目处理后的废水能全部回用完。</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4、地表水环境影响分析结论</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本项目产生的食堂废水经隔油池处理后与生活污水一起进入化粪池处理，之后</w:t>
            </w:r>
            <w:r>
              <w:rPr>
                <w:rFonts w:hint="eastAsia"/>
                <w:color w:val="auto"/>
                <w:lang w:val="en-US" w:eastAsia="zh-CN"/>
              </w:rPr>
              <w:t>回用于项目区绿化施肥</w:t>
            </w:r>
            <w:r>
              <w:rPr>
                <w:rFonts w:hint="eastAsia"/>
                <w:color w:val="auto"/>
              </w:rPr>
              <w:t>；项目区不产生生产废水，雨天产生的初期雨水经收集池收集后进入</w:t>
            </w:r>
            <w:r>
              <w:rPr>
                <w:rFonts w:hint="eastAsia"/>
                <w:color w:val="auto"/>
                <w:lang w:val="en-US" w:eastAsia="zh-CN"/>
              </w:rPr>
              <w:t>自建污水处理站处理</w:t>
            </w:r>
            <w:r>
              <w:rPr>
                <w:rFonts w:hint="eastAsia"/>
                <w:color w:val="auto"/>
              </w:rPr>
              <w:t>，之后</w:t>
            </w:r>
            <w:r>
              <w:rPr>
                <w:rFonts w:hint="eastAsia"/>
                <w:color w:val="auto"/>
                <w:lang w:val="en-US" w:eastAsia="zh-CN"/>
              </w:rPr>
              <w:t>回用于项目区绿化灌溉及洒水降尘</w:t>
            </w:r>
            <w:r>
              <w:rPr>
                <w:rFonts w:hint="eastAsia"/>
                <w:color w:val="auto"/>
              </w:rPr>
              <w:t>。因此，项目运营期对地表水环境的影响可以接受。</w:t>
            </w:r>
          </w:p>
          <w:p>
            <w:pPr>
              <w:pStyle w:val="49"/>
              <w:keepNext w:val="0"/>
              <w:keepLines w:val="0"/>
              <w:suppressLineNumbers w:val="0"/>
              <w:spacing w:before="0" w:beforeAutospacing="0" w:after="0" w:afterAutospacing="0"/>
              <w:ind w:left="0" w:right="0" w:firstLine="482"/>
              <w:jc w:val="left"/>
              <w:rPr>
                <w:rFonts w:hint="default"/>
                <w:b/>
                <w:color w:val="auto"/>
              </w:rPr>
            </w:pPr>
            <w:r>
              <w:rPr>
                <w:rFonts w:hint="default"/>
                <w:b/>
                <w:color w:val="auto"/>
              </w:rPr>
              <w:t>三、噪声环境影响分析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1、噪声源强</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运营期项目噪声源主要集中在拆解车间，主要噪声源源强见下表：</w:t>
            </w:r>
          </w:p>
          <w:p>
            <w:pPr>
              <w:pStyle w:val="49"/>
              <w:keepNext w:val="0"/>
              <w:keepLines w:val="0"/>
              <w:suppressLineNumbers w:val="0"/>
              <w:spacing w:before="0" w:beforeAutospacing="0" w:after="0" w:afterAutospacing="0"/>
              <w:ind w:left="0" w:right="0" w:firstLine="482"/>
              <w:jc w:val="center"/>
              <w:rPr>
                <w:rFonts w:hint="default"/>
                <w:b/>
                <w:color w:val="auto"/>
              </w:rPr>
            </w:pPr>
            <w:r>
              <w:rPr>
                <w:rFonts w:hint="eastAsia"/>
                <w:b/>
                <w:color w:val="auto"/>
              </w:rPr>
              <w:t>表4-</w:t>
            </w:r>
            <w:r>
              <w:rPr>
                <w:rFonts w:hint="eastAsia"/>
                <w:b/>
                <w:color w:val="auto"/>
                <w:lang w:val="en-US" w:eastAsia="zh-CN"/>
              </w:rPr>
              <w:t>10</w:t>
            </w:r>
            <w:r>
              <w:rPr>
                <w:rFonts w:hint="eastAsia"/>
                <w:b/>
                <w:color w:val="auto"/>
              </w:rPr>
              <w:t xml:space="preserve">  项目噪声</w:t>
            </w:r>
            <w:r>
              <w:rPr>
                <w:rFonts w:hint="eastAsia"/>
                <w:b/>
                <w:color w:val="auto"/>
                <w:lang w:val="en-US" w:eastAsia="zh-CN"/>
              </w:rPr>
              <w:t>源强</w:t>
            </w:r>
            <w:r>
              <w:rPr>
                <w:rFonts w:hint="eastAsia"/>
                <w:b/>
                <w:color w:val="auto"/>
              </w:rPr>
              <w:t>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048"/>
              <w:gridCol w:w="1279"/>
              <w:gridCol w:w="2048"/>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序号</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设备名称</w:t>
                  </w:r>
                </w:p>
              </w:tc>
              <w:tc>
                <w:tcPr>
                  <w:tcW w:w="756"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数量</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噪声源强</w:t>
                  </w:r>
                </w:p>
              </w:tc>
              <w:tc>
                <w:tcPr>
                  <w:tcW w:w="1129"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b/>
                      <w:color w:val="auto"/>
                      <w:sz w:val="21"/>
                      <w:szCs w:val="21"/>
                      <w:lang w:val="en-US" w:eastAsia="zh-CN"/>
                    </w:rPr>
                  </w:pPr>
                  <w:r>
                    <w:rPr>
                      <w:rFonts w:hint="eastAsia"/>
                      <w:b/>
                      <w:color w:val="auto"/>
                      <w:sz w:val="21"/>
                      <w:szCs w:val="21"/>
                      <w:lang w:val="en-US" w:eastAsia="zh-CN"/>
                    </w:rPr>
                    <w:t>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举升机</w:t>
                  </w:r>
                </w:p>
              </w:tc>
              <w:tc>
                <w:tcPr>
                  <w:tcW w:w="756"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75-85</w:t>
                  </w:r>
                </w:p>
              </w:tc>
              <w:tc>
                <w:tcPr>
                  <w:tcW w:w="1129" w:type="pct"/>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ascii="Times New Roman" w:hAnsi="Times New Roman" w:eastAsia="宋体" w:cs="宋体"/>
                      <w:color w:val="auto"/>
                      <w:kern w:val="2"/>
                      <w:sz w:val="21"/>
                      <w:szCs w:val="24"/>
                      <w:lang w:val="en-US" w:eastAsia="zh-CN" w:bidi="ar"/>
                    </w:rPr>
                    <w:t>基础减振、距离衰减厂房隔音（削减取</w:t>
                  </w:r>
                  <w:r>
                    <w:rPr>
                      <w:rFonts w:hint="default" w:ascii="Times New Roman" w:hAnsi="Times New Roman" w:eastAsia="宋体" w:cs="Times New Roman"/>
                      <w:color w:val="auto"/>
                      <w:kern w:val="2"/>
                      <w:sz w:val="21"/>
                      <w:szCs w:val="24"/>
                      <w:lang w:val="en-US" w:eastAsia="zh-CN" w:bidi="ar"/>
                    </w:rPr>
                    <w:t>15-20</w:t>
                  </w:r>
                  <w:r>
                    <w:rPr>
                      <w:rFonts w:hint="default" w:ascii="Times New Roman" w:hAnsi="Times New Roman" w:eastAsia="宋体" w:cs="Times New Roman"/>
                      <w:color w:val="auto"/>
                      <w:kern w:val="2"/>
                      <w:sz w:val="21"/>
                      <w:szCs w:val="21"/>
                      <w:lang w:val="en-US" w:eastAsia="zh-CN" w:bidi="ar"/>
                    </w:rPr>
                    <w:t xml:space="preserve"> dB(A)</w:t>
                  </w:r>
                  <w:r>
                    <w:rPr>
                      <w:rFonts w:hint="eastAsia" w:ascii="Times New Roman" w:hAnsi="Times New Roman" w:eastAsia="宋体" w:cs="宋体"/>
                      <w:color w:val="auto"/>
                      <w:kern w:val="2"/>
                      <w:sz w:val="21"/>
                      <w:szCs w:val="24"/>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移动钻孔抽油机</w:t>
                  </w:r>
                </w:p>
              </w:tc>
              <w:tc>
                <w:tcPr>
                  <w:tcW w:w="756"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75-85</w:t>
                  </w:r>
                </w:p>
              </w:tc>
              <w:tc>
                <w:tcPr>
                  <w:tcW w:w="1129" w:type="pct"/>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轮胎拆卸机</w:t>
                  </w:r>
                </w:p>
              </w:tc>
              <w:tc>
                <w:tcPr>
                  <w:tcW w:w="756"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75-85</w:t>
                  </w:r>
                </w:p>
              </w:tc>
              <w:tc>
                <w:tcPr>
                  <w:tcW w:w="1129" w:type="pct"/>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4</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液压剪</w:t>
                  </w:r>
                </w:p>
              </w:tc>
              <w:tc>
                <w:tcPr>
                  <w:tcW w:w="756"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80-90</w:t>
                  </w:r>
                </w:p>
              </w:tc>
              <w:tc>
                <w:tcPr>
                  <w:tcW w:w="1129" w:type="pct"/>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5</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剪切机</w:t>
                  </w:r>
                </w:p>
              </w:tc>
              <w:tc>
                <w:tcPr>
                  <w:tcW w:w="756"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80-90</w:t>
                  </w:r>
                </w:p>
              </w:tc>
              <w:tc>
                <w:tcPr>
                  <w:tcW w:w="1129" w:type="pct"/>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6</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破碎机</w:t>
                  </w:r>
                </w:p>
              </w:tc>
              <w:tc>
                <w:tcPr>
                  <w:tcW w:w="756"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80-90</w:t>
                  </w:r>
                </w:p>
              </w:tc>
              <w:tc>
                <w:tcPr>
                  <w:tcW w:w="1129" w:type="pct"/>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7</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装载铲车</w:t>
                  </w:r>
                </w:p>
              </w:tc>
              <w:tc>
                <w:tcPr>
                  <w:tcW w:w="756"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80-90</w:t>
                  </w:r>
                </w:p>
              </w:tc>
              <w:tc>
                <w:tcPr>
                  <w:tcW w:w="1129" w:type="pct"/>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8</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打包机</w:t>
                  </w:r>
                </w:p>
              </w:tc>
              <w:tc>
                <w:tcPr>
                  <w:tcW w:w="756"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80-90</w:t>
                  </w:r>
                </w:p>
              </w:tc>
              <w:tc>
                <w:tcPr>
                  <w:tcW w:w="1129" w:type="pct"/>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9</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起重机</w:t>
                  </w:r>
                </w:p>
              </w:tc>
              <w:tc>
                <w:tcPr>
                  <w:tcW w:w="756"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1211" w:type="pc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75-85</w:t>
                  </w:r>
                </w:p>
              </w:tc>
              <w:tc>
                <w:tcPr>
                  <w:tcW w:w="1129" w:type="pct"/>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bl>
          <w:p>
            <w:pPr>
              <w:pStyle w:val="18"/>
              <w:keepNext w:val="0"/>
              <w:keepLines w:val="0"/>
              <w:widowControl w:val="0"/>
              <w:suppressLineNumbers w:val="0"/>
              <w:spacing w:before="0" w:beforeAutospacing="0" w:after="0" w:afterAutospacing="0" w:line="360" w:lineRule="auto"/>
              <w:ind w:left="0" w:right="0" w:firstLine="480" w:firstLineChars="200"/>
              <w:jc w:val="both"/>
              <w:rPr>
                <w:rFonts w:hint="default"/>
                <w:color w:val="auto"/>
                <w:lang w:val="en-US"/>
              </w:rPr>
            </w:pPr>
            <w:r>
              <w:rPr>
                <w:rFonts w:hint="default" w:ascii="Times New Roman" w:hAnsi="Times New Roman" w:eastAsia="宋体" w:cs="Times New Roman"/>
                <w:color w:val="auto"/>
                <w:kern w:val="2"/>
                <w:sz w:val="24"/>
                <w:szCs w:val="24"/>
                <w:lang w:val="en-US" w:eastAsia="zh-CN" w:bidi="ar"/>
              </w:rPr>
              <w:t>2</w:t>
            </w:r>
            <w:r>
              <w:rPr>
                <w:rFonts w:hint="eastAsia" w:ascii="Times New Roman" w:hAnsi="Times New Roman" w:eastAsia="宋体" w:cs="宋体"/>
                <w:color w:val="auto"/>
                <w:kern w:val="2"/>
                <w:sz w:val="24"/>
                <w:szCs w:val="24"/>
                <w:lang w:val="en-US" w:eastAsia="zh-CN" w:bidi="ar"/>
              </w:rPr>
              <w:t>、噪声预测模型</w:t>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1</w:t>
            </w:r>
            <w:r>
              <w:rPr>
                <w:rFonts w:hint="eastAsia" w:ascii="Times New Roman" w:hAnsi="Times New Roman" w:eastAsia="宋体" w:cs="宋体"/>
                <w:color w:val="auto"/>
                <w:kern w:val="2"/>
                <w:sz w:val="24"/>
                <w:szCs w:val="24"/>
                <w:lang w:val="en-US" w:eastAsia="zh-CN" w:bidi="ar"/>
              </w:rPr>
              <w:t>）预测模式</w:t>
            </w:r>
          </w:p>
          <w:p>
            <w:pPr>
              <w:keepNext w:val="0"/>
              <w:keepLines w:val="0"/>
              <w:widowControl w:val="0"/>
              <w:suppressLineNumbers w:val="0"/>
              <w:spacing w:before="0" w:beforeAutospacing="0" w:after="0" w:afterAutospacing="0" w:line="360" w:lineRule="auto"/>
              <w:ind w:left="0" w:right="0" w:firstLine="480" w:firstLineChars="200"/>
              <w:jc w:val="left"/>
              <w:rPr>
                <w:rFonts w:hint="default"/>
                <w:b/>
                <w:bCs/>
                <w:color w:val="auto"/>
                <w:sz w:val="24"/>
                <w:szCs w:val="24"/>
                <w:lang w:val="en-US"/>
              </w:rPr>
            </w:pPr>
            <w:r>
              <w:rPr>
                <w:rFonts w:hint="eastAsia" w:ascii="Times New Roman" w:hAnsi="Times New Roman" w:eastAsia="宋体" w:cs="宋体"/>
                <w:color w:val="auto"/>
                <w:kern w:val="2"/>
                <w:sz w:val="24"/>
                <w:szCs w:val="24"/>
                <w:lang w:val="en-US" w:eastAsia="zh-CN" w:bidi="ar"/>
              </w:rPr>
              <w:t>根据《环境影响评价技术导则声环境》（</w:t>
            </w:r>
            <w:r>
              <w:rPr>
                <w:rFonts w:hint="default" w:ascii="Times New Roman" w:hAnsi="Times New Roman" w:eastAsia="TimesNewRomanPSMT" w:cs="Times New Roman"/>
                <w:color w:val="auto"/>
                <w:kern w:val="2"/>
                <w:sz w:val="24"/>
                <w:szCs w:val="24"/>
                <w:lang w:val="en-US" w:eastAsia="zh-CN" w:bidi="ar"/>
              </w:rPr>
              <w:t>HJ2.4-2021</w:t>
            </w:r>
            <w:r>
              <w:rPr>
                <w:rFonts w:hint="eastAsia" w:ascii="Times New Roman" w:hAnsi="Times New Roman" w:eastAsia="宋体" w:cs="宋体"/>
                <w:color w:val="auto"/>
                <w:kern w:val="2"/>
                <w:sz w:val="24"/>
                <w:szCs w:val="24"/>
                <w:lang w:val="en-US" w:eastAsia="zh-CN" w:bidi="ar"/>
              </w:rPr>
              <w:t>）的技术要求，本次评价采取导则推荐模式。</w:t>
            </w:r>
          </w:p>
          <w:p>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sz w:val="24"/>
                <w:szCs w:val="24"/>
                <w:lang w:val="en-US"/>
              </w:rPr>
            </w:pPr>
            <w:r>
              <w:rPr>
                <w:rFonts w:hint="default" w:ascii="Times New Roman" w:hAnsi="Times New Roman" w:eastAsia="宋体" w:cs="Times New Roman"/>
                <w:color w:val="auto"/>
                <w:kern w:val="2"/>
                <w:sz w:val="24"/>
                <w:szCs w:val="24"/>
                <w:lang w:val="en-US" w:eastAsia="zh-CN" w:bidi="ar"/>
              </w:rPr>
              <w:t>①</w:t>
            </w:r>
            <w:r>
              <w:rPr>
                <w:rFonts w:hint="eastAsia" w:ascii="Times New Roman" w:hAnsi="Times New Roman" w:eastAsia="宋体" w:cs="宋体"/>
                <w:color w:val="auto"/>
                <w:kern w:val="2"/>
                <w:sz w:val="24"/>
                <w:szCs w:val="24"/>
                <w:lang w:val="en-US" w:eastAsia="zh-CN" w:bidi="ar"/>
              </w:rPr>
              <w:t>预测点的预测等效声级（</w:t>
            </w:r>
            <w:r>
              <w:rPr>
                <w:rFonts w:hint="default" w:ascii="Times New Roman" w:hAnsi="Times New Roman" w:eastAsia="宋体" w:cs="Times New Roman"/>
                <w:i/>
                <w:iCs/>
                <w:color w:val="auto"/>
                <w:kern w:val="2"/>
                <w:sz w:val="24"/>
                <w:szCs w:val="24"/>
                <w:lang w:val="en-US" w:eastAsia="zh-CN" w:bidi="ar"/>
              </w:rPr>
              <w:t>Lep</w:t>
            </w:r>
            <w:r>
              <w:rPr>
                <w:rFonts w:hint="eastAsia" w:ascii="Times New Roman" w:hAnsi="Times New Roman" w:eastAsia="宋体" w:cs="宋体"/>
                <w:color w:val="auto"/>
                <w:kern w:val="2"/>
                <w:sz w:val="24"/>
                <w:szCs w:val="24"/>
                <w:lang w:val="en-US" w:eastAsia="zh-CN" w:bidi="ar"/>
              </w:rPr>
              <w:t>）计算公式：</w:t>
            </w:r>
          </w:p>
          <w:p>
            <w:pPr>
              <w:keepNext w:val="0"/>
              <w:keepLines w:val="0"/>
              <w:widowControl w:val="0"/>
              <w:suppressLineNumbers w:val="0"/>
              <w:spacing w:before="0" w:beforeAutospacing="0" w:after="0" w:afterAutospacing="0" w:line="360" w:lineRule="auto"/>
              <w:ind w:left="0" w:right="0" w:firstLine="420" w:firstLineChars="200"/>
              <w:jc w:val="center"/>
              <w:rPr>
                <w:rFonts w:hint="default"/>
                <w:color w:val="auto"/>
                <w:sz w:val="24"/>
                <w:szCs w:val="24"/>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2105025" cy="361950"/>
                  <wp:effectExtent l="0" t="0" r="952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5"/>
                          <a:stretch>
                            <a:fillRect/>
                          </a:stretch>
                        </pic:blipFill>
                        <pic:spPr>
                          <a:xfrm>
                            <a:off x="0" y="0"/>
                            <a:ext cx="2105025" cy="361950"/>
                          </a:xfrm>
                          <a:prstGeom prst="rect">
                            <a:avLst/>
                          </a:prstGeom>
                          <a:noFill/>
                          <a:ln>
                            <a:noFill/>
                          </a:ln>
                        </pic:spPr>
                      </pic:pic>
                    </a:graphicData>
                  </a:graphic>
                </wp:inline>
              </w:drawing>
            </w:r>
          </w:p>
          <w:p>
            <w:pPr>
              <w:pStyle w:val="18"/>
              <w:keepNext w:val="0"/>
              <w:keepLines w:val="0"/>
              <w:widowControl w:val="0"/>
              <w:suppressLineNumbers w:val="0"/>
              <w:spacing w:before="0" w:beforeAutospacing="0" w:after="120" w:afterAutospacing="0" w:line="360" w:lineRule="auto"/>
              <w:ind w:left="0" w:leftChars="0" w:right="0" w:firstLine="480" w:firstLineChars="200"/>
              <w:jc w:val="both"/>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式中</w:t>
            </w:r>
            <w:r>
              <w:rPr>
                <w:rFonts w:hint="eastAsia" w:ascii="Times New Roman" w:hAnsi="Times New Roman" w:eastAsia="宋体" w:cs="宋体"/>
                <w:color w:val="auto"/>
                <w:kern w:val="2"/>
                <w:sz w:val="21"/>
                <w:szCs w:val="24"/>
                <w:lang w:val="en-US" w:eastAsia="zh-CN" w:bidi="ar"/>
              </w:rPr>
              <w:t>：</w:t>
            </w:r>
            <w:r>
              <w:rPr>
                <w:rFonts w:hint="default" w:ascii="Times New Roman" w:hAnsi="Times New Roman" w:eastAsia="宋体" w:cs="Times New Roman"/>
                <w:color w:val="auto"/>
                <w:kern w:val="2"/>
                <w:sz w:val="21"/>
                <w:szCs w:val="24"/>
                <w:lang w:val="en-US" w:eastAsia="zh-CN" w:bidi="ar"/>
              </w:rPr>
              <w:t xml:space="preserve"> </w:t>
            </w:r>
            <w:r>
              <w:rPr>
                <w:rFonts w:hint="default" w:ascii="Times New Roman" w:hAnsi="Times New Roman" w:eastAsia="宋体" w:cs="Times New Roman"/>
                <w:i/>
                <w:iCs/>
                <w:color w:val="auto"/>
                <w:kern w:val="2"/>
                <w:sz w:val="21"/>
                <w:szCs w:val="24"/>
                <w:lang w:val="en-US" w:eastAsia="zh-CN" w:bidi="ar"/>
              </w:rPr>
              <w:t xml:space="preserve"> </w:t>
            </w:r>
            <w:r>
              <w:rPr>
                <w:rFonts w:hint="default" w:ascii="Times New Roman" w:hAnsi="Times New Roman" w:eastAsia="宋体" w:cs="Times New Roman"/>
                <w:i/>
                <w:iCs/>
                <w:color w:val="auto"/>
                <w:kern w:val="2"/>
                <w:sz w:val="24"/>
                <w:szCs w:val="24"/>
                <w:lang w:val="en-US" w:eastAsia="zh-CN" w:bidi="ar"/>
              </w:rPr>
              <w:t>Leqg</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建设项目声源在预测点产生的等效声级贡献值，</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TimesNewRomanPSMT" w:cs="Times New Roman"/>
                <w:color w:val="auto"/>
                <w:kern w:val="2"/>
                <w:sz w:val="24"/>
                <w:szCs w:val="24"/>
                <w:lang w:val="en-US" w:eastAsia="zh-CN" w:bidi="ar"/>
              </w:rPr>
              <w:t>A</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sz w:val="24"/>
                <w:szCs w:val="24"/>
                <w:lang w:val="en-US"/>
              </w:rPr>
            </w:pPr>
            <w:r>
              <w:rPr>
                <w:rFonts w:hint="default" w:ascii="Times New Roman" w:hAnsi="Times New Roman" w:eastAsia="宋体" w:cs="Times New Roman"/>
                <w:i/>
                <w:iCs/>
                <w:color w:val="auto"/>
                <w:kern w:val="2"/>
                <w:sz w:val="24"/>
                <w:szCs w:val="24"/>
                <w:lang w:val="en-US" w:eastAsia="zh-CN" w:bidi="ar"/>
              </w:rPr>
              <w:t>Leqb</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预测点的背景值，</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TimesNewRomanPSMT" w:cs="Times New Roman"/>
                <w:color w:val="auto"/>
                <w:kern w:val="2"/>
                <w:sz w:val="24"/>
                <w:szCs w:val="24"/>
                <w:lang w:val="en-US" w:eastAsia="zh-CN" w:bidi="ar"/>
              </w:rPr>
              <w:t>A</w:t>
            </w:r>
            <w:r>
              <w:rPr>
                <w:rFonts w:hint="eastAsia" w:ascii="Times New Roman" w:hAnsi="Times New Roman" w:eastAsia="宋体" w:cs="宋体"/>
                <w:color w:val="auto"/>
                <w:kern w:val="2"/>
                <w:sz w:val="24"/>
                <w:szCs w:val="24"/>
                <w:lang w:val="en-US" w:eastAsia="zh-CN" w:bidi="ar"/>
              </w:rPr>
              <w:t>；</w:t>
            </w:r>
          </w:p>
          <w:p>
            <w:pPr>
              <w:pStyle w:val="18"/>
              <w:keepNext w:val="0"/>
              <w:keepLines w:val="0"/>
              <w:widowControl w:val="0"/>
              <w:suppressLineNumbers w:val="0"/>
              <w:spacing w:before="0" w:beforeAutospacing="0" w:after="120" w:afterAutospacing="0" w:line="360" w:lineRule="auto"/>
              <w:ind w:left="0" w:right="0" w:firstLine="240" w:firstLineChars="100"/>
              <w:jc w:val="both"/>
              <w:rPr>
                <w:rFonts w:hint="default"/>
                <w:color w:val="auto"/>
                <w:lang w:val="en-US"/>
              </w:rPr>
            </w:pPr>
            <w:r>
              <w:rPr>
                <w:rFonts w:hint="default" w:ascii="Times New Roman" w:hAnsi="Times New Roman" w:eastAsia="宋体" w:cs="Times New Roman"/>
                <w:color w:val="auto"/>
                <w:kern w:val="2"/>
                <w:sz w:val="24"/>
                <w:szCs w:val="24"/>
                <w:lang w:val="en-US" w:eastAsia="zh-CN" w:bidi="ar"/>
              </w:rPr>
              <w:t>②</w:t>
            </w:r>
            <w:r>
              <w:rPr>
                <w:rFonts w:hint="eastAsia" w:ascii="Times New Roman" w:hAnsi="Times New Roman" w:eastAsia="宋体" w:cs="宋体"/>
                <w:color w:val="auto"/>
                <w:kern w:val="2"/>
                <w:sz w:val="24"/>
                <w:szCs w:val="24"/>
                <w:lang w:val="en-US" w:eastAsia="zh-CN" w:bidi="ar"/>
              </w:rPr>
              <w:t>建设项目声源在预测点产生的等效声级贡献值（</w:t>
            </w:r>
            <w:r>
              <w:rPr>
                <w:rFonts w:hint="default" w:ascii="Times New Roman" w:hAnsi="Times New Roman" w:eastAsia="宋体" w:cs="Times New Roman"/>
                <w:color w:val="auto"/>
                <w:kern w:val="2"/>
                <w:sz w:val="24"/>
                <w:szCs w:val="24"/>
                <w:lang w:val="en-US" w:eastAsia="zh-CN" w:bidi="ar"/>
              </w:rPr>
              <w:t xml:space="preserve"> </w:t>
            </w:r>
            <w:r>
              <w:rPr>
                <w:rFonts w:hint="default" w:ascii="Times New Roman" w:hAnsi="Times New Roman" w:eastAsia="宋体" w:cs="Times New Roman"/>
                <w:i/>
                <w:iCs/>
                <w:color w:val="auto"/>
                <w:kern w:val="2"/>
                <w:sz w:val="24"/>
                <w:szCs w:val="24"/>
                <w:lang w:val="en-US" w:eastAsia="zh-CN" w:bidi="ar"/>
              </w:rPr>
              <w:t>Leqg</w:t>
            </w:r>
            <w:r>
              <w:rPr>
                <w:rFonts w:hint="eastAsia" w:ascii="Times New Roman" w:hAnsi="Times New Roman" w:eastAsia="宋体" w:cs="宋体"/>
                <w:color w:val="auto"/>
                <w:kern w:val="2"/>
                <w:sz w:val="24"/>
                <w:szCs w:val="24"/>
                <w:lang w:val="en-US" w:eastAsia="zh-CN" w:bidi="ar"/>
              </w:rPr>
              <w:t>）计算公式：</w:t>
            </w:r>
          </w:p>
          <w:p>
            <w:pPr>
              <w:keepNext w:val="0"/>
              <w:keepLines w:val="0"/>
              <w:widowControl w:val="0"/>
              <w:suppressLineNumbers w:val="0"/>
              <w:spacing w:before="0" w:beforeAutospacing="0" w:after="0" w:afterAutospacing="0" w:line="360" w:lineRule="auto"/>
              <w:ind w:left="0" w:right="0" w:firstLine="420" w:firstLineChars="200"/>
              <w:jc w:val="center"/>
              <w:rPr>
                <w:rFonts w:hint="default"/>
                <w:color w:val="auto"/>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2266950" cy="542925"/>
                  <wp:effectExtent l="0" t="0" r="0" b="952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6"/>
                          <a:stretch>
                            <a:fillRect/>
                          </a:stretch>
                        </pic:blipFill>
                        <pic:spPr>
                          <a:xfrm>
                            <a:off x="0" y="0"/>
                            <a:ext cx="2266950" cy="5429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式中：</w:t>
            </w:r>
            <w:r>
              <w:rPr>
                <w:rFonts w:hint="default" w:ascii="Times New Roman" w:hAnsi="Times New Roman" w:eastAsia="宋体" w:cs="Times New Roman"/>
                <w:i/>
                <w:iCs/>
                <w:color w:val="auto"/>
                <w:kern w:val="2"/>
                <w:sz w:val="24"/>
                <w:szCs w:val="24"/>
                <w:lang w:val="en-US" w:eastAsia="zh-CN" w:bidi="ar"/>
              </w:rPr>
              <w:t>L</w:t>
            </w:r>
            <w:r>
              <w:rPr>
                <w:rFonts w:hint="default" w:ascii="Times New Roman" w:hAnsi="Times New Roman" w:eastAsia="宋体" w:cs="Times New Roman"/>
                <w:i/>
                <w:iCs/>
                <w:color w:val="auto"/>
                <w:kern w:val="2"/>
                <w:sz w:val="24"/>
                <w:szCs w:val="24"/>
                <w:vertAlign w:val="subscript"/>
                <w:lang w:val="en-US" w:eastAsia="zh-CN" w:bidi="ar"/>
              </w:rPr>
              <w:t>A</w:t>
            </w:r>
            <w:r>
              <w:rPr>
                <w:rFonts w:hint="default" w:ascii="Times New Roman" w:hAnsi="Times New Roman" w:eastAsia="宋体" w:cs="Times New Roman"/>
                <w:color w:val="auto"/>
                <w:kern w:val="2"/>
                <w:sz w:val="24"/>
                <w:szCs w:val="24"/>
                <w:vertAlign w:val="subscript"/>
                <w:lang w:val="en-US" w:eastAsia="zh-CN" w:bidi="ar"/>
              </w:rPr>
              <w:t>i</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声源在预测点产生的</w:t>
            </w:r>
            <w:r>
              <w:rPr>
                <w:rFonts w:hint="default" w:ascii="Times New Roman" w:hAnsi="Times New Roman" w:eastAsia="TimesNewRomanPSMT" w:cs="Times New Roman"/>
                <w:color w:val="auto"/>
                <w:kern w:val="2"/>
                <w:sz w:val="24"/>
                <w:szCs w:val="24"/>
                <w:lang w:val="en-US" w:eastAsia="zh-CN" w:bidi="ar"/>
              </w:rPr>
              <w:t xml:space="preserve">A </w:t>
            </w:r>
            <w:r>
              <w:rPr>
                <w:rFonts w:hint="eastAsia" w:ascii="Times New Roman" w:hAnsi="Times New Roman" w:eastAsia="宋体" w:cs="宋体"/>
                <w:color w:val="auto"/>
                <w:kern w:val="2"/>
                <w:sz w:val="24"/>
                <w:szCs w:val="24"/>
                <w:lang w:val="en-US" w:eastAsia="zh-CN" w:bidi="ar"/>
              </w:rPr>
              <w:t>声级，</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TimesNewRomanPSMT" w:cs="Times New Roman"/>
                <w:color w:val="auto"/>
                <w:kern w:val="2"/>
                <w:sz w:val="24"/>
                <w:szCs w:val="24"/>
                <w:lang w:val="en-US" w:eastAsia="zh-CN" w:bidi="ar"/>
              </w:rPr>
              <w:t>A</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sz w:val="24"/>
                <w:szCs w:val="24"/>
                <w:lang w:val="en-US"/>
              </w:rPr>
            </w:pPr>
            <w:r>
              <w:rPr>
                <w:rFonts w:hint="default" w:ascii="Times New Roman" w:hAnsi="Times New Roman" w:eastAsia="宋体" w:cs="Times New Roman"/>
                <w:color w:val="auto"/>
                <w:kern w:val="2"/>
                <w:sz w:val="24"/>
                <w:szCs w:val="24"/>
                <w:lang w:val="en-US" w:eastAsia="zh-CN" w:bidi="ar"/>
              </w:rPr>
              <w:t xml:space="preserve">      T——</w:t>
            </w:r>
            <w:r>
              <w:rPr>
                <w:rFonts w:hint="eastAsia" w:ascii="Times New Roman" w:hAnsi="Times New Roman" w:eastAsia="宋体" w:cs="宋体"/>
                <w:color w:val="auto"/>
                <w:kern w:val="2"/>
                <w:sz w:val="24"/>
                <w:szCs w:val="24"/>
                <w:lang w:val="en-US" w:eastAsia="zh-CN" w:bidi="ar"/>
              </w:rPr>
              <w:t>预测计算的时间段，</w:t>
            </w:r>
            <w:r>
              <w:rPr>
                <w:rFonts w:hint="default" w:ascii="Times New Roman" w:hAnsi="Times New Roman" w:eastAsia="TimesNewRomanPSMT" w:cs="Times New Roman"/>
                <w:color w:val="auto"/>
                <w:kern w:val="2"/>
                <w:sz w:val="24"/>
                <w:szCs w:val="24"/>
                <w:lang w:val="en-US" w:eastAsia="zh-CN" w:bidi="ar"/>
              </w:rPr>
              <w:t>s</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sz w:val="24"/>
                <w:szCs w:val="24"/>
                <w:lang w:val="en-US"/>
              </w:rPr>
            </w:pPr>
            <w:r>
              <w:rPr>
                <w:rFonts w:hint="default" w:ascii="Times New Roman" w:hAnsi="Times New Roman" w:eastAsia="宋体" w:cs="Times New Roman"/>
                <w:color w:val="auto"/>
                <w:kern w:val="2"/>
                <w:sz w:val="24"/>
                <w:szCs w:val="24"/>
                <w:lang w:val="en-US" w:eastAsia="zh-CN" w:bidi="ar"/>
              </w:rPr>
              <w:t xml:space="preserve">      ti——</w:t>
            </w:r>
            <w:r>
              <w:rPr>
                <w:rFonts w:hint="default" w:ascii="Times New Roman" w:hAnsi="Times New Roman" w:eastAsia="TimesNewRomanPSMT" w:cs="Times New Roman"/>
                <w:color w:val="auto"/>
                <w:kern w:val="2"/>
                <w:sz w:val="24"/>
                <w:szCs w:val="24"/>
                <w:lang w:val="en-US" w:eastAsia="zh-CN" w:bidi="ar"/>
              </w:rPr>
              <w:t xml:space="preserve">i </w:t>
            </w:r>
            <w:r>
              <w:rPr>
                <w:rFonts w:hint="eastAsia" w:ascii="Times New Roman" w:hAnsi="Times New Roman" w:eastAsia="宋体" w:cs="宋体"/>
                <w:color w:val="auto"/>
                <w:kern w:val="2"/>
                <w:sz w:val="24"/>
                <w:szCs w:val="24"/>
                <w:lang w:val="en-US" w:eastAsia="zh-CN" w:bidi="ar"/>
              </w:rPr>
              <w:t>声源在</w:t>
            </w:r>
            <w:r>
              <w:rPr>
                <w:rFonts w:hint="default" w:ascii="Times New Roman" w:hAnsi="Times New Roman" w:eastAsia="TimesNewRomanPSMT" w:cs="Times New Roman"/>
                <w:color w:val="auto"/>
                <w:kern w:val="2"/>
                <w:sz w:val="24"/>
                <w:szCs w:val="24"/>
                <w:lang w:val="en-US" w:eastAsia="zh-CN" w:bidi="ar"/>
              </w:rPr>
              <w:t xml:space="preserve">T </w:t>
            </w:r>
            <w:r>
              <w:rPr>
                <w:rFonts w:hint="eastAsia" w:ascii="Times New Roman" w:hAnsi="Times New Roman" w:eastAsia="宋体" w:cs="宋体"/>
                <w:color w:val="auto"/>
                <w:kern w:val="2"/>
                <w:sz w:val="24"/>
                <w:szCs w:val="24"/>
                <w:lang w:val="en-US" w:eastAsia="zh-CN" w:bidi="ar"/>
              </w:rPr>
              <w:t>时段内的运行时间，</w:t>
            </w:r>
            <w:r>
              <w:rPr>
                <w:rFonts w:hint="default" w:ascii="Times New Roman" w:hAnsi="Times New Roman" w:eastAsia="TimesNewRomanPSMT" w:cs="Times New Roman"/>
                <w:color w:val="auto"/>
                <w:kern w:val="2"/>
                <w:sz w:val="24"/>
                <w:szCs w:val="24"/>
                <w:lang w:val="en-US" w:eastAsia="zh-CN" w:bidi="ar"/>
              </w:rPr>
              <w:t>s</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default" w:ascii="Times New Roman" w:hAnsi="Times New Roman" w:eastAsia="宋体" w:cs="Times New Roman"/>
                <w:color w:val="auto"/>
                <w:kern w:val="2"/>
                <w:sz w:val="24"/>
                <w:szCs w:val="24"/>
                <w:lang w:val="en-US" w:eastAsia="zh-CN" w:bidi="ar"/>
              </w:rPr>
              <w:t>③</w:t>
            </w:r>
            <w:r>
              <w:rPr>
                <w:rFonts w:hint="eastAsia" w:ascii="Times New Roman" w:hAnsi="Times New Roman" w:eastAsia="宋体" w:cs="宋体"/>
                <w:color w:val="auto"/>
                <w:kern w:val="2"/>
                <w:sz w:val="24"/>
                <w:szCs w:val="24"/>
                <w:lang w:val="en-US" w:eastAsia="zh-CN" w:bidi="ar"/>
              </w:rPr>
              <w:t>预测点的</w:t>
            </w:r>
            <w:r>
              <w:rPr>
                <w:rFonts w:hint="default" w:ascii="Times New Roman" w:hAnsi="Times New Roman" w:eastAsia="TimesNewRomanPSMT" w:cs="Times New Roman"/>
                <w:color w:val="auto"/>
                <w:kern w:val="2"/>
                <w:sz w:val="24"/>
                <w:szCs w:val="24"/>
                <w:lang w:val="en-US" w:eastAsia="zh-CN" w:bidi="ar"/>
              </w:rPr>
              <w:t>A</w:t>
            </w:r>
            <w:r>
              <w:rPr>
                <w:rFonts w:hint="eastAsia" w:ascii="Times New Roman" w:hAnsi="Times New Roman" w:eastAsia="宋体" w:cs="宋体"/>
                <w:color w:val="auto"/>
                <w:kern w:val="2"/>
                <w:sz w:val="24"/>
                <w:szCs w:val="24"/>
                <w:lang w:val="en-US" w:eastAsia="zh-CN" w:bidi="ar"/>
              </w:rPr>
              <w:t>声级</w:t>
            </w:r>
            <w:r>
              <w:rPr>
                <w:rFonts w:hint="default" w:ascii="Times New Roman" w:hAnsi="Times New Roman" w:eastAsia="宋体" w:cs="Times New Roman"/>
                <w:i/>
                <w:iCs/>
                <w:color w:val="auto"/>
                <w:kern w:val="2"/>
                <w:sz w:val="24"/>
                <w:szCs w:val="24"/>
                <w:lang w:val="en-US" w:eastAsia="zh-CN" w:bidi="ar"/>
              </w:rPr>
              <w:t>L</w:t>
            </w:r>
            <w:r>
              <w:rPr>
                <w:rFonts w:hint="default" w:ascii="Times New Roman" w:hAnsi="Times New Roman" w:eastAsia="宋体" w:cs="Times New Roman"/>
                <w:i/>
                <w:iCs/>
                <w:color w:val="auto"/>
                <w:kern w:val="2"/>
                <w:sz w:val="24"/>
                <w:szCs w:val="24"/>
                <w:vertAlign w:val="subscript"/>
                <w:lang w:val="en-US" w:eastAsia="zh-CN" w:bidi="ar"/>
              </w:rPr>
              <w:t>A</w:t>
            </w:r>
            <w:r>
              <w:rPr>
                <w:rFonts w:hint="default" w:ascii="Times New Roman" w:hAnsi="Times New Roman" w:eastAsia="宋体" w:cs="Times New Roman"/>
                <w:i/>
                <w:iCs/>
                <w:color w:val="auto"/>
                <w:kern w:val="2"/>
                <w:sz w:val="24"/>
                <w:szCs w:val="24"/>
                <w:lang w:val="en-US" w:eastAsia="zh-CN" w:bidi="ar"/>
              </w:rPr>
              <w:t>(r)</w:t>
            </w:r>
            <w:r>
              <w:rPr>
                <w:rFonts w:hint="default" w:ascii="Times New Roman" w:hAnsi="Times New Roman" w:eastAsia="TimesNewRomanPS-ItalicMT" w:cs="Times New Roman"/>
                <w:i/>
                <w:iCs w:val="0"/>
                <w:color w:val="auto"/>
                <w:kern w:val="2"/>
                <w:sz w:val="24"/>
                <w:szCs w:val="24"/>
                <w:lang w:val="en-US" w:eastAsia="zh-CN" w:bidi="ar"/>
              </w:rPr>
              <w:t xml:space="preserve"> </w:t>
            </w:r>
            <w:r>
              <w:rPr>
                <w:rFonts w:hint="eastAsia" w:ascii="Times New Roman" w:hAnsi="Times New Roman" w:eastAsia="宋体" w:cs="宋体"/>
                <w:color w:val="auto"/>
                <w:kern w:val="2"/>
                <w:sz w:val="24"/>
                <w:szCs w:val="24"/>
                <w:lang w:val="en-US" w:eastAsia="zh-CN" w:bidi="ar"/>
              </w:rPr>
              <w:t>可按下式计算，即将</w:t>
            </w:r>
            <w:r>
              <w:rPr>
                <w:rFonts w:hint="default" w:ascii="Times New Roman" w:hAnsi="Times New Roman" w:eastAsia="TimesNewRomanPSMT" w:cs="Times New Roman"/>
                <w:color w:val="auto"/>
                <w:kern w:val="2"/>
                <w:sz w:val="24"/>
                <w:szCs w:val="24"/>
                <w:lang w:val="en-US" w:eastAsia="zh-CN" w:bidi="ar"/>
              </w:rPr>
              <w:t>8</w:t>
            </w:r>
            <w:r>
              <w:rPr>
                <w:rFonts w:hint="eastAsia" w:ascii="Times New Roman" w:hAnsi="Times New Roman" w:eastAsia="宋体" w:cs="宋体"/>
                <w:color w:val="auto"/>
                <w:kern w:val="2"/>
                <w:sz w:val="24"/>
                <w:szCs w:val="24"/>
                <w:lang w:val="en-US" w:eastAsia="zh-CN" w:bidi="ar"/>
              </w:rPr>
              <w:t>个倍频带声压级合成，计算出预测点的</w:t>
            </w:r>
            <w:r>
              <w:rPr>
                <w:rFonts w:hint="default" w:ascii="Times New Roman" w:hAnsi="Times New Roman" w:eastAsia="TimesNewRomanPSMT" w:cs="Times New Roman"/>
                <w:color w:val="auto"/>
                <w:kern w:val="2"/>
                <w:sz w:val="24"/>
                <w:szCs w:val="24"/>
                <w:lang w:val="en-US" w:eastAsia="zh-CN" w:bidi="ar"/>
              </w:rPr>
              <w:t>A</w:t>
            </w:r>
            <w:r>
              <w:rPr>
                <w:rFonts w:hint="eastAsia" w:ascii="Times New Roman" w:hAnsi="Times New Roman" w:eastAsia="宋体" w:cs="宋体"/>
                <w:color w:val="auto"/>
                <w:kern w:val="2"/>
                <w:sz w:val="24"/>
                <w:szCs w:val="24"/>
                <w:lang w:val="en-US" w:eastAsia="zh-CN" w:bidi="ar"/>
              </w:rPr>
              <w:t>声级</w:t>
            </w:r>
            <w:r>
              <w:rPr>
                <w:rFonts w:hint="default" w:ascii="Times New Roman" w:hAnsi="Times New Roman" w:eastAsia="宋体" w:cs="Times New Roman"/>
                <w:i/>
                <w:iCs/>
                <w:color w:val="auto"/>
                <w:kern w:val="2"/>
                <w:sz w:val="24"/>
                <w:szCs w:val="24"/>
                <w:lang w:val="en-US" w:eastAsia="zh-CN" w:bidi="ar"/>
              </w:rPr>
              <w:t>L</w:t>
            </w:r>
            <w:r>
              <w:rPr>
                <w:rFonts w:hint="default" w:ascii="Times New Roman" w:hAnsi="Times New Roman" w:eastAsia="宋体" w:cs="Times New Roman"/>
                <w:i/>
                <w:iCs/>
                <w:color w:val="auto"/>
                <w:kern w:val="2"/>
                <w:sz w:val="24"/>
                <w:szCs w:val="24"/>
                <w:vertAlign w:val="subscript"/>
                <w:lang w:val="en-US" w:eastAsia="zh-CN" w:bidi="ar"/>
              </w:rPr>
              <w:t>A</w:t>
            </w:r>
            <w:r>
              <w:rPr>
                <w:rFonts w:hint="default" w:ascii="Times New Roman" w:hAnsi="Times New Roman" w:eastAsia="宋体" w:cs="Times New Roman"/>
                <w:i/>
                <w:iCs/>
                <w:color w:val="auto"/>
                <w:kern w:val="2"/>
                <w:sz w:val="24"/>
                <w:szCs w:val="24"/>
                <w:lang w:val="en-US" w:eastAsia="zh-CN" w:bidi="ar"/>
              </w:rPr>
              <w:t>(r)</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20" w:firstLineChars="200"/>
              <w:jc w:val="center"/>
              <w:rPr>
                <w:rFonts w:hint="default"/>
                <w:color w:val="auto"/>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1971675" cy="561975"/>
                  <wp:effectExtent l="0" t="0" r="9525" b="952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7"/>
                          <a:stretch>
                            <a:fillRect/>
                          </a:stretch>
                        </pic:blipFill>
                        <pic:spPr>
                          <a:xfrm>
                            <a:off x="0" y="0"/>
                            <a:ext cx="1971675" cy="5619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式中：</w:t>
            </w:r>
            <w:r>
              <w:rPr>
                <w:rFonts w:hint="default" w:ascii="Times New Roman" w:hAnsi="Times New Roman" w:eastAsia="宋体" w:cs="Times New Roman"/>
                <w:i/>
                <w:iCs/>
                <w:color w:val="auto"/>
                <w:kern w:val="2"/>
                <w:sz w:val="24"/>
                <w:szCs w:val="24"/>
                <w:lang w:val="en-US" w:eastAsia="zh-CN" w:bidi="ar"/>
              </w:rPr>
              <w:t>L</w:t>
            </w:r>
            <w:r>
              <w:rPr>
                <w:rFonts w:hint="default" w:ascii="Times New Roman" w:hAnsi="Times New Roman" w:eastAsia="宋体" w:cs="Times New Roman"/>
                <w:i/>
                <w:iCs/>
                <w:color w:val="auto"/>
                <w:kern w:val="2"/>
                <w:sz w:val="24"/>
                <w:szCs w:val="24"/>
                <w:vertAlign w:val="subscript"/>
                <w:lang w:val="en-US" w:eastAsia="zh-CN" w:bidi="ar"/>
              </w:rPr>
              <w:t>pr</w:t>
            </w:r>
            <w:r>
              <w:rPr>
                <w:rFonts w:hint="default" w:ascii="Times New Roman" w:hAnsi="Times New Roman" w:eastAsia="宋体" w:cs="Times New Roman"/>
                <w:i/>
                <w:iCs/>
                <w:color w:val="auto"/>
                <w:kern w:val="2"/>
                <w:sz w:val="24"/>
                <w:szCs w:val="24"/>
                <w:lang w:val="en-US" w:eastAsia="zh-CN" w:bidi="ar"/>
              </w:rPr>
              <w:t>(r)</w:t>
            </w:r>
            <w:r>
              <w:rPr>
                <w:rFonts w:hint="default" w:ascii="Times New Roman" w:hAnsi="Times New Roman" w:eastAsia="TimesNewRomanPS-ItalicMT" w:cs="Times New Roman"/>
                <w:i/>
                <w:iCs w:val="0"/>
                <w:color w:val="auto"/>
                <w:kern w:val="2"/>
                <w:sz w:val="25"/>
                <w:szCs w:val="24"/>
                <w:lang w:val="en-US" w:eastAsia="zh-CN" w:bidi="ar"/>
              </w:rPr>
              <w:t xml:space="preserve"> ——</w:t>
            </w:r>
            <w:r>
              <w:rPr>
                <w:rFonts w:hint="eastAsia" w:ascii="Times New Roman" w:hAnsi="Times New Roman" w:eastAsia="宋体" w:cs="宋体"/>
                <w:color w:val="auto"/>
                <w:kern w:val="2"/>
                <w:sz w:val="24"/>
                <w:szCs w:val="24"/>
                <w:lang w:val="en-US" w:eastAsia="zh-CN" w:bidi="ar"/>
              </w:rPr>
              <w:t>预测点</w:t>
            </w:r>
            <w:r>
              <w:rPr>
                <w:rFonts w:hint="default" w:ascii="Times New Roman" w:hAnsi="Times New Roman" w:eastAsia="TimesNewRomanPSMT" w:cs="Times New Roman"/>
                <w:color w:val="auto"/>
                <w:kern w:val="2"/>
                <w:sz w:val="24"/>
                <w:szCs w:val="24"/>
                <w:lang w:val="en-US" w:eastAsia="zh-CN" w:bidi="ar"/>
              </w:rPr>
              <w:t xml:space="preserve">r </w:t>
            </w:r>
            <w:r>
              <w:rPr>
                <w:rFonts w:hint="eastAsia" w:ascii="Times New Roman" w:hAnsi="Times New Roman" w:eastAsia="宋体" w:cs="宋体"/>
                <w:color w:val="auto"/>
                <w:kern w:val="2"/>
                <w:sz w:val="24"/>
                <w:szCs w:val="24"/>
                <w:lang w:val="en-US" w:eastAsia="zh-CN" w:bidi="ar"/>
              </w:rPr>
              <w:t>处，第</w:t>
            </w:r>
            <w:r>
              <w:rPr>
                <w:rFonts w:hint="default" w:ascii="Times New Roman" w:hAnsi="Times New Roman" w:eastAsia="TimesNewRomanPSMT" w:cs="Times New Roman"/>
                <w:color w:val="auto"/>
                <w:kern w:val="2"/>
                <w:sz w:val="24"/>
                <w:szCs w:val="24"/>
                <w:lang w:val="en-US" w:eastAsia="zh-CN" w:bidi="ar"/>
              </w:rPr>
              <w:t xml:space="preserve">i </w:t>
            </w:r>
            <w:r>
              <w:rPr>
                <w:rFonts w:hint="eastAsia" w:ascii="Times New Roman" w:hAnsi="Times New Roman" w:eastAsia="宋体" w:cs="宋体"/>
                <w:color w:val="auto"/>
                <w:kern w:val="2"/>
                <w:sz w:val="24"/>
                <w:szCs w:val="24"/>
                <w:lang w:val="en-US" w:eastAsia="zh-CN" w:bidi="ar"/>
              </w:rPr>
              <w:t>倍频带声压级，</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300" w:firstLineChars="200"/>
              <w:jc w:val="left"/>
              <w:rPr>
                <w:rFonts w:hint="default"/>
                <w:color w:val="auto"/>
                <w:sz w:val="24"/>
                <w:szCs w:val="24"/>
                <w:lang w:val="en-US"/>
              </w:rPr>
            </w:pPr>
            <w:r>
              <w:rPr>
                <w:rFonts w:hint="default" w:ascii="Times New Roman" w:hAnsi="Times New Roman" w:eastAsia="TimesNewRomanPS-ItalicMT" w:cs="Times New Roman"/>
                <w:i/>
                <w:iCs w:val="0"/>
                <w:color w:val="auto"/>
                <w:kern w:val="2"/>
                <w:sz w:val="15"/>
                <w:szCs w:val="24"/>
                <w:lang w:val="en-US" w:eastAsia="zh-CN" w:bidi="ar"/>
              </w:rPr>
              <w:t>△</w:t>
            </w:r>
            <w:r>
              <w:rPr>
                <w:rFonts w:hint="default" w:ascii="Times New Roman" w:hAnsi="Times New Roman" w:eastAsia="TimesNewRomanPS-ItalicMT" w:cs="Times New Roman"/>
                <w:i/>
                <w:iCs w:val="0"/>
                <w:color w:val="auto"/>
                <w:kern w:val="2"/>
                <w:sz w:val="26"/>
                <w:szCs w:val="24"/>
                <w:lang w:val="en-US" w:eastAsia="zh-CN" w:bidi="ar"/>
              </w:rPr>
              <w:t xml:space="preserve">Li </w:t>
            </w:r>
            <w:r>
              <w:rPr>
                <w:rFonts w:hint="default" w:ascii="Times New Roman" w:hAnsi="Times New Roman" w:eastAsia="TimesNewRomanPSMT"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第</w:t>
            </w:r>
            <w:r>
              <w:rPr>
                <w:rFonts w:hint="default" w:ascii="Times New Roman" w:hAnsi="Times New Roman" w:eastAsia="宋体" w:cs="Times New Roman"/>
                <w:color w:val="auto"/>
                <w:kern w:val="2"/>
                <w:sz w:val="24"/>
                <w:szCs w:val="24"/>
                <w:lang w:val="en-US" w:eastAsia="zh-CN" w:bidi="ar"/>
              </w:rPr>
              <w:t xml:space="preserve"> </w:t>
            </w:r>
            <w:r>
              <w:rPr>
                <w:rFonts w:hint="default" w:ascii="Times New Roman" w:hAnsi="Times New Roman" w:eastAsia="TimesNewRomanPSMT" w:cs="Times New Roman"/>
                <w:color w:val="auto"/>
                <w:kern w:val="2"/>
                <w:sz w:val="24"/>
                <w:szCs w:val="24"/>
                <w:lang w:val="en-US" w:eastAsia="zh-CN" w:bidi="ar"/>
              </w:rPr>
              <w:t>i</w:t>
            </w:r>
            <w:r>
              <w:rPr>
                <w:rFonts w:hint="eastAsia" w:ascii="Times New Roman" w:hAnsi="Times New Roman" w:eastAsia="宋体" w:cs="宋体"/>
                <w:color w:val="auto"/>
                <w:kern w:val="2"/>
                <w:sz w:val="24"/>
                <w:szCs w:val="24"/>
                <w:lang w:val="en-US" w:eastAsia="zh-CN" w:bidi="ar"/>
              </w:rPr>
              <w:t>倍频带的</w:t>
            </w:r>
            <w:r>
              <w:rPr>
                <w:rFonts w:hint="default" w:ascii="Times New Roman" w:hAnsi="Times New Roman" w:eastAsia="宋体" w:cs="Times New Roman"/>
                <w:color w:val="auto"/>
                <w:kern w:val="2"/>
                <w:sz w:val="24"/>
                <w:szCs w:val="24"/>
                <w:lang w:val="en-US" w:eastAsia="zh-CN" w:bidi="ar"/>
              </w:rPr>
              <w:t xml:space="preserve"> </w:t>
            </w:r>
            <w:r>
              <w:rPr>
                <w:rFonts w:hint="default" w:ascii="Times New Roman" w:hAnsi="Times New Roman" w:eastAsia="TimesNewRomanPSMT" w:cs="Times New Roman"/>
                <w:color w:val="auto"/>
                <w:kern w:val="2"/>
                <w:sz w:val="24"/>
                <w:szCs w:val="24"/>
                <w:lang w:val="en-US" w:eastAsia="zh-CN" w:bidi="ar"/>
              </w:rPr>
              <w:t xml:space="preserve">A </w:t>
            </w:r>
            <w:r>
              <w:rPr>
                <w:rFonts w:hint="eastAsia" w:ascii="Times New Roman" w:hAnsi="Times New Roman" w:eastAsia="宋体" w:cs="宋体"/>
                <w:color w:val="auto"/>
                <w:kern w:val="2"/>
                <w:sz w:val="24"/>
                <w:szCs w:val="24"/>
                <w:lang w:val="en-US" w:eastAsia="zh-CN" w:bidi="ar"/>
              </w:rPr>
              <w:t>计权网格修正值，</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default" w:ascii="Times New Roman" w:hAnsi="Times New Roman" w:eastAsia="宋体" w:cs="Times New Roman"/>
                <w:color w:val="auto"/>
                <w:kern w:val="2"/>
                <w:sz w:val="24"/>
                <w:szCs w:val="24"/>
                <w:lang w:val="en-US" w:eastAsia="zh-CN" w:bidi="ar"/>
              </w:rPr>
              <w:t>④</w:t>
            </w:r>
            <w:r>
              <w:rPr>
                <w:rFonts w:hint="eastAsia" w:ascii="Times New Roman" w:hAnsi="Times New Roman" w:eastAsia="宋体" w:cs="宋体"/>
                <w:color w:val="auto"/>
                <w:kern w:val="2"/>
                <w:sz w:val="24"/>
                <w:szCs w:val="24"/>
                <w:lang w:val="en-US" w:eastAsia="zh-CN" w:bidi="ar"/>
              </w:rPr>
              <w:t>预测点</w:t>
            </w:r>
            <w:r>
              <w:rPr>
                <w:rFonts w:hint="default" w:ascii="Times New Roman" w:hAnsi="Times New Roman" w:eastAsia="TimesNewRomanPSMT" w:cs="Times New Roman"/>
                <w:color w:val="auto"/>
                <w:kern w:val="2"/>
                <w:sz w:val="24"/>
                <w:szCs w:val="24"/>
                <w:lang w:val="en-US" w:eastAsia="zh-CN" w:bidi="ar"/>
              </w:rPr>
              <w:t xml:space="preserve">8 </w:t>
            </w:r>
            <w:r>
              <w:rPr>
                <w:rFonts w:hint="eastAsia" w:ascii="Times New Roman" w:hAnsi="Times New Roman" w:eastAsia="宋体" w:cs="宋体"/>
                <w:color w:val="auto"/>
                <w:kern w:val="2"/>
                <w:sz w:val="24"/>
                <w:szCs w:val="24"/>
                <w:lang w:val="en-US" w:eastAsia="zh-CN" w:bidi="ar"/>
              </w:rPr>
              <w:t>个倍频带声压级公式为：</w:t>
            </w:r>
          </w:p>
          <w:p>
            <w:pPr>
              <w:keepNext w:val="0"/>
              <w:keepLines w:val="0"/>
              <w:widowControl w:val="0"/>
              <w:suppressLineNumbers w:val="0"/>
              <w:spacing w:before="0" w:beforeAutospacing="0" w:after="0" w:afterAutospacing="0" w:line="360" w:lineRule="auto"/>
              <w:ind w:left="0" w:right="0" w:firstLine="420" w:firstLineChars="200"/>
              <w:jc w:val="center"/>
              <w:rPr>
                <w:rFonts w:hint="default"/>
                <w:color w:val="auto"/>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3028950" cy="200025"/>
                  <wp:effectExtent l="0" t="0" r="0" b="952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8"/>
                          <a:stretch>
                            <a:fillRect/>
                          </a:stretch>
                        </pic:blipFill>
                        <pic:spPr>
                          <a:xfrm>
                            <a:off x="0" y="0"/>
                            <a:ext cx="3028950" cy="2000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式中：</w:t>
            </w:r>
            <w:r>
              <w:rPr>
                <w:rFonts w:hint="default" w:ascii="Times New Roman" w:hAnsi="Times New Roman" w:eastAsia="TimesNewRomanPSMT" w:cs="Times New Roman"/>
                <w:color w:val="auto"/>
                <w:kern w:val="2"/>
                <w:sz w:val="24"/>
                <w:szCs w:val="24"/>
                <w:lang w:val="en-US" w:eastAsia="zh-CN" w:bidi="ar"/>
              </w:rPr>
              <w:t>L</w:t>
            </w:r>
            <w:r>
              <w:rPr>
                <w:rFonts w:hint="default" w:ascii="Times New Roman" w:hAnsi="Times New Roman" w:eastAsia="TimesNewRomanPSMT" w:cs="Times New Roman"/>
                <w:color w:val="auto"/>
                <w:kern w:val="2"/>
                <w:sz w:val="16"/>
                <w:szCs w:val="24"/>
                <w:lang w:val="en-US" w:eastAsia="zh-CN" w:bidi="ar"/>
              </w:rPr>
              <w:t>p</w:t>
            </w:r>
            <w:r>
              <w:rPr>
                <w:rFonts w:hint="default" w:ascii="Times New Roman" w:hAnsi="Times New Roman" w:eastAsia="TimesNewRomanPSMT" w:cs="Times New Roman"/>
                <w:color w:val="auto"/>
                <w:kern w:val="2"/>
                <w:sz w:val="24"/>
                <w:szCs w:val="24"/>
                <w:lang w:val="en-US" w:eastAsia="zh-CN" w:bidi="ar"/>
              </w:rPr>
              <w:t>(r)</w:t>
            </w:r>
            <w:r>
              <w:rPr>
                <w:rFonts w:hint="default" w:ascii="Times New Roman" w:hAnsi="Times New Roman" w:eastAsia="TimesNewRomanPS-ItalicMT" w:cs="Times New Roman"/>
                <w:i/>
                <w:iCs w:val="0"/>
                <w:color w:val="auto"/>
                <w:kern w:val="2"/>
                <w:sz w:val="25"/>
                <w:szCs w:val="24"/>
                <w:lang w:val="en-US" w:eastAsia="zh-CN" w:bidi="ar"/>
              </w:rPr>
              <w:t>——</w:t>
            </w:r>
            <w:r>
              <w:rPr>
                <w:rFonts w:hint="eastAsia" w:ascii="Times New Roman" w:hAnsi="Times New Roman" w:eastAsia="宋体" w:cs="宋体"/>
                <w:color w:val="auto"/>
                <w:kern w:val="2"/>
                <w:sz w:val="24"/>
                <w:szCs w:val="24"/>
                <w:lang w:val="en-US" w:eastAsia="zh-CN" w:bidi="ar"/>
              </w:rPr>
              <w:t>距离声源</w:t>
            </w:r>
            <w:r>
              <w:rPr>
                <w:rFonts w:hint="default" w:ascii="Times New Roman" w:hAnsi="Times New Roman" w:eastAsia="TimesNewRomanPSMT" w:cs="Times New Roman"/>
                <w:color w:val="auto"/>
                <w:kern w:val="2"/>
                <w:sz w:val="24"/>
                <w:szCs w:val="24"/>
                <w:lang w:val="en-US" w:eastAsia="zh-CN" w:bidi="ar"/>
              </w:rPr>
              <w:t xml:space="preserve">r </w:t>
            </w:r>
            <w:r>
              <w:rPr>
                <w:rFonts w:hint="eastAsia" w:ascii="Times New Roman" w:hAnsi="Times New Roman" w:eastAsia="宋体" w:cs="宋体"/>
                <w:color w:val="auto"/>
                <w:kern w:val="2"/>
                <w:sz w:val="24"/>
                <w:szCs w:val="24"/>
                <w:lang w:val="en-US" w:eastAsia="zh-CN" w:bidi="ar"/>
              </w:rPr>
              <w:t>处的倍频带声压级，</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Lp (r</w:t>
            </w:r>
            <w:r>
              <w:rPr>
                <w:rFonts w:hint="default" w:ascii="Times New Roman" w:hAnsi="Times New Roman" w:eastAsia="TimesNewRomanPSMT" w:cs="Times New Roman"/>
                <w:color w:val="auto"/>
                <w:kern w:val="2"/>
                <w:sz w:val="16"/>
                <w:szCs w:val="24"/>
                <w:lang w:val="en-US" w:eastAsia="zh-CN" w:bidi="ar"/>
              </w:rPr>
              <w:t>0</w:t>
            </w:r>
            <w:r>
              <w:rPr>
                <w:rFonts w:hint="default" w:ascii="Times New Roman" w:hAnsi="Times New Roman" w:eastAsia="TimesNewRomanPSMT" w:cs="Times New Roman"/>
                <w:color w:val="auto"/>
                <w:kern w:val="2"/>
                <w:sz w:val="24"/>
                <w:szCs w:val="24"/>
                <w:lang w:val="en-US" w:eastAsia="zh-CN" w:bidi="ar"/>
              </w:rPr>
              <w:t>)</w:t>
            </w:r>
            <w:r>
              <w:rPr>
                <w:rFonts w:hint="default" w:ascii="Times New Roman" w:hAnsi="Times New Roman" w:eastAsia="TimesNewRomanPS-ItalicMT" w:cs="Times New Roman"/>
                <w:i/>
                <w:iCs w:val="0"/>
                <w:color w:val="auto"/>
                <w:kern w:val="2"/>
                <w:sz w:val="25"/>
                <w:szCs w:val="24"/>
                <w:lang w:val="en-US" w:eastAsia="zh-CN" w:bidi="ar"/>
              </w:rPr>
              <w:t>——</w:t>
            </w:r>
            <w:r>
              <w:rPr>
                <w:rFonts w:hint="eastAsia" w:ascii="Times New Roman" w:hAnsi="Times New Roman" w:eastAsia="宋体" w:cs="宋体"/>
                <w:color w:val="auto"/>
                <w:kern w:val="2"/>
                <w:sz w:val="24"/>
                <w:szCs w:val="24"/>
                <w:lang w:val="en-US" w:eastAsia="zh-CN" w:bidi="ar"/>
              </w:rPr>
              <w:t>参考位置</w:t>
            </w:r>
            <w:r>
              <w:rPr>
                <w:rFonts w:hint="default" w:ascii="Times New Roman" w:hAnsi="Times New Roman" w:eastAsia="TimesNewRomanPSMT" w:cs="Times New Roman"/>
                <w:color w:val="auto"/>
                <w:kern w:val="2"/>
                <w:sz w:val="24"/>
                <w:szCs w:val="24"/>
                <w:lang w:val="en-US" w:eastAsia="zh-CN" w:bidi="ar"/>
              </w:rPr>
              <w:t>r</w:t>
            </w:r>
            <w:r>
              <w:rPr>
                <w:rFonts w:hint="default" w:ascii="Times New Roman" w:hAnsi="Times New Roman" w:eastAsia="TimesNewRomanPSMT" w:cs="Times New Roman"/>
                <w:color w:val="auto"/>
                <w:kern w:val="2"/>
                <w:sz w:val="16"/>
                <w:szCs w:val="24"/>
                <w:lang w:val="en-US" w:eastAsia="zh-CN" w:bidi="ar"/>
              </w:rPr>
              <w:t xml:space="preserve">0 </w:t>
            </w:r>
            <w:r>
              <w:rPr>
                <w:rFonts w:hint="eastAsia" w:ascii="Times New Roman" w:hAnsi="Times New Roman" w:eastAsia="宋体" w:cs="宋体"/>
                <w:color w:val="auto"/>
                <w:kern w:val="2"/>
                <w:sz w:val="24"/>
                <w:szCs w:val="24"/>
                <w:lang w:val="en-US" w:eastAsia="zh-CN" w:bidi="ar"/>
              </w:rPr>
              <w:t>处的倍频带声压级，</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TimesNewRomanPSMT" w:cs="Times New Roman"/>
                <w:color w:val="auto"/>
                <w:kern w:val="2"/>
                <w:sz w:val="16"/>
                <w:szCs w:val="24"/>
                <w:lang w:val="en-US" w:eastAsia="zh-CN" w:bidi="ar"/>
              </w:rPr>
              <w:t>div</w:t>
            </w:r>
            <w:r>
              <w:rPr>
                <w:rFonts w:hint="default" w:ascii="Times New Roman" w:hAnsi="Times New Roman" w:eastAsia="TimesNewRomanPS-ItalicMT" w:cs="Times New Roman"/>
                <w:i/>
                <w:iCs w:val="0"/>
                <w:color w:val="auto"/>
                <w:kern w:val="2"/>
                <w:sz w:val="25"/>
                <w:szCs w:val="24"/>
                <w:lang w:val="en-US" w:eastAsia="zh-CN" w:bidi="ar"/>
              </w:rPr>
              <w:t>——</w:t>
            </w:r>
            <w:r>
              <w:rPr>
                <w:rFonts w:hint="eastAsia" w:ascii="Times New Roman" w:hAnsi="Times New Roman" w:eastAsia="宋体" w:cs="宋体"/>
                <w:color w:val="auto"/>
                <w:kern w:val="2"/>
                <w:sz w:val="24"/>
                <w:szCs w:val="24"/>
                <w:lang w:val="en-US" w:eastAsia="zh-CN" w:bidi="ar"/>
              </w:rPr>
              <w:t>声波几何发散引起的倍频带衰减，</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TimesNewRomanPSMT" w:cs="Times New Roman"/>
                <w:color w:val="auto"/>
                <w:kern w:val="2"/>
                <w:sz w:val="16"/>
                <w:szCs w:val="24"/>
                <w:lang w:val="en-US" w:eastAsia="zh-CN" w:bidi="ar"/>
              </w:rPr>
              <w:t>atm</w:t>
            </w:r>
            <w:r>
              <w:rPr>
                <w:rFonts w:hint="default" w:ascii="Times New Roman" w:hAnsi="Times New Roman" w:eastAsia="TimesNewRomanPS-ItalicMT" w:cs="Times New Roman"/>
                <w:i/>
                <w:iCs w:val="0"/>
                <w:color w:val="auto"/>
                <w:kern w:val="2"/>
                <w:sz w:val="25"/>
                <w:szCs w:val="24"/>
                <w:lang w:val="en-US" w:eastAsia="zh-CN" w:bidi="ar"/>
              </w:rPr>
              <w:t>——</w:t>
            </w:r>
            <w:r>
              <w:rPr>
                <w:rFonts w:hint="eastAsia" w:ascii="Times New Roman" w:hAnsi="Times New Roman" w:eastAsia="宋体" w:cs="宋体"/>
                <w:color w:val="auto"/>
                <w:kern w:val="2"/>
                <w:sz w:val="24"/>
                <w:szCs w:val="24"/>
                <w:lang w:val="en-US" w:eastAsia="zh-CN" w:bidi="ar"/>
              </w:rPr>
              <w:t>空气吸收引起的倍频带衰减，</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TimesNewRomanPSMT" w:cs="Times New Roman"/>
                <w:color w:val="auto"/>
                <w:kern w:val="2"/>
                <w:sz w:val="16"/>
                <w:szCs w:val="24"/>
                <w:lang w:val="en-US" w:eastAsia="zh-CN" w:bidi="ar"/>
              </w:rPr>
              <w:t>bar</w:t>
            </w:r>
            <w:r>
              <w:rPr>
                <w:rFonts w:hint="default" w:ascii="Times New Roman" w:hAnsi="Times New Roman" w:eastAsia="TimesNewRomanPS-ItalicMT" w:cs="Times New Roman"/>
                <w:i/>
                <w:iCs w:val="0"/>
                <w:color w:val="auto"/>
                <w:kern w:val="2"/>
                <w:sz w:val="25"/>
                <w:szCs w:val="24"/>
                <w:lang w:val="en-US" w:eastAsia="zh-CN" w:bidi="ar"/>
              </w:rPr>
              <w:t>——</w:t>
            </w:r>
            <w:r>
              <w:rPr>
                <w:rFonts w:hint="eastAsia" w:ascii="Times New Roman" w:hAnsi="Times New Roman" w:eastAsia="宋体" w:cs="宋体"/>
                <w:color w:val="auto"/>
                <w:kern w:val="2"/>
                <w:sz w:val="24"/>
                <w:szCs w:val="24"/>
                <w:lang w:val="en-US" w:eastAsia="zh-CN" w:bidi="ar"/>
              </w:rPr>
              <w:t>屏障引起的倍频带衰减，</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TimesNewRomanPSMT" w:cs="Times New Roman"/>
                <w:color w:val="auto"/>
                <w:kern w:val="2"/>
                <w:sz w:val="16"/>
                <w:szCs w:val="24"/>
                <w:lang w:val="en-US" w:eastAsia="zh-CN" w:bidi="ar"/>
              </w:rPr>
              <w:t>gr</w:t>
            </w:r>
            <w:r>
              <w:rPr>
                <w:rFonts w:hint="default" w:ascii="Times New Roman" w:hAnsi="Times New Roman" w:eastAsia="TimesNewRomanPS-ItalicMT" w:cs="Times New Roman"/>
                <w:i/>
                <w:iCs w:val="0"/>
                <w:color w:val="auto"/>
                <w:kern w:val="2"/>
                <w:sz w:val="25"/>
                <w:szCs w:val="24"/>
                <w:lang w:val="en-US" w:eastAsia="zh-CN" w:bidi="ar"/>
              </w:rPr>
              <w:t>——</w:t>
            </w:r>
            <w:r>
              <w:rPr>
                <w:rFonts w:hint="eastAsia" w:ascii="Times New Roman" w:hAnsi="Times New Roman" w:eastAsia="宋体" w:cs="宋体"/>
                <w:color w:val="auto"/>
                <w:kern w:val="2"/>
                <w:sz w:val="24"/>
                <w:szCs w:val="24"/>
                <w:lang w:val="en-US" w:eastAsia="zh-CN" w:bidi="ar"/>
              </w:rPr>
              <w:t>地面效应引起的倍频带衰减，</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TimesNewRomanPSMT" w:cs="Times New Roman"/>
                <w:color w:val="auto"/>
                <w:kern w:val="2"/>
                <w:sz w:val="16"/>
                <w:szCs w:val="24"/>
                <w:lang w:val="en-US" w:eastAsia="zh-CN" w:bidi="ar"/>
              </w:rPr>
              <w:t>misc</w:t>
            </w:r>
            <w:r>
              <w:rPr>
                <w:rFonts w:hint="default" w:ascii="Times New Roman" w:hAnsi="Times New Roman" w:eastAsia="TimesNewRomanPS-ItalicMT" w:cs="Times New Roman"/>
                <w:i/>
                <w:iCs w:val="0"/>
                <w:color w:val="auto"/>
                <w:kern w:val="2"/>
                <w:sz w:val="25"/>
                <w:szCs w:val="24"/>
                <w:lang w:val="en-US" w:eastAsia="zh-CN" w:bidi="ar"/>
              </w:rPr>
              <w:t>——</w:t>
            </w:r>
            <w:r>
              <w:rPr>
                <w:rFonts w:hint="eastAsia" w:ascii="Times New Roman" w:hAnsi="Times New Roman" w:eastAsia="宋体" w:cs="宋体"/>
                <w:color w:val="auto"/>
                <w:kern w:val="2"/>
                <w:sz w:val="24"/>
                <w:szCs w:val="24"/>
                <w:lang w:val="en-US" w:eastAsia="zh-CN" w:bidi="ar"/>
              </w:rPr>
              <w:t>其他多方面效应引起的倍频带衰减，</w:t>
            </w:r>
            <w:r>
              <w:rPr>
                <w:rFonts w:hint="default" w:ascii="Times New Roman" w:hAnsi="Times New Roman" w:eastAsia="TimesNewRomanPSMT" w:cs="Times New Roman"/>
                <w:color w:val="auto"/>
                <w:kern w:val="2"/>
                <w:sz w:val="24"/>
                <w:szCs w:val="24"/>
                <w:lang w:val="en-US" w:eastAsia="zh-CN" w:bidi="ar"/>
              </w:rPr>
              <w:t>dB</w:t>
            </w:r>
            <w:r>
              <w:rPr>
                <w:rFonts w:hint="eastAsia" w:ascii="Times New Roman" w:hAnsi="Times New Roman" w:eastAsia="宋体" w:cs="宋体"/>
                <w:color w:val="auto"/>
                <w:kern w:val="2"/>
                <w:sz w:val="24"/>
                <w:szCs w:val="24"/>
                <w:lang w:val="en-US" w:eastAsia="zh-CN" w:bidi="ar"/>
              </w:rPr>
              <w:t>；</w:t>
            </w:r>
          </w:p>
          <w:p>
            <w:pPr>
              <w:keepNext w:val="0"/>
              <w:keepLines w:val="0"/>
              <w:widowControl w:val="0"/>
              <w:numPr>
                <w:ilvl w:val="0"/>
                <w:numId w:val="3"/>
              </w:numPr>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无指向性点声源几何发散衰减公式：</w:t>
            </w:r>
          </w:p>
          <w:p>
            <w:pPr>
              <w:keepNext w:val="0"/>
              <w:keepLines w:val="0"/>
              <w:widowControl w:val="0"/>
              <w:suppressLineNumbers w:val="0"/>
              <w:spacing w:before="0" w:beforeAutospacing="0" w:after="0" w:afterAutospacing="0" w:line="360" w:lineRule="auto"/>
              <w:ind w:left="0" w:right="0" w:firstLine="2880" w:firstLineChars="1200"/>
              <w:jc w:val="left"/>
              <w:rPr>
                <w:rFonts w:hint="default"/>
                <w:color w:val="auto"/>
                <w:sz w:val="24"/>
                <w:szCs w:val="24"/>
                <w:lang w:val="en-US"/>
              </w:rPr>
            </w:pPr>
            <w:r>
              <w:rPr>
                <w:rFonts w:hint="default" w:ascii="Times New Roman" w:hAnsi="Times New Roman" w:eastAsia="宋体" w:cs="Times New Roman"/>
                <w:color w:val="auto"/>
                <w:kern w:val="2"/>
                <w:sz w:val="24"/>
                <w:szCs w:val="24"/>
                <w:lang w:val="en-US" w:eastAsia="zh-CN" w:bidi="ar"/>
              </w:rPr>
              <w:t>Adiv=20lg</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r/r0</w:t>
            </w:r>
            <w:r>
              <w:rPr>
                <w:rFonts w:hint="eastAsia" w:ascii="Times New Roman" w:hAnsi="Times New Roman" w:eastAsia="宋体" w:cs="宋体"/>
                <w:color w:val="auto"/>
                <w:kern w:val="2"/>
                <w:sz w:val="24"/>
                <w:szCs w:val="24"/>
                <w:lang w:val="en-US" w:eastAsia="zh-CN" w:bidi="ar"/>
              </w:rPr>
              <w:t>）</w:t>
            </w:r>
          </w:p>
          <w:p>
            <w:pPr>
              <w:keepNext w:val="0"/>
              <w:keepLines w:val="0"/>
              <w:widowControl w:val="0"/>
              <w:numPr>
                <w:ilvl w:val="0"/>
                <w:numId w:val="3"/>
              </w:numPr>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空气吸收引起的衰减</w:t>
            </w:r>
          </w:p>
          <w:p>
            <w:pPr>
              <w:keepNext w:val="0"/>
              <w:keepLines w:val="0"/>
              <w:widowControl w:val="0"/>
              <w:suppressLineNumbers w:val="0"/>
              <w:spacing w:before="0" w:beforeAutospacing="0" w:after="0" w:afterAutospacing="0" w:line="360" w:lineRule="auto"/>
              <w:ind w:left="0" w:right="0"/>
              <w:jc w:val="center"/>
              <w:rPr>
                <w:rFonts w:hint="default"/>
                <w:color w:val="auto"/>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1285875" cy="476250"/>
                  <wp:effectExtent l="0" t="0" r="9525"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9"/>
                          <a:stretch>
                            <a:fillRect/>
                          </a:stretch>
                        </pic:blipFill>
                        <pic:spPr>
                          <a:xfrm>
                            <a:off x="0" y="0"/>
                            <a:ext cx="1285875" cy="4762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center"/>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式中：</w:t>
            </w:r>
            <w:r>
              <w:rPr>
                <w:rFonts w:hint="default" w:ascii="Times New Roman" w:hAnsi="Times New Roman" w:eastAsia="TimesNewRomanPSMT" w:cs="Times New Roman"/>
                <w:color w:val="auto"/>
                <w:kern w:val="2"/>
                <w:sz w:val="24"/>
                <w:szCs w:val="24"/>
                <w:lang w:val="en-US" w:eastAsia="zh-CN" w:bidi="ar"/>
              </w:rPr>
              <w:t>a</w:t>
            </w:r>
            <w:r>
              <w:rPr>
                <w:rFonts w:hint="eastAsia" w:ascii="Times New Roman" w:hAnsi="Times New Roman" w:eastAsia="宋体" w:cs="宋体"/>
                <w:color w:val="auto"/>
                <w:kern w:val="2"/>
                <w:sz w:val="24"/>
                <w:szCs w:val="24"/>
                <w:lang w:val="en-US" w:eastAsia="zh-CN" w:bidi="ar"/>
              </w:rPr>
              <w:t>为大气吸收衰减系统，为温度、湿度和声波频率的函数。</w:t>
            </w:r>
          </w:p>
          <w:p>
            <w:pPr>
              <w:keepNext w:val="0"/>
              <w:keepLines w:val="0"/>
              <w:widowControl w:val="0"/>
              <w:numPr>
                <w:ilvl w:val="0"/>
                <w:numId w:val="3"/>
              </w:numPr>
              <w:suppressLineNumbers w:val="0"/>
              <w:spacing w:before="0" w:beforeAutospacing="0" w:after="0" w:afterAutospacing="0" w:line="360" w:lineRule="auto"/>
              <w:ind w:left="0" w:right="0" w:firstLine="480" w:firstLineChars="200"/>
              <w:jc w:val="both"/>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地面效应衰减</w:t>
            </w:r>
          </w:p>
          <w:p>
            <w:pPr>
              <w:keepNext w:val="0"/>
              <w:keepLines w:val="0"/>
              <w:widowControl w:val="0"/>
              <w:suppressLineNumbers w:val="0"/>
              <w:spacing w:before="0" w:beforeAutospacing="0" w:after="0" w:afterAutospacing="0" w:line="360" w:lineRule="auto"/>
              <w:ind w:left="480" w:leftChars="200" w:right="0"/>
              <w:jc w:val="center"/>
              <w:rPr>
                <w:rFonts w:hint="default"/>
                <w:color w:val="auto"/>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1962150" cy="41910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0"/>
                          <a:stretch>
                            <a:fillRect/>
                          </a:stretch>
                        </pic:blipFill>
                        <pic:spPr>
                          <a:xfrm>
                            <a:off x="0" y="0"/>
                            <a:ext cx="1962150" cy="4191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left"/>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式中：</w:t>
            </w:r>
            <w:r>
              <w:rPr>
                <w:rFonts w:hint="default" w:ascii="Times New Roman" w:hAnsi="Times New Roman" w:eastAsia="TimesNewRomanPSMT" w:cs="Times New Roman"/>
                <w:color w:val="auto"/>
                <w:kern w:val="2"/>
                <w:sz w:val="24"/>
                <w:szCs w:val="24"/>
                <w:lang w:val="en-US" w:eastAsia="zh-CN" w:bidi="ar"/>
              </w:rPr>
              <w:t>r—</w:t>
            </w:r>
            <w:r>
              <w:rPr>
                <w:rFonts w:hint="eastAsia" w:ascii="Times New Roman" w:hAnsi="Times New Roman" w:eastAsia="宋体" w:cs="宋体"/>
                <w:color w:val="auto"/>
                <w:kern w:val="2"/>
                <w:sz w:val="24"/>
                <w:szCs w:val="24"/>
                <w:lang w:val="en-US" w:eastAsia="zh-CN" w:bidi="ar"/>
              </w:rPr>
              <w:t>声源到预测点的距离，</w:t>
            </w:r>
            <w:r>
              <w:rPr>
                <w:rFonts w:hint="default" w:ascii="Times New Roman" w:hAnsi="Times New Roman" w:eastAsia="TimesNewRomanPSMT" w:cs="Times New Roman"/>
                <w:color w:val="auto"/>
                <w:kern w:val="2"/>
                <w:sz w:val="24"/>
                <w:szCs w:val="24"/>
                <w:lang w:val="en-US" w:eastAsia="zh-CN" w:bidi="ar"/>
              </w:rPr>
              <w:t>m</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480" w:leftChars="200" w:right="0"/>
              <w:jc w:val="both"/>
              <w:rPr>
                <w:rFonts w:hint="default"/>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H</w:t>
            </w:r>
            <w:r>
              <w:rPr>
                <w:rFonts w:hint="default" w:ascii="Times New Roman" w:hAnsi="Times New Roman" w:eastAsia="TimesNewRomanPSMT" w:cs="Times New Roman"/>
                <w:color w:val="auto"/>
                <w:kern w:val="2"/>
                <w:sz w:val="16"/>
                <w:szCs w:val="24"/>
                <w:lang w:val="en-US" w:eastAsia="zh-CN" w:bidi="ar"/>
              </w:rPr>
              <w:t>m</w:t>
            </w:r>
            <w:r>
              <w:rPr>
                <w:rFonts w:hint="default" w:ascii="Times New Roman" w:hAnsi="Times New Roman" w:eastAsia="TimesNewRomanPSMT"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传播路径的平均离地高度，</w:t>
            </w:r>
            <w:r>
              <w:rPr>
                <w:rFonts w:hint="default" w:ascii="Times New Roman" w:hAnsi="Times New Roman" w:eastAsia="TimesNewRomanPSMT" w:cs="Times New Roman"/>
                <w:color w:val="auto"/>
                <w:kern w:val="2"/>
                <w:sz w:val="24"/>
                <w:szCs w:val="24"/>
                <w:lang w:val="en-US" w:eastAsia="zh-CN" w:bidi="ar"/>
              </w:rPr>
              <w:t>m</w:t>
            </w:r>
            <w:r>
              <w:rPr>
                <w:rFonts w:hint="eastAsia" w:ascii="Times New Roman" w:hAnsi="Times New Roman" w:eastAsia="宋体" w:cs="宋体"/>
                <w:color w:val="auto"/>
                <w:kern w:val="2"/>
                <w:sz w:val="24"/>
                <w:szCs w:val="24"/>
                <w:lang w:val="en-US" w:eastAsia="zh-CN" w:bidi="ar"/>
              </w:rPr>
              <w:t>。</w:t>
            </w:r>
          </w:p>
          <w:p>
            <w:pPr>
              <w:keepNext w:val="0"/>
              <w:keepLines w:val="0"/>
              <w:widowControl w:val="0"/>
              <w:numPr>
                <w:ilvl w:val="0"/>
                <w:numId w:val="3"/>
              </w:numPr>
              <w:suppressLineNumbers w:val="0"/>
              <w:spacing w:before="0" w:beforeAutospacing="0" w:after="0" w:afterAutospacing="0" w:line="360" w:lineRule="auto"/>
              <w:ind w:left="0" w:right="0" w:firstLine="480" w:firstLineChars="200"/>
              <w:jc w:val="both"/>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屏障引起的衰减</w:t>
            </w:r>
          </w:p>
          <w:p>
            <w:pPr>
              <w:keepNext w:val="0"/>
              <w:keepLines w:val="0"/>
              <w:widowControl w:val="0"/>
              <w:suppressLineNumbers w:val="0"/>
              <w:spacing w:before="0" w:beforeAutospacing="0" w:after="0" w:afterAutospacing="0" w:line="360" w:lineRule="auto"/>
              <w:ind w:left="480" w:leftChars="200" w:right="0"/>
              <w:jc w:val="center"/>
              <w:rPr>
                <w:rFonts w:hint="default"/>
                <w:color w:val="auto"/>
                <w:sz w:val="24"/>
                <w:szCs w:val="24"/>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2581275" cy="381000"/>
                  <wp:effectExtent l="0" t="0" r="9525"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1"/>
                          <a:stretch>
                            <a:fillRect/>
                          </a:stretch>
                        </pic:blipFill>
                        <pic:spPr>
                          <a:xfrm>
                            <a:off x="0" y="0"/>
                            <a:ext cx="2581275" cy="38100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rPr>
                <w:rFonts w:hint="default"/>
                <w:color w:val="auto"/>
              </w:rPr>
            </w:pP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2</w:t>
            </w:r>
            <w:r>
              <w:rPr>
                <w:rFonts w:hint="eastAsia" w:ascii="Times New Roman" w:hAnsi="Times New Roman" w:eastAsia="宋体" w:cs="Times New Roman"/>
                <w:color w:val="auto"/>
                <w:kern w:val="2"/>
                <w:sz w:val="24"/>
                <w:szCs w:val="24"/>
                <w:lang w:val="en-US" w:eastAsia="zh-CN" w:bidi="ar"/>
              </w:rPr>
              <w:t>）项目噪声源源强调查清单</w:t>
            </w:r>
          </w:p>
          <w:p>
            <w:pPr>
              <w:keepNext w:val="0"/>
              <w:keepLines w:val="0"/>
              <w:widowControl w:val="0"/>
              <w:suppressLineNumbers w:val="0"/>
              <w:adjustRightInd w:val="0"/>
              <w:snapToGrid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4"/>
                <w:szCs w:val="24"/>
                <w:lang w:val="en-US" w:eastAsia="zh-CN" w:bidi="ar"/>
              </w:rPr>
              <w:t>表</w:t>
            </w:r>
            <w:r>
              <w:rPr>
                <w:rFonts w:hint="default" w:ascii="Times New Roman" w:hAnsi="Times New Roman" w:eastAsia="宋体" w:cs="Times New Roman"/>
                <w:b/>
                <w:bCs w:val="0"/>
                <w:color w:val="auto"/>
                <w:kern w:val="2"/>
                <w:sz w:val="24"/>
                <w:szCs w:val="24"/>
                <w:lang w:val="en-US" w:eastAsia="zh-CN" w:bidi="ar"/>
              </w:rPr>
              <w:t>4-</w:t>
            </w:r>
            <w:r>
              <w:rPr>
                <w:rFonts w:hint="eastAsia" w:cs="Times New Roman"/>
                <w:b/>
                <w:bCs w:val="0"/>
                <w:color w:val="auto"/>
                <w:kern w:val="2"/>
                <w:sz w:val="24"/>
                <w:szCs w:val="24"/>
                <w:lang w:val="en-US" w:eastAsia="zh-CN" w:bidi="ar"/>
              </w:rPr>
              <w:t>11</w:t>
            </w:r>
            <w:r>
              <w:rPr>
                <w:rFonts w:hint="default" w:ascii="Times New Roman" w:hAnsi="Times New Roman" w:eastAsia="宋体" w:cs="Times New Roman"/>
                <w:b/>
                <w:bCs w:val="0"/>
                <w:color w:val="auto"/>
                <w:kern w:val="2"/>
                <w:sz w:val="24"/>
                <w:szCs w:val="24"/>
                <w:lang w:val="en-US" w:eastAsia="zh-CN" w:bidi="ar"/>
              </w:rPr>
              <w:t xml:space="preserve">  </w:t>
            </w:r>
            <w:r>
              <w:rPr>
                <w:rFonts w:hint="eastAsia" w:ascii="Times New Roman" w:hAnsi="Times New Roman" w:eastAsia="宋体" w:cs="宋体"/>
                <w:b/>
                <w:bCs w:val="0"/>
                <w:color w:val="auto"/>
                <w:kern w:val="2"/>
                <w:sz w:val="24"/>
                <w:szCs w:val="24"/>
                <w:lang w:val="en-US" w:eastAsia="zh-CN" w:bidi="ar"/>
              </w:rPr>
              <w:t>工业企业噪声室内声源源强调查清单</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2"/>
              <w:gridCol w:w="427"/>
              <w:gridCol w:w="760"/>
              <w:gridCol w:w="707"/>
              <w:gridCol w:w="1130"/>
              <w:gridCol w:w="1287"/>
              <w:gridCol w:w="760"/>
              <w:gridCol w:w="678"/>
              <w:gridCol w:w="445"/>
              <w:gridCol w:w="651"/>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序号</w:t>
                  </w:r>
                </w:p>
              </w:tc>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建筑物名称</w:t>
                  </w:r>
                </w:p>
              </w:tc>
              <w:tc>
                <w:tcPr>
                  <w:tcW w:w="7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声源名称</w:t>
                  </w:r>
                </w:p>
              </w:tc>
              <w:tc>
                <w:tcPr>
                  <w:tcW w:w="7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型号</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声源源强</w:t>
                  </w:r>
                </w:p>
              </w:tc>
              <w:tc>
                <w:tcPr>
                  <w:tcW w:w="12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声源控制措施</w:t>
                  </w:r>
                </w:p>
              </w:tc>
              <w:tc>
                <w:tcPr>
                  <w:tcW w:w="188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相对位置</w:t>
                  </w:r>
                  <w:r>
                    <w:rPr>
                      <w:rFonts w:hint="default" w:ascii="Times New Roman" w:hAnsi="Times New Roman" w:eastAsia="宋体" w:cs="Times New Roman"/>
                      <w:b/>
                      <w:bCs w:val="0"/>
                      <w:color w:val="auto"/>
                      <w:kern w:val="2"/>
                      <w:sz w:val="21"/>
                      <w:szCs w:val="21"/>
                      <w:lang w:val="en-US" w:eastAsia="zh-CN" w:bidi="ar"/>
                    </w:rPr>
                    <w:t>/m</w:t>
                  </w:r>
                  <w:r>
                    <w:rPr>
                      <w:rFonts w:hint="eastAsia" w:ascii="Times New Roman" w:hAnsi="Times New Roman" w:eastAsia="宋体" w:cs="宋体"/>
                      <w:b/>
                      <w:bCs/>
                      <w:color w:val="auto"/>
                      <w:kern w:val="2"/>
                      <w:sz w:val="21"/>
                      <w:szCs w:val="24"/>
                      <w:lang w:val="en-US" w:eastAsia="zh-CN" w:bidi="ar"/>
                    </w:rPr>
                    <w:t>原点位于项目区中心</w:t>
                  </w:r>
                </w:p>
              </w:tc>
              <w:tc>
                <w:tcPr>
                  <w:tcW w:w="6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运行时段</w:t>
                  </w:r>
                  <w:r>
                    <w:rPr>
                      <w:rFonts w:hint="default" w:ascii="Times New Roman" w:hAnsi="Times New Roman" w:eastAsia="宋体" w:cs="Times New Roman"/>
                      <w:b/>
                      <w:bCs w:val="0"/>
                      <w:color w:val="auto"/>
                      <w:kern w:val="2"/>
                      <w:sz w:val="21"/>
                      <w:szCs w:val="21"/>
                      <w:lang w:val="en-US" w:eastAsia="zh-CN" w:bidi="ar"/>
                    </w:rPr>
                    <w:t>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p>
              </w:tc>
              <w:tc>
                <w:tcPr>
                  <w:tcW w:w="10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建筑物插入损失</w:t>
                  </w:r>
                  <w:r>
                    <w:rPr>
                      <w:rFonts w:hint="default" w:ascii="Times New Roman" w:hAnsi="Times New Roman" w:eastAsia="宋体" w:cs="Times New Roman"/>
                      <w:b/>
                      <w:bCs w:val="0"/>
                      <w:color w:val="auto"/>
                      <w:kern w:val="2"/>
                      <w:sz w:val="21"/>
                      <w:szCs w:val="21"/>
                      <w:lang w:val="en-US" w:eastAsia="zh-CN" w:bidi="ar"/>
                    </w:rPr>
                    <w:t>/dB</w:t>
                  </w:r>
                  <w:r>
                    <w:rPr>
                      <w:rFonts w:hint="eastAsia" w:ascii="Times New Roman" w:hAnsi="Times New Roman" w:eastAsia="宋体" w:cs="宋体"/>
                      <w:b/>
                      <w:bCs w:val="0"/>
                      <w:color w:val="auto"/>
                      <w:kern w:val="2"/>
                      <w:sz w:val="21"/>
                      <w:szCs w:val="21"/>
                      <w:lang w:val="en-US" w:eastAsia="zh-CN" w:bidi="ar"/>
                    </w:rPr>
                    <w:t>（</w:t>
                  </w:r>
                  <w:r>
                    <w:rPr>
                      <w:rFonts w:hint="default" w:ascii="Times New Roman" w:hAnsi="Times New Roman" w:eastAsia="宋体" w:cs="Times New Roman"/>
                      <w:b/>
                      <w:bCs w:val="0"/>
                      <w:color w:val="auto"/>
                      <w:kern w:val="2"/>
                      <w:sz w:val="21"/>
                      <w:szCs w:val="21"/>
                      <w:lang w:val="en-US" w:eastAsia="zh-CN" w:bidi="ar"/>
                    </w:rPr>
                    <w:t>A</w:t>
                  </w:r>
                  <w:r>
                    <w:rPr>
                      <w:rFonts w:hint="eastAsia" w:ascii="Times New Roman" w:hAnsi="Times New Roman" w:eastAsia="宋体" w:cs="宋体"/>
                      <w:b/>
                      <w:bCs w:val="0"/>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0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声功率级</w:t>
                  </w:r>
                  <w:r>
                    <w:rPr>
                      <w:rFonts w:hint="default" w:ascii="Times New Roman" w:hAnsi="Times New Roman" w:eastAsia="宋体" w:cs="Times New Roman"/>
                      <w:b/>
                      <w:bCs w:val="0"/>
                      <w:color w:val="auto"/>
                      <w:kern w:val="2"/>
                      <w:sz w:val="21"/>
                      <w:szCs w:val="21"/>
                      <w:lang w:val="en-US" w:eastAsia="zh-CN" w:bidi="ar"/>
                    </w:rPr>
                    <w:t>/dB</w:t>
                  </w:r>
                  <w:r>
                    <w:rPr>
                      <w:rFonts w:hint="eastAsia" w:ascii="Times New Roman" w:hAnsi="Times New Roman" w:eastAsia="宋体" w:cs="宋体"/>
                      <w:b/>
                      <w:bCs w:val="0"/>
                      <w:color w:val="auto"/>
                      <w:kern w:val="2"/>
                      <w:sz w:val="21"/>
                      <w:szCs w:val="21"/>
                      <w:lang w:val="en-US" w:eastAsia="zh-CN" w:bidi="ar"/>
                    </w:rPr>
                    <w:t>（</w:t>
                  </w:r>
                  <w:r>
                    <w:rPr>
                      <w:rFonts w:hint="default" w:ascii="Times New Roman" w:hAnsi="Times New Roman" w:eastAsia="宋体" w:cs="Times New Roman"/>
                      <w:b/>
                      <w:bCs w:val="0"/>
                      <w:color w:val="auto"/>
                      <w:kern w:val="2"/>
                      <w:sz w:val="21"/>
                      <w:szCs w:val="21"/>
                      <w:lang w:val="en-US" w:eastAsia="zh-CN" w:bidi="ar"/>
                    </w:rPr>
                    <w:t>A</w:t>
                  </w:r>
                  <w:r>
                    <w:rPr>
                      <w:rFonts w:hint="eastAsia" w:ascii="Times New Roman" w:hAnsi="Times New Roman" w:eastAsia="宋体" w:cs="宋体"/>
                      <w:b/>
                      <w:bCs w:val="0"/>
                      <w:color w:val="auto"/>
                      <w:kern w:val="2"/>
                      <w:sz w:val="21"/>
                      <w:szCs w:val="21"/>
                      <w:lang w:val="en-US" w:eastAsia="zh-CN" w:bidi="ar"/>
                    </w:rPr>
                    <w:t>）</w:t>
                  </w:r>
                </w:p>
              </w:tc>
              <w:tc>
                <w:tcPr>
                  <w:tcW w:w="128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X</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Y</w:t>
                  </w:r>
                </w:p>
              </w:tc>
              <w:tc>
                <w:tcPr>
                  <w:tcW w:w="4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Z</w:t>
                  </w:r>
                </w:p>
              </w:tc>
              <w:tc>
                <w:tcPr>
                  <w:tcW w:w="6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10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2" w:leftChars="-51" w:right="-122" w:rightChars="-51" w:firstLine="0" w:firstLineChars="0"/>
                    <w:jc w:val="center"/>
                    <w:textAlignment w:val="auto"/>
                    <w:rPr>
                      <w:rFonts w:hint="default"/>
                      <w:b/>
                      <w:bCs w:val="0"/>
                      <w:color w:val="auto"/>
                      <w:szCs w:val="21"/>
                      <w:lang w:val="en-US"/>
                    </w:rPr>
                  </w:pPr>
                  <w:r>
                    <w:rPr>
                      <w:rFonts w:hint="default" w:ascii="Times New Roman" w:hAnsi="Times New Roman" w:eastAsia="宋体" w:cs="Times New Roman"/>
                      <w:color w:val="auto"/>
                      <w:kern w:val="2"/>
                      <w:sz w:val="21"/>
                      <w:szCs w:val="21"/>
                      <w:lang w:val="en-US" w:eastAsia="zh-CN" w:bidi="ar"/>
                    </w:rPr>
                    <w:t>1</w:t>
                  </w:r>
                </w:p>
              </w:tc>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
                      <w:bCs w:val="0"/>
                      <w:color w:val="auto"/>
                      <w:szCs w:val="21"/>
                      <w:lang w:val="en-US" w:eastAsia="zh-CN"/>
                    </w:rPr>
                  </w:pPr>
                  <w:r>
                    <w:rPr>
                      <w:rFonts w:hint="eastAsia"/>
                      <w:b w:val="0"/>
                      <w:bCs/>
                      <w:color w:val="auto"/>
                      <w:sz w:val="21"/>
                      <w:szCs w:val="21"/>
                      <w:lang w:val="en-US" w:eastAsia="zh-CN"/>
                    </w:rPr>
                    <w:t>拆解车间</w:t>
                  </w: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default"/>
                      <w:color w:val="auto"/>
                      <w:sz w:val="21"/>
                      <w:szCs w:val="21"/>
                    </w:rPr>
                    <w:t>举升机</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eastAsia"/>
                      <w:color w:val="auto"/>
                      <w:sz w:val="21"/>
                      <w:szCs w:val="21"/>
                      <w:lang w:val="en-US" w:eastAsia="zh-CN"/>
                    </w:rPr>
                    <w:t>75-85</w:t>
                  </w:r>
                </w:p>
              </w:tc>
              <w:tc>
                <w:tcPr>
                  <w:tcW w:w="1287"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color w:val="auto"/>
                      <w:kern w:val="2"/>
                      <w:sz w:val="21"/>
                      <w:szCs w:val="21"/>
                      <w:lang w:val="en-US" w:eastAsia="zh-CN" w:bidi="ar"/>
                    </w:rPr>
                    <w:t>基础减震、厂房隔声、风机安装消音器、距离衰减（削减值取</w:t>
                  </w:r>
                  <w:r>
                    <w:rPr>
                      <w:rFonts w:hint="default" w:ascii="Times New Roman" w:hAnsi="Times New Roman" w:eastAsia="宋体" w:cs="Times New Roman"/>
                      <w:color w:val="auto"/>
                      <w:kern w:val="2"/>
                      <w:sz w:val="21"/>
                      <w:szCs w:val="21"/>
                      <w:lang w:val="en-US" w:eastAsia="zh-CN" w:bidi="ar"/>
                    </w:rPr>
                    <w:t>15~20dB(A)</w:t>
                  </w: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40</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31.1</w:t>
                  </w:r>
                </w:p>
              </w:tc>
              <w:tc>
                <w:tcPr>
                  <w:tcW w:w="4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51"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cs="Times New Roman"/>
                      <w:bCs/>
                      <w:color w:val="auto"/>
                      <w:kern w:val="2"/>
                      <w:sz w:val="21"/>
                      <w:szCs w:val="21"/>
                      <w:lang w:val="en-US" w:eastAsia="zh-CN" w:bidi="ar"/>
                    </w:rPr>
                    <w:t>8</w:t>
                  </w:r>
                  <w:r>
                    <w:rPr>
                      <w:rFonts w:hint="default" w:ascii="Times New Roman" w:hAnsi="Times New Roman" w:eastAsia="宋体" w:cs="Times New Roman"/>
                      <w:bCs/>
                      <w:color w:val="auto"/>
                      <w:kern w:val="2"/>
                      <w:sz w:val="21"/>
                      <w:szCs w:val="21"/>
                      <w:lang w:val="en-US" w:eastAsia="zh-CN" w:bidi="ar"/>
                    </w:rPr>
                    <w:t>h</w:t>
                  </w: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2" w:leftChars="-51" w:right="-122" w:rightChars="-51" w:firstLine="0" w:firstLineChars="0"/>
                    <w:jc w:val="center"/>
                    <w:textAlignment w:val="auto"/>
                    <w:rPr>
                      <w:rFonts w:hint="default"/>
                      <w:b/>
                      <w:bCs w:val="0"/>
                      <w:color w:val="auto"/>
                      <w:szCs w:val="21"/>
                      <w:lang w:val="en-US"/>
                    </w:rPr>
                  </w:pPr>
                  <w:r>
                    <w:rPr>
                      <w:rFonts w:hint="default" w:ascii="Times New Roman" w:hAnsi="Times New Roman" w:eastAsia="宋体" w:cs="Times New Roman"/>
                      <w:color w:val="auto"/>
                      <w:kern w:val="2"/>
                      <w:sz w:val="21"/>
                      <w:szCs w:val="21"/>
                      <w:lang w:val="en-US" w:eastAsia="zh-CN" w:bidi="ar"/>
                    </w:rPr>
                    <w:t>2</w:t>
                  </w:r>
                </w:p>
              </w:tc>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default"/>
                      <w:color w:val="auto"/>
                      <w:sz w:val="21"/>
                      <w:szCs w:val="21"/>
                    </w:rPr>
                    <w:t>移动钻孔抽油机</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val="0"/>
                      <w:color w:val="auto"/>
                      <w:szCs w:val="21"/>
                      <w:lang w:val="en-US" w:eastAsia="zh-CN"/>
                    </w:rPr>
                  </w:pPr>
                  <w:r>
                    <w:rPr>
                      <w:rFonts w:hint="eastAsia"/>
                      <w:b/>
                      <w:bCs w:val="0"/>
                      <w:color w:val="auto"/>
                      <w:szCs w:val="21"/>
                      <w:lang w:val="en-US" w:eastAsia="zh-CN"/>
                    </w:rPr>
                    <w:t>/</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eastAsia"/>
                      <w:color w:val="auto"/>
                      <w:sz w:val="21"/>
                      <w:szCs w:val="21"/>
                      <w:lang w:val="en-US" w:eastAsia="zh-CN"/>
                    </w:rPr>
                    <w:t>75-85</w:t>
                  </w:r>
                </w:p>
              </w:tc>
              <w:tc>
                <w:tcPr>
                  <w:tcW w:w="1287"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12.5</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-26.8</w:t>
                  </w:r>
                </w:p>
              </w:tc>
              <w:tc>
                <w:tcPr>
                  <w:tcW w:w="4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51"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2" w:leftChars="-51" w:right="-122" w:rightChars="-51" w:firstLine="0" w:firstLineChars="0"/>
                    <w:jc w:val="center"/>
                    <w:textAlignment w:val="auto"/>
                    <w:rPr>
                      <w:rFonts w:hint="default"/>
                      <w:b/>
                      <w:bCs w:val="0"/>
                      <w:color w:val="auto"/>
                      <w:szCs w:val="21"/>
                      <w:lang w:val="en-US"/>
                    </w:rPr>
                  </w:pPr>
                  <w:r>
                    <w:rPr>
                      <w:rFonts w:hint="default" w:ascii="Times New Roman" w:hAnsi="Times New Roman" w:eastAsia="宋体" w:cs="Times New Roman"/>
                      <w:color w:val="auto"/>
                      <w:kern w:val="2"/>
                      <w:sz w:val="21"/>
                      <w:szCs w:val="21"/>
                      <w:lang w:val="en-US" w:eastAsia="zh-CN" w:bidi="ar"/>
                    </w:rPr>
                    <w:t>3</w:t>
                  </w:r>
                </w:p>
              </w:tc>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default"/>
                      <w:color w:val="auto"/>
                      <w:sz w:val="21"/>
                      <w:szCs w:val="21"/>
                    </w:rPr>
                    <w:t>轮胎拆卸机</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val="0"/>
                      <w:color w:val="auto"/>
                      <w:szCs w:val="21"/>
                      <w:lang w:val="en-US" w:eastAsia="zh-CN"/>
                    </w:rPr>
                  </w:pPr>
                  <w:r>
                    <w:rPr>
                      <w:rFonts w:hint="eastAsia"/>
                      <w:b/>
                      <w:bCs w:val="0"/>
                      <w:color w:val="auto"/>
                      <w:szCs w:val="21"/>
                      <w:lang w:val="en-US" w:eastAsia="zh-CN"/>
                    </w:rPr>
                    <w:t>/</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eastAsia"/>
                      <w:color w:val="auto"/>
                      <w:sz w:val="21"/>
                      <w:szCs w:val="21"/>
                      <w:lang w:val="en-US" w:eastAsia="zh-CN"/>
                    </w:rPr>
                    <w:t>75-85</w:t>
                  </w:r>
                </w:p>
              </w:tc>
              <w:tc>
                <w:tcPr>
                  <w:tcW w:w="1287"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26.6</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5</w:t>
                  </w:r>
                </w:p>
              </w:tc>
              <w:tc>
                <w:tcPr>
                  <w:tcW w:w="4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51"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2" w:leftChars="-51" w:right="-122" w:rightChars="-51" w:firstLine="0" w:firstLineChars="0"/>
                    <w:jc w:val="center"/>
                    <w:textAlignment w:val="auto"/>
                    <w:rPr>
                      <w:rFonts w:hint="default"/>
                      <w:b/>
                      <w:bCs w:val="0"/>
                      <w:color w:val="auto"/>
                      <w:szCs w:val="21"/>
                      <w:lang w:val="en-US"/>
                    </w:rPr>
                  </w:pPr>
                  <w:r>
                    <w:rPr>
                      <w:rFonts w:hint="default" w:ascii="Times New Roman" w:hAnsi="Times New Roman" w:eastAsia="宋体" w:cs="Times New Roman"/>
                      <w:color w:val="auto"/>
                      <w:kern w:val="2"/>
                      <w:sz w:val="21"/>
                      <w:szCs w:val="21"/>
                      <w:lang w:val="en-US" w:eastAsia="zh-CN" w:bidi="ar"/>
                    </w:rPr>
                    <w:t>4</w:t>
                  </w:r>
                </w:p>
              </w:tc>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default"/>
                      <w:color w:val="auto"/>
                      <w:sz w:val="21"/>
                      <w:szCs w:val="21"/>
                    </w:rPr>
                    <w:t>液压剪</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val="0"/>
                      <w:color w:val="auto"/>
                      <w:szCs w:val="21"/>
                      <w:lang w:val="en-US" w:eastAsia="zh-CN"/>
                    </w:rPr>
                  </w:pPr>
                  <w:r>
                    <w:rPr>
                      <w:rFonts w:hint="eastAsia"/>
                      <w:b/>
                      <w:bCs w:val="0"/>
                      <w:color w:val="auto"/>
                      <w:szCs w:val="21"/>
                      <w:lang w:val="en-US" w:eastAsia="zh-CN"/>
                    </w:rPr>
                    <w:t>/</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eastAsia"/>
                      <w:color w:val="auto"/>
                      <w:sz w:val="21"/>
                      <w:szCs w:val="21"/>
                      <w:lang w:val="en-US" w:eastAsia="zh-CN"/>
                    </w:rPr>
                    <w:t>80-90</w:t>
                  </w:r>
                </w:p>
              </w:tc>
              <w:tc>
                <w:tcPr>
                  <w:tcW w:w="1287"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29.4</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-26.2</w:t>
                  </w:r>
                </w:p>
              </w:tc>
              <w:tc>
                <w:tcPr>
                  <w:tcW w:w="4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51"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2" w:leftChars="-51" w:right="-122" w:rightChars="-51" w:firstLine="0" w:firstLineChars="0"/>
                    <w:jc w:val="center"/>
                    <w:textAlignment w:val="auto"/>
                    <w:rPr>
                      <w:rFonts w:hint="default"/>
                      <w:b/>
                      <w:bCs w:val="0"/>
                      <w:color w:val="auto"/>
                      <w:szCs w:val="21"/>
                      <w:lang w:val="en-US"/>
                    </w:rPr>
                  </w:pPr>
                  <w:r>
                    <w:rPr>
                      <w:rFonts w:hint="default" w:ascii="Times New Roman" w:hAnsi="Times New Roman" w:eastAsia="宋体" w:cs="Times New Roman"/>
                      <w:color w:val="auto"/>
                      <w:kern w:val="2"/>
                      <w:sz w:val="21"/>
                      <w:szCs w:val="21"/>
                      <w:lang w:val="en-US" w:eastAsia="zh-CN" w:bidi="ar"/>
                    </w:rPr>
                    <w:t>5</w:t>
                  </w:r>
                </w:p>
              </w:tc>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default"/>
                      <w:color w:val="auto"/>
                      <w:sz w:val="21"/>
                      <w:szCs w:val="21"/>
                    </w:rPr>
                    <w:t>剪切机</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val="0"/>
                      <w:color w:val="auto"/>
                      <w:szCs w:val="21"/>
                      <w:lang w:val="en-US" w:eastAsia="zh-CN"/>
                    </w:rPr>
                  </w:pPr>
                  <w:r>
                    <w:rPr>
                      <w:rFonts w:hint="eastAsia"/>
                      <w:b/>
                      <w:bCs w:val="0"/>
                      <w:color w:val="auto"/>
                      <w:szCs w:val="21"/>
                      <w:lang w:val="en-US" w:eastAsia="zh-CN"/>
                    </w:rPr>
                    <w:t>/</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eastAsia"/>
                      <w:color w:val="auto"/>
                      <w:sz w:val="21"/>
                      <w:szCs w:val="21"/>
                      <w:lang w:val="en-US" w:eastAsia="zh-CN"/>
                    </w:rPr>
                    <w:t>80-90</w:t>
                  </w:r>
                </w:p>
              </w:tc>
              <w:tc>
                <w:tcPr>
                  <w:tcW w:w="1287"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31.8</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-23.8</w:t>
                  </w:r>
                </w:p>
              </w:tc>
              <w:tc>
                <w:tcPr>
                  <w:tcW w:w="4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51"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2" w:leftChars="-51" w:right="-122" w:rightChars="-51" w:firstLine="0" w:firstLineChars="0"/>
                    <w:jc w:val="center"/>
                    <w:textAlignment w:val="auto"/>
                    <w:rPr>
                      <w:rFonts w:hint="default"/>
                      <w:b/>
                      <w:bCs w:val="0"/>
                      <w:color w:val="auto"/>
                      <w:szCs w:val="21"/>
                      <w:lang w:val="en-US"/>
                    </w:rPr>
                  </w:pPr>
                  <w:r>
                    <w:rPr>
                      <w:rFonts w:hint="default" w:ascii="Times New Roman" w:hAnsi="Times New Roman" w:eastAsia="宋体" w:cs="Times New Roman"/>
                      <w:color w:val="auto"/>
                      <w:kern w:val="2"/>
                      <w:sz w:val="21"/>
                      <w:szCs w:val="21"/>
                      <w:lang w:val="en-US" w:eastAsia="zh-CN" w:bidi="ar"/>
                    </w:rPr>
                    <w:t>6</w:t>
                  </w:r>
                </w:p>
              </w:tc>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default"/>
                      <w:color w:val="auto"/>
                      <w:sz w:val="21"/>
                      <w:szCs w:val="21"/>
                    </w:rPr>
                    <w:t>破碎机</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val="0"/>
                      <w:color w:val="auto"/>
                      <w:szCs w:val="21"/>
                      <w:lang w:val="en-US" w:eastAsia="zh-CN"/>
                    </w:rPr>
                  </w:pPr>
                  <w:r>
                    <w:rPr>
                      <w:rFonts w:hint="eastAsia"/>
                      <w:b/>
                      <w:bCs w:val="0"/>
                      <w:color w:val="auto"/>
                      <w:szCs w:val="21"/>
                      <w:lang w:val="en-US" w:eastAsia="zh-CN"/>
                    </w:rPr>
                    <w:t>/</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eastAsia"/>
                      <w:color w:val="auto"/>
                      <w:sz w:val="21"/>
                      <w:szCs w:val="21"/>
                      <w:lang w:val="en-US" w:eastAsia="zh-CN"/>
                    </w:rPr>
                    <w:t>80-90</w:t>
                  </w:r>
                </w:p>
              </w:tc>
              <w:tc>
                <w:tcPr>
                  <w:tcW w:w="1287"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35.1</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-23.5</w:t>
                  </w:r>
                </w:p>
              </w:tc>
              <w:tc>
                <w:tcPr>
                  <w:tcW w:w="4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51"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2" w:leftChars="-51" w:right="-122" w:rightChars="-51" w:firstLine="0" w:firstLineChars="0"/>
                    <w:jc w:val="center"/>
                    <w:textAlignment w:val="auto"/>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7</w:t>
                  </w:r>
                </w:p>
              </w:tc>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default"/>
                      <w:color w:val="auto"/>
                      <w:sz w:val="21"/>
                      <w:szCs w:val="21"/>
                    </w:rPr>
                    <w:t>装载铲车</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val="0"/>
                      <w:color w:val="auto"/>
                      <w:sz w:val="21"/>
                      <w:szCs w:val="21"/>
                      <w:lang w:val="en-US"/>
                    </w:rPr>
                  </w:pPr>
                  <w:r>
                    <w:rPr>
                      <w:rFonts w:hint="eastAsia"/>
                      <w:color w:val="auto"/>
                      <w:sz w:val="21"/>
                      <w:szCs w:val="21"/>
                      <w:lang w:val="en-US" w:eastAsia="zh-CN"/>
                    </w:rPr>
                    <w:t>80-90</w:t>
                  </w:r>
                </w:p>
              </w:tc>
              <w:tc>
                <w:tcPr>
                  <w:tcW w:w="1287"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5.2</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36.3</w:t>
                  </w:r>
                </w:p>
              </w:tc>
              <w:tc>
                <w:tcPr>
                  <w:tcW w:w="4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51"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2" w:leftChars="-51" w:right="-122" w:rightChars="-51" w:firstLine="0" w:firstLineChars="0"/>
                    <w:jc w:val="center"/>
                    <w:textAlignment w:val="auto"/>
                    <w:rPr>
                      <w:rFonts w:hint="default"/>
                      <w:color w:val="auto"/>
                      <w:szCs w:val="21"/>
                      <w:lang w:val="en-US"/>
                    </w:rPr>
                  </w:pPr>
                  <w:r>
                    <w:rPr>
                      <w:rFonts w:hint="default" w:ascii="Times New Roman" w:hAnsi="Times New Roman" w:eastAsia="宋体" w:cs="Times New Roman"/>
                      <w:color w:val="auto"/>
                      <w:kern w:val="2"/>
                      <w:sz w:val="21"/>
                      <w:szCs w:val="21"/>
                      <w:lang w:val="en-US" w:eastAsia="zh-CN" w:bidi="ar"/>
                    </w:rPr>
                    <w:t>8</w:t>
                  </w:r>
                </w:p>
              </w:tc>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color w:val="auto"/>
                      <w:kern w:val="2"/>
                      <w:sz w:val="21"/>
                      <w:szCs w:val="21"/>
                      <w:lang w:val="en-US" w:bidi="ar"/>
                    </w:rPr>
                  </w:pPr>
                  <w:r>
                    <w:rPr>
                      <w:rFonts w:hint="default"/>
                      <w:color w:val="auto"/>
                      <w:sz w:val="21"/>
                      <w:szCs w:val="21"/>
                    </w:rPr>
                    <w:t>打包机</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w:t>
                  </w: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0"/>
                      <w:lang w:val="en-US" w:bidi="ar"/>
                    </w:rPr>
                  </w:pPr>
                  <w:r>
                    <w:rPr>
                      <w:rFonts w:hint="eastAsia"/>
                      <w:color w:val="auto"/>
                      <w:sz w:val="21"/>
                      <w:szCs w:val="21"/>
                      <w:lang w:val="en-US" w:eastAsia="zh-CN"/>
                    </w:rPr>
                    <w:t>80-90</w:t>
                  </w:r>
                </w:p>
              </w:tc>
              <w:tc>
                <w:tcPr>
                  <w:tcW w:w="1287"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15.2</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41.5</w:t>
                  </w:r>
                </w:p>
              </w:tc>
              <w:tc>
                <w:tcPr>
                  <w:tcW w:w="4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51" w:type="dxa"/>
                  <w:vMerge w:val="continue"/>
                  <w:tcBorders>
                    <w:left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2" w:leftChars="-51" w:right="-122" w:rightChars="-51"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9</w:t>
                  </w:r>
                </w:p>
              </w:tc>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宋体"/>
                      <w:color w:val="auto"/>
                      <w:kern w:val="2"/>
                      <w:sz w:val="21"/>
                      <w:szCs w:val="21"/>
                      <w:lang w:bidi="ar"/>
                    </w:rPr>
                  </w:pPr>
                  <w:r>
                    <w:rPr>
                      <w:rFonts w:hint="default"/>
                      <w:color w:val="auto"/>
                      <w:sz w:val="21"/>
                      <w:szCs w:val="21"/>
                    </w:rPr>
                    <w:t>起重机</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lang w:val="en-US" w:eastAsia="zh-CN" w:bidi="ar"/>
                    </w:rPr>
                  </w:pPr>
                </w:p>
              </w:tc>
              <w:tc>
                <w:tcPr>
                  <w:tcW w:w="1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0"/>
                      <w:lang w:val="en-US" w:bidi="ar"/>
                    </w:rPr>
                  </w:pPr>
                  <w:r>
                    <w:rPr>
                      <w:rFonts w:hint="eastAsia"/>
                      <w:color w:val="auto"/>
                      <w:sz w:val="21"/>
                      <w:szCs w:val="21"/>
                      <w:lang w:val="en-US" w:eastAsia="zh-CN"/>
                    </w:rPr>
                    <w:t>75-85</w:t>
                  </w:r>
                </w:p>
              </w:tc>
              <w:tc>
                <w:tcPr>
                  <w:tcW w:w="1287"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9</w:t>
                  </w:r>
                </w:p>
              </w:tc>
              <w:tc>
                <w:tcPr>
                  <w:tcW w:w="67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37.9</w:t>
                  </w:r>
                </w:p>
              </w:tc>
              <w:tc>
                <w:tcPr>
                  <w:tcW w:w="4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eastAsia" w:cs="Times New Roman"/>
                      <w:bCs/>
                      <w:color w:val="auto"/>
                      <w:kern w:val="2"/>
                      <w:sz w:val="21"/>
                      <w:szCs w:val="21"/>
                      <w:lang w:val="en-US" w:eastAsia="zh-CN" w:bidi="ar"/>
                    </w:rPr>
                    <w:t>1</w:t>
                  </w:r>
                </w:p>
              </w:tc>
              <w:tc>
                <w:tcPr>
                  <w:tcW w:w="65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10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eastAsia" w:cs="Times New Roman"/>
                      <w:bCs/>
                      <w:color w:val="auto"/>
                      <w:kern w:val="2"/>
                      <w:sz w:val="21"/>
                      <w:szCs w:val="21"/>
                      <w:lang w:val="en-US" w:eastAsia="zh-CN" w:bidi="ar"/>
                    </w:rPr>
                    <w:t>20</w:t>
                  </w:r>
                </w:p>
              </w:tc>
            </w:tr>
          </w:tbl>
          <w:p>
            <w:pPr>
              <w:keepNext w:val="0"/>
              <w:keepLines w:val="0"/>
              <w:widowControl/>
              <w:suppressLineNumbers w:val="0"/>
              <w:spacing w:before="120" w:beforeLines="50" w:beforeAutospacing="0" w:after="0" w:afterAutospacing="0" w:line="360" w:lineRule="auto"/>
              <w:ind w:left="0" w:right="0"/>
              <w:jc w:val="left"/>
              <w:rPr>
                <w:rFonts w:hint="default"/>
                <w:b/>
                <w:bCs/>
                <w:color w:val="auto"/>
                <w:sz w:val="24"/>
                <w:szCs w:val="24"/>
                <w:lang w:val="en-US"/>
              </w:rPr>
            </w:pP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3</w:t>
            </w:r>
            <w:r>
              <w:rPr>
                <w:rFonts w:hint="eastAsia" w:ascii="Times New Roman" w:hAnsi="Times New Roman" w:eastAsia="宋体" w:cs="宋体"/>
                <w:color w:val="auto"/>
                <w:kern w:val="2"/>
                <w:sz w:val="24"/>
                <w:szCs w:val="24"/>
                <w:lang w:val="en-US" w:eastAsia="zh-CN" w:bidi="ar"/>
              </w:rPr>
              <w:t>）预测范围及预测点</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厂界外</w:t>
            </w:r>
            <w:r>
              <w:rPr>
                <w:rFonts w:hint="default" w:ascii="Times New Roman" w:hAnsi="Times New Roman" w:eastAsia="宋体" w:cs="Times New Roman"/>
                <w:color w:val="auto"/>
                <w:kern w:val="2"/>
                <w:sz w:val="24"/>
                <w:szCs w:val="24"/>
                <w:lang w:val="en-US" w:eastAsia="zh-CN" w:bidi="ar"/>
              </w:rPr>
              <w:t>50</w:t>
            </w:r>
            <w:r>
              <w:rPr>
                <w:rFonts w:hint="default" w:ascii="Times New Roman" w:hAnsi="Times New Roman" w:eastAsia="TimesNewRomanPSMT" w:cs="Times New Roman"/>
                <w:color w:val="auto"/>
                <w:kern w:val="2"/>
                <w:sz w:val="24"/>
                <w:szCs w:val="24"/>
                <w:lang w:val="en-US" w:eastAsia="zh-CN" w:bidi="ar"/>
              </w:rPr>
              <w:t xml:space="preserve">m </w:t>
            </w:r>
            <w:r>
              <w:rPr>
                <w:rFonts w:hint="eastAsia" w:ascii="Times New Roman" w:hAnsi="Times New Roman" w:eastAsia="宋体" w:cs="宋体"/>
                <w:color w:val="auto"/>
                <w:kern w:val="2"/>
                <w:sz w:val="24"/>
                <w:szCs w:val="24"/>
                <w:lang w:val="en-US" w:eastAsia="zh-CN" w:bidi="ar"/>
              </w:rPr>
              <w:t>范无声环境保护目标，本次环评噪声预测主要对项目区厂界噪声进行预测。</w:t>
            </w:r>
          </w:p>
          <w:p>
            <w:pPr>
              <w:keepNext w:val="0"/>
              <w:keepLines w:val="0"/>
              <w:widowControl/>
              <w:suppressLineNumbers w:val="0"/>
              <w:spacing w:before="0" w:beforeAutospacing="0" w:after="0" w:afterAutospacing="0" w:line="360" w:lineRule="auto"/>
              <w:ind w:left="0" w:right="0" w:firstLine="480" w:firstLineChars="200"/>
              <w:jc w:val="left"/>
              <w:rPr>
                <w:rFonts w:hint="default"/>
                <w:b/>
                <w:bCs/>
                <w:color w:val="auto"/>
                <w:sz w:val="24"/>
                <w:szCs w:val="24"/>
                <w:lang w:val="en-US"/>
              </w:rPr>
            </w:pP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4</w:t>
            </w:r>
            <w:r>
              <w:rPr>
                <w:rFonts w:hint="eastAsia" w:ascii="Times New Roman" w:hAnsi="Times New Roman" w:eastAsia="宋体" w:cs="宋体"/>
                <w:color w:val="auto"/>
                <w:kern w:val="2"/>
                <w:sz w:val="24"/>
                <w:szCs w:val="24"/>
                <w:lang w:val="en-US" w:eastAsia="zh-CN" w:bidi="ar"/>
              </w:rPr>
              <w:t>）预测结果及评价</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b/>
                <w:bCs w:val="0"/>
                <w:color w:val="auto"/>
                <w:szCs w:val="21"/>
                <w:lang w:val="en-US"/>
              </w:rPr>
            </w:pPr>
            <w:r>
              <w:rPr>
                <w:rFonts w:hint="eastAsia" w:ascii="Times New Roman" w:hAnsi="Times New Roman" w:eastAsia="宋体" w:cs="宋体"/>
                <w:color w:val="auto"/>
                <w:kern w:val="2"/>
                <w:sz w:val="24"/>
                <w:szCs w:val="24"/>
                <w:lang w:val="en-US" w:eastAsia="zh-CN" w:bidi="ar"/>
              </w:rPr>
              <w:t>本次声环境影响评价使用</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噪声环境评价系统（</w:t>
            </w:r>
            <w:r>
              <w:rPr>
                <w:rFonts w:hint="default" w:ascii="Times New Roman" w:hAnsi="Times New Roman" w:eastAsia="宋体" w:cs="Times New Roman"/>
                <w:color w:val="auto"/>
                <w:kern w:val="2"/>
                <w:sz w:val="24"/>
                <w:szCs w:val="24"/>
                <w:lang w:val="en-US" w:eastAsia="zh-CN" w:bidi="ar"/>
              </w:rPr>
              <w:t>OnlineV4</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宋体"/>
                <w:color w:val="auto"/>
                <w:kern w:val="2"/>
                <w:sz w:val="24"/>
                <w:szCs w:val="24"/>
                <w:lang w:val="en-US" w:eastAsia="zh-CN" w:bidi="ar"/>
              </w:rPr>
              <w:t>软件进行预测。项目工作制度为</w:t>
            </w:r>
            <w:r>
              <w:rPr>
                <w:rFonts w:hint="eastAsia" w:cs="Times New Roman"/>
                <w:color w:val="auto"/>
                <w:kern w:val="2"/>
                <w:sz w:val="24"/>
                <w:szCs w:val="24"/>
                <w:lang w:val="en-US" w:eastAsia="zh-CN" w:bidi="ar"/>
              </w:rPr>
              <w:t>8</w:t>
            </w:r>
            <w:r>
              <w:rPr>
                <w:rFonts w:hint="eastAsia" w:ascii="Times New Roman" w:hAnsi="Times New Roman" w:eastAsia="宋体" w:cs="宋体"/>
                <w:color w:val="auto"/>
                <w:kern w:val="2"/>
                <w:sz w:val="24"/>
                <w:szCs w:val="24"/>
                <w:lang w:val="en-US" w:eastAsia="zh-CN" w:bidi="ar"/>
              </w:rPr>
              <w:t>小时，本环评对项目运营期昼间进行预测。本项目厂界噪声排放贡献值预测结果见表</w:t>
            </w:r>
            <w:r>
              <w:rPr>
                <w:rFonts w:hint="default" w:ascii="Times New Roman" w:hAnsi="Times New Roman" w:eastAsia="宋体" w:cs="Times New Roman"/>
                <w:color w:val="auto"/>
                <w:kern w:val="2"/>
                <w:sz w:val="24"/>
                <w:szCs w:val="24"/>
                <w:lang w:val="en-US" w:eastAsia="zh-CN" w:bidi="ar"/>
              </w:rPr>
              <w:t>4-</w:t>
            </w:r>
            <w:r>
              <w:rPr>
                <w:rFonts w:hint="eastAsia" w:cs="Times New Roman"/>
                <w:color w:val="auto"/>
                <w:kern w:val="2"/>
                <w:sz w:val="24"/>
                <w:szCs w:val="24"/>
                <w:lang w:val="en-US" w:eastAsia="zh-CN" w:bidi="ar"/>
              </w:rPr>
              <w:t>12</w:t>
            </w:r>
            <w:r>
              <w:rPr>
                <w:rFonts w:hint="eastAsia" w:ascii="Times New Roman" w:hAnsi="Times New Roman" w:eastAsia="宋体" w:cs="宋体"/>
                <w:color w:val="auto"/>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ind w:left="0" w:right="0"/>
              <w:jc w:val="center"/>
              <w:rPr>
                <w:rFonts w:hint="default"/>
                <w:b/>
                <w:bCs w:val="0"/>
                <w:color w:val="auto"/>
                <w:szCs w:val="21"/>
                <w:lang w:val="en-US"/>
              </w:rPr>
            </w:pPr>
            <w:r>
              <w:rPr>
                <w:rFonts w:hint="eastAsia" w:ascii="Times New Roman" w:hAnsi="Times New Roman" w:eastAsia="宋体" w:cs="宋体"/>
                <w:b/>
                <w:bCs w:val="0"/>
                <w:color w:val="auto"/>
                <w:kern w:val="2"/>
                <w:sz w:val="24"/>
                <w:szCs w:val="24"/>
                <w:lang w:val="en-US" w:eastAsia="zh-CN" w:bidi="ar"/>
              </w:rPr>
              <w:t>表</w:t>
            </w:r>
            <w:r>
              <w:rPr>
                <w:rFonts w:hint="default" w:ascii="Times New Roman" w:hAnsi="Times New Roman" w:eastAsia="宋体" w:cs="Times New Roman"/>
                <w:b/>
                <w:bCs w:val="0"/>
                <w:color w:val="auto"/>
                <w:kern w:val="2"/>
                <w:sz w:val="24"/>
                <w:szCs w:val="24"/>
                <w:lang w:val="en-US" w:eastAsia="zh-CN" w:bidi="ar"/>
              </w:rPr>
              <w:t>4-</w:t>
            </w:r>
            <w:r>
              <w:rPr>
                <w:rFonts w:hint="eastAsia" w:cs="Times New Roman"/>
                <w:b/>
                <w:bCs w:val="0"/>
                <w:color w:val="auto"/>
                <w:kern w:val="2"/>
                <w:sz w:val="24"/>
                <w:szCs w:val="24"/>
                <w:lang w:val="en-US" w:eastAsia="zh-CN" w:bidi="ar"/>
              </w:rPr>
              <w:t>12</w:t>
            </w:r>
            <w:r>
              <w:rPr>
                <w:rFonts w:hint="default" w:ascii="Times New Roman" w:hAnsi="Times New Roman" w:eastAsia="宋体" w:cs="Times New Roman"/>
                <w:b/>
                <w:bCs w:val="0"/>
                <w:color w:val="auto"/>
                <w:kern w:val="2"/>
                <w:sz w:val="24"/>
                <w:szCs w:val="24"/>
                <w:lang w:val="en-US" w:eastAsia="zh-CN" w:bidi="ar"/>
              </w:rPr>
              <w:t xml:space="preserve">    </w:t>
            </w:r>
            <w:r>
              <w:rPr>
                <w:rFonts w:hint="eastAsia" w:ascii="Times New Roman" w:hAnsi="Times New Roman" w:eastAsia="宋体" w:cs="宋体"/>
                <w:b/>
                <w:bCs w:val="0"/>
                <w:color w:val="auto"/>
                <w:kern w:val="2"/>
                <w:sz w:val="24"/>
                <w:szCs w:val="24"/>
                <w:lang w:val="en-US" w:eastAsia="zh-CN" w:bidi="ar"/>
              </w:rPr>
              <w:t>各噪声源在厂界处的贡献值</w:t>
            </w:r>
          </w:p>
          <w:tbl>
            <w:tblPr>
              <w:tblStyle w:val="22"/>
              <w:tblW w:w="0" w:type="auto"/>
              <w:tblInd w:w="-1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310"/>
              <w:gridCol w:w="1018"/>
              <w:gridCol w:w="1010"/>
              <w:gridCol w:w="1002"/>
              <w:gridCol w:w="1018"/>
              <w:gridCol w:w="1019"/>
              <w:gridCol w:w="1003"/>
              <w:gridCol w:w="9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40" w:hRule="atLeast"/>
              </w:trPr>
              <w:tc>
                <w:tcPr>
                  <w:tcW w:w="1310"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预测方位</w:t>
                  </w:r>
                </w:p>
              </w:tc>
              <w:tc>
                <w:tcPr>
                  <w:tcW w:w="3030" w:type="dxa"/>
                  <w:gridSpan w:val="3"/>
                  <w:tcBorders>
                    <w:top w:val="single" w:color="auto" w:sz="2" w:space="0"/>
                    <w:left w:val="single" w:color="auto" w:sz="2" w:space="0"/>
                    <w:bottom w:val="single" w:color="auto" w:sz="4"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相对位置</w:t>
                  </w:r>
                  <w:r>
                    <w:rPr>
                      <w:rFonts w:hint="default"/>
                      <w:color w:val="auto"/>
                      <w:sz w:val="21"/>
                      <w:szCs w:val="21"/>
                      <w:lang w:val="en-US" w:eastAsia="zh-CN"/>
                    </w:rPr>
                    <w:t>/m</w:t>
                  </w:r>
                </w:p>
              </w:tc>
              <w:tc>
                <w:tcPr>
                  <w:tcW w:w="1018"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时段</w:t>
                  </w:r>
                </w:p>
              </w:tc>
              <w:tc>
                <w:tcPr>
                  <w:tcW w:w="101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贡献值（</w:t>
                  </w:r>
                  <w:r>
                    <w:rPr>
                      <w:rFonts w:hint="default"/>
                      <w:color w:val="auto"/>
                      <w:sz w:val="21"/>
                      <w:szCs w:val="21"/>
                      <w:lang w:val="en-US" w:eastAsia="zh-CN"/>
                    </w:rPr>
                    <w:t>dB</w:t>
                  </w:r>
                  <w:r>
                    <w:rPr>
                      <w:rFonts w:hint="eastAsia"/>
                      <w:color w:val="auto"/>
                      <w:sz w:val="21"/>
                      <w:szCs w:val="21"/>
                      <w:lang w:val="en-US" w:eastAsia="zh-CN"/>
                    </w:rPr>
                    <w:t>（</w:t>
                  </w:r>
                  <w:r>
                    <w:rPr>
                      <w:rFonts w:hint="default"/>
                      <w:color w:val="auto"/>
                      <w:sz w:val="21"/>
                      <w:szCs w:val="21"/>
                      <w:lang w:val="en-US" w:eastAsia="zh-CN"/>
                    </w:rPr>
                    <w:t>A</w:t>
                  </w:r>
                  <w:r>
                    <w:rPr>
                      <w:rFonts w:hint="eastAsia"/>
                      <w:color w:val="auto"/>
                      <w:sz w:val="21"/>
                      <w:szCs w:val="21"/>
                      <w:lang w:val="en-US" w:eastAsia="zh-CN"/>
                    </w:rPr>
                    <w:t>）</w:t>
                  </w:r>
                </w:p>
              </w:tc>
              <w:tc>
                <w:tcPr>
                  <w:tcW w:w="1003"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标准限值（</w:t>
                  </w:r>
                  <w:r>
                    <w:rPr>
                      <w:rFonts w:hint="default"/>
                      <w:color w:val="auto"/>
                      <w:sz w:val="21"/>
                      <w:szCs w:val="21"/>
                      <w:lang w:val="en-US" w:eastAsia="zh-CN"/>
                    </w:rPr>
                    <w:t>dB</w:t>
                  </w:r>
                  <w:r>
                    <w:rPr>
                      <w:rFonts w:hint="eastAsia"/>
                      <w:color w:val="auto"/>
                      <w:sz w:val="21"/>
                      <w:szCs w:val="21"/>
                      <w:lang w:val="en-US" w:eastAsia="zh-CN"/>
                    </w:rPr>
                    <w:t>（</w:t>
                  </w:r>
                  <w:r>
                    <w:rPr>
                      <w:rFonts w:hint="default"/>
                      <w:color w:val="auto"/>
                      <w:sz w:val="21"/>
                      <w:szCs w:val="21"/>
                      <w:lang w:val="en-US" w:eastAsia="zh-CN"/>
                    </w:rPr>
                    <w:t>A</w:t>
                  </w:r>
                  <w:r>
                    <w:rPr>
                      <w:rFonts w:hint="eastAsia"/>
                      <w:color w:val="auto"/>
                      <w:sz w:val="21"/>
                      <w:szCs w:val="21"/>
                      <w:lang w:val="en-US" w:eastAsia="zh-CN"/>
                    </w:rPr>
                    <w:t>）</w:t>
                  </w:r>
                </w:p>
              </w:tc>
              <w:tc>
                <w:tcPr>
                  <w:tcW w:w="99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40" w:hRule="atLeast"/>
              </w:trPr>
              <w:tc>
                <w:tcPr>
                  <w:tcW w:w="1310"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p>
              </w:tc>
              <w:tc>
                <w:tcPr>
                  <w:tcW w:w="1018" w:type="dxa"/>
                  <w:tcBorders>
                    <w:top w:val="single" w:color="auto" w:sz="4"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x</w:t>
                  </w:r>
                </w:p>
              </w:tc>
              <w:tc>
                <w:tcPr>
                  <w:tcW w:w="1010" w:type="dxa"/>
                  <w:tcBorders>
                    <w:top w:val="single" w:color="auto" w:sz="4"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Y</w:t>
                  </w:r>
                </w:p>
              </w:tc>
              <w:tc>
                <w:tcPr>
                  <w:tcW w:w="1002" w:type="dxa"/>
                  <w:tcBorders>
                    <w:top w:val="single" w:color="auto" w:sz="4"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Z</w:t>
                  </w:r>
                </w:p>
              </w:tc>
              <w:tc>
                <w:tcPr>
                  <w:tcW w:w="1018"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p>
              </w:tc>
              <w:tc>
                <w:tcPr>
                  <w:tcW w:w="101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p>
              </w:tc>
              <w:tc>
                <w:tcPr>
                  <w:tcW w:w="1003"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p>
              </w:tc>
              <w:tc>
                <w:tcPr>
                  <w:tcW w:w="99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40" w:hRule="atLeast"/>
              </w:trPr>
              <w:tc>
                <w:tcPr>
                  <w:tcW w:w="13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西边界</w:t>
                  </w:r>
                </w:p>
              </w:tc>
              <w:tc>
                <w:tcPr>
                  <w:tcW w:w="10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60.4</w:t>
                  </w:r>
                </w:p>
              </w:tc>
              <w:tc>
                <w:tcPr>
                  <w:tcW w:w="10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-22.9</w:t>
                  </w:r>
                </w:p>
              </w:tc>
              <w:tc>
                <w:tcPr>
                  <w:tcW w:w="100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1018" w:type="dxa"/>
                  <w:tcBorders>
                    <w:top w:val="single" w:color="auto" w:sz="2" w:space="0"/>
                    <w:left w:val="single" w:color="auto" w:sz="2" w:space="0"/>
                    <w:bottom w:val="single" w:color="auto" w:sz="4"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昼间</w:t>
                  </w:r>
                </w:p>
              </w:tc>
              <w:tc>
                <w:tcPr>
                  <w:tcW w:w="1019"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46.9</w:t>
                  </w:r>
                </w:p>
              </w:tc>
              <w:tc>
                <w:tcPr>
                  <w:tcW w:w="1003" w:type="dxa"/>
                  <w:tcBorders>
                    <w:top w:val="single" w:color="auto" w:sz="2" w:space="0"/>
                    <w:left w:val="single" w:color="auto" w:sz="2" w:space="0"/>
                    <w:bottom w:val="single" w:color="auto" w:sz="4"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60</w:t>
                  </w:r>
                </w:p>
              </w:tc>
              <w:tc>
                <w:tcPr>
                  <w:tcW w:w="99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40" w:hRule="atLeast"/>
              </w:trPr>
              <w:tc>
                <w:tcPr>
                  <w:tcW w:w="13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东边界</w:t>
                  </w:r>
                </w:p>
              </w:tc>
              <w:tc>
                <w:tcPr>
                  <w:tcW w:w="10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30.9</w:t>
                  </w:r>
                </w:p>
              </w:tc>
              <w:tc>
                <w:tcPr>
                  <w:tcW w:w="10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-51</w:t>
                  </w:r>
                </w:p>
              </w:tc>
              <w:tc>
                <w:tcPr>
                  <w:tcW w:w="100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1018" w:type="dxa"/>
                  <w:tcBorders>
                    <w:top w:val="single" w:color="auto" w:sz="2" w:space="0"/>
                    <w:left w:val="single" w:color="auto" w:sz="2" w:space="0"/>
                    <w:bottom w:val="single" w:color="auto" w:sz="4"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昼间</w:t>
                  </w:r>
                </w:p>
              </w:tc>
              <w:tc>
                <w:tcPr>
                  <w:tcW w:w="1019"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46.7</w:t>
                  </w:r>
                </w:p>
              </w:tc>
              <w:tc>
                <w:tcPr>
                  <w:tcW w:w="1003" w:type="dxa"/>
                  <w:tcBorders>
                    <w:top w:val="single" w:color="auto" w:sz="2" w:space="0"/>
                    <w:left w:val="single" w:color="auto" w:sz="2" w:space="0"/>
                    <w:bottom w:val="single" w:color="auto" w:sz="4"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60</w:t>
                  </w:r>
                </w:p>
              </w:tc>
              <w:tc>
                <w:tcPr>
                  <w:tcW w:w="99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40" w:hRule="atLeast"/>
              </w:trPr>
              <w:tc>
                <w:tcPr>
                  <w:tcW w:w="13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南边界</w:t>
                  </w:r>
                </w:p>
              </w:tc>
              <w:tc>
                <w:tcPr>
                  <w:tcW w:w="10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-30.6</w:t>
                  </w:r>
                </w:p>
              </w:tc>
              <w:tc>
                <w:tcPr>
                  <w:tcW w:w="10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27.8</w:t>
                  </w:r>
                </w:p>
              </w:tc>
              <w:tc>
                <w:tcPr>
                  <w:tcW w:w="100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1018" w:type="dxa"/>
                  <w:tcBorders>
                    <w:top w:val="single" w:color="auto" w:sz="2" w:space="0"/>
                    <w:left w:val="single" w:color="auto" w:sz="2" w:space="0"/>
                    <w:bottom w:val="single" w:color="auto" w:sz="4"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昼间</w:t>
                  </w:r>
                </w:p>
              </w:tc>
              <w:tc>
                <w:tcPr>
                  <w:tcW w:w="1019"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44</w:t>
                  </w:r>
                </w:p>
              </w:tc>
              <w:tc>
                <w:tcPr>
                  <w:tcW w:w="1003" w:type="dxa"/>
                  <w:tcBorders>
                    <w:top w:val="single" w:color="auto" w:sz="2" w:space="0"/>
                    <w:left w:val="single" w:color="auto" w:sz="2" w:space="0"/>
                    <w:bottom w:val="single" w:color="auto" w:sz="4"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60</w:t>
                  </w:r>
                </w:p>
              </w:tc>
              <w:tc>
                <w:tcPr>
                  <w:tcW w:w="99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40" w:hRule="atLeast"/>
              </w:trPr>
              <w:tc>
                <w:tcPr>
                  <w:tcW w:w="13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北边界</w:t>
                  </w:r>
                </w:p>
              </w:tc>
              <w:tc>
                <w:tcPr>
                  <w:tcW w:w="10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5</w:t>
                  </w:r>
                </w:p>
              </w:tc>
              <w:tc>
                <w:tcPr>
                  <w:tcW w:w="101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50.1</w:t>
                  </w:r>
                </w:p>
              </w:tc>
              <w:tc>
                <w:tcPr>
                  <w:tcW w:w="100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1</w:t>
                  </w:r>
                </w:p>
              </w:tc>
              <w:tc>
                <w:tcPr>
                  <w:tcW w:w="1018" w:type="dxa"/>
                  <w:tcBorders>
                    <w:top w:val="single" w:color="auto" w:sz="2" w:space="0"/>
                    <w:left w:val="single" w:color="auto" w:sz="2" w:space="0"/>
                    <w:bottom w:val="single" w:color="auto" w:sz="4"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昼间</w:t>
                  </w:r>
                </w:p>
              </w:tc>
              <w:tc>
                <w:tcPr>
                  <w:tcW w:w="1019"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46.5</w:t>
                  </w:r>
                </w:p>
              </w:tc>
              <w:tc>
                <w:tcPr>
                  <w:tcW w:w="1003" w:type="dxa"/>
                  <w:tcBorders>
                    <w:top w:val="single" w:color="auto" w:sz="4" w:space="0"/>
                    <w:left w:val="single" w:color="auto" w:sz="2" w:space="0"/>
                    <w:bottom w:val="single" w:color="auto" w:sz="4"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default"/>
                      <w:color w:val="auto"/>
                      <w:sz w:val="21"/>
                      <w:szCs w:val="21"/>
                      <w:lang w:val="en-US" w:eastAsia="zh-CN"/>
                    </w:rPr>
                    <w:t>60</w:t>
                  </w:r>
                </w:p>
              </w:tc>
              <w:tc>
                <w:tcPr>
                  <w:tcW w:w="99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49"/>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bl>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kern w:val="2"/>
                <w:sz w:val="24"/>
                <w:szCs w:val="24"/>
                <w:lang w:val="en-US" w:eastAsia="zh-CN" w:bidi="ar"/>
              </w:rPr>
            </w:pPr>
            <w:r>
              <w:rPr>
                <w:rFonts w:hint="eastAsia" w:ascii="Times New Roman" w:hAnsi="Times New Roman" w:eastAsia="宋体" w:cs="宋体"/>
                <w:color w:val="auto"/>
                <w:kern w:val="2"/>
                <w:sz w:val="24"/>
                <w:szCs w:val="24"/>
                <w:lang w:val="en-US" w:eastAsia="zh-CN" w:bidi="ar"/>
              </w:rPr>
              <w:t>根据上表可知，运营期各设备噪声源在厂界处的噪声贡献值均可达《工业企业厂界环境噪声排放标准》（</w:t>
            </w:r>
            <w:r>
              <w:rPr>
                <w:rFonts w:hint="default" w:ascii="Times New Roman" w:hAnsi="Times New Roman" w:eastAsia="宋体" w:cs="宋体"/>
                <w:color w:val="auto"/>
                <w:kern w:val="2"/>
                <w:sz w:val="24"/>
                <w:szCs w:val="24"/>
                <w:lang w:val="en-US" w:eastAsia="zh-CN" w:bidi="ar"/>
              </w:rPr>
              <w:t>GB12348-2008</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宋体"/>
                <w:color w:val="auto"/>
                <w:kern w:val="2"/>
                <w:sz w:val="24"/>
                <w:szCs w:val="24"/>
                <w:lang w:val="en-US" w:eastAsia="zh-CN" w:bidi="ar"/>
              </w:rPr>
              <w:t>2</w:t>
            </w:r>
            <w:r>
              <w:rPr>
                <w:rFonts w:hint="eastAsia" w:ascii="Times New Roman" w:hAnsi="Times New Roman" w:eastAsia="宋体" w:cs="宋体"/>
                <w:color w:val="auto"/>
                <w:kern w:val="2"/>
                <w:sz w:val="24"/>
                <w:szCs w:val="24"/>
                <w:lang w:val="en-US" w:eastAsia="zh-CN" w:bidi="ar"/>
              </w:rPr>
              <w:t>类标准要求（昼间</w:t>
            </w:r>
            <w:r>
              <w:rPr>
                <w:rFonts w:hint="default" w:ascii="Times New Roman" w:hAnsi="Times New Roman" w:eastAsia="宋体" w:cs="宋体"/>
                <w:color w:val="auto"/>
                <w:kern w:val="2"/>
                <w:sz w:val="24"/>
                <w:szCs w:val="24"/>
                <w:lang w:val="en-US" w:eastAsia="zh-CN" w:bidi="ar"/>
              </w:rPr>
              <w:t>≤60dB</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宋体"/>
                <w:color w:val="auto"/>
                <w:kern w:val="2"/>
                <w:sz w:val="24"/>
                <w:szCs w:val="24"/>
                <w:lang w:val="en-US" w:eastAsia="zh-CN" w:bidi="ar"/>
              </w:rPr>
              <w:t>A</w:t>
            </w:r>
            <w:r>
              <w:rPr>
                <w:rFonts w:hint="eastAsia" w:ascii="Times New Roman" w:hAnsi="Times New Roman" w:eastAsia="宋体" w:cs="宋体"/>
                <w:color w:val="auto"/>
                <w:kern w:val="2"/>
                <w:sz w:val="24"/>
                <w:szCs w:val="24"/>
                <w:lang w:val="en-US" w:eastAsia="zh-CN" w:bidi="ar"/>
              </w:rPr>
              <w:t>），夜间</w:t>
            </w:r>
            <w:r>
              <w:rPr>
                <w:rFonts w:hint="default" w:ascii="Times New Roman" w:hAnsi="Times New Roman" w:eastAsia="宋体" w:cs="宋体"/>
                <w:color w:val="auto"/>
                <w:kern w:val="2"/>
                <w:sz w:val="24"/>
                <w:szCs w:val="24"/>
                <w:lang w:val="en-US" w:eastAsia="zh-CN" w:bidi="ar"/>
              </w:rPr>
              <w:t>≤50dB</w:t>
            </w: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宋体"/>
                <w:color w:val="auto"/>
                <w:kern w:val="2"/>
                <w:sz w:val="24"/>
                <w:szCs w:val="24"/>
                <w:lang w:val="en-US" w:eastAsia="zh-CN" w:bidi="ar"/>
              </w:rPr>
              <w:t>A</w:t>
            </w:r>
            <w:r>
              <w:rPr>
                <w:rFonts w:hint="eastAsia" w:ascii="Times New Roman" w:hAnsi="Times New Roman" w:eastAsia="宋体" w:cs="宋体"/>
                <w:color w:val="auto"/>
                <w:kern w:val="2"/>
                <w:sz w:val="24"/>
                <w:szCs w:val="24"/>
                <w:lang w:val="en-US" w:eastAsia="zh-CN" w:bidi="ar"/>
              </w:rPr>
              <w:t>）。运营期噪声排放对项目区周围声环境影响小。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sz w:val="24"/>
                <w:szCs w:val="24"/>
                <w:lang w:val="en-US"/>
              </w:rPr>
            </w:pPr>
            <w:r>
              <w:rPr>
                <w:rFonts w:hint="eastAsia" w:ascii="Times New Roman" w:hAnsi="Times New Roman" w:eastAsia="宋体" w:cs="宋体"/>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5</w:t>
            </w:r>
            <w:r>
              <w:rPr>
                <w:rFonts w:hint="eastAsia" w:ascii="Times New Roman" w:hAnsi="Times New Roman" w:eastAsia="宋体" w:cs="宋体"/>
                <w:color w:val="auto"/>
                <w:kern w:val="2"/>
                <w:sz w:val="24"/>
                <w:szCs w:val="24"/>
                <w:lang w:val="en-US" w:eastAsia="zh-CN" w:bidi="ar"/>
              </w:rPr>
              <w:t>）声环境保护措施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kern w:val="0"/>
                <w:sz w:val="24"/>
                <w:szCs w:val="24"/>
                <w:lang w:val="en-US" w:bidi="ar"/>
              </w:rPr>
            </w:pPr>
            <w:r>
              <w:rPr>
                <w:rFonts w:hint="eastAsia" w:ascii="Times New Roman" w:hAnsi="Times New Roman" w:eastAsia="宋体" w:cs="宋体"/>
                <w:color w:val="auto"/>
                <w:kern w:val="2"/>
                <w:sz w:val="24"/>
                <w:szCs w:val="24"/>
                <w:lang w:val="en-US" w:eastAsia="zh-CN" w:bidi="ar"/>
              </w:rPr>
              <w:t>为降低项目噪声对所在区域声环境的影响</w:t>
            </w:r>
            <w:r>
              <w:rPr>
                <w:rFonts w:hint="eastAsia" w:ascii="Times New Roman" w:hAnsi="Times New Roman" w:eastAsia="宋体" w:cs="宋体"/>
                <w:color w:val="auto"/>
                <w:kern w:val="0"/>
                <w:sz w:val="24"/>
                <w:szCs w:val="24"/>
                <w:lang w:val="en-US" w:eastAsia="zh-CN" w:bidi="ar"/>
              </w:rPr>
              <w:t>，建设单位采取的隔声降噪措施如下：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①</w:t>
            </w:r>
            <w:r>
              <w:rPr>
                <w:rFonts w:hint="default" w:ascii="Times New Roman" w:hAnsi="Times New Roman"/>
                <w:color w:val="auto"/>
                <w:sz w:val="24"/>
                <w:szCs w:val="24"/>
                <w:lang w:eastAsia="zh-CN"/>
              </w:rPr>
              <w:t>选用低噪声设备，高噪声设备必须安装在加有减振垫的隔振基础上，同时设备之间保持间距，避免噪声叠加影响；</w:t>
            </w:r>
            <w:r>
              <w:rPr>
                <w:rFonts w:hint="default" w:ascii="Times New Roman" w:hAnsi="Times New Roman" w:cs="Times New Roman"/>
                <w:color w:val="auto"/>
                <w:sz w:val="24"/>
                <w:szCs w:val="24"/>
                <w:lang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lang w:val="en-US"/>
              </w:rPr>
              <w:t>②</w:t>
            </w:r>
            <w:r>
              <w:rPr>
                <w:rFonts w:hint="default" w:ascii="Times New Roman" w:hAnsi="Times New Roman"/>
                <w:color w:val="auto"/>
                <w:sz w:val="24"/>
                <w:szCs w:val="24"/>
                <w:lang w:eastAsia="zh-CN"/>
              </w:rPr>
              <w:t>生产过程中主要产噪设备均设置于厂房内，以保证厂界噪声能够达标；夜间不进行生产；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③</w:t>
            </w:r>
            <w:r>
              <w:rPr>
                <w:rFonts w:hint="default" w:ascii="Times New Roman" w:hAnsi="Times New Roman"/>
                <w:color w:val="auto"/>
                <w:sz w:val="24"/>
                <w:szCs w:val="24"/>
                <w:lang w:eastAsia="zh-CN"/>
              </w:rPr>
              <w:t>注重墙体隔声效果，尽量采用密闭形式作业；</w:t>
            </w:r>
            <w:r>
              <w:rPr>
                <w:rFonts w:hint="default" w:ascii="Times New Roman" w:hAnsi="Times New Roman" w:cs="Times New Roman"/>
                <w:color w:val="auto"/>
                <w:sz w:val="24"/>
                <w:szCs w:val="24"/>
                <w:lang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④</w:t>
            </w:r>
            <w:r>
              <w:rPr>
                <w:rFonts w:hint="default" w:ascii="Times New Roman" w:hAnsi="Times New Roman"/>
                <w:color w:val="auto"/>
                <w:sz w:val="24"/>
                <w:szCs w:val="24"/>
                <w:lang w:eastAsia="zh-CN"/>
              </w:rPr>
              <w:t>合理布局，重视总平面布置，尽可能利用距离进行声级衰减；</w:t>
            </w:r>
            <w:r>
              <w:rPr>
                <w:rFonts w:hint="default" w:ascii="Times New Roman" w:hAnsi="Times New Roman" w:cs="Times New Roman"/>
                <w:color w:val="auto"/>
                <w:sz w:val="24"/>
                <w:szCs w:val="24"/>
                <w:lang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⑤</w:t>
            </w:r>
            <w:r>
              <w:rPr>
                <w:rFonts w:hint="default" w:ascii="Times New Roman" w:hAnsi="Times New Roman"/>
                <w:color w:val="auto"/>
                <w:sz w:val="24"/>
                <w:szCs w:val="24"/>
                <w:lang w:eastAsia="zh-CN"/>
              </w:rPr>
              <w:t>加强管理：建立设备定期维护，保养的管理制度，以防止设备故障形成的非正常生产噪声，杜绝因设备不正常运转时产生的高噪声现象，同时确保环保措施发挥最佳有限的功能；加强职工环保意识教育，提倡文明生产，减少人为噪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⑥</w:t>
            </w:r>
            <w:r>
              <w:rPr>
                <w:rFonts w:hint="default" w:ascii="Times New Roman" w:hAnsi="Times New Roman"/>
                <w:color w:val="auto"/>
                <w:sz w:val="24"/>
                <w:szCs w:val="24"/>
                <w:lang w:eastAsia="zh-CN"/>
              </w:rPr>
              <w:t>项目在进行原辅料及产品运输时，应合理安排运输时间，避免在夜间时段进行。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⑦</w:t>
            </w:r>
            <w:r>
              <w:rPr>
                <w:rFonts w:hint="default" w:ascii="Times New Roman" w:hAnsi="Times New Roman"/>
                <w:color w:val="auto"/>
                <w:sz w:val="24"/>
                <w:szCs w:val="24"/>
                <w:lang w:eastAsia="zh-CN"/>
              </w:rPr>
              <w:t>为减小车辆经过村庄时产生影响，要求运输车辆在经过运输线路旁村庄时，降低车速，文明行驶，严禁鸣笛。</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lang w:val="en-US"/>
              </w:rPr>
            </w:pPr>
            <w:r>
              <w:rPr>
                <w:rFonts w:hint="eastAsia" w:ascii="Times New Roman" w:hAnsi="Times New Roman" w:cs="宋体"/>
                <w:color w:val="auto"/>
                <w:kern w:val="2"/>
                <w:sz w:val="24"/>
                <w:szCs w:val="24"/>
                <w:lang w:val="en-US" w:eastAsia="zh-CN" w:bidi="ar"/>
              </w:rPr>
              <w:t>3、</w:t>
            </w:r>
            <w:r>
              <w:rPr>
                <w:rFonts w:hint="eastAsia" w:ascii="Times New Roman" w:hAnsi="Times New Roman" w:eastAsia="宋体" w:cs="宋体"/>
                <w:color w:val="auto"/>
                <w:kern w:val="2"/>
                <w:sz w:val="24"/>
                <w:szCs w:val="24"/>
                <w:lang w:val="en-US" w:eastAsia="zh-CN" w:bidi="ar"/>
              </w:rPr>
              <w:t>小结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color w:val="auto"/>
              </w:rPr>
            </w:pPr>
            <w:r>
              <w:rPr>
                <w:rFonts w:hint="eastAsia" w:ascii="Times New Roman" w:hAnsi="Times New Roman" w:eastAsia="宋体" w:cs="Times New Roman"/>
                <w:color w:val="auto"/>
                <w:kern w:val="2"/>
                <w:sz w:val="24"/>
                <w:szCs w:val="24"/>
                <w:lang w:val="en-US" w:eastAsia="zh-CN" w:bidi="ar"/>
              </w:rPr>
              <w:t>通过采取以上噪声治理措施后，有效降低项目生产过程中设备噪声对周边声环境的影响。厂界噪声经预测能够达到《工业企业厂界环境噪声排放标准》（</w:t>
            </w:r>
            <w:r>
              <w:rPr>
                <w:rFonts w:hint="default" w:ascii="Times New Roman" w:hAnsi="Times New Roman" w:eastAsia="宋体" w:cs="Times New Roman"/>
                <w:color w:val="auto"/>
                <w:kern w:val="2"/>
                <w:sz w:val="24"/>
                <w:szCs w:val="24"/>
                <w:lang w:val="en-US" w:eastAsia="zh-CN" w:bidi="ar"/>
              </w:rPr>
              <w:t>GB12348-2008</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2</w:t>
            </w:r>
            <w:r>
              <w:rPr>
                <w:rFonts w:hint="eastAsia" w:ascii="Times New Roman" w:hAnsi="Times New Roman" w:eastAsia="宋体" w:cs="Times New Roman"/>
                <w:color w:val="auto"/>
                <w:kern w:val="2"/>
                <w:sz w:val="24"/>
                <w:szCs w:val="24"/>
                <w:lang w:val="en-US" w:eastAsia="zh-CN" w:bidi="ar"/>
              </w:rPr>
              <w:t>类标准，噪声治理措施有效可行，对周围环境及保护目标的影响较小。</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4、噪声监测要求</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建设单位应委托有相应检测资质的第三方检测机构定期对项目的污染源进行采样检测，并形成管理台账。为加强环境管理，较为准确客观地掌握其污染物的排放情况，结合《排污单位自行监测技术指南 总则》（HJ819-2017），对噪声提出以下监测计划：</w:t>
            </w:r>
          </w:p>
          <w:p>
            <w:pPr>
              <w:pStyle w:val="49"/>
              <w:keepNext w:val="0"/>
              <w:keepLines w:val="0"/>
              <w:suppressLineNumbers w:val="0"/>
              <w:spacing w:before="0" w:beforeAutospacing="0" w:after="0" w:afterAutospacing="0"/>
              <w:ind w:left="0" w:right="0" w:firstLine="482"/>
              <w:jc w:val="center"/>
              <w:rPr>
                <w:rFonts w:hint="default"/>
                <w:b/>
                <w:color w:val="auto"/>
              </w:rPr>
            </w:pPr>
            <w:r>
              <w:rPr>
                <w:rFonts w:hint="eastAsia"/>
                <w:b/>
                <w:color w:val="auto"/>
              </w:rPr>
              <w:t>表4-1</w:t>
            </w:r>
            <w:r>
              <w:rPr>
                <w:rFonts w:hint="eastAsia"/>
                <w:b/>
                <w:color w:val="auto"/>
                <w:lang w:val="en-US" w:eastAsia="zh-CN"/>
              </w:rPr>
              <w:t>3</w:t>
            </w:r>
            <w:r>
              <w:rPr>
                <w:rFonts w:hint="eastAsia"/>
                <w:b/>
                <w:color w:val="auto"/>
              </w:rPr>
              <w:t xml:space="preserve">  噪声监测计划一览表</w:t>
            </w:r>
          </w:p>
          <w:tbl>
            <w:tblPr>
              <w:tblStyle w:val="23"/>
              <w:tblW w:w="84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2307"/>
              <w:gridCol w:w="1237"/>
              <w:gridCol w:w="1701"/>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类别</w:t>
                  </w:r>
                </w:p>
              </w:tc>
              <w:tc>
                <w:tcPr>
                  <w:tcW w:w="23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监测点位</w:t>
                  </w:r>
                </w:p>
              </w:tc>
              <w:tc>
                <w:tcPr>
                  <w:tcW w:w="123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监测因子</w:t>
                  </w: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监测频次</w:t>
                  </w:r>
                </w:p>
              </w:tc>
              <w:tc>
                <w:tcPr>
                  <w:tcW w:w="213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噪声</w:t>
                  </w:r>
                </w:p>
              </w:tc>
              <w:tc>
                <w:tcPr>
                  <w:tcW w:w="23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N</w:t>
                  </w:r>
                  <w:r>
                    <w:rPr>
                      <w:rFonts w:hint="eastAsia"/>
                      <w:color w:val="auto"/>
                      <w:sz w:val="21"/>
                      <w:szCs w:val="21"/>
                      <w:vertAlign w:val="subscript"/>
                    </w:rPr>
                    <w:t>1</w:t>
                  </w:r>
                  <w:r>
                    <w:rPr>
                      <w:rFonts w:hint="eastAsia"/>
                      <w:color w:val="auto"/>
                      <w:sz w:val="21"/>
                      <w:szCs w:val="21"/>
                    </w:rPr>
                    <w:t>：东厂界外侧1m处</w:t>
                  </w:r>
                </w:p>
              </w:tc>
              <w:tc>
                <w:tcPr>
                  <w:tcW w:w="1237"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Leq（A）</w:t>
                  </w:r>
                </w:p>
              </w:tc>
              <w:tc>
                <w:tcPr>
                  <w:tcW w:w="1701"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按要求进行监测</w:t>
                  </w:r>
                </w:p>
              </w:tc>
              <w:tc>
                <w:tcPr>
                  <w:tcW w:w="2132"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《工业企业厂界环境噪声排放标准》（GB12348—2008）2类标准要求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3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N</w:t>
                  </w:r>
                  <w:r>
                    <w:rPr>
                      <w:rFonts w:hint="eastAsia"/>
                      <w:color w:val="auto"/>
                      <w:sz w:val="21"/>
                      <w:szCs w:val="21"/>
                      <w:vertAlign w:val="subscript"/>
                    </w:rPr>
                    <w:t>2</w:t>
                  </w:r>
                  <w:r>
                    <w:rPr>
                      <w:rFonts w:hint="eastAsia"/>
                      <w:color w:val="auto"/>
                      <w:sz w:val="21"/>
                      <w:szCs w:val="21"/>
                    </w:rPr>
                    <w:t>：南厂界外侧1m处</w:t>
                  </w:r>
                </w:p>
              </w:tc>
              <w:tc>
                <w:tcPr>
                  <w:tcW w:w="123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13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3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N</w:t>
                  </w:r>
                  <w:r>
                    <w:rPr>
                      <w:rFonts w:hint="eastAsia"/>
                      <w:color w:val="auto"/>
                      <w:sz w:val="21"/>
                      <w:szCs w:val="21"/>
                      <w:vertAlign w:val="subscript"/>
                    </w:rPr>
                    <w:t>3</w:t>
                  </w:r>
                  <w:r>
                    <w:rPr>
                      <w:rFonts w:hint="eastAsia"/>
                      <w:color w:val="auto"/>
                      <w:sz w:val="21"/>
                      <w:szCs w:val="21"/>
                    </w:rPr>
                    <w:t>：西厂界外侧1m处</w:t>
                  </w:r>
                </w:p>
              </w:tc>
              <w:tc>
                <w:tcPr>
                  <w:tcW w:w="123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13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3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N</w:t>
                  </w:r>
                  <w:r>
                    <w:rPr>
                      <w:rFonts w:hint="eastAsia"/>
                      <w:color w:val="auto"/>
                      <w:sz w:val="21"/>
                      <w:szCs w:val="21"/>
                      <w:vertAlign w:val="subscript"/>
                    </w:rPr>
                    <w:t>4</w:t>
                  </w:r>
                  <w:r>
                    <w:rPr>
                      <w:rFonts w:hint="eastAsia"/>
                      <w:color w:val="auto"/>
                      <w:sz w:val="21"/>
                      <w:szCs w:val="21"/>
                    </w:rPr>
                    <w:t>：北厂界外侧1m处</w:t>
                  </w:r>
                </w:p>
              </w:tc>
              <w:tc>
                <w:tcPr>
                  <w:tcW w:w="123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13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bl>
          <w:p>
            <w:pPr>
              <w:pStyle w:val="49"/>
              <w:keepNext w:val="0"/>
              <w:keepLines w:val="0"/>
              <w:suppressLineNumbers w:val="0"/>
              <w:spacing w:before="0" w:beforeAutospacing="0" w:after="0" w:afterAutospacing="0"/>
              <w:ind w:left="0" w:right="0"/>
              <w:jc w:val="left"/>
              <w:rPr>
                <w:rFonts w:hint="default"/>
                <w:color w:val="auto"/>
              </w:rPr>
            </w:pPr>
          </w:p>
          <w:p>
            <w:pPr>
              <w:pStyle w:val="49"/>
              <w:keepNext w:val="0"/>
              <w:keepLines w:val="0"/>
              <w:suppressLineNumbers w:val="0"/>
              <w:spacing w:before="0" w:beforeAutospacing="0" w:after="0" w:afterAutospacing="0"/>
              <w:ind w:left="0" w:right="0" w:firstLine="482"/>
              <w:jc w:val="left"/>
              <w:rPr>
                <w:rFonts w:hint="default"/>
                <w:b/>
                <w:color w:val="auto"/>
              </w:rPr>
            </w:pPr>
            <w:r>
              <w:rPr>
                <w:rFonts w:hint="eastAsia"/>
                <w:b/>
                <w:color w:val="auto"/>
              </w:rPr>
              <w:t>四、固体废物</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1、固体废物产生量</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项目固体废物主要分三类：一般工业固体废物、危险废物和生活垃圾，其中，一般工业固废可分为可回收固体废物和不可回收固体废物，可回收固体废物包括钢材等有色金属、塑料、橡胶、玻璃等，以及可以利用的零部件。危险废物包括非燃油类废油液、废制冷剂、废电容电路板、废尾气净化装置等。项目劳动定员为21人，生活垃圾产生量按每人1kg计，则生活垃圾产生量为21kg/d，6.3t/a，由项目区垃圾桶收集后委托环卫部门清运处置。项目建成后固废产生量见下表：</w:t>
            </w:r>
          </w:p>
          <w:p>
            <w:pPr>
              <w:pStyle w:val="49"/>
              <w:keepNext w:val="0"/>
              <w:keepLines w:val="0"/>
              <w:suppressLineNumbers w:val="0"/>
              <w:spacing w:before="0" w:beforeAutospacing="0" w:after="0" w:afterAutospacing="0"/>
              <w:ind w:left="0" w:right="0" w:firstLine="482"/>
              <w:jc w:val="center"/>
              <w:rPr>
                <w:rFonts w:hint="default"/>
                <w:b/>
                <w:color w:val="auto"/>
              </w:rPr>
            </w:pPr>
            <w:r>
              <w:rPr>
                <w:rFonts w:hint="eastAsia"/>
                <w:b/>
                <w:color w:val="auto"/>
              </w:rPr>
              <w:t>表4-1</w:t>
            </w:r>
            <w:r>
              <w:rPr>
                <w:rFonts w:hint="eastAsia"/>
                <w:b/>
                <w:color w:val="auto"/>
                <w:lang w:val="en-US" w:eastAsia="zh-CN"/>
              </w:rPr>
              <w:t>4</w:t>
            </w:r>
            <w:r>
              <w:rPr>
                <w:rFonts w:hint="eastAsia"/>
                <w:b/>
                <w:color w:val="auto"/>
              </w:rPr>
              <w:t xml:space="preserve">  固体废物汇总一览表  单位：t/a</w:t>
            </w:r>
          </w:p>
          <w:tbl>
            <w:tblPr>
              <w:tblStyle w:val="23"/>
              <w:tblW w:w="84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701"/>
              <w:gridCol w:w="1276"/>
              <w:gridCol w:w="992"/>
              <w:gridCol w:w="994"/>
              <w:gridCol w:w="1207"/>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分类</w:t>
                  </w: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名称</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产生工序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形态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产生量</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暂存方式</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72"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一般固废</w:t>
                  </w: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废安全气囊</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预处理、拆解工序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固态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1207"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一般固废间</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废布料、海绵等不可利用材料</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预处理工序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固态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72</w:t>
                  </w:r>
                </w:p>
              </w:tc>
              <w:tc>
                <w:tcPr>
                  <w:tcW w:w="120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委托资质部门清运处置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危险废物</w:t>
                  </w: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废蓄电池</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预处理工序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固态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85.7</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耐酸性专用容器</w:t>
                  </w:r>
                </w:p>
              </w:tc>
              <w:tc>
                <w:tcPr>
                  <w:tcW w:w="1207"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全部暂存于危废暂存间，分类储存，委托有资质单位清运处置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废尾气净化装置（含催化剂）</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预处理工序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固态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7.7</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密闭容器</w:t>
                  </w:r>
                </w:p>
              </w:tc>
              <w:tc>
                <w:tcPr>
                  <w:tcW w:w="120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废电容及线路板</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预处理工序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固态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1.5</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危废暂存间</w:t>
                  </w:r>
                </w:p>
              </w:tc>
              <w:tc>
                <w:tcPr>
                  <w:tcW w:w="120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废油液</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预处理工序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液态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33.5</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专用容器</w:t>
                  </w:r>
                </w:p>
              </w:tc>
              <w:tc>
                <w:tcPr>
                  <w:tcW w:w="120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废冷却液</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预处理工序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液态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密闭容器</w:t>
                  </w:r>
                </w:p>
              </w:tc>
              <w:tc>
                <w:tcPr>
                  <w:tcW w:w="120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废空调制冷剂</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预处理工序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液态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密闭容器</w:t>
                  </w:r>
                </w:p>
              </w:tc>
              <w:tc>
                <w:tcPr>
                  <w:tcW w:w="120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含铅、汞开关</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预处理工序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固态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3.2</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耐酸性专用容器</w:t>
                  </w:r>
                </w:p>
              </w:tc>
              <w:tc>
                <w:tcPr>
                  <w:tcW w:w="120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废液化气罐</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预处理工序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固态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13</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危废暂存间</w:t>
                  </w:r>
                </w:p>
              </w:tc>
              <w:tc>
                <w:tcPr>
                  <w:tcW w:w="120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污水处理站污泥</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废水处理</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液态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0.1</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专用容器</w:t>
                  </w:r>
                </w:p>
              </w:tc>
              <w:tc>
                <w:tcPr>
                  <w:tcW w:w="120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2"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70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含油手套、抹布、拖把等</w:t>
                  </w:r>
                </w:p>
              </w:tc>
              <w:tc>
                <w:tcPr>
                  <w:tcW w:w="1276"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整个工序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固态</w:t>
                  </w:r>
                </w:p>
              </w:tc>
              <w:tc>
                <w:tcPr>
                  <w:tcW w:w="994"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0.4</w:t>
                  </w:r>
                </w:p>
              </w:tc>
              <w:tc>
                <w:tcPr>
                  <w:tcW w:w="12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专用容器</w:t>
                  </w:r>
                </w:p>
              </w:tc>
              <w:tc>
                <w:tcPr>
                  <w:tcW w:w="120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bl>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根据《国家危废名录》（2021年），本项目危险废物指南详见下表。</w:t>
            </w:r>
          </w:p>
          <w:p>
            <w:pPr>
              <w:pStyle w:val="49"/>
              <w:keepNext w:val="0"/>
              <w:keepLines w:val="0"/>
              <w:suppressLineNumbers w:val="0"/>
              <w:spacing w:before="0" w:beforeAutospacing="0" w:after="0" w:afterAutospacing="0"/>
              <w:ind w:left="0" w:right="0" w:firstLine="482"/>
              <w:jc w:val="center"/>
              <w:rPr>
                <w:rFonts w:hint="default"/>
                <w:b/>
                <w:color w:val="auto"/>
              </w:rPr>
            </w:pPr>
            <w:r>
              <w:rPr>
                <w:rFonts w:hint="eastAsia"/>
                <w:b/>
                <w:color w:val="auto"/>
              </w:rPr>
              <w:t>表4-1</w:t>
            </w:r>
            <w:r>
              <w:rPr>
                <w:rFonts w:hint="eastAsia"/>
                <w:b/>
                <w:color w:val="auto"/>
                <w:lang w:val="en-US" w:eastAsia="zh-CN"/>
              </w:rPr>
              <w:t>5</w:t>
            </w:r>
            <w:r>
              <w:rPr>
                <w:rFonts w:hint="eastAsia"/>
                <w:b/>
                <w:color w:val="auto"/>
              </w:rPr>
              <w:t xml:space="preserve">  危险废物汇总表  单位：t/a</w:t>
            </w:r>
          </w:p>
          <w:tbl>
            <w:tblPr>
              <w:tblStyle w:val="23"/>
              <w:tblW w:w="84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607"/>
              <w:gridCol w:w="1370"/>
              <w:gridCol w:w="1275"/>
              <w:gridCol w:w="851"/>
              <w:gridCol w:w="992"/>
              <w:gridCol w:w="792"/>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序号</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危险废物名称</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危险废物类别</w:t>
                  </w:r>
                </w:p>
              </w:tc>
              <w:tc>
                <w:tcPr>
                  <w:tcW w:w="127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危废代码</w:t>
                  </w: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产生量</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主要成分</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危险特性</w:t>
                  </w:r>
                </w:p>
              </w:tc>
              <w:tc>
                <w:tcPr>
                  <w:tcW w:w="105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eastAsia"/>
                      <w:b/>
                      <w:color w:val="auto"/>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废蓄电池</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HW49其他废物</w:t>
                  </w:r>
                </w:p>
              </w:tc>
              <w:tc>
                <w:tcPr>
                  <w:tcW w:w="127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900-044-49</w:t>
                  </w: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85.7</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铅酸蓄电池</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T</w:t>
                  </w:r>
                </w:p>
              </w:tc>
              <w:tc>
                <w:tcPr>
                  <w:tcW w:w="1057"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用专用容器收集暂存于危废暂存间，委托资质单位定期清运处置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废尾气净化装置（含催化剂）</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HW50废催化剂</w:t>
                  </w:r>
                </w:p>
              </w:tc>
              <w:tc>
                <w:tcPr>
                  <w:tcW w:w="127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900-049-50</w:t>
                  </w: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7.7</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催化剂</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T</w:t>
                  </w:r>
                </w:p>
              </w:tc>
              <w:tc>
                <w:tcPr>
                  <w:tcW w:w="105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废电容及线路板</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HW49其他废物</w:t>
                  </w:r>
                </w:p>
              </w:tc>
              <w:tc>
                <w:tcPr>
                  <w:tcW w:w="127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900-045-49</w:t>
                  </w: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1.5</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废电容、线路板</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T</w:t>
                  </w:r>
                </w:p>
              </w:tc>
              <w:tc>
                <w:tcPr>
                  <w:tcW w:w="105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4</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废油液</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HW08废矿物油与含矿物油废物</w:t>
                  </w:r>
                </w:p>
              </w:tc>
              <w:tc>
                <w:tcPr>
                  <w:tcW w:w="127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900-199-08</w:t>
                  </w: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33.5</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矿物油</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T</w:t>
                  </w:r>
                </w:p>
              </w:tc>
              <w:tc>
                <w:tcPr>
                  <w:tcW w:w="105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5</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废冷却液</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HW49其他废物</w:t>
                  </w:r>
                </w:p>
              </w:tc>
              <w:tc>
                <w:tcPr>
                  <w:tcW w:w="1275" w:type="dxa"/>
                  <w:vMerge w:val="restart"/>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《报废机动车拆解环境保护技术规范》中制定的危险废物</w:t>
                  </w: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乙二醇</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T</w:t>
                  </w:r>
                </w:p>
              </w:tc>
              <w:tc>
                <w:tcPr>
                  <w:tcW w:w="105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6</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废空调制冷剂</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HW49其他废物</w:t>
                  </w:r>
                </w:p>
              </w:tc>
              <w:tc>
                <w:tcPr>
                  <w:tcW w:w="1275"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制冷剂</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T</w:t>
                  </w:r>
                </w:p>
              </w:tc>
              <w:tc>
                <w:tcPr>
                  <w:tcW w:w="105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7</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废液化气罐</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HW49其他废物</w:t>
                  </w:r>
                </w:p>
              </w:tc>
              <w:tc>
                <w:tcPr>
                  <w:tcW w:w="1275"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13</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液化气</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I</w:t>
                  </w:r>
                </w:p>
              </w:tc>
              <w:tc>
                <w:tcPr>
                  <w:tcW w:w="105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8</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含汞开关</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HW29含汞废物</w:t>
                  </w:r>
                </w:p>
              </w:tc>
              <w:tc>
                <w:tcPr>
                  <w:tcW w:w="127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900-023-29</w:t>
                  </w: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1.6</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汞</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T</w:t>
                  </w:r>
                </w:p>
              </w:tc>
              <w:tc>
                <w:tcPr>
                  <w:tcW w:w="105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9</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含铅部件</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HW31含铅废物</w:t>
                  </w:r>
                </w:p>
              </w:tc>
              <w:tc>
                <w:tcPr>
                  <w:tcW w:w="127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900-052-31</w:t>
                  </w: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1.6</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铅</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T</w:t>
                  </w:r>
                </w:p>
              </w:tc>
              <w:tc>
                <w:tcPr>
                  <w:tcW w:w="105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10</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初期雨水隔油池废油</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HW08废矿物油</w:t>
                  </w:r>
                </w:p>
              </w:tc>
              <w:tc>
                <w:tcPr>
                  <w:tcW w:w="127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900-210-08</w:t>
                  </w: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0.1</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矿物油</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T、I</w:t>
                  </w:r>
                </w:p>
              </w:tc>
              <w:tc>
                <w:tcPr>
                  <w:tcW w:w="105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11</w:t>
                  </w:r>
                </w:p>
              </w:tc>
              <w:tc>
                <w:tcPr>
                  <w:tcW w:w="1607"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含油手套、抹布、拖把等</w:t>
                  </w:r>
                </w:p>
              </w:tc>
              <w:tc>
                <w:tcPr>
                  <w:tcW w:w="1370"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HW49其他废物</w:t>
                  </w:r>
                </w:p>
              </w:tc>
              <w:tc>
                <w:tcPr>
                  <w:tcW w:w="1275"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900-039-49</w:t>
                  </w:r>
                </w:p>
              </w:tc>
              <w:tc>
                <w:tcPr>
                  <w:tcW w:w="851"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0.4</w:t>
                  </w:r>
                </w:p>
              </w:tc>
              <w:tc>
                <w:tcPr>
                  <w:tcW w:w="9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矿物油</w:t>
                  </w:r>
                </w:p>
              </w:tc>
              <w:tc>
                <w:tcPr>
                  <w:tcW w:w="792" w:type="dxa"/>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T</w:t>
                  </w:r>
                </w:p>
              </w:tc>
              <w:tc>
                <w:tcPr>
                  <w:tcW w:w="1057" w:type="dxa"/>
                  <w:vMerge w:val="continue"/>
                  <w:vAlign w:val="center"/>
                </w:tcPr>
                <w:p>
                  <w:pPr>
                    <w:pStyle w:val="49"/>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r>
          </w:tbl>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2、固体废物环境管理要求</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（1）危废暂存间管理要求</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对于汽车拆解下来的固废，项目建设一间危废暂存间储存危险废物，一间一般固废储存间储存一般固体废物。</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其中，危废贮存场所必须严格按照《报废机动车拆解环境保护技术规范》(HJ348-2007）及《危险废物贮存污染控制标准》(GB18597-2001)及其修改单的要求设置危废暂存间和管理危险废物，严格按照《报废机动车回收拆解企业技术规范》（GB22128-2019）贮存，项目产生的危险废物应分类收集和存放，暂存于专用的危险废物暂存间内，委托有资质单位安全处置，具体要求如下：</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①固体废物的贮存设施建设应符合 GB18599、GB18597、H2025 的要求。</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②一般工业固体废物贮存设施及包装物应按 GB15562.2 进行标识，危险废物贮存设施及包装物的标志应符合 GB18597 的要求。所有固体废物应避免混合、混放。</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③对拆解后的所有固体废物分类贮存和标识，妥善处置固体废物，不应非法转移、倾倒、利用和处置。</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④不同类型的制冷剂应分别回收，使用专门容器单独存放。</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⑤废弃电器、铅酸蓄电池贮存场地不得有明火。</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⑥容器和装置要防漏和防止洒溅，未引爆安全气囊的贮存装置应防爆，并对其进行日常性检查。</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⑦危险废物暂存间做好防风、防雨、防晒和防渗漏措施，防渗层建议采用2mm厚HDPE防渗膜或其他人工材料，以达到防渗目的。</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⑧危废暂存间内部设置分区，不同种类的危险废物分区储存，确保危险废物分类收集和装入对应的贮存容器单独贮存，禁止混装。</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⑨废蓄电池、废尾气净化装置（含催化剂）、废油液、废空调制冷剂采用专门的收集容器分类收集，含铅含汞部件也必须使用容器储存，不得直接堆放在地面上，每个危废暂存容器外必须贴上相应的危险废物标识标牌。</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⑩在危废暂存间外设置截留沟，并在末端设置截流事故池（容积应不小于2m</w:t>
            </w:r>
            <w:r>
              <w:rPr>
                <w:rFonts w:hint="eastAsia"/>
                <w:color w:val="auto"/>
                <w:vertAlign w:val="superscript"/>
              </w:rPr>
              <w:t>3</w:t>
            </w:r>
            <w:r>
              <w:rPr>
                <w:rFonts w:hint="eastAsia"/>
                <w:color w:val="auto"/>
              </w:rPr>
              <w:t>）、危废暂存间外必须贴上标识标牌张贴危险废物标识标牌及警示标牌。每个危废均需建立危险废物管理台账；及时联系有资质单位转移和处置危险废物，并严格执行《危险废物转移联单制度》。</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（2）危废管理台账要求</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①</w:t>
            </w:r>
            <w:r>
              <w:rPr>
                <w:rFonts w:hint="default" w:ascii="宋体" w:hAnsi="宋体" w:cs="宋体"/>
                <w:color w:val="auto"/>
              </w:rPr>
              <w:t>应建立危险废物管理台账，落实危险废物管理台账记录的责任人，明确工作职责，并对危险废物管理台账的真实性、准确性和完整性负法律责任</w:t>
            </w:r>
            <w:r>
              <w:rPr>
                <w:rFonts w:hint="eastAsia" w:ascii="宋体" w:hAnsi="宋体" w:cs="宋体"/>
                <w:color w:val="auto"/>
              </w:rPr>
              <w:t>；</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②</w:t>
            </w:r>
            <w:r>
              <w:rPr>
                <w:rFonts w:hint="default" w:ascii="宋体" w:hAnsi="宋体" w:cs="宋体"/>
                <w:color w:val="auto"/>
              </w:rPr>
              <w:t>危险废物产生环节，应记录产生批次编码、产生时间、危险废物名称、危险废物类别、危险废物代码、产生量、计量单位、容器/包装编码、容器/包装类型、容器/包装数量、产生危险废物设施编码、产生部门经办人、去向等</w:t>
            </w:r>
            <w:r>
              <w:rPr>
                <w:rFonts w:hint="eastAsia" w:ascii="宋体" w:hAnsi="宋体" w:cs="宋体"/>
                <w:color w:val="auto"/>
              </w:rPr>
              <w:t>；</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③</w:t>
            </w:r>
            <w:r>
              <w:rPr>
                <w:rFonts w:hint="default" w:ascii="宋体" w:hAnsi="宋体" w:cs="宋体"/>
                <w:color w:val="auto"/>
              </w:rPr>
              <w:t>危险废物入库环节，应记录入库批次编码、入库时间、容器/包装编码、容器/包装类型、容器/ 包装数量、危险废物名称、危险废物类别、危险废物代码、入库量、计量单位、贮存设施编码、贮存设 施类型、运送部门经办人、贮存部门经办人、产生批次编码等</w:t>
            </w:r>
            <w:r>
              <w:rPr>
                <w:rFonts w:hint="eastAsia" w:ascii="宋体" w:hAnsi="宋体" w:cs="宋体"/>
                <w:color w:val="auto"/>
              </w:rPr>
              <w:t>；</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④</w:t>
            </w:r>
            <w:r>
              <w:rPr>
                <w:rFonts w:hint="default" w:ascii="宋体" w:hAnsi="宋体" w:cs="宋体"/>
                <w:color w:val="auto"/>
              </w:rPr>
              <w:t>危险废物出库环节，应记录出库批次编码、出库时间、容器/包装编码、容器/包装类型、容器/包装数量、危险废物名称、危险废物类别、危险废物代码、出库量、计量单位、贮存设施编码、贮存设施类型、出库部门经办人、运送部门经办人、入库批次编码、去向等</w:t>
            </w:r>
            <w:r>
              <w:rPr>
                <w:rFonts w:hint="eastAsia" w:ascii="宋体" w:hAnsi="宋体" w:cs="宋体"/>
                <w:color w:val="auto"/>
              </w:rPr>
              <w:t>。</w:t>
            </w:r>
          </w:p>
          <w:p>
            <w:pPr>
              <w:pStyle w:val="49"/>
              <w:keepNext w:val="0"/>
              <w:keepLines w:val="0"/>
              <w:suppressLineNumbers w:val="0"/>
              <w:spacing w:before="0" w:beforeAutospacing="0" w:after="0" w:afterAutospacing="0"/>
              <w:ind w:left="0" w:right="0"/>
              <w:jc w:val="left"/>
              <w:rPr>
                <w:rFonts w:hint="default" w:ascii="宋体" w:hAnsi="宋体" w:cs="宋体"/>
                <w:color w:val="auto"/>
              </w:rPr>
            </w:pPr>
            <w:r>
              <w:rPr>
                <w:rFonts w:hint="eastAsia"/>
                <w:color w:val="auto"/>
              </w:rPr>
              <w:t>⑤</w:t>
            </w:r>
            <w:r>
              <w:rPr>
                <w:rFonts w:hint="default" w:ascii="宋体" w:hAnsi="宋体" w:cs="宋体"/>
                <w:color w:val="auto"/>
              </w:rPr>
              <w:t>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产生批次编码/出库批次编码等</w:t>
            </w:r>
            <w:r>
              <w:rPr>
                <w:rFonts w:hint="eastAsia" w:ascii="宋体" w:hAnsi="宋体" w:cs="宋体"/>
                <w:color w:val="auto"/>
              </w:rPr>
              <w:t>；</w:t>
            </w:r>
          </w:p>
          <w:p>
            <w:pPr>
              <w:pStyle w:val="49"/>
              <w:keepNext w:val="0"/>
              <w:keepLines w:val="0"/>
              <w:suppressLineNumbers w:val="0"/>
              <w:spacing w:before="0" w:beforeAutospacing="0" w:after="0" w:afterAutospacing="0"/>
              <w:ind w:left="0" w:right="0"/>
              <w:jc w:val="left"/>
              <w:rPr>
                <w:rFonts w:hint="default" w:ascii="宋体" w:hAnsi="宋体" w:cs="宋体"/>
                <w:color w:val="auto"/>
              </w:rPr>
            </w:pPr>
            <w:r>
              <w:rPr>
                <w:rFonts w:hint="eastAsia"/>
                <w:color w:val="auto"/>
              </w:rPr>
              <w:t>⑥台账保存时间应保存3年以上。</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3、固体废物环境影响分析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本项目产生的固体废物有一般固体废物和危险固体废物，一般固体废物主要有废安全气囊以及废布料和海绵等不可利用的材料</w:t>
            </w:r>
            <w:bookmarkStart w:id="16" w:name="_GoBack"/>
            <w:bookmarkEnd w:id="16"/>
            <w:r>
              <w:rPr>
                <w:rFonts w:hint="eastAsia"/>
                <w:color w:val="auto"/>
              </w:rPr>
              <w:t>以及员工的生活垃圾；危险废物主要有废蓄电池、废尾气净化装置、废电容及线路板、废油液、废冷却液、废空调制冷剂、含铅、汞部件、废液化气罐、含油手套、抹布、拖把以及隔油池废油。</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废安全气囊储存在一般固废暂存间内，定期外售给废品回收企业；废布料等不可利用材料收集后委托环卫部门清运处置；危险废物分类并用专用容器储存于危废暂存间内，委托资质单位定期清运处置。</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综上，本项目固体废物均得到妥善处置，处置率100%，对周边环境的影响可以接受。</w:t>
            </w:r>
          </w:p>
          <w:p>
            <w:pPr>
              <w:pStyle w:val="49"/>
              <w:keepNext w:val="0"/>
              <w:keepLines w:val="0"/>
              <w:suppressLineNumbers w:val="0"/>
              <w:spacing w:before="0" w:beforeAutospacing="0" w:after="0" w:afterAutospacing="0"/>
              <w:ind w:left="0" w:right="0" w:firstLine="482"/>
              <w:jc w:val="left"/>
              <w:rPr>
                <w:rFonts w:hint="default"/>
                <w:b/>
                <w:color w:val="auto"/>
              </w:rPr>
            </w:pPr>
            <w:r>
              <w:rPr>
                <w:rFonts w:hint="default"/>
                <w:b/>
                <w:color w:val="auto"/>
              </w:rPr>
              <w:t>五、地下水环境影响分析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根据建设单位提供的资料可知，项目区域用水为自来水，附近无地下水保护目标，不会对附近居民饮用水水源造成污染。</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1、地下水污染源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本项目的污染物主要为废水收集处理设施、危废暂存间。</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2、地下水污染途径分析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结合项目的特点，本项目可能污染地下水的途径主要是：</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（1）污水</w:t>
            </w:r>
            <w:r>
              <w:rPr>
                <w:rFonts w:hint="eastAsia"/>
                <w:color w:val="auto"/>
                <w:lang w:val="en-US" w:eastAsia="zh-CN"/>
              </w:rPr>
              <w:t>处理站、雨水收集池</w:t>
            </w:r>
            <w:r>
              <w:rPr>
                <w:rFonts w:hint="eastAsia"/>
                <w:color w:val="auto"/>
              </w:rPr>
              <w:t>渗漏</w:t>
            </w:r>
            <w:r>
              <w:rPr>
                <w:rFonts w:hint="eastAsia"/>
                <w:color w:val="auto"/>
                <w:lang w:eastAsia="zh-CN"/>
              </w:rPr>
              <w:t>，</w:t>
            </w:r>
            <w:r>
              <w:rPr>
                <w:rFonts w:hint="eastAsia"/>
                <w:color w:val="auto"/>
              </w:rPr>
              <w:t>可能对区域地下水造成影响；</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（2）固体废物处置不当或随意堆放，液体下渗对地下水造成影响；</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（3）危废暂存间内的容器发生泄露，废油液、冷却液等泄露物可能通过地面缝隙渗漏进入土壤，造成地下水污染。</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3、地下水污染防治措施</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根据本项目所处环境及排污特点，将场地划分为重点防渗区、一般防渗区和非污染防治区。</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（1）重点防渗区</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1）一般固体暂存场所、危废暂存间</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一般固体暂存场所防渗技术要求参照《一般工业固体废物贮存和填埋污染控 制标准》（GB18599-2020）Ⅱ类场地：防渗层的厚度相当于渗透系数 1.0×10</w:t>
            </w:r>
            <w:r>
              <w:rPr>
                <w:rFonts w:hint="eastAsia"/>
                <w:color w:val="auto"/>
                <w:vertAlign w:val="superscript"/>
              </w:rPr>
              <w:t>-7</w:t>
            </w:r>
            <w:r>
              <w:rPr>
                <w:rFonts w:hint="eastAsia"/>
                <w:color w:val="auto"/>
              </w:rPr>
              <w:t>cm/s 和厚度 1.5m的黏土防渗层的防渗性能。危险废物暂存场所参照《危险废物贮存控制标准》（GB18597-2001）：防渗层至少为1cm厚粘土层（防渗系数≤10</w:t>
            </w:r>
            <w:r>
              <w:rPr>
                <w:rFonts w:hint="eastAsia"/>
                <w:color w:val="auto"/>
                <w:vertAlign w:val="superscript"/>
              </w:rPr>
              <w:t>-7</w:t>
            </w:r>
            <w:r>
              <w:rPr>
                <w:rFonts w:hint="eastAsia"/>
                <w:color w:val="auto"/>
              </w:rPr>
              <w:t>cm/s），或2mm厚高度聚乙烯，或至少2mm厚的其它人工材料，渗透系数≤10</w:t>
            </w:r>
            <w:r>
              <w:rPr>
                <w:rFonts w:hint="eastAsia"/>
                <w:color w:val="auto"/>
                <w:vertAlign w:val="superscript"/>
              </w:rPr>
              <w:t>-10</w:t>
            </w:r>
            <w:r>
              <w:rPr>
                <w:rFonts w:hint="eastAsia"/>
                <w:color w:val="auto"/>
              </w:rPr>
              <w:t>cm/s。</w:t>
            </w:r>
          </w:p>
          <w:p>
            <w:pPr>
              <w:pStyle w:val="49"/>
              <w:keepNext w:val="0"/>
              <w:keepLines w:val="0"/>
              <w:suppressLineNumbers w:val="0"/>
              <w:spacing w:before="0" w:beforeAutospacing="0" w:after="0" w:afterAutospacing="0"/>
              <w:ind w:left="0" w:right="0"/>
              <w:jc w:val="left"/>
              <w:rPr>
                <w:rFonts w:hint="default" w:eastAsia="宋体"/>
                <w:color w:val="auto"/>
                <w:lang w:val="en-US" w:eastAsia="zh-CN"/>
              </w:rPr>
            </w:pPr>
            <w:r>
              <w:rPr>
                <w:rFonts w:hint="eastAsia"/>
                <w:color w:val="auto"/>
              </w:rPr>
              <w:t>2）废水收集沟、收集池、隔油池</w:t>
            </w:r>
            <w:r>
              <w:rPr>
                <w:rFonts w:hint="eastAsia"/>
                <w:color w:val="auto"/>
                <w:lang w:eastAsia="zh-CN"/>
              </w:rPr>
              <w:t>、</w:t>
            </w:r>
            <w:r>
              <w:rPr>
                <w:rFonts w:hint="eastAsia"/>
                <w:color w:val="auto"/>
                <w:lang w:val="en-US" w:eastAsia="zh-CN"/>
              </w:rPr>
              <w:t>污水处理站</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管道必须采用防渗管沟，管道施工严格执行规范要求，接口严密、平顺，填料密实，使管道与基础具备高强度与稳定性。池子采用防水混凝土，混凝土浇筑后应做好养护工作，避免出现裂缝。</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3）生产车间</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对预处理区、污染防控区场地地面采取防渗设计，防渗层至少为1cm厚黏土层（防渗系数≤10</w:t>
            </w:r>
            <w:r>
              <w:rPr>
                <w:rFonts w:hint="eastAsia"/>
                <w:color w:val="auto"/>
                <w:vertAlign w:val="superscript"/>
              </w:rPr>
              <w:t>-7</w:t>
            </w:r>
            <w:r>
              <w:rPr>
                <w:rFonts w:hint="eastAsia"/>
                <w:color w:val="auto"/>
              </w:rPr>
              <w:t>cm/s），或2mm厚高度聚乙烯，或至少2mm 厚的其它人工材料，渗透系数≤10</w:t>
            </w:r>
            <w:r>
              <w:rPr>
                <w:rFonts w:hint="eastAsia"/>
                <w:color w:val="auto"/>
                <w:vertAlign w:val="superscript"/>
              </w:rPr>
              <w:t>-10</w:t>
            </w:r>
            <w:r>
              <w:rPr>
                <w:rFonts w:hint="eastAsia"/>
                <w:color w:val="auto"/>
              </w:rPr>
              <w:t>cm/s。</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（2）一般防渗区</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厂区道路采取一般地面硬化措施。</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（3）非污染防治区</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对于基本上不产生污染物的非污染防治区，如绿化区、办公房等，不采取专门针对地下水污染的防治措施。</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本次环评要求建设单位严格落实本次环评提出的防渗、防漏措施，确保将项目对地下水的污染程度降至最低。综上所述，在采取上述措施后，可以将项目对地下水的影响降至最小。</w:t>
            </w:r>
          </w:p>
          <w:p>
            <w:pPr>
              <w:pStyle w:val="49"/>
              <w:keepNext w:val="0"/>
              <w:keepLines w:val="0"/>
              <w:suppressLineNumbers w:val="0"/>
              <w:spacing w:before="0" w:beforeAutospacing="0" w:after="0" w:afterAutospacing="0"/>
              <w:ind w:left="0" w:right="0" w:firstLine="482"/>
              <w:jc w:val="left"/>
              <w:rPr>
                <w:rFonts w:hint="default"/>
                <w:b/>
                <w:color w:val="auto"/>
              </w:rPr>
            </w:pPr>
            <w:r>
              <w:rPr>
                <w:rFonts w:hint="eastAsia"/>
                <w:b/>
                <w:color w:val="auto"/>
              </w:rPr>
              <w:t>六、土壤环境影响分析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根据项目生产工艺，项目可能对土壤环境质量造成的影响为生产废水、危废暂存间等的地面漫流或垂直入渗污染土壤。本次环评要求，初期雨水经管道收集至雨水收集池、隔油池后回用于项目区洒水降尘，回用不完的排入市政污水管网，收集管道和收集池、隔油池均要求进行防渗和防溢流措施；</w:t>
            </w:r>
            <w:r>
              <w:rPr>
                <w:rFonts w:hint="eastAsia"/>
                <w:color w:val="auto"/>
                <w:lang w:val="en-US" w:eastAsia="zh-CN"/>
              </w:rPr>
              <w:t>拆解</w:t>
            </w:r>
            <w:r>
              <w:rPr>
                <w:rFonts w:hint="eastAsia"/>
                <w:color w:val="auto"/>
              </w:rPr>
              <w:t>车间、危废暂存间采取防渗处理，防渗层至少为1cm 厚粘土层（防渗系数≤10</w:t>
            </w:r>
            <w:r>
              <w:rPr>
                <w:rFonts w:hint="eastAsia"/>
                <w:color w:val="auto"/>
                <w:vertAlign w:val="superscript"/>
              </w:rPr>
              <w:t>-7</w:t>
            </w:r>
            <w:r>
              <w:rPr>
                <w:rFonts w:hint="eastAsia"/>
                <w:color w:val="auto"/>
              </w:rPr>
              <w:t>cm/s），或2mm厚高度聚乙烯，或至少2mm厚的其它人工材料，渗透系数≤10</w:t>
            </w:r>
            <w:r>
              <w:rPr>
                <w:rFonts w:hint="eastAsia"/>
                <w:color w:val="auto"/>
                <w:vertAlign w:val="superscript"/>
              </w:rPr>
              <w:t>-10</w:t>
            </w:r>
            <w:r>
              <w:rPr>
                <w:rFonts w:hint="eastAsia"/>
                <w:color w:val="auto"/>
              </w:rPr>
              <w:t>cm/s；其他区域均进行水泥地面硬化并采取防溢散措施，因此不会造成污染物地面漫流或垂直入渗造成土壤污染。</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综上所述，在采取上述措施后，项目运营对土壤环境无明显影响。</w:t>
            </w:r>
          </w:p>
          <w:p>
            <w:pPr>
              <w:pStyle w:val="49"/>
              <w:keepNext w:val="0"/>
              <w:keepLines w:val="0"/>
              <w:suppressLineNumbers w:val="0"/>
              <w:spacing w:before="0" w:beforeAutospacing="0" w:after="0" w:afterAutospacing="0"/>
              <w:ind w:left="0" w:right="0" w:firstLine="482"/>
              <w:jc w:val="left"/>
              <w:rPr>
                <w:rFonts w:hint="default"/>
                <w:b/>
                <w:color w:val="auto"/>
              </w:rPr>
            </w:pPr>
            <w:r>
              <w:rPr>
                <w:rFonts w:hint="eastAsia"/>
                <w:b/>
                <w:color w:val="auto"/>
              </w:rPr>
              <w:t>七、环境风险分析</w:t>
            </w:r>
          </w:p>
          <w:p>
            <w:pPr>
              <w:pStyle w:val="49"/>
              <w:keepNext w:val="0"/>
              <w:keepLines w:val="0"/>
              <w:suppressLineNumbers w:val="0"/>
              <w:spacing w:before="0" w:beforeAutospacing="0" w:after="0" w:afterAutospacing="0"/>
              <w:ind w:left="0" w:right="0"/>
              <w:jc w:val="left"/>
              <w:rPr>
                <w:rFonts w:hint="default"/>
                <w:color w:val="auto"/>
              </w:rPr>
            </w:pPr>
            <w:r>
              <w:rPr>
                <w:rFonts w:hint="eastAsia"/>
                <w:color w:val="auto"/>
              </w:rPr>
              <w:t>1、风险物质调查</w:t>
            </w:r>
          </w:p>
          <w:p>
            <w:pPr>
              <w:pStyle w:val="49"/>
              <w:keepNext w:val="0"/>
              <w:keepLines w:val="0"/>
              <w:suppressLineNumbers w:val="0"/>
              <w:spacing w:before="0" w:beforeAutospacing="0" w:after="0" w:afterAutospacing="0"/>
              <w:ind w:left="0" w:right="0"/>
              <w:rPr>
                <w:rFonts w:hint="default"/>
                <w:color w:val="auto"/>
                <w:lang w:bidi="ar"/>
              </w:rPr>
            </w:pPr>
            <w:r>
              <w:rPr>
                <w:rFonts w:hint="eastAsia"/>
                <w:color w:val="auto"/>
                <w:lang w:bidi="ar"/>
              </w:rPr>
              <w:t>根据《建设项目环境风险评价技术导则》（</w:t>
            </w:r>
            <w:r>
              <w:rPr>
                <w:rFonts w:hint="default"/>
                <w:color w:val="auto"/>
                <w:lang w:bidi="ar"/>
              </w:rPr>
              <w:t>HJ169-2018</w:t>
            </w:r>
            <w:r>
              <w:rPr>
                <w:rFonts w:hint="eastAsia"/>
                <w:color w:val="auto"/>
                <w:lang w:bidi="ar"/>
              </w:rPr>
              <w:t>）的要求，对项目区可能涉及的风险物质区域，主要从表4-1</w:t>
            </w:r>
            <w:r>
              <w:rPr>
                <w:rFonts w:hint="eastAsia"/>
                <w:color w:val="auto"/>
                <w:lang w:val="en-US" w:eastAsia="zh-CN" w:bidi="ar"/>
              </w:rPr>
              <w:t>6</w:t>
            </w:r>
            <w:r>
              <w:rPr>
                <w:rFonts w:hint="eastAsia"/>
                <w:color w:val="auto"/>
                <w:lang w:bidi="ar"/>
              </w:rPr>
              <w:t>中所列各个方面进行环境风险源调查。</w:t>
            </w:r>
          </w:p>
          <w:p>
            <w:pPr>
              <w:pStyle w:val="54"/>
              <w:keepNext w:val="0"/>
              <w:keepLines w:val="0"/>
              <w:suppressLineNumbers w:val="0"/>
              <w:spacing w:before="0" w:beforeAutospacing="0" w:afterAutospacing="0"/>
              <w:ind w:right="0"/>
              <w:rPr>
                <w:rFonts w:hint="default"/>
                <w:color w:val="auto"/>
              </w:rPr>
            </w:pPr>
            <w:r>
              <w:rPr>
                <w:rFonts w:hint="eastAsia"/>
                <w:color w:val="auto"/>
                <w:lang w:bidi="ar"/>
              </w:rPr>
              <w:t>表4-1</w:t>
            </w:r>
            <w:r>
              <w:rPr>
                <w:rFonts w:hint="eastAsia"/>
                <w:color w:val="auto"/>
                <w:lang w:val="en-US" w:eastAsia="zh-CN" w:bidi="ar"/>
              </w:rPr>
              <w:t>6</w:t>
            </w:r>
            <w:r>
              <w:rPr>
                <w:rFonts w:hint="eastAsia"/>
                <w:color w:val="auto"/>
                <w:lang w:bidi="ar"/>
              </w:rPr>
              <w:t xml:space="preserve">  环境风险源基本情况调查一览表</w:t>
            </w:r>
          </w:p>
          <w:tbl>
            <w:tblPr>
              <w:tblStyle w:val="22"/>
              <w:tblW w:w="8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76"/>
              <w:gridCol w:w="1361"/>
              <w:gridCol w:w="2835"/>
              <w:gridCol w:w="2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lang w:bidi="ar"/>
                    </w:rPr>
                  </w:pPr>
                  <w:r>
                    <w:rPr>
                      <w:rFonts w:hint="default" w:hAnsi="宋体"/>
                      <w:b/>
                      <w:color w:val="auto"/>
                      <w:sz w:val="21"/>
                      <w:szCs w:val="21"/>
                      <w:lang w:bidi="ar"/>
                    </w:rPr>
                    <w:t>序号</w:t>
                  </w:r>
                </w:p>
              </w:tc>
              <w:tc>
                <w:tcPr>
                  <w:tcW w:w="20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lang w:bidi="ar"/>
                    </w:rPr>
                  </w:pPr>
                  <w:r>
                    <w:rPr>
                      <w:rFonts w:hint="default" w:hAnsi="宋体"/>
                      <w:b/>
                      <w:color w:val="auto"/>
                      <w:sz w:val="21"/>
                      <w:szCs w:val="21"/>
                      <w:lang w:bidi="ar"/>
                    </w:rPr>
                    <w:t>调查对象</w:t>
                  </w:r>
                </w:p>
              </w:tc>
              <w:tc>
                <w:tcPr>
                  <w:tcW w:w="283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lang w:bidi="ar"/>
                    </w:rPr>
                  </w:pPr>
                  <w:r>
                    <w:rPr>
                      <w:rFonts w:hint="default" w:hAnsi="宋体"/>
                      <w:b/>
                      <w:color w:val="auto"/>
                      <w:sz w:val="21"/>
                      <w:szCs w:val="21"/>
                      <w:lang w:bidi="ar"/>
                    </w:rPr>
                    <w:t>调查内容</w:t>
                  </w:r>
                </w:p>
              </w:tc>
              <w:tc>
                <w:tcPr>
                  <w:tcW w:w="2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lang w:bidi="ar"/>
                    </w:rPr>
                  </w:pPr>
                  <w:r>
                    <w:rPr>
                      <w:rFonts w:hint="default" w:hAnsi="宋体"/>
                      <w:b/>
                      <w:color w:val="auto"/>
                      <w:sz w:val="21"/>
                      <w:szCs w:val="21"/>
                      <w:lang w:bidi="ar"/>
                    </w:rPr>
                    <w:t>调查结果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68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color w:val="auto"/>
                      <w:sz w:val="21"/>
                      <w:szCs w:val="21"/>
                      <w:lang w:bidi="ar"/>
                    </w:rPr>
                    <w:t>1</w:t>
                  </w:r>
                </w:p>
              </w:tc>
              <w:tc>
                <w:tcPr>
                  <w:tcW w:w="67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hAnsi="宋体"/>
                      <w:color w:val="auto"/>
                      <w:sz w:val="21"/>
                      <w:szCs w:val="21"/>
                      <w:lang w:bidi="ar"/>
                    </w:rPr>
                    <w:t>风险物质</w:t>
                  </w:r>
                </w:p>
              </w:tc>
              <w:tc>
                <w:tcPr>
                  <w:tcW w:w="13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hAnsi="宋体"/>
                      <w:color w:val="auto"/>
                      <w:sz w:val="21"/>
                      <w:szCs w:val="21"/>
                      <w:lang w:bidi="ar"/>
                    </w:rPr>
                    <w:t>危险化学品</w:t>
                  </w:r>
                </w:p>
              </w:tc>
              <w:tc>
                <w:tcPr>
                  <w:tcW w:w="283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hAnsi="宋体"/>
                      <w:color w:val="auto"/>
                      <w:sz w:val="21"/>
                      <w:szCs w:val="21"/>
                      <w:lang w:bidi="ar"/>
                    </w:rPr>
                    <w:t>主要针对生产过程中使用的各类风险物质名称及使用量、贮存量进行统计分析</w:t>
                  </w:r>
                </w:p>
              </w:tc>
              <w:tc>
                <w:tcPr>
                  <w:tcW w:w="284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本项目运营过程中产生的废油液和液化气为风险物质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8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67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13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hAnsi="宋体"/>
                      <w:color w:val="auto"/>
                      <w:sz w:val="21"/>
                      <w:szCs w:val="21"/>
                      <w:lang w:bidi="ar"/>
                    </w:rPr>
                    <w:t>其他化学品</w:t>
                  </w:r>
                </w:p>
              </w:tc>
              <w:tc>
                <w:tcPr>
                  <w:tcW w:w="283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28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8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color w:val="auto"/>
                      <w:sz w:val="21"/>
                      <w:szCs w:val="21"/>
                      <w:lang w:bidi="ar"/>
                    </w:rPr>
                    <w:t>2</w:t>
                  </w:r>
                </w:p>
              </w:tc>
              <w:tc>
                <w:tcPr>
                  <w:tcW w:w="67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hAnsi="宋体"/>
                      <w:color w:val="auto"/>
                      <w:sz w:val="21"/>
                      <w:szCs w:val="21"/>
                      <w:lang w:bidi="ar"/>
                    </w:rPr>
                    <w:t>生产系统</w:t>
                  </w:r>
                </w:p>
              </w:tc>
              <w:tc>
                <w:tcPr>
                  <w:tcW w:w="13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hAnsi="宋体"/>
                      <w:color w:val="auto"/>
                      <w:sz w:val="21"/>
                      <w:szCs w:val="21"/>
                      <w:lang w:bidi="ar"/>
                    </w:rPr>
                    <w:t>生产工艺</w:t>
                  </w:r>
                </w:p>
              </w:tc>
              <w:tc>
                <w:tcPr>
                  <w:tcW w:w="283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hAnsi="宋体"/>
                      <w:color w:val="auto"/>
                      <w:sz w:val="21"/>
                      <w:szCs w:val="21"/>
                      <w:lang w:bidi="ar"/>
                    </w:rPr>
                    <w:t>重点对生产工艺流程的各阶段进行研究，分析哪些设备、设施可能成为环境风险源</w:t>
                  </w:r>
                </w:p>
              </w:tc>
              <w:tc>
                <w:tcPr>
                  <w:tcW w:w="284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color w:val="auto"/>
                      <w:sz w:val="21"/>
                      <w:lang w:bidi="ar"/>
                    </w:rPr>
                    <w:t>危险废物暂存间为环境风险源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67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13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hAnsi="宋体"/>
                      <w:color w:val="auto"/>
                      <w:sz w:val="21"/>
                      <w:szCs w:val="21"/>
                      <w:lang w:bidi="ar"/>
                    </w:rPr>
                    <w:t>生产设施</w:t>
                  </w:r>
                </w:p>
              </w:tc>
              <w:tc>
                <w:tcPr>
                  <w:tcW w:w="283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284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8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auto"/>
                      <w:sz w:val="20"/>
                      <w:szCs w:val="20"/>
                    </w:rPr>
                  </w:pPr>
                  <w:r>
                    <w:rPr>
                      <w:rFonts w:hint="default"/>
                      <w:color w:val="auto"/>
                      <w:sz w:val="21"/>
                      <w:szCs w:val="21"/>
                      <w:lang w:bidi="ar"/>
                    </w:rPr>
                    <w:t>3</w:t>
                  </w:r>
                </w:p>
              </w:tc>
              <w:tc>
                <w:tcPr>
                  <w:tcW w:w="67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ascii="Calibri" w:hAnsi="Calibri"/>
                      <w:color w:val="auto"/>
                      <w:sz w:val="20"/>
                      <w:szCs w:val="20"/>
                    </w:rPr>
                  </w:pPr>
                  <w:r>
                    <w:rPr>
                      <w:rFonts w:hint="eastAsia" w:hAnsi="宋体" w:cs="宋体"/>
                      <w:color w:val="auto"/>
                      <w:sz w:val="21"/>
                      <w:szCs w:val="21"/>
                      <w:lang w:bidi="ar"/>
                    </w:rPr>
                    <w:t>污染物及环保设施</w:t>
                  </w:r>
                </w:p>
              </w:tc>
              <w:tc>
                <w:tcPr>
                  <w:tcW w:w="13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hAnsi="宋体"/>
                      <w:color w:val="auto"/>
                      <w:sz w:val="21"/>
                      <w:szCs w:val="21"/>
                      <w:lang w:bidi="ar"/>
                    </w:rPr>
                    <w:t>废水</w:t>
                  </w:r>
                </w:p>
              </w:tc>
              <w:tc>
                <w:tcPr>
                  <w:tcW w:w="283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lang w:bidi="ar"/>
                    </w:rPr>
                  </w:pPr>
                  <w:r>
                    <w:rPr>
                      <w:rFonts w:hint="default"/>
                      <w:color w:val="auto"/>
                      <w:sz w:val="21"/>
                      <w:lang w:bidi="ar"/>
                    </w:rPr>
                    <w:t>对项目排放污染物的种类、产生量以及治理工艺进行分析</w:t>
                  </w:r>
                </w:p>
              </w:tc>
              <w:tc>
                <w:tcPr>
                  <w:tcW w:w="2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bidi="ar"/>
                    </w:rPr>
                  </w:pPr>
                  <w:r>
                    <w:rPr>
                      <w:rFonts w:hint="default"/>
                      <w:color w:val="auto"/>
                      <w:sz w:val="21"/>
                      <w:szCs w:val="21"/>
                      <w:lang w:bidi="ar"/>
                    </w:rPr>
                    <w:t>初期雨水处理后回用于项目区洒水降尘</w:t>
                  </w:r>
                  <w:r>
                    <w:rPr>
                      <w:rFonts w:hint="eastAsia"/>
                      <w:color w:val="auto"/>
                      <w:sz w:val="21"/>
                      <w:szCs w:val="21"/>
                      <w:lang w:val="en-US" w:eastAsia="zh-CN" w:bidi="ar"/>
                    </w:rPr>
                    <w:t>及绿化灌溉</w:t>
                  </w:r>
                  <w:r>
                    <w:rPr>
                      <w:rFonts w:hint="default"/>
                      <w:color w:val="auto"/>
                      <w:sz w:val="21"/>
                      <w:szCs w:val="21"/>
                      <w:lang w:bidi="ar"/>
                    </w:rPr>
                    <w:t>生活污水处理后</w:t>
                  </w:r>
                  <w:r>
                    <w:rPr>
                      <w:rFonts w:hint="eastAsia"/>
                      <w:color w:val="auto"/>
                      <w:sz w:val="21"/>
                      <w:szCs w:val="21"/>
                      <w:lang w:val="en-US" w:eastAsia="zh-CN" w:bidi="ar"/>
                    </w:rPr>
                    <w:t>回用于绿化施肥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68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67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13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auto"/>
                      <w:sz w:val="20"/>
                      <w:szCs w:val="20"/>
                    </w:rPr>
                  </w:pPr>
                  <w:r>
                    <w:rPr>
                      <w:rFonts w:hint="eastAsia" w:cs="宋体"/>
                      <w:color w:val="auto"/>
                      <w:sz w:val="21"/>
                      <w:szCs w:val="21"/>
                      <w:lang w:bidi="ar"/>
                    </w:rPr>
                    <w:t>废气</w:t>
                  </w:r>
                </w:p>
              </w:tc>
              <w:tc>
                <w:tcPr>
                  <w:tcW w:w="283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2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Calibri" w:hAnsi="Calibri"/>
                      <w:color w:val="auto"/>
                      <w:sz w:val="21"/>
                      <w:szCs w:val="21"/>
                    </w:rPr>
                  </w:pPr>
                  <w:r>
                    <w:rPr>
                      <w:rFonts w:hint="eastAsia" w:cs="宋体"/>
                      <w:color w:val="auto"/>
                      <w:sz w:val="21"/>
                      <w:szCs w:val="21"/>
                      <w:lang w:bidi="ar"/>
                    </w:rPr>
                    <w:t>项目产生的</w:t>
                  </w:r>
                  <w:r>
                    <w:rPr>
                      <w:rFonts w:hint="eastAsia" w:ascii="宋体" w:hAnsi="宋体" w:cs="宋体"/>
                      <w:color w:val="auto"/>
                      <w:kern w:val="0"/>
                      <w:sz w:val="21"/>
                      <w:szCs w:val="21"/>
                      <w:lang w:bidi="ar"/>
                    </w:rPr>
                    <w:t>非甲烷总烃、颗粒物为排放大气污染物，不储存；</w:t>
                  </w:r>
                  <w:r>
                    <w:rPr>
                      <w:rFonts w:hint="eastAsia" w:cs="宋体"/>
                      <w:color w:val="auto"/>
                      <w:sz w:val="21"/>
                      <w:szCs w:val="21"/>
                      <w:lang w:bidi="ar"/>
                    </w:rPr>
                    <w:t>对周边的环境空气造成的影响较小，不进行识别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67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136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Calibri" w:hAnsi="Calibri"/>
                      <w:color w:val="auto"/>
                      <w:sz w:val="20"/>
                      <w:szCs w:val="20"/>
                    </w:rPr>
                  </w:pPr>
                  <w:r>
                    <w:rPr>
                      <w:rFonts w:hint="eastAsia" w:cs="宋体"/>
                      <w:color w:val="auto"/>
                      <w:sz w:val="21"/>
                      <w:szCs w:val="21"/>
                      <w:lang w:bidi="ar"/>
                    </w:rPr>
                    <w:t>固废</w:t>
                  </w:r>
                </w:p>
              </w:tc>
              <w:tc>
                <w:tcPr>
                  <w:tcW w:w="283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rPr>
                      <w:rFonts w:hint="default"/>
                      <w:color w:val="auto"/>
                      <w:sz w:val="20"/>
                      <w:szCs w:val="20"/>
                    </w:rPr>
                  </w:pPr>
                </w:p>
              </w:tc>
              <w:tc>
                <w:tcPr>
                  <w:tcW w:w="284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Calibri" w:hAnsi="Calibri"/>
                      <w:color w:val="auto"/>
                      <w:sz w:val="21"/>
                      <w:szCs w:val="21"/>
                    </w:rPr>
                  </w:pPr>
                  <w:r>
                    <w:rPr>
                      <w:rFonts w:hint="eastAsia" w:cs="宋体"/>
                      <w:color w:val="auto"/>
                      <w:sz w:val="21"/>
                      <w:szCs w:val="21"/>
                      <w:lang w:bidi="ar"/>
                    </w:rPr>
                    <w:t>生产设备运行产生的废机油属于《国家危险废物名录》（</w:t>
                  </w:r>
                  <w:r>
                    <w:rPr>
                      <w:rFonts w:hint="default"/>
                      <w:color w:val="auto"/>
                      <w:sz w:val="21"/>
                      <w:szCs w:val="21"/>
                      <w:lang w:bidi="ar"/>
                    </w:rPr>
                    <w:t>20</w:t>
                  </w:r>
                  <w:r>
                    <w:rPr>
                      <w:rFonts w:hint="eastAsia"/>
                      <w:color w:val="auto"/>
                      <w:sz w:val="21"/>
                      <w:szCs w:val="21"/>
                      <w:lang w:bidi="ar"/>
                    </w:rPr>
                    <w:t>21年版</w:t>
                  </w:r>
                  <w:r>
                    <w:rPr>
                      <w:rFonts w:hint="eastAsia" w:cs="宋体"/>
                      <w:color w:val="auto"/>
                      <w:sz w:val="21"/>
                      <w:szCs w:val="21"/>
                      <w:lang w:bidi="ar"/>
                    </w:rPr>
                    <w:t>）中的</w:t>
                  </w:r>
                  <w:r>
                    <w:rPr>
                      <w:rFonts w:hint="default"/>
                      <w:color w:val="auto"/>
                      <w:sz w:val="21"/>
                      <w:szCs w:val="21"/>
                      <w:lang w:bidi="ar"/>
                    </w:rPr>
                    <w:t>HW08</w:t>
                  </w:r>
                  <w:r>
                    <w:rPr>
                      <w:rFonts w:hint="eastAsia" w:cs="宋体"/>
                      <w:color w:val="auto"/>
                      <w:sz w:val="21"/>
                      <w:szCs w:val="21"/>
                      <w:lang w:bidi="ar"/>
                    </w:rPr>
                    <w:t>其他生产、销售、使用过程中产生的废矿物油及含矿物废油，危险代码</w:t>
                  </w:r>
                  <w:r>
                    <w:rPr>
                      <w:rFonts w:hint="default"/>
                      <w:color w:val="auto"/>
                      <w:sz w:val="21"/>
                      <w:szCs w:val="21"/>
                      <w:lang w:bidi="ar"/>
                    </w:rPr>
                    <w:t>900-249-08</w:t>
                  </w:r>
                </w:p>
              </w:tc>
            </w:tr>
          </w:tbl>
          <w:p>
            <w:pPr>
              <w:pStyle w:val="49"/>
              <w:keepNext w:val="0"/>
              <w:keepLines w:val="0"/>
              <w:suppressLineNumbers w:val="0"/>
              <w:spacing w:before="0" w:beforeAutospacing="0" w:after="0" w:afterAutospacing="0"/>
              <w:ind w:left="0" w:right="0"/>
              <w:rPr>
                <w:rFonts w:hint="default"/>
                <w:color w:val="auto"/>
              </w:rPr>
            </w:pPr>
            <w:r>
              <w:rPr>
                <w:rFonts w:hint="eastAsia"/>
                <w:color w:val="auto"/>
              </w:rPr>
              <w:t>（2）环境风险识别</w:t>
            </w:r>
          </w:p>
          <w:p>
            <w:pPr>
              <w:pStyle w:val="49"/>
              <w:keepNext w:val="0"/>
              <w:keepLines w:val="0"/>
              <w:suppressLineNumbers w:val="0"/>
              <w:spacing w:before="0" w:beforeAutospacing="0" w:after="0" w:afterAutospacing="0"/>
              <w:ind w:left="0" w:right="0"/>
              <w:rPr>
                <w:rFonts w:hint="default"/>
                <w:color w:val="auto"/>
              </w:rPr>
            </w:pPr>
            <w:r>
              <w:rPr>
                <w:rFonts w:hint="default" w:cs="宋体"/>
                <w:color w:val="auto"/>
                <w:lang w:bidi="ar"/>
              </w:rPr>
              <w:t>通过风险识别，本项目涉及的危险性物料主要为废矿物油</w:t>
            </w:r>
            <w:r>
              <w:rPr>
                <w:rFonts w:hint="default"/>
                <w:color w:val="auto"/>
              </w:rPr>
              <w:t>、</w:t>
            </w:r>
            <w:r>
              <w:rPr>
                <w:rFonts w:hint="default"/>
                <w:color w:val="auto"/>
                <w:kern w:val="1"/>
              </w:rPr>
              <w:t>液化石油气</w:t>
            </w:r>
            <w:r>
              <w:rPr>
                <w:rFonts w:hint="eastAsia"/>
                <w:color w:val="auto"/>
                <w:kern w:val="1"/>
              </w:rPr>
              <w:t>，</w:t>
            </w:r>
            <w:r>
              <w:rPr>
                <w:rFonts w:hint="default" w:cs="宋体"/>
                <w:color w:val="auto"/>
                <w:szCs w:val="21"/>
                <w:lang w:bidi="ar"/>
              </w:rPr>
              <w:t>废矿物油属于可燃、有害物质，</w:t>
            </w:r>
            <w:r>
              <w:rPr>
                <w:rFonts w:hint="eastAsia" w:cs="宋体"/>
                <w:color w:val="auto"/>
                <w:szCs w:val="21"/>
                <w:lang w:bidi="ar"/>
              </w:rPr>
              <w:t>存在</w:t>
            </w:r>
            <w:r>
              <w:rPr>
                <w:rFonts w:hint="default" w:cs="宋体"/>
                <w:color w:val="auto"/>
                <w:szCs w:val="21"/>
                <w:lang w:bidi="ar"/>
              </w:rPr>
              <w:t>泄漏、火灾、腐蚀等风险事故。</w:t>
            </w:r>
            <w:r>
              <w:rPr>
                <w:rFonts w:hint="default"/>
                <w:color w:val="auto"/>
              </w:rPr>
              <w:t>项目</w:t>
            </w:r>
            <w:r>
              <w:rPr>
                <w:rFonts w:hint="eastAsia"/>
                <w:color w:val="auto"/>
              </w:rPr>
              <w:t>废油液</w:t>
            </w:r>
            <w:r>
              <w:rPr>
                <w:rFonts w:hint="default"/>
                <w:color w:val="auto"/>
              </w:rPr>
              <w:t>产量为</w:t>
            </w:r>
            <w:r>
              <w:rPr>
                <w:rFonts w:hint="eastAsia"/>
                <w:color w:val="auto"/>
              </w:rPr>
              <w:t>33.5</w:t>
            </w:r>
            <w:r>
              <w:rPr>
                <w:rFonts w:hint="default"/>
                <w:color w:val="auto"/>
              </w:rPr>
              <w:t>t/a，根据建设单位提供的资料可知，项目区危废暂存间内废油液最大储存量约为</w:t>
            </w:r>
            <w:r>
              <w:rPr>
                <w:rFonts w:hint="eastAsia"/>
                <w:color w:val="auto"/>
              </w:rPr>
              <w:t>2t，项目区液化石油气最大</w:t>
            </w:r>
            <w:r>
              <w:rPr>
                <w:rFonts w:hint="default"/>
                <w:color w:val="auto"/>
                <w:kern w:val="1"/>
              </w:rPr>
              <w:t>存在量约0.</w:t>
            </w:r>
            <w:r>
              <w:rPr>
                <w:rFonts w:hint="eastAsia"/>
                <w:color w:val="auto"/>
                <w:kern w:val="1"/>
              </w:rPr>
              <w:t>125</w:t>
            </w:r>
            <w:r>
              <w:rPr>
                <w:rFonts w:hint="default"/>
                <w:color w:val="auto"/>
                <w:kern w:val="1"/>
              </w:rPr>
              <w:t>t</w:t>
            </w:r>
            <w:r>
              <w:rPr>
                <w:rFonts w:hint="default"/>
                <w:color w:val="auto"/>
              </w:rPr>
              <w:t>。</w:t>
            </w:r>
          </w:p>
          <w:p>
            <w:pPr>
              <w:pStyle w:val="49"/>
              <w:keepNext w:val="0"/>
              <w:keepLines w:val="0"/>
              <w:suppressLineNumbers w:val="0"/>
              <w:spacing w:before="0" w:beforeAutospacing="0" w:after="0" w:afterAutospacing="0"/>
              <w:ind w:left="0" w:right="0"/>
              <w:rPr>
                <w:rFonts w:hint="default"/>
                <w:color w:val="auto"/>
              </w:rPr>
            </w:pPr>
            <w:r>
              <w:rPr>
                <w:rFonts w:hint="eastAsia"/>
                <w:color w:val="auto"/>
              </w:rPr>
              <w:t>根据</w:t>
            </w:r>
            <w:r>
              <w:rPr>
                <w:rFonts w:hint="default"/>
                <w:color w:val="auto"/>
              </w:rPr>
              <w:t>《建设项目环境风险评价技术导则》（HJ/T169-20</w:t>
            </w:r>
            <w:r>
              <w:rPr>
                <w:rFonts w:hint="eastAsia"/>
                <w:color w:val="auto"/>
              </w:rPr>
              <w:t>18</w:t>
            </w:r>
            <w:r>
              <w:rPr>
                <w:rFonts w:hint="default"/>
                <w:color w:val="auto"/>
              </w:rPr>
              <w:t>）</w:t>
            </w:r>
            <w:r>
              <w:rPr>
                <w:rFonts w:hint="eastAsia"/>
                <w:color w:val="auto"/>
              </w:rPr>
              <w:t>的要求，计算所涉及的每种危险物质在厂界内的存在量与附录B中对应临界量的比值Q。当存在多种危险物质时，则按式（C.1）计算物质总量与其临界量比值。</w:t>
            </w:r>
          </w:p>
          <w:p>
            <w:pPr>
              <w:pStyle w:val="49"/>
              <w:keepNext w:val="0"/>
              <w:keepLines w:val="0"/>
              <w:suppressLineNumbers w:val="0"/>
              <w:spacing w:before="0" w:beforeAutospacing="0" w:after="0" w:afterAutospacing="0"/>
              <w:ind w:left="0" w:right="0"/>
              <w:jc w:val="center"/>
              <w:rPr>
                <w:rFonts w:hint="default"/>
                <w:color w:val="auto"/>
              </w:rPr>
            </w:pPr>
            <w:r>
              <w:rPr>
                <w:rFonts w:hint="eastAsia"/>
                <w:color w:val="auto"/>
              </w:rPr>
              <w:t>Q</w:t>
            </w:r>
            <w:r>
              <w:rPr>
                <w:rFonts w:hint="default"/>
                <w:color w:val="auto"/>
              </w:rPr>
              <w:t>=(</w:t>
            </w:r>
            <w:r>
              <w:rPr>
                <w:rFonts w:hint="eastAsia"/>
                <w:color w:val="auto"/>
              </w:rPr>
              <w:t>q</w:t>
            </w:r>
            <w:r>
              <w:rPr>
                <w:rFonts w:hint="eastAsia"/>
                <w:color w:val="auto"/>
                <w:vertAlign w:val="subscript"/>
              </w:rPr>
              <w:t>1</w:t>
            </w:r>
            <w:r>
              <w:rPr>
                <w:rFonts w:hint="default"/>
                <w:color w:val="auto"/>
              </w:rPr>
              <w:t>/</w:t>
            </w:r>
            <w:r>
              <w:rPr>
                <w:rFonts w:hint="eastAsia"/>
                <w:color w:val="auto"/>
              </w:rPr>
              <w:t>Q</w:t>
            </w:r>
            <w:r>
              <w:rPr>
                <w:rFonts w:hint="eastAsia"/>
                <w:color w:val="auto"/>
                <w:vertAlign w:val="subscript"/>
              </w:rPr>
              <w:t>1</w:t>
            </w:r>
            <w:r>
              <w:rPr>
                <w:rFonts w:hint="default"/>
                <w:color w:val="auto"/>
              </w:rPr>
              <w:t>)</w:t>
            </w:r>
            <w:r>
              <w:rPr>
                <w:rFonts w:hint="eastAsia"/>
                <w:color w:val="auto"/>
              </w:rPr>
              <w:t>+</w:t>
            </w:r>
            <w:r>
              <w:rPr>
                <w:rFonts w:hint="default"/>
                <w:color w:val="auto"/>
              </w:rPr>
              <w:t xml:space="preserve"> (</w:t>
            </w:r>
            <w:r>
              <w:rPr>
                <w:rFonts w:hint="eastAsia"/>
                <w:color w:val="auto"/>
              </w:rPr>
              <w:t>q</w:t>
            </w:r>
            <w:r>
              <w:rPr>
                <w:rFonts w:hint="eastAsia"/>
                <w:color w:val="auto"/>
                <w:vertAlign w:val="subscript"/>
              </w:rPr>
              <w:t>2</w:t>
            </w:r>
            <w:r>
              <w:rPr>
                <w:rFonts w:hint="default"/>
                <w:color w:val="auto"/>
              </w:rPr>
              <w:t>/</w:t>
            </w:r>
            <w:r>
              <w:rPr>
                <w:rFonts w:hint="eastAsia"/>
                <w:color w:val="auto"/>
              </w:rPr>
              <w:t>Q</w:t>
            </w:r>
            <w:r>
              <w:rPr>
                <w:rFonts w:hint="eastAsia"/>
                <w:color w:val="auto"/>
                <w:vertAlign w:val="subscript"/>
              </w:rPr>
              <w:t>2</w:t>
            </w:r>
            <w:r>
              <w:rPr>
                <w:rFonts w:hint="default"/>
                <w:color w:val="auto"/>
              </w:rPr>
              <w:t>)</w:t>
            </w:r>
            <w:r>
              <w:rPr>
                <w:rFonts w:hint="eastAsia"/>
                <w:color w:val="auto"/>
              </w:rPr>
              <w:t xml:space="preserve">+ … </w:t>
            </w:r>
            <w:r>
              <w:rPr>
                <w:rFonts w:hint="default"/>
                <w:color w:val="auto"/>
              </w:rPr>
              <w:t>(</w:t>
            </w:r>
            <w:r>
              <w:rPr>
                <w:rFonts w:hint="eastAsia"/>
                <w:color w:val="auto"/>
              </w:rPr>
              <w:t>q</w:t>
            </w:r>
            <w:r>
              <w:rPr>
                <w:rFonts w:hint="eastAsia"/>
                <w:color w:val="auto"/>
                <w:vertAlign w:val="subscript"/>
              </w:rPr>
              <w:t>n</w:t>
            </w:r>
            <w:r>
              <w:rPr>
                <w:rFonts w:hint="default"/>
                <w:color w:val="auto"/>
              </w:rPr>
              <w:t>/</w:t>
            </w:r>
            <w:r>
              <w:rPr>
                <w:rFonts w:hint="eastAsia"/>
                <w:color w:val="auto"/>
              </w:rPr>
              <w:t>Q</w:t>
            </w:r>
            <w:r>
              <w:rPr>
                <w:rFonts w:hint="eastAsia"/>
                <w:color w:val="auto"/>
                <w:vertAlign w:val="subscript"/>
              </w:rPr>
              <w:t>n</w:t>
            </w:r>
            <w:r>
              <w:rPr>
                <w:rFonts w:hint="default"/>
                <w:color w:val="auto"/>
              </w:rPr>
              <w:t>)</w:t>
            </w:r>
          </w:p>
          <w:p>
            <w:pPr>
              <w:pStyle w:val="49"/>
              <w:keepNext w:val="0"/>
              <w:keepLines w:val="0"/>
              <w:suppressLineNumbers w:val="0"/>
              <w:spacing w:before="0" w:beforeAutospacing="0" w:after="0" w:afterAutospacing="0"/>
              <w:ind w:left="0" w:right="0"/>
              <w:rPr>
                <w:rFonts w:hint="default"/>
                <w:color w:val="auto"/>
              </w:rPr>
            </w:pPr>
            <w:r>
              <w:rPr>
                <w:rFonts w:hint="eastAsia"/>
                <w:color w:val="auto"/>
              </w:rPr>
              <w:t>式中：q</w:t>
            </w:r>
            <w:r>
              <w:rPr>
                <w:rFonts w:hint="eastAsia"/>
                <w:color w:val="auto"/>
                <w:vertAlign w:val="subscript"/>
              </w:rPr>
              <w:t>1</w:t>
            </w:r>
            <w:r>
              <w:rPr>
                <w:rFonts w:hint="eastAsia"/>
                <w:color w:val="auto"/>
              </w:rPr>
              <w:t>，q</w:t>
            </w:r>
            <w:r>
              <w:rPr>
                <w:rFonts w:hint="eastAsia"/>
                <w:color w:val="auto"/>
                <w:vertAlign w:val="subscript"/>
              </w:rPr>
              <w:t>2</w:t>
            </w:r>
            <w:r>
              <w:rPr>
                <w:rFonts w:hint="eastAsia"/>
                <w:color w:val="auto"/>
              </w:rPr>
              <w:t>，……，q</w:t>
            </w:r>
            <w:r>
              <w:rPr>
                <w:rFonts w:hint="eastAsia"/>
                <w:color w:val="auto"/>
                <w:vertAlign w:val="subscript"/>
              </w:rPr>
              <w:t>n</w:t>
            </w:r>
            <w:r>
              <w:rPr>
                <w:rFonts w:hint="eastAsia"/>
                <w:color w:val="auto"/>
              </w:rPr>
              <w:t>—每种危险物质的最大存在总量，t；</w:t>
            </w:r>
          </w:p>
          <w:p>
            <w:pPr>
              <w:pStyle w:val="49"/>
              <w:keepNext w:val="0"/>
              <w:keepLines w:val="0"/>
              <w:suppressLineNumbers w:val="0"/>
              <w:spacing w:before="0" w:beforeAutospacing="0" w:after="0" w:afterAutospacing="0"/>
              <w:ind w:left="0" w:right="0"/>
              <w:rPr>
                <w:rFonts w:hint="default"/>
                <w:color w:val="auto"/>
              </w:rPr>
            </w:pPr>
            <w:r>
              <w:rPr>
                <w:rFonts w:hint="eastAsia"/>
                <w:color w:val="auto"/>
              </w:rPr>
              <w:t>Q</w:t>
            </w:r>
            <w:r>
              <w:rPr>
                <w:rFonts w:hint="eastAsia"/>
                <w:color w:val="auto"/>
                <w:vertAlign w:val="subscript"/>
              </w:rPr>
              <w:t>1</w:t>
            </w:r>
            <w:r>
              <w:rPr>
                <w:rFonts w:hint="eastAsia"/>
                <w:color w:val="auto"/>
              </w:rPr>
              <w:t>，Q</w:t>
            </w:r>
            <w:r>
              <w:rPr>
                <w:rFonts w:hint="eastAsia"/>
                <w:color w:val="auto"/>
                <w:vertAlign w:val="subscript"/>
              </w:rPr>
              <w:t>2</w:t>
            </w:r>
            <w:r>
              <w:rPr>
                <w:rFonts w:hint="eastAsia"/>
                <w:color w:val="auto"/>
              </w:rPr>
              <w:t>，……，Q</w:t>
            </w:r>
            <w:r>
              <w:rPr>
                <w:rFonts w:hint="eastAsia"/>
                <w:color w:val="auto"/>
                <w:vertAlign w:val="subscript"/>
              </w:rPr>
              <w:t>n</w:t>
            </w:r>
            <w:r>
              <w:rPr>
                <w:rFonts w:hint="eastAsia"/>
                <w:color w:val="auto"/>
              </w:rPr>
              <w:t>—每种危险物质的临界量，t；</w:t>
            </w:r>
          </w:p>
          <w:p>
            <w:pPr>
              <w:pStyle w:val="49"/>
              <w:keepNext w:val="0"/>
              <w:keepLines w:val="0"/>
              <w:suppressLineNumbers w:val="0"/>
              <w:spacing w:before="0" w:beforeAutospacing="0" w:after="0" w:afterAutospacing="0"/>
              <w:ind w:left="0" w:right="0"/>
              <w:rPr>
                <w:rFonts w:hint="default"/>
                <w:color w:val="auto"/>
              </w:rPr>
            </w:pPr>
            <w:r>
              <w:rPr>
                <w:rFonts w:hint="eastAsia"/>
                <w:color w:val="auto"/>
              </w:rPr>
              <w:t>当Q＜1时，该项目环境风险潜势为I。</w:t>
            </w:r>
          </w:p>
          <w:p>
            <w:pPr>
              <w:pStyle w:val="49"/>
              <w:keepNext w:val="0"/>
              <w:keepLines w:val="0"/>
              <w:suppressLineNumbers w:val="0"/>
              <w:spacing w:before="0" w:beforeAutospacing="0" w:after="0" w:afterAutospacing="0"/>
              <w:ind w:left="0" w:right="0"/>
              <w:rPr>
                <w:rFonts w:hint="default"/>
                <w:color w:val="auto"/>
              </w:rPr>
            </w:pPr>
            <w:r>
              <w:rPr>
                <w:rFonts w:hint="eastAsia"/>
                <w:color w:val="auto"/>
              </w:rPr>
              <w:t>当Q≥1时，将Q值划分为：1≤Q＜10；10≤Q＜100；Q≥100。</w:t>
            </w:r>
          </w:p>
          <w:p>
            <w:pPr>
              <w:pStyle w:val="49"/>
              <w:keepNext w:val="0"/>
              <w:keepLines w:val="0"/>
              <w:suppressLineNumbers w:val="0"/>
              <w:spacing w:before="0" w:beforeAutospacing="0" w:after="0" w:afterAutospacing="0"/>
              <w:ind w:left="0" w:right="0"/>
              <w:rPr>
                <w:rFonts w:hint="default"/>
                <w:color w:val="auto"/>
              </w:rPr>
            </w:pPr>
            <w:r>
              <w:rPr>
                <w:rFonts w:hint="eastAsia"/>
                <w:color w:val="auto"/>
              </w:rPr>
              <w:t>项目风险物质为废机油、废润滑油、液化石油气，根据工程分析计算，q</w:t>
            </w:r>
            <w:r>
              <w:rPr>
                <w:rFonts w:hint="eastAsia"/>
                <w:color w:val="auto"/>
                <w:vertAlign w:val="subscript"/>
              </w:rPr>
              <w:t>油类物质</w:t>
            </w:r>
            <w:r>
              <w:rPr>
                <w:rFonts w:hint="eastAsia"/>
                <w:color w:val="auto"/>
              </w:rPr>
              <w:t>为2t，q</w:t>
            </w:r>
            <w:r>
              <w:rPr>
                <w:rFonts w:hint="eastAsia"/>
                <w:color w:val="auto"/>
                <w:vertAlign w:val="subscript"/>
              </w:rPr>
              <w:t>液化石油气</w:t>
            </w:r>
            <w:r>
              <w:rPr>
                <w:rFonts w:hint="eastAsia"/>
                <w:color w:val="auto"/>
              </w:rPr>
              <w:t>为0.125t，根据查阅</w:t>
            </w:r>
            <w:r>
              <w:rPr>
                <w:rFonts w:hint="default"/>
                <w:color w:val="auto"/>
              </w:rPr>
              <w:t>《建设项目环境风险评价技术导则》（HJ/T169-20</w:t>
            </w:r>
            <w:r>
              <w:rPr>
                <w:rFonts w:hint="eastAsia"/>
                <w:color w:val="auto"/>
              </w:rPr>
              <w:t>18</w:t>
            </w:r>
            <w:r>
              <w:rPr>
                <w:rFonts w:hint="default"/>
                <w:color w:val="auto"/>
              </w:rPr>
              <w:t>）附录</w:t>
            </w:r>
            <w:r>
              <w:rPr>
                <w:rFonts w:hint="eastAsia"/>
                <w:color w:val="auto"/>
              </w:rPr>
              <w:t>B.1风险物质及临界量可知，Q</w:t>
            </w:r>
            <w:r>
              <w:rPr>
                <w:rFonts w:hint="eastAsia"/>
                <w:color w:val="auto"/>
                <w:vertAlign w:val="subscript"/>
              </w:rPr>
              <w:t>油类物质</w:t>
            </w:r>
            <w:r>
              <w:rPr>
                <w:rFonts w:hint="eastAsia"/>
                <w:color w:val="auto"/>
              </w:rPr>
              <w:t>临界量为2500t，Q</w:t>
            </w:r>
            <w:r>
              <w:rPr>
                <w:rFonts w:hint="eastAsia"/>
                <w:color w:val="auto"/>
                <w:vertAlign w:val="subscript"/>
              </w:rPr>
              <w:t>石油气</w:t>
            </w:r>
            <w:r>
              <w:rPr>
                <w:rFonts w:hint="eastAsia"/>
                <w:color w:val="auto"/>
              </w:rPr>
              <w:t>临界量为10t，则本项目总的临界量比值Q为0.0133＜1。</w:t>
            </w:r>
          </w:p>
          <w:p>
            <w:pPr>
              <w:pStyle w:val="49"/>
              <w:keepNext w:val="0"/>
              <w:keepLines w:val="0"/>
              <w:suppressLineNumbers w:val="0"/>
              <w:spacing w:before="0" w:beforeAutospacing="0" w:after="0" w:afterAutospacing="0"/>
              <w:ind w:left="0" w:right="0"/>
              <w:jc w:val="left"/>
              <w:rPr>
                <w:rFonts w:hint="default"/>
                <w:bCs/>
                <w:color w:val="auto"/>
              </w:rPr>
            </w:pPr>
            <w:r>
              <w:rPr>
                <w:rFonts w:hint="default"/>
                <w:bCs/>
                <w:color w:val="auto"/>
              </w:rPr>
              <w:t>（</w:t>
            </w:r>
            <w:r>
              <w:rPr>
                <w:rFonts w:hint="eastAsia"/>
                <w:bCs/>
                <w:color w:val="auto"/>
              </w:rPr>
              <w:t>3</w:t>
            </w:r>
            <w:r>
              <w:rPr>
                <w:rFonts w:hint="default"/>
                <w:bCs/>
                <w:color w:val="auto"/>
              </w:rPr>
              <w:t>）影响途径</w:t>
            </w:r>
          </w:p>
          <w:p>
            <w:pPr>
              <w:pStyle w:val="49"/>
              <w:keepNext w:val="0"/>
              <w:keepLines w:val="0"/>
              <w:suppressLineNumbers w:val="0"/>
              <w:spacing w:before="0" w:beforeAutospacing="0" w:after="0" w:afterAutospacing="0"/>
              <w:ind w:left="0" w:right="0"/>
              <w:jc w:val="left"/>
              <w:rPr>
                <w:rFonts w:hint="default"/>
                <w:bCs/>
                <w:color w:val="auto"/>
              </w:rPr>
            </w:pPr>
            <w:r>
              <w:rPr>
                <w:rFonts w:hint="default"/>
                <w:color w:val="auto"/>
              </w:rPr>
              <w:t>危废暂存间</w:t>
            </w:r>
            <w:r>
              <w:rPr>
                <w:rFonts w:hint="eastAsia"/>
                <w:color w:val="auto"/>
              </w:rPr>
              <w:t>废油液、液化石油气</w:t>
            </w:r>
            <w:r>
              <w:rPr>
                <w:rFonts w:hint="default"/>
                <w:color w:val="auto"/>
              </w:rPr>
              <w:t>属于易燃物质，操作不当或管理不善将造成润滑油泄漏，泄漏后会挥发出有机气体扩散至大气造成影响；有可能下渗污染土壤和地下水；泄漏后接触火源引发火灾，并产生有毒有害烟气扩散至大气等。</w:t>
            </w:r>
          </w:p>
          <w:p>
            <w:pPr>
              <w:pStyle w:val="49"/>
              <w:keepNext w:val="0"/>
              <w:keepLines w:val="0"/>
              <w:suppressLineNumbers w:val="0"/>
              <w:spacing w:before="0" w:beforeAutospacing="0" w:after="0" w:afterAutospacing="0"/>
              <w:ind w:left="0" w:right="0"/>
              <w:rPr>
                <w:rFonts w:hint="default"/>
                <w:color w:val="auto"/>
              </w:rPr>
            </w:pPr>
            <w:r>
              <w:rPr>
                <w:rFonts w:hint="default"/>
                <w:color w:val="auto"/>
              </w:rPr>
              <w:t>（</w:t>
            </w:r>
            <w:r>
              <w:rPr>
                <w:rFonts w:hint="eastAsia"/>
                <w:color w:val="auto"/>
              </w:rPr>
              <w:t>4</w:t>
            </w:r>
            <w:r>
              <w:rPr>
                <w:rFonts w:hint="default"/>
                <w:color w:val="auto"/>
              </w:rPr>
              <w:t>）风险防范措施</w:t>
            </w:r>
          </w:p>
          <w:p>
            <w:pPr>
              <w:keepNext w:val="0"/>
              <w:keepLines w:val="0"/>
              <w:suppressLineNumbers w:val="0"/>
              <w:adjustRightInd w:val="0"/>
              <w:snapToGrid w:val="0"/>
              <w:spacing w:before="0" w:beforeAutospacing="0" w:after="0" w:afterAutospacing="0"/>
              <w:ind w:left="0" w:right="0" w:firstLine="482"/>
              <w:rPr>
                <w:rFonts w:hint="default"/>
                <w:b/>
                <w:color w:val="auto"/>
              </w:rPr>
            </w:pPr>
            <w:r>
              <w:rPr>
                <w:rFonts w:hint="default"/>
                <w:b/>
                <w:color w:val="auto"/>
              </w:rPr>
              <w:t>A.火灾事故引发的次生环境风险防范措施</w:t>
            </w:r>
          </w:p>
          <w:p>
            <w:pPr>
              <w:keepNext w:val="0"/>
              <w:keepLines w:val="0"/>
              <w:widowControl/>
              <w:suppressLineNumbers w:val="0"/>
              <w:spacing w:before="0" w:beforeAutospacing="0" w:after="0" w:afterAutospacing="0"/>
              <w:ind w:left="0" w:right="0" w:firstLine="480"/>
              <w:rPr>
                <w:rFonts w:hint="default"/>
                <w:color w:val="auto"/>
              </w:rPr>
            </w:pPr>
            <w:r>
              <w:rPr>
                <w:rFonts w:hint="default"/>
                <w:color w:val="auto"/>
              </w:rPr>
              <w:t>针对本项目可能产生的火灾风险事故隐患，本项目应考虑采取必要的防范措施，同时为进一步减少风险事故可能产生的环境影响，在采取预防措施基础上应加强以下风险防范和管理措施。</w:t>
            </w:r>
          </w:p>
          <w:p>
            <w:pPr>
              <w:keepNext w:val="0"/>
              <w:keepLines w:val="0"/>
              <w:widowControl/>
              <w:suppressLineNumbers w:val="0"/>
              <w:spacing w:before="0" w:beforeAutospacing="0" w:after="0" w:afterAutospacing="0"/>
              <w:ind w:left="0" w:right="0" w:firstLine="480"/>
              <w:rPr>
                <w:rFonts w:hint="default"/>
                <w:color w:val="auto"/>
              </w:rPr>
            </w:pPr>
            <w:r>
              <w:rPr>
                <w:rFonts w:hint="default"/>
                <w:color w:val="auto"/>
              </w:rPr>
              <w:t>a.储存过程的环境风险管理措施：</w:t>
            </w:r>
          </w:p>
          <w:p>
            <w:pPr>
              <w:keepNext w:val="0"/>
              <w:keepLines w:val="0"/>
              <w:widowControl/>
              <w:suppressLineNumbers w:val="0"/>
              <w:spacing w:before="0" w:beforeAutospacing="0" w:after="0" w:afterAutospacing="0"/>
              <w:ind w:left="0" w:right="0" w:firstLine="480"/>
              <w:rPr>
                <w:rFonts w:hint="default"/>
                <w:color w:val="auto"/>
              </w:rPr>
            </w:pPr>
            <w:r>
              <w:rPr>
                <w:rFonts w:hint="eastAsia" w:ascii="宋体" w:hAnsi="宋体" w:cs="宋体"/>
                <w:color w:val="auto"/>
              </w:rPr>
              <w:t>①</w:t>
            </w:r>
            <w:r>
              <w:rPr>
                <w:rFonts w:hint="default"/>
                <w:color w:val="auto"/>
              </w:rPr>
              <w:t>原料、成品贮放设置明显标志。</w:t>
            </w:r>
          </w:p>
          <w:p>
            <w:pPr>
              <w:keepNext w:val="0"/>
              <w:keepLines w:val="0"/>
              <w:widowControl/>
              <w:suppressLineNumbers w:val="0"/>
              <w:spacing w:before="0" w:beforeAutospacing="0" w:after="0" w:afterAutospacing="0"/>
              <w:ind w:left="0" w:right="0" w:firstLine="480"/>
              <w:rPr>
                <w:rFonts w:hint="default"/>
                <w:color w:val="auto"/>
              </w:rPr>
            </w:pPr>
            <w:r>
              <w:rPr>
                <w:rFonts w:hint="eastAsia" w:ascii="宋体" w:hAnsi="宋体" w:cs="宋体"/>
                <w:color w:val="auto"/>
              </w:rPr>
              <w:t>②</w:t>
            </w:r>
            <w:r>
              <w:rPr>
                <w:rFonts w:hint="default"/>
                <w:color w:val="auto"/>
              </w:rPr>
              <w:t>对原料按计划采购、分期分批入库，严格控制贮存量。</w:t>
            </w:r>
          </w:p>
          <w:p>
            <w:pPr>
              <w:keepNext w:val="0"/>
              <w:keepLines w:val="0"/>
              <w:widowControl/>
              <w:suppressLineNumbers w:val="0"/>
              <w:spacing w:before="0" w:beforeAutospacing="0" w:after="0" w:afterAutospacing="0"/>
              <w:ind w:left="0" w:right="0" w:firstLine="480"/>
              <w:rPr>
                <w:rFonts w:hint="default"/>
                <w:color w:val="auto"/>
              </w:rPr>
            </w:pPr>
            <w:r>
              <w:rPr>
                <w:rFonts w:hint="eastAsia" w:ascii="宋体" w:hAnsi="宋体" w:cs="宋体"/>
                <w:color w:val="auto"/>
              </w:rPr>
              <w:t>③</w:t>
            </w:r>
            <w:r>
              <w:rPr>
                <w:rFonts w:hint="default"/>
                <w:color w:val="auto"/>
              </w:rPr>
              <w:t>对各类火种、火源和有散发火花危险的机械设备、作业活动，以及可燃、易燃物品的控制和管理。</w:t>
            </w:r>
          </w:p>
          <w:p>
            <w:pPr>
              <w:keepNext w:val="0"/>
              <w:keepLines w:val="0"/>
              <w:widowControl/>
              <w:suppressLineNumbers w:val="0"/>
              <w:spacing w:before="0" w:beforeAutospacing="0" w:after="0" w:afterAutospacing="0"/>
              <w:ind w:left="0" w:right="0" w:firstLine="480"/>
              <w:rPr>
                <w:rFonts w:hint="default"/>
                <w:color w:val="auto"/>
              </w:rPr>
            </w:pPr>
            <w:r>
              <w:rPr>
                <w:rFonts w:hint="eastAsia" w:ascii="宋体" w:hAnsi="宋体" w:cs="宋体"/>
                <w:color w:val="auto"/>
              </w:rPr>
              <w:t>④</w:t>
            </w:r>
            <w:r>
              <w:rPr>
                <w:rFonts w:hint="default"/>
                <w:color w:val="auto"/>
              </w:rPr>
              <w:t>实行安全检查制度，各类安全设施、消防器材，进行各种日常的、定期的、专业的防火安全检查，并将发现的问题定人、限期落实整改。</w:t>
            </w:r>
          </w:p>
          <w:p>
            <w:pPr>
              <w:keepNext w:val="0"/>
              <w:keepLines w:val="0"/>
              <w:widowControl/>
              <w:suppressLineNumbers w:val="0"/>
              <w:spacing w:before="0" w:beforeAutospacing="0" w:after="0" w:afterAutospacing="0"/>
              <w:ind w:left="0" w:right="0" w:firstLine="480"/>
              <w:rPr>
                <w:rFonts w:hint="default"/>
                <w:color w:val="auto"/>
              </w:rPr>
            </w:pPr>
            <w:r>
              <w:rPr>
                <w:rFonts w:hint="eastAsia" w:ascii="宋体" w:hAnsi="宋体" w:cs="宋体"/>
                <w:color w:val="auto"/>
              </w:rPr>
              <w:t>⑤</w:t>
            </w:r>
            <w:r>
              <w:rPr>
                <w:rFonts w:hint="default"/>
                <w:color w:val="auto"/>
              </w:rPr>
              <w:t>制定各种操作规范，加强监督管理，严格看管检查制度，避免事故的发生。</w:t>
            </w:r>
          </w:p>
          <w:p>
            <w:pPr>
              <w:keepNext w:val="0"/>
              <w:keepLines w:val="0"/>
              <w:widowControl/>
              <w:suppressLineNumbers w:val="0"/>
              <w:spacing w:before="0" w:beforeAutospacing="0" w:after="0" w:afterAutospacing="0"/>
              <w:ind w:left="0" w:right="0" w:firstLine="480"/>
              <w:rPr>
                <w:rFonts w:hint="default"/>
                <w:color w:val="auto"/>
              </w:rPr>
            </w:pPr>
            <w:r>
              <w:rPr>
                <w:rFonts w:hint="default"/>
                <w:color w:val="auto"/>
              </w:rPr>
              <w:t>b.储存过程的环境风险管理事故防范措施：</w:t>
            </w:r>
          </w:p>
          <w:p>
            <w:pPr>
              <w:keepNext w:val="0"/>
              <w:keepLines w:val="0"/>
              <w:widowControl/>
              <w:suppressLineNumbers w:val="0"/>
              <w:spacing w:before="0" w:beforeAutospacing="0" w:after="0" w:afterAutospacing="0"/>
              <w:ind w:left="0" w:right="0" w:firstLine="480"/>
              <w:rPr>
                <w:rFonts w:hint="default"/>
                <w:color w:val="auto"/>
              </w:rPr>
            </w:pPr>
            <w:r>
              <w:rPr>
                <w:rFonts w:hint="eastAsia" w:ascii="宋体" w:hAnsi="宋体" w:cs="宋体"/>
                <w:color w:val="auto"/>
              </w:rPr>
              <w:t>①</w:t>
            </w:r>
            <w:r>
              <w:rPr>
                <w:rFonts w:hint="default"/>
                <w:color w:val="auto"/>
              </w:rPr>
              <w:t>加强原料、液化石油气储存管理，储存过程须严格遵守安全防火规定、仓库和堆场配备防火器材，严禁与易燃易爆品混存。</w:t>
            </w:r>
          </w:p>
          <w:p>
            <w:pPr>
              <w:keepNext w:val="0"/>
              <w:keepLines w:val="0"/>
              <w:widowControl/>
              <w:suppressLineNumbers w:val="0"/>
              <w:spacing w:before="0" w:beforeAutospacing="0" w:after="0" w:afterAutospacing="0"/>
              <w:ind w:left="0" w:right="0" w:firstLine="480"/>
              <w:rPr>
                <w:rFonts w:hint="default"/>
                <w:color w:val="auto"/>
              </w:rPr>
            </w:pPr>
            <w:r>
              <w:rPr>
                <w:rFonts w:hint="eastAsia" w:ascii="宋体" w:hAnsi="宋体" w:cs="宋体"/>
                <w:color w:val="auto"/>
              </w:rPr>
              <w:t>②</w:t>
            </w:r>
            <w:r>
              <w:rPr>
                <w:rFonts w:hint="default"/>
                <w:color w:val="auto"/>
              </w:rPr>
              <w:t>落实责任制，生产车间、仓库应分设负责人看管，确保车间、仓库消防隐患时刻监控，不可利用废物定期清理。</w:t>
            </w:r>
          </w:p>
          <w:p>
            <w:pPr>
              <w:keepNext w:val="0"/>
              <w:keepLines w:val="0"/>
              <w:widowControl/>
              <w:suppressLineNumbers w:val="0"/>
              <w:spacing w:before="0" w:beforeAutospacing="0" w:after="0" w:afterAutospacing="0"/>
              <w:ind w:left="0" w:right="0" w:firstLine="480"/>
              <w:rPr>
                <w:rFonts w:hint="default"/>
                <w:color w:val="auto"/>
              </w:rPr>
            </w:pPr>
            <w:r>
              <w:rPr>
                <w:rFonts w:hint="default"/>
                <w:color w:val="auto"/>
              </w:rPr>
              <w:t>c.有毒气体的防范措施</w:t>
            </w:r>
          </w:p>
          <w:p>
            <w:pPr>
              <w:keepNext w:val="0"/>
              <w:keepLines w:val="0"/>
              <w:widowControl/>
              <w:suppressLineNumbers w:val="0"/>
              <w:spacing w:before="0" w:beforeAutospacing="0" w:after="0" w:afterAutospacing="0"/>
              <w:ind w:left="0" w:right="0" w:firstLine="480"/>
              <w:rPr>
                <w:rFonts w:hint="default"/>
                <w:color w:val="auto"/>
              </w:rPr>
            </w:pPr>
            <w:r>
              <w:rPr>
                <w:rFonts w:hint="eastAsia" w:ascii="宋体" w:hAnsi="宋体" w:cs="宋体"/>
                <w:color w:val="auto"/>
              </w:rPr>
              <w:t>①</w:t>
            </w:r>
            <w:r>
              <w:rPr>
                <w:rFonts w:hint="default"/>
                <w:color w:val="auto"/>
              </w:rPr>
              <w:t>加强安全教育培训和宣传：液化石油气燃烧产生各种毒害气体，企业应加强对从业人员的专题教育，进一步提高企业管理者、操作人员的安全意识防范知识和应急救援的水平。</w:t>
            </w:r>
          </w:p>
          <w:p>
            <w:pPr>
              <w:keepNext w:val="0"/>
              <w:keepLines w:val="0"/>
              <w:widowControl/>
              <w:suppressLineNumbers w:val="0"/>
              <w:spacing w:before="0" w:beforeAutospacing="0" w:after="0" w:afterAutospacing="0"/>
              <w:ind w:left="0" w:right="0" w:firstLine="480"/>
              <w:rPr>
                <w:rFonts w:hint="default"/>
                <w:color w:val="auto"/>
              </w:rPr>
            </w:pPr>
            <w:r>
              <w:rPr>
                <w:rFonts w:hint="eastAsia" w:ascii="宋体" w:hAnsi="宋体" w:cs="宋体"/>
                <w:color w:val="auto"/>
              </w:rPr>
              <w:t>②</w:t>
            </w:r>
            <w:r>
              <w:rPr>
                <w:rFonts w:hint="default"/>
                <w:color w:val="auto"/>
              </w:rPr>
              <w:t>加大安全生产的投入：在强化安全教育、提高安全意识的同时，企业必须加大安全生产的投入。</w:t>
            </w:r>
          </w:p>
          <w:p>
            <w:pPr>
              <w:pStyle w:val="79"/>
              <w:keepNext w:val="0"/>
              <w:keepLines w:val="0"/>
              <w:suppressLineNumbers w:val="0"/>
              <w:spacing w:before="0" w:beforeAutospacing="0" w:after="0" w:afterAutospacing="0"/>
              <w:ind w:left="0" w:right="0" w:firstLine="482"/>
              <w:rPr>
                <w:rFonts w:hint="default"/>
                <w:b/>
                <w:color w:val="auto"/>
              </w:rPr>
            </w:pPr>
            <w:r>
              <w:rPr>
                <w:rFonts w:hint="default"/>
                <w:b/>
                <w:color w:val="auto"/>
              </w:rPr>
              <w:t>B.废机油泄漏事故风险防范措施</w:t>
            </w:r>
          </w:p>
          <w:p>
            <w:pPr>
              <w:pStyle w:val="79"/>
              <w:keepNext w:val="0"/>
              <w:keepLines w:val="0"/>
              <w:suppressLineNumbers w:val="0"/>
              <w:spacing w:before="0" w:beforeAutospacing="0" w:after="0" w:afterAutospacing="0"/>
              <w:ind w:left="0" w:right="0" w:firstLine="480"/>
              <w:rPr>
                <w:rFonts w:hint="default"/>
                <w:bCs/>
                <w:color w:val="auto"/>
              </w:rPr>
            </w:pPr>
            <w:r>
              <w:rPr>
                <w:rFonts w:hint="eastAsia"/>
                <w:bCs/>
                <w:color w:val="auto"/>
              </w:rPr>
              <w:t>a、泄漏风险防范措施</w:t>
            </w:r>
          </w:p>
          <w:p>
            <w:pPr>
              <w:pStyle w:val="79"/>
              <w:keepNext w:val="0"/>
              <w:keepLines w:val="0"/>
              <w:suppressLineNumbers w:val="0"/>
              <w:spacing w:before="0" w:beforeAutospacing="0" w:after="0" w:afterAutospacing="0"/>
              <w:ind w:left="0" w:right="0" w:firstLine="480"/>
              <w:rPr>
                <w:rFonts w:hint="default"/>
                <w:bCs/>
                <w:color w:val="auto"/>
              </w:rPr>
            </w:pPr>
            <w:r>
              <w:rPr>
                <w:rFonts w:hint="eastAsia"/>
                <w:bCs/>
                <w:color w:val="auto"/>
              </w:rPr>
              <w:t>为防止废机泄漏后外流，在危废暂存间内设置环形围堰，对泄露的废油液等进行收集，另外，还可在废油收集桶底部设置接油盘，收集后委托有资质单位进行处理。</w:t>
            </w:r>
          </w:p>
          <w:p>
            <w:pPr>
              <w:pStyle w:val="79"/>
              <w:keepNext w:val="0"/>
              <w:keepLines w:val="0"/>
              <w:suppressLineNumbers w:val="0"/>
              <w:spacing w:before="0" w:beforeAutospacing="0" w:after="0" w:afterAutospacing="0"/>
              <w:ind w:left="0" w:right="0" w:firstLine="480"/>
              <w:rPr>
                <w:rFonts w:hint="default"/>
                <w:bCs/>
                <w:color w:val="auto"/>
              </w:rPr>
            </w:pPr>
            <w:r>
              <w:rPr>
                <w:rFonts w:hint="eastAsia"/>
                <w:bCs/>
                <w:color w:val="auto"/>
              </w:rPr>
              <w:t>防渗措施：为避免废机油泄露污染地下水和土壤，应按规定对危废暂存间地面进行防渗处理。防渗层采用至少2mm厚的人工材料，渗透系数≤1×10</w:t>
            </w:r>
            <w:r>
              <w:rPr>
                <w:rFonts w:hint="eastAsia"/>
                <w:bCs/>
                <w:color w:val="auto"/>
                <w:vertAlign w:val="superscript"/>
              </w:rPr>
              <w:t>-10</w:t>
            </w:r>
            <w:r>
              <w:rPr>
                <w:rFonts w:hint="eastAsia"/>
                <w:bCs/>
                <w:color w:val="auto"/>
              </w:rPr>
              <w:t>cm/s。</w:t>
            </w:r>
          </w:p>
          <w:p>
            <w:pPr>
              <w:pStyle w:val="79"/>
              <w:keepNext w:val="0"/>
              <w:keepLines w:val="0"/>
              <w:suppressLineNumbers w:val="0"/>
              <w:spacing w:before="0" w:beforeAutospacing="0" w:after="0" w:afterAutospacing="0"/>
              <w:ind w:left="0" w:right="0" w:firstLine="480"/>
              <w:rPr>
                <w:rFonts w:hint="default"/>
                <w:bCs/>
                <w:color w:val="auto"/>
              </w:rPr>
            </w:pPr>
            <w:r>
              <w:rPr>
                <w:rFonts w:hint="eastAsia"/>
                <w:bCs/>
                <w:color w:val="auto"/>
              </w:rPr>
              <w:t>b、暂存过程中的风险防范措施</w:t>
            </w:r>
          </w:p>
          <w:p>
            <w:pPr>
              <w:pStyle w:val="79"/>
              <w:keepNext w:val="0"/>
              <w:keepLines w:val="0"/>
              <w:suppressLineNumbers w:val="0"/>
              <w:spacing w:before="0" w:beforeAutospacing="0" w:after="0" w:afterAutospacing="0"/>
              <w:ind w:left="0" w:right="0" w:firstLine="480"/>
              <w:rPr>
                <w:rFonts w:hint="default"/>
                <w:bCs/>
                <w:color w:val="auto"/>
              </w:rPr>
            </w:pPr>
            <w:r>
              <w:rPr>
                <w:rFonts w:hint="eastAsia"/>
                <w:bCs/>
                <w:color w:val="auto"/>
              </w:rPr>
              <w:t>1）危废暂存间内设置围堰，地面进行防腐防渗处理。</w:t>
            </w:r>
          </w:p>
          <w:p>
            <w:pPr>
              <w:pStyle w:val="79"/>
              <w:keepNext w:val="0"/>
              <w:keepLines w:val="0"/>
              <w:suppressLineNumbers w:val="0"/>
              <w:spacing w:before="0" w:beforeAutospacing="0" w:after="0" w:afterAutospacing="0"/>
              <w:ind w:left="0" w:right="0" w:firstLine="480"/>
              <w:rPr>
                <w:rFonts w:hint="default"/>
                <w:bCs/>
                <w:color w:val="auto"/>
              </w:rPr>
            </w:pPr>
            <w:r>
              <w:rPr>
                <w:rFonts w:hint="eastAsia"/>
                <w:bCs/>
                <w:color w:val="auto"/>
              </w:rPr>
              <w:t>2）危险废物进入危废暂存间暂存后，须做好危险废物情况的记录，记录上须注明危险废物的名称、来源、数量等。</w:t>
            </w:r>
          </w:p>
          <w:p>
            <w:pPr>
              <w:pStyle w:val="79"/>
              <w:keepNext w:val="0"/>
              <w:keepLines w:val="0"/>
              <w:suppressLineNumbers w:val="0"/>
              <w:spacing w:before="0" w:beforeAutospacing="0" w:after="0" w:afterAutospacing="0"/>
              <w:ind w:left="0" w:right="0" w:firstLine="480"/>
              <w:rPr>
                <w:rFonts w:hint="default"/>
                <w:bCs/>
                <w:color w:val="auto"/>
              </w:rPr>
            </w:pPr>
            <w:r>
              <w:rPr>
                <w:rFonts w:hint="eastAsia"/>
                <w:bCs/>
                <w:color w:val="auto"/>
              </w:rPr>
              <w:t>3）危废暂存间内必须设置警示标志。</w:t>
            </w:r>
          </w:p>
          <w:p>
            <w:pPr>
              <w:pStyle w:val="79"/>
              <w:keepNext w:val="0"/>
              <w:keepLines w:val="0"/>
              <w:suppressLineNumbers w:val="0"/>
              <w:spacing w:before="0" w:beforeAutospacing="0" w:after="0" w:afterAutospacing="0"/>
              <w:ind w:left="0" w:right="0" w:firstLine="480"/>
              <w:rPr>
                <w:rFonts w:hint="default"/>
                <w:bCs/>
                <w:color w:val="auto"/>
              </w:rPr>
            </w:pPr>
            <w:r>
              <w:rPr>
                <w:rFonts w:hint="eastAsia"/>
                <w:bCs/>
                <w:color w:val="auto"/>
              </w:rPr>
              <w:t>4）危险废物的转移应严格按照《危险废物转移联单管理办法（总局令第5号）》执行，并填写危险废物转移联单。</w:t>
            </w:r>
          </w:p>
          <w:p>
            <w:pPr>
              <w:pStyle w:val="49"/>
              <w:keepNext w:val="0"/>
              <w:keepLines w:val="0"/>
              <w:suppressLineNumbers w:val="0"/>
              <w:spacing w:before="0" w:beforeAutospacing="0" w:after="0" w:afterAutospacing="0"/>
              <w:ind w:left="0" w:right="0"/>
              <w:rPr>
                <w:rFonts w:hint="default"/>
                <w:bCs/>
                <w:color w:val="auto"/>
                <w:spacing w:val="-10"/>
              </w:rPr>
            </w:pPr>
            <w:r>
              <w:rPr>
                <w:rFonts w:hint="default"/>
                <w:color w:val="auto"/>
              </w:rPr>
              <w:t>综上所述，项目的环境风险属于可接受范围内，对周围环境的影响较小。</w:t>
            </w:r>
          </w:p>
          <w:p>
            <w:pPr>
              <w:pStyle w:val="49"/>
              <w:keepNext w:val="0"/>
              <w:keepLines w:val="0"/>
              <w:suppressLineNumbers w:val="0"/>
              <w:spacing w:before="0" w:beforeAutospacing="0" w:after="0" w:afterAutospacing="0"/>
              <w:ind w:left="0" w:right="0" w:firstLine="440"/>
              <w:rPr>
                <w:rFonts w:hint="default"/>
                <w:b/>
                <w:color w:val="auto"/>
              </w:rPr>
            </w:pPr>
            <w:r>
              <w:rPr>
                <w:rFonts w:hint="eastAsia"/>
                <w:bCs/>
                <w:color w:val="auto"/>
                <w:spacing w:val="-10"/>
              </w:rPr>
              <w:t>（八）</w:t>
            </w:r>
            <w:r>
              <w:rPr>
                <w:rFonts w:hint="default"/>
                <w:color w:val="auto"/>
              </w:rPr>
              <w:t>竣工环境保护验收</w:t>
            </w:r>
          </w:p>
          <w:p>
            <w:pPr>
              <w:pStyle w:val="49"/>
              <w:keepNext w:val="0"/>
              <w:keepLines w:val="0"/>
              <w:suppressLineNumbers w:val="0"/>
              <w:spacing w:before="0" w:beforeAutospacing="0" w:after="0" w:afterAutospacing="0"/>
              <w:ind w:left="0" w:right="0"/>
              <w:rPr>
                <w:rFonts w:hint="default"/>
                <w:color w:val="auto"/>
              </w:rPr>
            </w:pPr>
            <w:r>
              <w:rPr>
                <w:rFonts w:hint="default"/>
                <w:color w:val="auto"/>
              </w:rPr>
              <w:t>项目应严格执行污染防治设施与主体工程同时设计、同时施工、同时投入使用的环境保护“三同时”制度，环境保护竣工验收见下表</w:t>
            </w:r>
            <w:r>
              <w:rPr>
                <w:rFonts w:hint="eastAsia"/>
                <w:color w:val="auto"/>
              </w:rPr>
              <w:t>。</w:t>
            </w:r>
          </w:p>
          <w:p>
            <w:pPr>
              <w:pStyle w:val="54"/>
              <w:keepNext w:val="0"/>
              <w:keepLines w:val="0"/>
              <w:suppressLineNumbers w:val="0"/>
              <w:spacing w:before="0" w:beforeAutospacing="0" w:afterAutospacing="0"/>
              <w:ind w:right="0"/>
              <w:rPr>
                <w:rFonts w:hint="default"/>
                <w:bCs/>
                <w:color w:val="auto"/>
              </w:rPr>
            </w:pPr>
            <w:r>
              <w:rPr>
                <w:rFonts w:hint="default"/>
                <w:color w:val="auto"/>
              </w:rPr>
              <w:t>表</w:t>
            </w:r>
            <w:r>
              <w:rPr>
                <w:rFonts w:hint="eastAsia"/>
                <w:color w:val="auto"/>
              </w:rPr>
              <w:t xml:space="preserve">4-14 </w:t>
            </w:r>
            <w:r>
              <w:rPr>
                <w:rFonts w:hint="default"/>
                <w:color w:val="auto"/>
              </w:rPr>
              <w:t>环保竣工验收一览表</w:t>
            </w:r>
          </w:p>
          <w:tbl>
            <w:tblPr>
              <w:tblStyle w:val="22"/>
              <w:tblW w:w="8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435"/>
              <w:gridCol w:w="3590"/>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0"/>
                    </w:rPr>
                  </w:pPr>
                  <w:r>
                    <w:rPr>
                      <w:rFonts w:hint="default"/>
                      <w:b/>
                      <w:color w:val="auto"/>
                      <w:sz w:val="21"/>
                      <w:szCs w:val="20"/>
                    </w:rPr>
                    <w:t>污染源</w:t>
                  </w:r>
                </w:p>
              </w:tc>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0"/>
                    </w:rPr>
                  </w:pPr>
                  <w:r>
                    <w:rPr>
                      <w:rFonts w:hint="default"/>
                      <w:b/>
                      <w:color w:val="auto"/>
                      <w:sz w:val="21"/>
                      <w:szCs w:val="20"/>
                    </w:rPr>
                    <w:t>污染物名称</w:t>
                  </w:r>
                </w:p>
              </w:tc>
              <w:tc>
                <w:tcPr>
                  <w:tcW w:w="35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0"/>
                    </w:rPr>
                  </w:pPr>
                  <w:r>
                    <w:rPr>
                      <w:rFonts w:hint="default"/>
                      <w:b/>
                      <w:color w:val="auto"/>
                      <w:sz w:val="21"/>
                      <w:szCs w:val="20"/>
                    </w:rPr>
                    <w:t>验收内容</w:t>
                  </w:r>
                </w:p>
              </w:tc>
              <w:tc>
                <w:tcPr>
                  <w:tcW w:w="2521"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0"/>
                    </w:rPr>
                  </w:pPr>
                  <w:r>
                    <w:rPr>
                      <w:rFonts w:hint="default"/>
                      <w:b/>
                      <w:color w:val="auto"/>
                      <w:sz w:val="21"/>
                      <w:szCs w:val="20"/>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废气</w:t>
                  </w:r>
                </w:p>
              </w:tc>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default"/>
                      <w:color w:val="auto"/>
                      <w:sz w:val="21"/>
                      <w:szCs w:val="20"/>
                    </w:rPr>
                    <w:t>破碎粉尘</w:t>
                  </w:r>
                </w:p>
              </w:tc>
              <w:tc>
                <w:tcPr>
                  <w:tcW w:w="35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集气罩+</w:t>
                  </w:r>
                  <w:r>
                    <w:rPr>
                      <w:rFonts w:hint="eastAsia"/>
                      <w:color w:val="auto"/>
                    </w:rPr>
                    <w:t xml:space="preserve"> </w:t>
                  </w:r>
                  <w:r>
                    <w:rPr>
                      <w:rFonts w:hint="eastAsia"/>
                      <w:color w:val="auto"/>
                      <w:sz w:val="21"/>
                      <w:szCs w:val="21"/>
                    </w:rPr>
                    <w:t>布袋除尘器</w:t>
                  </w:r>
                  <w:r>
                    <w:rPr>
                      <w:rFonts w:hint="eastAsia"/>
                      <w:color w:val="auto"/>
                      <w:sz w:val="21"/>
                      <w:szCs w:val="20"/>
                    </w:rPr>
                    <w:t>+15m排气筒排放</w:t>
                  </w:r>
                </w:p>
              </w:tc>
              <w:tc>
                <w:tcPr>
                  <w:tcW w:w="2521"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《大气污染物综合排放</w:t>
                  </w:r>
                </w:p>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标准》（GB16297-1996）</w:t>
                  </w:r>
                </w:p>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表 2 中二级标准要求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p>
              </w:tc>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default"/>
                      <w:color w:val="auto"/>
                      <w:sz w:val="21"/>
                      <w:szCs w:val="20"/>
                    </w:rPr>
                    <w:t>拆解粉尘</w:t>
                  </w:r>
                </w:p>
              </w:tc>
              <w:tc>
                <w:tcPr>
                  <w:tcW w:w="35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设置在车间内、加强通风</w:t>
                  </w:r>
                </w:p>
              </w:tc>
              <w:tc>
                <w:tcPr>
                  <w:tcW w:w="2521"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《大气污染物综合排放标准》（GB16297-1996）表2标准中无组织排放</w:t>
                  </w:r>
                </w:p>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厂界浓度限值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857"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废水</w:t>
                  </w:r>
                </w:p>
              </w:tc>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default"/>
                      <w:color w:val="auto"/>
                      <w:sz w:val="21"/>
                      <w:szCs w:val="20"/>
                    </w:rPr>
                    <w:t>生活污水</w:t>
                  </w:r>
                </w:p>
              </w:tc>
              <w:tc>
                <w:tcPr>
                  <w:tcW w:w="35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default"/>
                      <w:color w:val="auto"/>
                      <w:sz w:val="21"/>
                      <w:szCs w:val="20"/>
                    </w:rPr>
                    <w:t>食堂设置</w:t>
                  </w:r>
                  <w:r>
                    <w:rPr>
                      <w:rFonts w:hint="eastAsia"/>
                      <w:color w:val="auto"/>
                      <w:sz w:val="21"/>
                      <w:szCs w:val="20"/>
                    </w:rPr>
                    <w:t>1个容积为0.2</w:t>
                  </w:r>
                  <w:r>
                    <w:rPr>
                      <w:rFonts w:hint="default"/>
                      <w:color w:val="auto"/>
                    </w:rPr>
                    <w:t xml:space="preserve"> m</w:t>
                  </w:r>
                  <w:r>
                    <w:rPr>
                      <w:rFonts w:hint="default"/>
                      <w:color w:val="auto"/>
                      <w:vertAlign w:val="superscript"/>
                    </w:rPr>
                    <w:t>3</w:t>
                  </w:r>
                  <w:r>
                    <w:rPr>
                      <w:rFonts w:hint="default"/>
                      <w:color w:val="auto"/>
                      <w:sz w:val="21"/>
                      <w:szCs w:val="21"/>
                    </w:rPr>
                    <w:t>的隔油池，项目区设置</w:t>
                  </w:r>
                  <w:r>
                    <w:rPr>
                      <w:rFonts w:hint="eastAsia"/>
                      <w:color w:val="auto"/>
                      <w:sz w:val="21"/>
                      <w:szCs w:val="21"/>
                    </w:rPr>
                    <w:t>1个容积为</w:t>
                  </w:r>
                  <w:r>
                    <w:rPr>
                      <w:rFonts w:hint="eastAsia"/>
                      <w:color w:val="auto"/>
                      <w:sz w:val="21"/>
                      <w:szCs w:val="20"/>
                    </w:rPr>
                    <w:t>3</w:t>
                  </w:r>
                  <w:r>
                    <w:rPr>
                      <w:rFonts w:hint="default"/>
                      <w:color w:val="auto"/>
                    </w:rPr>
                    <w:t xml:space="preserve"> m</w:t>
                  </w:r>
                  <w:r>
                    <w:rPr>
                      <w:rFonts w:hint="default"/>
                      <w:color w:val="auto"/>
                      <w:vertAlign w:val="superscript"/>
                    </w:rPr>
                    <w:t>3</w:t>
                  </w:r>
                  <w:r>
                    <w:rPr>
                      <w:rFonts w:hint="default"/>
                      <w:color w:val="auto"/>
                      <w:sz w:val="21"/>
                      <w:szCs w:val="21"/>
                    </w:rPr>
                    <w:t>的化粪池</w:t>
                  </w:r>
                </w:p>
              </w:tc>
              <w:tc>
                <w:tcPr>
                  <w:tcW w:w="2521"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0"/>
                      <w:lang w:val="en-US" w:eastAsia="zh-CN"/>
                    </w:rPr>
                  </w:pPr>
                  <w:r>
                    <w:rPr>
                      <w:rFonts w:hint="eastAsia"/>
                      <w:color w:val="auto"/>
                      <w:sz w:val="21"/>
                      <w:szCs w:val="20"/>
                      <w:lang w:val="en-US" w:eastAsia="zh-CN"/>
                    </w:rPr>
                    <w:t>处理后回用于项目区绿化施肥，不外排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p>
              </w:tc>
              <w:tc>
                <w:tcPr>
                  <w:tcW w:w="1435"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初期雨水</w:t>
                  </w:r>
                </w:p>
              </w:tc>
              <w:tc>
                <w:tcPr>
                  <w:tcW w:w="35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1个容积为</w:t>
                  </w:r>
                  <w:r>
                    <w:rPr>
                      <w:rFonts w:hint="eastAsia"/>
                      <w:color w:val="auto"/>
                      <w:sz w:val="21"/>
                      <w:szCs w:val="20"/>
                      <w:lang w:val="en-US" w:eastAsia="zh-CN"/>
                    </w:rPr>
                    <w:t>40</w:t>
                  </w:r>
                  <w:r>
                    <w:rPr>
                      <w:rFonts w:hint="default"/>
                      <w:color w:val="auto"/>
                      <w:sz w:val="21"/>
                      <w:szCs w:val="20"/>
                    </w:rPr>
                    <w:t xml:space="preserve"> m</w:t>
                  </w:r>
                  <w:r>
                    <w:rPr>
                      <w:rFonts w:hint="default"/>
                      <w:color w:val="auto"/>
                      <w:sz w:val="21"/>
                      <w:szCs w:val="20"/>
                      <w:vertAlign w:val="superscript"/>
                    </w:rPr>
                    <w:t>3</w:t>
                  </w:r>
                  <w:r>
                    <w:rPr>
                      <w:rFonts w:hint="eastAsia"/>
                      <w:color w:val="auto"/>
                      <w:sz w:val="21"/>
                      <w:szCs w:val="20"/>
                    </w:rPr>
                    <w:t>收集池</w:t>
                  </w:r>
                </w:p>
              </w:tc>
              <w:tc>
                <w:tcPr>
                  <w:tcW w:w="2521"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default"/>
                      <w:color w:val="auto"/>
                      <w:sz w:val="21"/>
                      <w:szCs w:val="20"/>
                    </w:rPr>
                    <w:t>雨水经</w:t>
                  </w:r>
                  <w:r>
                    <w:rPr>
                      <w:rFonts w:hint="eastAsia"/>
                      <w:color w:val="auto"/>
                      <w:sz w:val="21"/>
                      <w:szCs w:val="20"/>
                      <w:lang w:val="en-US" w:eastAsia="zh-CN"/>
                    </w:rPr>
                    <w:t>初期雨水收集池收集后进入污水处理站处理，之后</w:t>
                  </w:r>
                  <w:r>
                    <w:rPr>
                      <w:rFonts w:hint="default"/>
                      <w:color w:val="auto"/>
                      <w:sz w:val="21"/>
                      <w:szCs w:val="20"/>
                    </w:rPr>
                    <w:t>回用于项目洒水降尘</w:t>
                  </w:r>
                  <w:r>
                    <w:rPr>
                      <w:rFonts w:hint="eastAsia"/>
                      <w:color w:val="auto"/>
                      <w:sz w:val="21"/>
                      <w:szCs w:val="20"/>
                      <w:lang w:val="en-US" w:eastAsia="zh-CN"/>
                    </w:rPr>
                    <w:t>和绿化灌溉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p>
              </w:tc>
              <w:tc>
                <w:tcPr>
                  <w:tcW w:w="1435"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0"/>
                    </w:rPr>
                  </w:pPr>
                </w:p>
              </w:tc>
              <w:tc>
                <w:tcPr>
                  <w:tcW w:w="35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0"/>
                      <w:lang w:val="en-US" w:eastAsia="zh-CN"/>
                    </w:rPr>
                  </w:pPr>
                  <w:r>
                    <w:rPr>
                      <w:rFonts w:hint="eastAsia"/>
                      <w:color w:val="auto"/>
                      <w:sz w:val="21"/>
                      <w:szCs w:val="20"/>
                      <w:lang w:val="en-US" w:eastAsia="zh-CN"/>
                    </w:rPr>
                    <w:t>污水处理站（20</w:t>
                  </w:r>
                  <w:r>
                    <w:rPr>
                      <w:rFonts w:hint="default"/>
                      <w:color w:val="auto"/>
                      <w:sz w:val="21"/>
                      <w:szCs w:val="20"/>
                    </w:rPr>
                    <w:t>m</w:t>
                  </w:r>
                  <w:r>
                    <w:rPr>
                      <w:rFonts w:hint="default"/>
                      <w:color w:val="auto"/>
                      <w:sz w:val="21"/>
                      <w:szCs w:val="20"/>
                      <w:vertAlign w:val="superscript"/>
                    </w:rPr>
                    <w:t>3</w:t>
                  </w:r>
                  <w:r>
                    <w:rPr>
                      <w:rFonts w:hint="eastAsia"/>
                      <w:color w:val="auto"/>
                      <w:sz w:val="21"/>
                      <w:szCs w:val="20"/>
                      <w:lang w:val="en-US" w:eastAsia="zh-CN"/>
                    </w:rPr>
                    <w:t>/d）</w:t>
                  </w:r>
                </w:p>
              </w:tc>
              <w:tc>
                <w:tcPr>
                  <w:tcW w:w="252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噪声</w:t>
                  </w:r>
                </w:p>
              </w:tc>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设备噪声</w:t>
                  </w:r>
                </w:p>
              </w:tc>
              <w:tc>
                <w:tcPr>
                  <w:tcW w:w="35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安装减震设施、定期维修</w:t>
                  </w:r>
                </w:p>
              </w:tc>
              <w:tc>
                <w:tcPr>
                  <w:tcW w:w="2521"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default"/>
                      <w:color w:val="auto"/>
                      <w:sz w:val="21"/>
                      <w:szCs w:val="20"/>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固废</w:t>
                  </w:r>
                </w:p>
              </w:tc>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一般固废</w:t>
                  </w:r>
                </w:p>
              </w:tc>
              <w:tc>
                <w:tcPr>
                  <w:tcW w:w="35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3个垃圾桶、1间150m</w:t>
                  </w:r>
                  <w:r>
                    <w:rPr>
                      <w:rFonts w:hint="eastAsia"/>
                      <w:color w:val="auto"/>
                      <w:sz w:val="21"/>
                      <w:szCs w:val="20"/>
                      <w:vertAlign w:val="superscript"/>
                    </w:rPr>
                    <w:t>2</w:t>
                  </w:r>
                  <w:r>
                    <w:rPr>
                      <w:rFonts w:hint="eastAsia"/>
                      <w:color w:val="auto"/>
                      <w:sz w:val="21"/>
                      <w:szCs w:val="20"/>
                    </w:rPr>
                    <w:t>的一般固废暂存间</w:t>
                  </w:r>
                </w:p>
              </w:tc>
              <w:tc>
                <w:tcPr>
                  <w:tcW w:w="2521"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p>
              </w:tc>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危险固废</w:t>
                  </w:r>
                </w:p>
              </w:tc>
              <w:tc>
                <w:tcPr>
                  <w:tcW w:w="35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0"/>
                      <w:vertAlign w:val="superscript"/>
                      <w:lang w:val="en-US" w:eastAsia="zh-CN"/>
                    </w:rPr>
                  </w:pPr>
                  <w:r>
                    <w:rPr>
                      <w:rFonts w:hint="eastAsia"/>
                      <w:color w:val="auto"/>
                      <w:sz w:val="21"/>
                      <w:szCs w:val="20"/>
                      <w:lang w:val="en-US" w:eastAsia="zh-CN"/>
                    </w:rPr>
                    <w:t>8</w:t>
                  </w:r>
                  <w:r>
                    <w:rPr>
                      <w:rFonts w:hint="eastAsia"/>
                      <w:color w:val="auto"/>
                      <w:sz w:val="21"/>
                      <w:szCs w:val="20"/>
                    </w:rPr>
                    <w:t>间危废暂存间</w:t>
                  </w:r>
                  <w:r>
                    <w:rPr>
                      <w:rFonts w:hint="eastAsia"/>
                      <w:color w:val="auto"/>
                      <w:sz w:val="21"/>
                      <w:szCs w:val="20"/>
                      <w:lang w:eastAsia="zh-CN"/>
                    </w:rPr>
                    <w:t>，</w:t>
                  </w:r>
                  <w:r>
                    <w:rPr>
                      <w:rFonts w:hint="eastAsia"/>
                      <w:color w:val="auto"/>
                      <w:sz w:val="21"/>
                      <w:szCs w:val="20"/>
                      <w:lang w:val="en-US" w:eastAsia="zh-CN"/>
                    </w:rPr>
                    <w:t>总面积为497m</w:t>
                  </w:r>
                  <w:r>
                    <w:rPr>
                      <w:rFonts w:hint="eastAsia"/>
                      <w:color w:val="auto"/>
                      <w:sz w:val="21"/>
                      <w:szCs w:val="20"/>
                      <w:vertAlign w:val="superscript"/>
                      <w:lang w:val="en-US" w:eastAsia="zh-CN"/>
                    </w:rPr>
                    <w:t>2</w:t>
                  </w:r>
                </w:p>
              </w:tc>
              <w:tc>
                <w:tcPr>
                  <w:tcW w:w="2521"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《危险废物贮存污染控制标准（GB18597-2001）及2013年修改单（环保部公告2013年第36号）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default"/>
                      <w:color w:val="auto"/>
                      <w:sz w:val="21"/>
                      <w:szCs w:val="20"/>
                    </w:rPr>
                    <w:t>绿化</w:t>
                  </w:r>
                </w:p>
              </w:tc>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绿化</w:t>
                  </w:r>
                </w:p>
              </w:tc>
              <w:tc>
                <w:tcPr>
                  <w:tcW w:w="35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绿化面积</w:t>
                  </w:r>
                  <w:r>
                    <w:rPr>
                      <w:rFonts w:hint="eastAsia"/>
                      <w:color w:val="auto"/>
                      <w:sz w:val="21"/>
                      <w:szCs w:val="20"/>
                      <w:lang w:val="en-US" w:eastAsia="zh-CN"/>
                    </w:rPr>
                    <w:t>2100</w:t>
                  </w:r>
                  <w:r>
                    <w:rPr>
                      <w:rFonts w:hint="eastAsia"/>
                      <w:color w:val="auto"/>
                      <w:sz w:val="21"/>
                      <w:szCs w:val="20"/>
                    </w:rPr>
                    <w:t xml:space="preserve"> m</w:t>
                  </w:r>
                  <w:r>
                    <w:rPr>
                      <w:rFonts w:hint="eastAsia"/>
                      <w:color w:val="auto"/>
                      <w:sz w:val="21"/>
                      <w:szCs w:val="20"/>
                      <w:vertAlign w:val="superscript"/>
                    </w:rPr>
                    <w:t>2</w:t>
                  </w:r>
                </w:p>
              </w:tc>
              <w:tc>
                <w:tcPr>
                  <w:tcW w:w="2521"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default"/>
                      <w:color w:val="auto"/>
                      <w:sz w:val="21"/>
                      <w:szCs w:val="20"/>
                    </w:rPr>
                    <w:t>风险</w:t>
                  </w:r>
                </w:p>
              </w:tc>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废水</w:t>
                  </w:r>
                </w:p>
              </w:tc>
              <w:tc>
                <w:tcPr>
                  <w:tcW w:w="359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设置1个容积为</w:t>
                  </w:r>
                  <w:r>
                    <w:rPr>
                      <w:rFonts w:hint="eastAsia"/>
                      <w:color w:val="auto"/>
                      <w:sz w:val="21"/>
                      <w:szCs w:val="20"/>
                      <w:lang w:val="en-US" w:eastAsia="zh-CN"/>
                    </w:rPr>
                    <w:t>160</w:t>
                  </w:r>
                  <w:r>
                    <w:rPr>
                      <w:rFonts w:hint="eastAsia"/>
                      <w:color w:val="auto"/>
                      <w:sz w:val="21"/>
                      <w:szCs w:val="20"/>
                    </w:rPr>
                    <w:t>m</w:t>
                  </w:r>
                  <w:r>
                    <w:rPr>
                      <w:rFonts w:hint="eastAsia"/>
                      <w:color w:val="auto"/>
                      <w:sz w:val="21"/>
                      <w:szCs w:val="20"/>
                      <w:vertAlign w:val="superscript"/>
                    </w:rPr>
                    <w:t>3</w:t>
                  </w:r>
                  <w:r>
                    <w:rPr>
                      <w:rFonts w:hint="eastAsia"/>
                      <w:color w:val="auto"/>
                      <w:sz w:val="21"/>
                      <w:szCs w:val="20"/>
                    </w:rPr>
                    <w:t>的事故应急池</w:t>
                  </w:r>
                </w:p>
              </w:tc>
              <w:tc>
                <w:tcPr>
                  <w:tcW w:w="2521"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其他</w:t>
                  </w:r>
                </w:p>
              </w:tc>
              <w:tc>
                <w:tcPr>
                  <w:tcW w:w="1435"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环境管理</w:t>
                  </w:r>
                </w:p>
              </w:tc>
              <w:tc>
                <w:tcPr>
                  <w:tcW w:w="6111"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0"/>
                    </w:rPr>
                  </w:pPr>
                  <w:r>
                    <w:rPr>
                      <w:rFonts w:hint="eastAsia"/>
                      <w:color w:val="auto"/>
                      <w:sz w:val="21"/>
                      <w:szCs w:val="20"/>
                    </w:rPr>
                    <w:t>建立环保设施档案和环境管理规章制度</w:t>
                  </w:r>
                </w:p>
              </w:tc>
            </w:tr>
          </w:tbl>
          <w:p>
            <w:pPr>
              <w:pStyle w:val="49"/>
              <w:keepNext w:val="0"/>
              <w:keepLines w:val="0"/>
              <w:suppressLineNumbers w:val="0"/>
              <w:spacing w:before="0" w:beforeAutospacing="0" w:after="0" w:afterAutospacing="0"/>
              <w:ind w:left="0" w:right="0"/>
              <w:jc w:val="left"/>
              <w:rPr>
                <w:rFonts w:hint="default"/>
                <w:color w:val="auto"/>
              </w:rPr>
            </w:pPr>
          </w:p>
          <w:p>
            <w:pPr>
              <w:pStyle w:val="49"/>
              <w:keepNext w:val="0"/>
              <w:keepLines w:val="0"/>
              <w:suppressLineNumbers w:val="0"/>
              <w:spacing w:before="0" w:beforeAutospacing="0" w:after="0" w:afterAutospacing="0"/>
              <w:ind w:left="0" w:right="0" w:firstLine="482"/>
              <w:jc w:val="left"/>
              <w:rPr>
                <w:rFonts w:hint="default"/>
                <w:b/>
                <w:color w:val="auto"/>
              </w:rPr>
            </w:pPr>
          </w:p>
        </w:tc>
      </w:tr>
    </w:tbl>
    <w:p>
      <w:pPr>
        <w:adjustRightInd w:val="0"/>
        <w:snapToGrid w:val="0"/>
        <w:ind w:firstLine="562"/>
        <w:rPr>
          <w:b/>
          <w:kern w:val="0"/>
          <w:sz w:val="28"/>
          <w:szCs w:val="28"/>
        </w:rPr>
        <w:sectPr>
          <w:pgSz w:w="11907" w:h="16840"/>
          <w:pgMar w:top="1701" w:right="1531" w:bottom="2127" w:left="1531" w:header="851" w:footer="851" w:gutter="0"/>
          <w:cols w:space="720" w:num="1"/>
          <w:docGrid w:linePitch="312" w:charSpace="0"/>
        </w:sectPr>
      </w:pPr>
    </w:p>
    <w:p>
      <w:pPr>
        <w:pStyle w:val="4"/>
        <w:ind w:firstLine="602"/>
        <w:rPr>
          <w:snapToGrid w:val="0"/>
          <w:color w:val="auto"/>
        </w:rPr>
      </w:pPr>
      <w:bookmarkStart w:id="9" w:name="_Toc105597208"/>
      <w:bookmarkStart w:id="10" w:name="_Toc68166147"/>
      <w:r>
        <w:rPr>
          <w:snapToGrid w:val="0"/>
          <w:color w:val="auto"/>
        </w:rPr>
        <w:t>五、</w:t>
      </w:r>
      <w:bookmarkStart w:id="11" w:name="_Hlk54167917"/>
      <w:r>
        <w:rPr>
          <w:snapToGrid w:val="0"/>
          <w:color w:val="auto"/>
        </w:rPr>
        <w:t>环境保护措施监督检查清单</w:t>
      </w:r>
      <w:bookmarkEnd w:id="9"/>
      <w:bookmarkEnd w:id="10"/>
      <w:bookmarkEnd w:id="11"/>
    </w:p>
    <w:tbl>
      <w:tblPr>
        <w:tblStyle w:val="22"/>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1555"/>
        <w:gridCol w:w="1772"/>
        <w:gridCol w:w="2126"/>
        <w:gridCol w:w="17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3" w:type="dxa"/>
            <w:tcBorders>
              <w:tl2br w:val="single" w:color="auto" w:sz="4" w:space="0"/>
            </w:tcBorders>
          </w:tcPr>
          <w:p>
            <w:pPr>
              <w:pStyle w:val="69"/>
              <w:keepNext w:val="0"/>
              <w:keepLines w:val="0"/>
              <w:suppressLineNumbers w:val="0"/>
              <w:spacing w:before="0" w:beforeAutospacing="0" w:after="0" w:afterAutospacing="0"/>
              <w:ind w:left="0" w:right="0"/>
              <w:rPr>
                <w:rFonts w:hint="default"/>
              </w:rPr>
            </w:pPr>
            <w:r>
              <w:rPr>
                <w:rFonts w:hint="default"/>
              </w:rPr>
              <w:t>内容</w:t>
            </w:r>
          </w:p>
          <w:p>
            <w:pPr>
              <w:pStyle w:val="69"/>
              <w:keepNext w:val="0"/>
              <w:keepLines w:val="0"/>
              <w:suppressLineNumbers w:val="0"/>
              <w:spacing w:before="0" w:beforeAutospacing="0" w:after="0" w:afterAutospacing="0"/>
              <w:ind w:left="0" w:right="0"/>
              <w:rPr>
                <w:rFonts w:hint="default"/>
              </w:rPr>
            </w:pPr>
            <w:r>
              <w:rPr>
                <w:rFonts w:hint="default"/>
              </w:rPr>
              <w:t>要素</w:t>
            </w:r>
          </w:p>
        </w:tc>
        <w:tc>
          <w:tcPr>
            <w:tcW w:w="1555" w:type="dxa"/>
            <w:vAlign w:val="center"/>
          </w:tcPr>
          <w:p>
            <w:pPr>
              <w:pStyle w:val="69"/>
              <w:keepNext w:val="0"/>
              <w:keepLines w:val="0"/>
              <w:suppressLineNumbers w:val="0"/>
              <w:spacing w:before="0" w:beforeAutospacing="0" w:after="0" w:afterAutospacing="0"/>
              <w:ind w:left="0" w:right="0"/>
              <w:rPr>
                <w:rFonts w:hint="default"/>
              </w:rPr>
            </w:pPr>
            <w:r>
              <w:rPr>
                <w:rFonts w:hint="default"/>
              </w:rPr>
              <w:t>排放口(编号、</w:t>
            </w:r>
          </w:p>
          <w:p>
            <w:pPr>
              <w:pStyle w:val="69"/>
              <w:keepNext w:val="0"/>
              <w:keepLines w:val="0"/>
              <w:suppressLineNumbers w:val="0"/>
              <w:spacing w:before="0" w:beforeAutospacing="0" w:after="0" w:afterAutospacing="0"/>
              <w:ind w:left="0" w:right="0"/>
              <w:rPr>
                <w:rFonts w:hint="default"/>
              </w:rPr>
            </w:pPr>
            <w:r>
              <w:rPr>
                <w:rFonts w:hint="default"/>
              </w:rPr>
              <w:t>名称)/污染源</w:t>
            </w: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污染物项目</w:t>
            </w:r>
          </w:p>
        </w:tc>
        <w:tc>
          <w:tcPr>
            <w:tcW w:w="2126" w:type="dxa"/>
            <w:vAlign w:val="center"/>
          </w:tcPr>
          <w:p>
            <w:pPr>
              <w:pStyle w:val="69"/>
              <w:keepNext w:val="0"/>
              <w:keepLines w:val="0"/>
              <w:suppressLineNumbers w:val="0"/>
              <w:spacing w:before="0" w:beforeAutospacing="0" w:after="0" w:afterAutospacing="0"/>
              <w:ind w:left="0" w:right="0"/>
              <w:rPr>
                <w:rFonts w:hint="default"/>
              </w:rPr>
            </w:pPr>
            <w:r>
              <w:rPr>
                <w:rFonts w:hint="default"/>
              </w:rPr>
              <w:t>环境保护措施</w:t>
            </w:r>
          </w:p>
        </w:tc>
        <w:tc>
          <w:tcPr>
            <w:tcW w:w="1734" w:type="dxa"/>
            <w:vAlign w:val="center"/>
          </w:tcPr>
          <w:p>
            <w:pPr>
              <w:pStyle w:val="69"/>
              <w:keepNext w:val="0"/>
              <w:keepLines w:val="0"/>
              <w:suppressLineNumbers w:val="0"/>
              <w:spacing w:before="0" w:beforeAutospacing="0" w:after="0" w:afterAutospacing="0"/>
              <w:ind w:left="0" w:right="0"/>
              <w:rPr>
                <w:rFonts w:hint="default"/>
              </w:rPr>
            </w:pPr>
            <w:r>
              <w:rPr>
                <w:rFonts w:hint="default"/>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3"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大气环境</w:t>
            </w:r>
          </w:p>
        </w:tc>
        <w:tc>
          <w:tcPr>
            <w:tcW w:w="1555" w:type="dxa"/>
            <w:vAlign w:val="center"/>
          </w:tcPr>
          <w:p>
            <w:pPr>
              <w:pStyle w:val="69"/>
              <w:keepNext w:val="0"/>
              <w:keepLines w:val="0"/>
              <w:suppressLineNumbers w:val="0"/>
              <w:spacing w:before="0" w:beforeAutospacing="0" w:after="0" w:afterAutospacing="0"/>
              <w:ind w:left="0" w:right="0"/>
              <w:rPr>
                <w:rFonts w:hint="default"/>
              </w:rPr>
            </w:pPr>
            <w:r>
              <w:rPr>
                <w:rFonts w:hint="eastAsia"/>
                <w:szCs w:val="21"/>
              </w:rPr>
              <w:t>破碎机排气筒（DA001）</w:t>
            </w: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颗粒物</w:t>
            </w:r>
          </w:p>
        </w:tc>
        <w:tc>
          <w:tcPr>
            <w:tcW w:w="2126" w:type="dxa"/>
            <w:vAlign w:val="center"/>
          </w:tcPr>
          <w:p>
            <w:pPr>
              <w:pStyle w:val="69"/>
              <w:keepNext w:val="0"/>
              <w:keepLines w:val="0"/>
              <w:suppressLineNumbers w:val="0"/>
              <w:spacing w:before="0" w:beforeAutospacing="0" w:after="0" w:afterAutospacing="0"/>
              <w:ind w:left="0" w:right="0"/>
              <w:rPr>
                <w:rFonts w:hint="default"/>
              </w:rPr>
            </w:pPr>
            <w:r>
              <w:rPr>
                <w:rFonts w:hint="eastAsia"/>
                <w:bCs/>
              </w:rPr>
              <w:t>集气罩+</w:t>
            </w:r>
            <w:r>
              <w:rPr>
                <w:rFonts w:hint="eastAsia"/>
              </w:rPr>
              <w:t>布袋除尘器+</w:t>
            </w:r>
            <w:r>
              <w:rPr>
                <w:rFonts w:hint="eastAsia"/>
                <w:bCs/>
              </w:rPr>
              <w:t xml:space="preserve"> 15m排气筒排放</w:t>
            </w:r>
          </w:p>
        </w:tc>
        <w:tc>
          <w:tcPr>
            <w:tcW w:w="1734"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eastAsia"/>
              </w:rPr>
              <w:t>《大气污染物综合排放标准》（GB16297-1996）二级标准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Align w:val="center"/>
          </w:tcPr>
          <w:p>
            <w:pPr>
              <w:pStyle w:val="69"/>
              <w:keepNext w:val="0"/>
              <w:keepLines w:val="0"/>
              <w:suppressLineNumbers w:val="0"/>
              <w:spacing w:before="0" w:beforeAutospacing="0" w:after="0" w:afterAutospacing="0"/>
              <w:ind w:left="0" w:right="0"/>
              <w:rPr>
                <w:rFonts w:hint="default"/>
              </w:rPr>
            </w:pPr>
            <w:r>
              <w:rPr>
                <w:rFonts w:hint="default"/>
              </w:rPr>
              <w:t>废油液抽取工序</w:t>
            </w: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eastAsia"/>
              </w:rPr>
              <w:t>无组织非甲烷总烃</w:t>
            </w:r>
          </w:p>
        </w:tc>
        <w:tc>
          <w:tcPr>
            <w:tcW w:w="2126" w:type="dxa"/>
            <w:vAlign w:val="center"/>
          </w:tcPr>
          <w:p>
            <w:pPr>
              <w:pStyle w:val="69"/>
              <w:keepNext w:val="0"/>
              <w:keepLines w:val="0"/>
              <w:suppressLineNumbers w:val="0"/>
              <w:spacing w:before="0" w:beforeAutospacing="0" w:after="0" w:afterAutospacing="0"/>
              <w:ind w:left="0" w:right="0"/>
              <w:rPr>
                <w:rFonts w:hint="default"/>
                <w:bCs/>
              </w:rPr>
            </w:pPr>
            <w:r>
              <w:rPr>
                <w:rFonts w:hint="eastAsia"/>
                <w:bCs/>
              </w:rPr>
              <w:t>自然扩散、绿化吸收</w:t>
            </w: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Align w:val="center"/>
          </w:tcPr>
          <w:p>
            <w:pPr>
              <w:pStyle w:val="69"/>
              <w:keepNext w:val="0"/>
              <w:keepLines w:val="0"/>
              <w:suppressLineNumbers w:val="0"/>
              <w:spacing w:before="0" w:beforeAutospacing="0" w:after="0" w:afterAutospacing="0"/>
              <w:ind w:left="0" w:right="0"/>
              <w:rPr>
                <w:rFonts w:hint="default"/>
              </w:rPr>
            </w:pPr>
            <w:r>
              <w:rPr>
                <w:rFonts w:hint="default"/>
              </w:rPr>
              <w:t>切割、拆解工序</w:t>
            </w: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eastAsia"/>
              </w:rPr>
              <w:t>颗粒物</w:t>
            </w:r>
          </w:p>
        </w:tc>
        <w:tc>
          <w:tcPr>
            <w:tcW w:w="2126" w:type="dxa"/>
            <w:vAlign w:val="center"/>
          </w:tcPr>
          <w:p>
            <w:pPr>
              <w:pStyle w:val="69"/>
              <w:keepNext w:val="0"/>
              <w:keepLines w:val="0"/>
              <w:suppressLineNumbers w:val="0"/>
              <w:spacing w:before="0" w:beforeAutospacing="0" w:after="0" w:afterAutospacing="0"/>
              <w:ind w:left="0" w:right="0"/>
              <w:rPr>
                <w:rFonts w:hint="default"/>
                <w:bCs/>
              </w:rPr>
            </w:pPr>
            <w:r>
              <w:rPr>
                <w:rFonts w:hint="eastAsia"/>
                <w:bCs/>
              </w:rPr>
              <w:t>厂房阻隔、自然沉降</w:t>
            </w: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13"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地表水环境</w:t>
            </w:r>
          </w:p>
        </w:tc>
        <w:tc>
          <w:tcPr>
            <w:tcW w:w="1555" w:type="dxa"/>
            <w:vAlign w:val="center"/>
          </w:tcPr>
          <w:p>
            <w:pPr>
              <w:pStyle w:val="69"/>
              <w:keepNext w:val="0"/>
              <w:keepLines w:val="0"/>
              <w:suppressLineNumbers w:val="0"/>
              <w:spacing w:before="0" w:beforeAutospacing="0" w:after="0" w:afterAutospacing="0"/>
              <w:ind w:left="0" w:right="0"/>
              <w:rPr>
                <w:rFonts w:hint="default"/>
              </w:rPr>
            </w:pPr>
            <w:r>
              <w:rPr>
                <w:rFonts w:hint="default"/>
              </w:rPr>
              <w:t>生活污水</w:t>
            </w: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eastAsia"/>
              </w:rPr>
              <w:t>COD、BOD</w:t>
            </w:r>
            <w:r>
              <w:rPr>
                <w:rFonts w:hint="eastAsia"/>
                <w:vertAlign w:val="subscript"/>
              </w:rPr>
              <w:t>5</w:t>
            </w:r>
            <w:r>
              <w:rPr>
                <w:rFonts w:hint="eastAsia"/>
              </w:rPr>
              <w:t>、SS、氨氮、动植物油</w:t>
            </w:r>
          </w:p>
        </w:tc>
        <w:tc>
          <w:tcPr>
            <w:tcW w:w="2126" w:type="dxa"/>
            <w:vAlign w:val="center"/>
          </w:tcPr>
          <w:p>
            <w:pPr>
              <w:pStyle w:val="69"/>
              <w:keepNext w:val="0"/>
              <w:keepLines w:val="0"/>
              <w:suppressLineNumbers w:val="0"/>
              <w:spacing w:before="0" w:beforeAutospacing="0" w:after="0" w:afterAutospacing="0"/>
              <w:ind w:left="0" w:right="0"/>
              <w:rPr>
                <w:rFonts w:hint="default"/>
              </w:rPr>
            </w:pPr>
            <w:r>
              <w:rPr>
                <w:rFonts w:hint="eastAsia"/>
              </w:rPr>
              <w:t>隔油池1座（容积0.2m</w:t>
            </w:r>
            <w:r>
              <w:rPr>
                <w:rFonts w:hint="eastAsia"/>
                <w:vertAlign w:val="superscript"/>
              </w:rPr>
              <w:t>3</w:t>
            </w:r>
            <w:r>
              <w:rPr>
                <w:rFonts w:hint="eastAsia"/>
              </w:rPr>
              <w:t>）化粪池1座（容积3m</w:t>
            </w:r>
            <w:r>
              <w:rPr>
                <w:rFonts w:hint="eastAsia"/>
                <w:vertAlign w:val="superscript"/>
              </w:rPr>
              <w:t>3</w:t>
            </w:r>
            <w:r>
              <w:rPr>
                <w:rFonts w:hint="eastAsia"/>
              </w:rPr>
              <w:t>）</w:t>
            </w:r>
            <w:r>
              <w:rPr>
                <w:rFonts w:hint="default"/>
              </w:rPr>
              <w:t xml:space="preserve"> </w:t>
            </w:r>
          </w:p>
        </w:tc>
        <w:tc>
          <w:tcPr>
            <w:tcW w:w="1734" w:type="dxa"/>
            <w:vAlign w:val="center"/>
          </w:tcPr>
          <w:p>
            <w:pPr>
              <w:pStyle w:val="69"/>
              <w:keepNext w:val="0"/>
              <w:keepLines w:val="0"/>
              <w:suppressLineNumbers w:val="0"/>
              <w:spacing w:before="0" w:beforeAutospacing="0" w:after="0" w:afterAutospacing="0"/>
              <w:ind w:left="0" w:right="0"/>
              <w:rPr>
                <w:rFonts w:hint="eastAsia" w:eastAsia="宋体"/>
                <w:lang w:val="en-US"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Align w:val="center"/>
          </w:tcPr>
          <w:p>
            <w:pPr>
              <w:pStyle w:val="69"/>
              <w:keepNext w:val="0"/>
              <w:keepLines w:val="0"/>
              <w:suppressLineNumbers w:val="0"/>
              <w:spacing w:before="0" w:beforeAutospacing="0" w:after="0" w:afterAutospacing="0"/>
              <w:ind w:left="0" w:right="0"/>
              <w:rPr>
                <w:rFonts w:hint="default"/>
              </w:rPr>
            </w:pPr>
            <w:r>
              <w:rPr>
                <w:rFonts w:hint="default"/>
              </w:rPr>
              <w:t>初期雨水</w:t>
            </w: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eastAsia"/>
              </w:rPr>
              <w:t>SS、石油类</w:t>
            </w:r>
          </w:p>
        </w:tc>
        <w:tc>
          <w:tcPr>
            <w:tcW w:w="2126" w:type="dxa"/>
            <w:vAlign w:val="center"/>
          </w:tcPr>
          <w:p>
            <w:pPr>
              <w:pStyle w:val="69"/>
              <w:keepNext w:val="0"/>
              <w:keepLines w:val="0"/>
              <w:suppressLineNumbers w:val="0"/>
              <w:spacing w:before="0" w:beforeAutospacing="0" w:after="0" w:afterAutospacing="0"/>
              <w:ind w:left="0" w:right="0"/>
              <w:rPr>
                <w:rFonts w:hint="default" w:eastAsia="宋体"/>
                <w:vertAlign w:val="baseline"/>
                <w:lang w:val="en-US" w:eastAsia="zh-CN"/>
              </w:rPr>
            </w:pPr>
            <w:r>
              <w:rPr>
                <w:rFonts w:hint="eastAsia"/>
              </w:rPr>
              <w:t>1座10m</w:t>
            </w:r>
            <w:r>
              <w:rPr>
                <w:rFonts w:hint="eastAsia"/>
                <w:vertAlign w:val="superscript"/>
              </w:rPr>
              <w:t>3</w:t>
            </w:r>
            <w:r>
              <w:rPr>
                <w:rFonts w:hint="eastAsia"/>
              </w:rPr>
              <w:t>收集池，</w:t>
            </w:r>
            <w:r>
              <w:rPr>
                <w:rFonts w:hint="eastAsia"/>
                <w:lang w:val="en-US" w:eastAsia="zh-CN"/>
              </w:rPr>
              <w:t>20m</w:t>
            </w:r>
            <w:r>
              <w:rPr>
                <w:rFonts w:hint="eastAsia"/>
                <w:vertAlign w:val="superscript"/>
                <w:lang w:val="en-US" w:eastAsia="zh-CN"/>
              </w:rPr>
              <w:t>3</w:t>
            </w:r>
            <w:r>
              <w:rPr>
                <w:rFonts w:hint="eastAsia"/>
                <w:vertAlign w:val="baseline"/>
                <w:lang w:val="en-US" w:eastAsia="zh-CN"/>
              </w:rPr>
              <w:t>/d的一体化污水处理站</w:t>
            </w:r>
          </w:p>
        </w:tc>
        <w:tc>
          <w:tcPr>
            <w:tcW w:w="1734" w:type="dxa"/>
            <w:vAlign w:val="center"/>
          </w:tcPr>
          <w:p>
            <w:pPr>
              <w:pStyle w:val="69"/>
              <w:keepNext w:val="0"/>
              <w:keepLines w:val="0"/>
              <w:suppressLineNumbers w:val="0"/>
              <w:spacing w:before="0" w:beforeAutospacing="0" w:after="0" w:afterAutospacing="0"/>
              <w:ind w:left="0" w:right="0"/>
              <w:rPr>
                <w:rFonts w:hint="default"/>
              </w:rPr>
            </w:pPr>
            <w:r>
              <w:rPr>
                <w:rFonts w:hint="eastAsia"/>
              </w:rPr>
              <w:t>《城市污水再生利用 城市杂用水水质》（GB/T18920-2002）标准中城市绿化标准值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3" w:type="dxa"/>
            <w:vAlign w:val="center"/>
          </w:tcPr>
          <w:p>
            <w:pPr>
              <w:pStyle w:val="69"/>
              <w:keepNext w:val="0"/>
              <w:keepLines w:val="0"/>
              <w:suppressLineNumbers w:val="0"/>
              <w:spacing w:before="0" w:beforeAutospacing="0" w:after="0" w:afterAutospacing="0"/>
              <w:ind w:left="0" w:right="0"/>
              <w:rPr>
                <w:rFonts w:hint="default"/>
              </w:rPr>
            </w:pPr>
            <w:r>
              <w:rPr>
                <w:rFonts w:hint="default"/>
              </w:rPr>
              <w:t>声环境</w:t>
            </w:r>
          </w:p>
        </w:tc>
        <w:tc>
          <w:tcPr>
            <w:tcW w:w="1555" w:type="dxa"/>
            <w:vAlign w:val="center"/>
          </w:tcPr>
          <w:p>
            <w:pPr>
              <w:pStyle w:val="69"/>
              <w:keepNext w:val="0"/>
              <w:keepLines w:val="0"/>
              <w:suppressLineNumbers w:val="0"/>
              <w:spacing w:before="0" w:beforeAutospacing="0" w:after="0" w:afterAutospacing="0"/>
              <w:ind w:left="0" w:right="0"/>
              <w:rPr>
                <w:rFonts w:hint="default"/>
              </w:rPr>
            </w:pPr>
            <w:r>
              <w:rPr>
                <w:rFonts w:hint="default"/>
              </w:rPr>
              <w:t>生产设备</w:t>
            </w: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机械噪声</w:t>
            </w:r>
          </w:p>
        </w:tc>
        <w:tc>
          <w:tcPr>
            <w:tcW w:w="2126" w:type="dxa"/>
            <w:vAlign w:val="center"/>
          </w:tcPr>
          <w:p>
            <w:pPr>
              <w:pStyle w:val="69"/>
              <w:keepNext w:val="0"/>
              <w:keepLines w:val="0"/>
              <w:suppressLineNumbers w:val="0"/>
              <w:spacing w:before="0" w:beforeAutospacing="0" w:after="0" w:afterAutospacing="0"/>
              <w:ind w:left="0" w:right="0"/>
              <w:rPr>
                <w:rFonts w:hint="default"/>
              </w:rPr>
            </w:pPr>
            <w:r>
              <w:rPr>
                <w:rFonts w:hint="default"/>
              </w:rPr>
              <w:t>减震垫、厂房隔音、距离衰减</w:t>
            </w:r>
          </w:p>
        </w:tc>
        <w:tc>
          <w:tcPr>
            <w:tcW w:w="1734" w:type="dxa"/>
            <w:vAlign w:val="center"/>
          </w:tcPr>
          <w:p>
            <w:pPr>
              <w:pStyle w:val="69"/>
              <w:keepNext w:val="0"/>
              <w:keepLines w:val="0"/>
              <w:suppressLineNumbers w:val="0"/>
              <w:spacing w:before="0" w:beforeAutospacing="0" w:after="0" w:afterAutospacing="0"/>
              <w:ind w:left="0" w:right="0"/>
              <w:rPr>
                <w:rFonts w:hint="default"/>
              </w:rPr>
            </w:pPr>
            <w:r>
              <w:rPr>
                <w:rFonts w:hint="default"/>
              </w:rPr>
              <w:t>《工业企业厂界环境噪声排放标准》（GB12348—2008）</w:t>
            </w:r>
            <w:r>
              <w:rPr>
                <w:rFonts w:hint="eastAsia"/>
              </w:rPr>
              <w:t>2</w:t>
            </w:r>
            <w:r>
              <w:rPr>
                <w:rFonts w:hint="default"/>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3" w:type="dxa"/>
            <w:vAlign w:val="center"/>
          </w:tcPr>
          <w:p>
            <w:pPr>
              <w:pStyle w:val="69"/>
              <w:keepNext w:val="0"/>
              <w:keepLines w:val="0"/>
              <w:suppressLineNumbers w:val="0"/>
              <w:spacing w:before="0" w:beforeAutospacing="0" w:after="0" w:afterAutospacing="0"/>
              <w:ind w:left="0" w:right="0"/>
              <w:rPr>
                <w:rFonts w:hint="default"/>
              </w:rPr>
            </w:pPr>
            <w:r>
              <w:rPr>
                <w:rFonts w:hint="default"/>
              </w:rPr>
              <w:t>电磁辐射</w:t>
            </w:r>
          </w:p>
        </w:tc>
        <w:tc>
          <w:tcPr>
            <w:tcW w:w="1555" w:type="dxa"/>
            <w:vAlign w:val="center"/>
          </w:tcPr>
          <w:p>
            <w:pPr>
              <w:pStyle w:val="69"/>
              <w:keepNext w:val="0"/>
              <w:keepLines w:val="0"/>
              <w:suppressLineNumbers w:val="0"/>
              <w:spacing w:before="0" w:beforeAutospacing="0" w:after="0" w:afterAutospacing="0"/>
              <w:ind w:left="0" w:right="0"/>
              <w:rPr>
                <w:rFonts w:hint="default"/>
              </w:rPr>
            </w:pPr>
            <w:r>
              <w:rPr>
                <w:rFonts w:hint="default"/>
              </w:rPr>
              <w:t>/</w:t>
            </w: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w:t>
            </w:r>
          </w:p>
        </w:tc>
        <w:tc>
          <w:tcPr>
            <w:tcW w:w="2126" w:type="dxa"/>
            <w:vAlign w:val="center"/>
          </w:tcPr>
          <w:p>
            <w:pPr>
              <w:pStyle w:val="69"/>
              <w:keepNext w:val="0"/>
              <w:keepLines w:val="0"/>
              <w:suppressLineNumbers w:val="0"/>
              <w:spacing w:before="0" w:beforeAutospacing="0" w:after="0" w:afterAutospacing="0"/>
              <w:ind w:left="0" w:right="0"/>
              <w:rPr>
                <w:rFonts w:hint="default"/>
              </w:rPr>
            </w:pPr>
            <w:r>
              <w:rPr>
                <w:rFonts w:hint="default"/>
              </w:rPr>
              <w:t>/</w:t>
            </w:r>
          </w:p>
        </w:tc>
        <w:tc>
          <w:tcPr>
            <w:tcW w:w="1734" w:type="dxa"/>
            <w:vAlign w:val="center"/>
          </w:tcPr>
          <w:p>
            <w:pPr>
              <w:pStyle w:val="69"/>
              <w:keepNext w:val="0"/>
              <w:keepLines w:val="0"/>
              <w:suppressLineNumbers w:val="0"/>
              <w:spacing w:before="0" w:beforeAutospacing="0" w:after="0" w:afterAutospacing="0"/>
              <w:ind w:left="0" w:right="0"/>
              <w:rPr>
                <w:rFonts w:hint="default"/>
              </w:rPr>
            </w:pPr>
            <w:r>
              <w:rPr>
                <w:rFonts w:hint="default"/>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613"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default"/>
              </w:rPr>
              <w:t>固体废物</w:t>
            </w:r>
          </w:p>
        </w:tc>
        <w:tc>
          <w:tcPr>
            <w:tcW w:w="1555" w:type="dxa"/>
            <w:vMerge w:val="restart"/>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废安全气囊</w:t>
            </w:r>
          </w:p>
        </w:tc>
        <w:tc>
          <w:tcPr>
            <w:tcW w:w="2126"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eastAsia"/>
              </w:rPr>
              <w:t>一般工业固废暂存间（150m</w:t>
            </w:r>
            <w:r>
              <w:rPr>
                <w:rFonts w:hint="eastAsia"/>
                <w:vertAlign w:val="superscript"/>
              </w:rPr>
              <w:t>2</w:t>
            </w:r>
            <w:r>
              <w:rPr>
                <w:rFonts w:hint="eastAsia"/>
              </w:rPr>
              <w:t>），做好防风、防雨、防晒措施，分类收集存放</w:t>
            </w:r>
          </w:p>
        </w:tc>
        <w:tc>
          <w:tcPr>
            <w:tcW w:w="1734"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eastAsia"/>
              </w:rPr>
              <w:t>《一般工业固体废物贮存和填埋污染控制标准》</w:t>
            </w:r>
            <w:r>
              <w:rPr>
                <w:rFonts w:hint="default"/>
              </w:rPr>
              <w:t>(GB18599-2020)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不可回收利用材料</w:t>
            </w:r>
          </w:p>
        </w:tc>
        <w:tc>
          <w:tcPr>
            <w:tcW w:w="212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废蓄电池</w:t>
            </w:r>
          </w:p>
        </w:tc>
        <w:tc>
          <w:tcPr>
            <w:tcW w:w="2126"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eastAsia"/>
              </w:rPr>
              <w:t>危废暂存间暂存（</w:t>
            </w:r>
            <w:r>
              <w:rPr>
                <w:rFonts w:hint="eastAsia"/>
                <w:lang w:val="en-US" w:eastAsia="zh-CN"/>
              </w:rPr>
              <w:t>8间，共497</w:t>
            </w:r>
            <w:r>
              <w:rPr>
                <w:rFonts w:hint="eastAsia"/>
              </w:rPr>
              <w:t>m</w:t>
            </w:r>
            <w:r>
              <w:rPr>
                <w:rFonts w:hint="eastAsia"/>
                <w:vertAlign w:val="superscript"/>
              </w:rPr>
              <w:t>2</w:t>
            </w:r>
            <w:r>
              <w:rPr>
                <w:rFonts w:hint="eastAsia"/>
              </w:rPr>
              <w:t>），做好防风、防雨、防晒和防渗漏措施，分类暂存，采用专用的密闭容器进行存放，张贴危险废物标识标牌，建立危险废物管理台账交由有资质的单位处理</w:t>
            </w:r>
          </w:p>
        </w:tc>
        <w:tc>
          <w:tcPr>
            <w:tcW w:w="1734" w:type="dxa"/>
            <w:vMerge w:val="restart"/>
            <w:vAlign w:val="center"/>
          </w:tcPr>
          <w:p>
            <w:pPr>
              <w:pStyle w:val="69"/>
              <w:keepNext w:val="0"/>
              <w:keepLines w:val="0"/>
              <w:suppressLineNumbers w:val="0"/>
              <w:spacing w:before="0" w:beforeAutospacing="0" w:after="0" w:afterAutospacing="0"/>
              <w:ind w:left="0" w:right="0"/>
              <w:rPr>
                <w:rFonts w:hint="default"/>
              </w:rPr>
            </w:pPr>
            <w:r>
              <w:rPr>
                <w:rFonts w:hint="eastAsia"/>
              </w:rPr>
              <w:t>危险废物执行《危险废物贮存污染控制标准》（GB18597-2001）及 2013 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废尾气净化装置</w:t>
            </w:r>
          </w:p>
        </w:tc>
        <w:tc>
          <w:tcPr>
            <w:tcW w:w="212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废电容及线路板</w:t>
            </w:r>
          </w:p>
        </w:tc>
        <w:tc>
          <w:tcPr>
            <w:tcW w:w="212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废油液</w:t>
            </w:r>
          </w:p>
        </w:tc>
        <w:tc>
          <w:tcPr>
            <w:tcW w:w="212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废冷却液</w:t>
            </w:r>
          </w:p>
        </w:tc>
        <w:tc>
          <w:tcPr>
            <w:tcW w:w="212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废空调制冷剂</w:t>
            </w:r>
          </w:p>
        </w:tc>
        <w:tc>
          <w:tcPr>
            <w:tcW w:w="212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含铅、汞部件</w:t>
            </w:r>
          </w:p>
        </w:tc>
        <w:tc>
          <w:tcPr>
            <w:tcW w:w="212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废液化气罐</w:t>
            </w:r>
          </w:p>
        </w:tc>
        <w:tc>
          <w:tcPr>
            <w:tcW w:w="212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污水处理站污泥</w:t>
            </w:r>
          </w:p>
        </w:tc>
        <w:tc>
          <w:tcPr>
            <w:tcW w:w="212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废含油手套、抹布、拖布等</w:t>
            </w:r>
          </w:p>
        </w:tc>
        <w:tc>
          <w:tcPr>
            <w:tcW w:w="2126"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734" w:type="dxa"/>
            <w:vMerge w:val="continue"/>
            <w:vAlign w:val="center"/>
          </w:tcPr>
          <w:p>
            <w:pPr>
              <w:pStyle w:val="69"/>
              <w:keepNext w:val="0"/>
              <w:keepLines w:val="0"/>
              <w:suppressLineNumbers w:val="0"/>
              <w:spacing w:before="0" w:beforeAutospacing="0" w:after="0" w:afterAutospacing="0"/>
              <w:ind w:left="0" w:right="0"/>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613" w:type="dxa"/>
            <w:vMerge w:val="continue"/>
            <w:vAlign w:val="center"/>
          </w:tcPr>
          <w:p>
            <w:pPr>
              <w:pStyle w:val="69"/>
              <w:keepNext w:val="0"/>
              <w:keepLines w:val="0"/>
              <w:suppressLineNumbers w:val="0"/>
              <w:spacing w:before="0" w:beforeAutospacing="0" w:after="0" w:afterAutospacing="0"/>
              <w:ind w:left="0" w:right="0"/>
              <w:rPr>
                <w:rFonts w:hint="default"/>
              </w:rPr>
            </w:pPr>
          </w:p>
        </w:tc>
        <w:tc>
          <w:tcPr>
            <w:tcW w:w="1555" w:type="dxa"/>
            <w:vAlign w:val="center"/>
          </w:tcPr>
          <w:p>
            <w:pPr>
              <w:pStyle w:val="69"/>
              <w:keepNext w:val="0"/>
              <w:keepLines w:val="0"/>
              <w:suppressLineNumbers w:val="0"/>
              <w:spacing w:before="0" w:beforeAutospacing="0" w:after="0" w:afterAutospacing="0"/>
              <w:ind w:left="0" w:right="0"/>
              <w:rPr>
                <w:rFonts w:hint="default"/>
              </w:rPr>
            </w:pPr>
            <w:r>
              <w:rPr>
                <w:rFonts w:hint="default"/>
              </w:rPr>
              <w:t>员工生活</w:t>
            </w:r>
          </w:p>
        </w:tc>
        <w:tc>
          <w:tcPr>
            <w:tcW w:w="1772" w:type="dxa"/>
            <w:vAlign w:val="center"/>
          </w:tcPr>
          <w:p>
            <w:pPr>
              <w:pStyle w:val="69"/>
              <w:keepNext w:val="0"/>
              <w:keepLines w:val="0"/>
              <w:suppressLineNumbers w:val="0"/>
              <w:spacing w:before="0" w:beforeAutospacing="0" w:after="0" w:afterAutospacing="0"/>
              <w:ind w:left="0" w:right="0"/>
              <w:rPr>
                <w:rFonts w:hint="default"/>
              </w:rPr>
            </w:pPr>
            <w:r>
              <w:rPr>
                <w:rFonts w:hint="default"/>
              </w:rPr>
              <w:t>生活垃圾</w:t>
            </w:r>
          </w:p>
        </w:tc>
        <w:tc>
          <w:tcPr>
            <w:tcW w:w="2126" w:type="dxa"/>
            <w:vAlign w:val="center"/>
          </w:tcPr>
          <w:p>
            <w:pPr>
              <w:pStyle w:val="69"/>
              <w:keepNext w:val="0"/>
              <w:keepLines w:val="0"/>
              <w:suppressLineNumbers w:val="0"/>
              <w:spacing w:before="0" w:beforeAutospacing="0" w:after="0" w:afterAutospacing="0"/>
              <w:ind w:left="0" w:right="0"/>
              <w:rPr>
                <w:rFonts w:hint="default"/>
              </w:rPr>
            </w:pPr>
            <w:r>
              <w:rPr>
                <w:rFonts w:hint="eastAsia"/>
                <w:lang w:val="en-US" w:eastAsia="zh-CN"/>
              </w:rPr>
              <w:t>设置3个垃圾桶，统一收集后</w:t>
            </w:r>
            <w:r>
              <w:rPr>
                <w:rFonts w:hint="default"/>
              </w:rPr>
              <w:t>交由环卫部门统一处置</w:t>
            </w:r>
          </w:p>
        </w:tc>
        <w:tc>
          <w:tcPr>
            <w:tcW w:w="1734" w:type="dxa"/>
            <w:vAlign w:val="center"/>
          </w:tcPr>
          <w:p>
            <w:pPr>
              <w:pStyle w:val="69"/>
              <w:keepNext w:val="0"/>
              <w:keepLines w:val="0"/>
              <w:suppressLineNumbers w:val="0"/>
              <w:spacing w:before="0" w:beforeAutospacing="0" w:after="0" w:afterAutospacing="0"/>
              <w:ind w:left="0" w:right="0"/>
              <w:rPr>
                <w:rFonts w:hint="default"/>
              </w:rP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613" w:type="dxa"/>
            <w:vAlign w:val="center"/>
          </w:tcPr>
          <w:p>
            <w:pPr>
              <w:pStyle w:val="69"/>
              <w:keepNext w:val="0"/>
              <w:keepLines w:val="0"/>
              <w:suppressLineNumbers w:val="0"/>
              <w:spacing w:before="0" w:beforeAutospacing="0" w:after="0" w:afterAutospacing="0"/>
              <w:ind w:left="0" w:right="0"/>
              <w:rPr>
                <w:rFonts w:hint="default"/>
              </w:rPr>
            </w:pPr>
            <w:r>
              <w:rPr>
                <w:rFonts w:hint="default"/>
              </w:rPr>
              <w:t>土壤及地下水</w:t>
            </w:r>
          </w:p>
          <w:p>
            <w:pPr>
              <w:pStyle w:val="69"/>
              <w:keepNext w:val="0"/>
              <w:keepLines w:val="0"/>
              <w:suppressLineNumbers w:val="0"/>
              <w:spacing w:before="0" w:beforeAutospacing="0" w:after="0" w:afterAutospacing="0"/>
              <w:ind w:left="0" w:right="0"/>
              <w:rPr>
                <w:rFonts w:hint="default"/>
              </w:rPr>
            </w:pPr>
            <w:r>
              <w:rPr>
                <w:rFonts w:hint="default"/>
              </w:rPr>
              <w:t>污染防治措施</w:t>
            </w:r>
          </w:p>
        </w:tc>
        <w:tc>
          <w:tcPr>
            <w:tcW w:w="7187" w:type="dxa"/>
            <w:gridSpan w:val="4"/>
            <w:vAlign w:val="center"/>
          </w:tcPr>
          <w:p>
            <w:pPr>
              <w:pStyle w:val="69"/>
              <w:keepNext w:val="0"/>
              <w:keepLines w:val="0"/>
              <w:suppressLineNumbers w:val="0"/>
              <w:spacing w:before="0" w:beforeAutospacing="0" w:after="0" w:afterAutospacing="0"/>
              <w:ind w:left="0" w:right="0"/>
              <w:jc w:val="both"/>
              <w:rPr>
                <w:rFonts w:hint="default"/>
              </w:rPr>
            </w:pPr>
            <w:r>
              <w:rPr>
                <w:rFonts w:hint="eastAsia"/>
              </w:rPr>
              <w:t>污水处理</w:t>
            </w:r>
            <w:r>
              <w:rPr>
                <w:rFonts w:hint="eastAsia"/>
                <w:lang w:val="en-US" w:eastAsia="zh-CN"/>
              </w:rPr>
              <w:t>站</w:t>
            </w:r>
            <w:r>
              <w:rPr>
                <w:rFonts w:hint="eastAsia"/>
              </w:rPr>
              <w:t>、一般固废间、危废暂存间、生产车间采取防渗漏措施，其他地面均硬化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613" w:type="dxa"/>
            <w:vAlign w:val="center"/>
          </w:tcPr>
          <w:p>
            <w:pPr>
              <w:pStyle w:val="69"/>
              <w:keepNext w:val="0"/>
              <w:keepLines w:val="0"/>
              <w:suppressLineNumbers w:val="0"/>
              <w:spacing w:before="0" w:beforeAutospacing="0" w:after="0" w:afterAutospacing="0"/>
              <w:ind w:left="0" w:right="0"/>
              <w:rPr>
                <w:rFonts w:hint="default"/>
              </w:rPr>
            </w:pPr>
            <w:r>
              <w:rPr>
                <w:rFonts w:hint="default"/>
              </w:rPr>
              <w:t>生态保护措施</w:t>
            </w:r>
          </w:p>
        </w:tc>
        <w:tc>
          <w:tcPr>
            <w:tcW w:w="7187" w:type="dxa"/>
            <w:gridSpan w:val="4"/>
            <w:vAlign w:val="center"/>
          </w:tcPr>
          <w:p>
            <w:pPr>
              <w:pStyle w:val="69"/>
              <w:keepNext w:val="0"/>
              <w:keepLines w:val="0"/>
              <w:suppressLineNumbers w:val="0"/>
              <w:spacing w:before="0" w:beforeAutospacing="0" w:after="0" w:afterAutospacing="0"/>
              <w:ind w:left="0" w:right="0"/>
              <w:rPr>
                <w:rFonts w:hint="default"/>
              </w:rPr>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613" w:type="dxa"/>
            <w:vAlign w:val="center"/>
          </w:tcPr>
          <w:p>
            <w:pPr>
              <w:pStyle w:val="69"/>
              <w:keepNext w:val="0"/>
              <w:keepLines w:val="0"/>
              <w:suppressLineNumbers w:val="0"/>
              <w:spacing w:before="0" w:beforeAutospacing="0" w:after="0" w:afterAutospacing="0"/>
              <w:ind w:left="0" w:right="0"/>
              <w:rPr>
                <w:rFonts w:hint="default"/>
                <w:spacing w:val="-8"/>
              </w:rPr>
            </w:pPr>
            <w:r>
              <w:rPr>
                <w:rFonts w:hint="default"/>
                <w:spacing w:val="-8"/>
              </w:rPr>
              <w:t>环境风险</w:t>
            </w:r>
          </w:p>
          <w:p>
            <w:pPr>
              <w:pStyle w:val="69"/>
              <w:keepNext w:val="0"/>
              <w:keepLines w:val="0"/>
              <w:suppressLineNumbers w:val="0"/>
              <w:spacing w:before="0" w:beforeAutospacing="0" w:after="0" w:afterAutospacing="0"/>
              <w:ind w:left="0" w:right="0"/>
              <w:rPr>
                <w:rFonts w:hint="default"/>
                <w:spacing w:val="-8"/>
              </w:rPr>
            </w:pPr>
            <w:r>
              <w:rPr>
                <w:rFonts w:hint="default"/>
                <w:spacing w:val="-8"/>
              </w:rPr>
              <w:t>防范措施</w:t>
            </w:r>
          </w:p>
        </w:tc>
        <w:tc>
          <w:tcPr>
            <w:tcW w:w="7187" w:type="dxa"/>
            <w:gridSpan w:val="4"/>
            <w:vAlign w:val="center"/>
          </w:tcPr>
          <w:p>
            <w:pPr>
              <w:pStyle w:val="69"/>
              <w:keepNext w:val="0"/>
              <w:keepLines w:val="0"/>
              <w:suppressLineNumbers w:val="0"/>
              <w:spacing w:before="0" w:beforeAutospacing="0" w:after="0" w:afterAutospacing="0"/>
              <w:ind w:left="0" w:right="0"/>
              <w:jc w:val="left"/>
              <w:rPr>
                <w:rFonts w:hint="default" w:ascii="宋体" w:hAnsi="宋体" w:cs="宋体"/>
                <w:b/>
              </w:rPr>
            </w:pPr>
            <w:r>
              <w:rPr>
                <w:rFonts w:hint="default" w:ascii="宋体" w:hAnsi="宋体" w:cs="宋体"/>
                <w:b/>
              </w:rPr>
              <w:t>A.火灾事故引发的次生环境风险防范措施</w:t>
            </w:r>
          </w:p>
          <w:p>
            <w:pPr>
              <w:pStyle w:val="69"/>
              <w:keepNext w:val="0"/>
              <w:keepLines w:val="0"/>
              <w:suppressLineNumbers w:val="0"/>
              <w:spacing w:before="0" w:beforeAutospacing="0" w:after="0" w:afterAutospacing="0"/>
              <w:ind w:left="0" w:right="0"/>
              <w:jc w:val="left"/>
              <w:rPr>
                <w:rFonts w:hint="default"/>
              </w:rPr>
            </w:pPr>
            <w:r>
              <w:rPr>
                <w:rFonts w:hint="eastAsia" w:ascii="宋体" w:hAnsi="宋体" w:cs="宋体"/>
              </w:rPr>
              <w:t>①</w:t>
            </w:r>
            <w:r>
              <w:rPr>
                <w:rFonts w:hint="default"/>
              </w:rPr>
              <w:t>原料、成品贮放设置明显标志。</w:t>
            </w:r>
          </w:p>
          <w:p>
            <w:pPr>
              <w:pStyle w:val="69"/>
              <w:keepNext w:val="0"/>
              <w:keepLines w:val="0"/>
              <w:suppressLineNumbers w:val="0"/>
              <w:spacing w:before="0" w:beforeAutospacing="0" w:after="0" w:afterAutospacing="0"/>
              <w:ind w:left="0" w:right="0"/>
              <w:jc w:val="left"/>
              <w:rPr>
                <w:rFonts w:hint="default"/>
              </w:rPr>
            </w:pPr>
            <w:r>
              <w:rPr>
                <w:rFonts w:hint="eastAsia" w:ascii="宋体" w:hAnsi="宋体" w:cs="宋体"/>
              </w:rPr>
              <w:t>②</w:t>
            </w:r>
            <w:r>
              <w:rPr>
                <w:rFonts w:hint="default"/>
              </w:rPr>
              <w:t>对原料按计划采购、分期分批入库，严格控制贮存量。</w:t>
            </w:r>
          </w:p>
          <w:p>
            <w:pPr>
              <w:pStyle w:val="69"/>
              <w:keepNext w:val="0"/>
              <w:keepLines w:val="0"/>
              <w:suppressLineNumbers w:val="0"/>
              <w:spacing w:before="0" w:beforeAutospacing="0" w:after="0" w:afterAutospacing="0"/>
              <w:ind w:left="0" w:right="0"/>
              <w:jc w:val="left"/>
              <w:rPr>
                <w:rFonts w:hint="default"/>
              </w:rPr>
            </w:pPr>
            <w:r>
              <w:rPr>
                <w:rFonts w:hint="eastAsia" w:ascii="宋体" w:hAnsi="宋体" w:cs="宋体"/>
              </w:rPr>
              <w:t>③</w:t>
            </w:r>
            <w:r>
              <w:rPr>
                <w:rFonts w:hint="default"/>
              </w:rPr>
              <w:t>对各类火种、火源和有散发火花危险的机械设备、作业活动，以及可燃、易燃物品的控制和管理。</w:t>
            </w:r>
          </w:p>
          <w:p>
            <w:pPr>
              <w:pStyle w:val="69"/>
              <w:keepNext w:val="0"/>
              <w:keepLines w:val="0"/>
              <w:suppressLineNumbers w:val="0"/>
              <w:spacing w:before="0" w:beforeAutospacing="0" w:after="0" w:afterAutospacing="0"/>
              <w:ind w:left="0" w:right="0"/>
              <w:jc w:val="left"/>
              <w:rPr>
                <w:rFonts w:hint="default"/>
              </w:rPr>
            </w:pPr>
            <w:r>
              <w:rPr>
                <w:rFonts w:hint="eastAsia" w:ascii="宋体" w:hAnsi="宋体" w:cs="宋体"/>
              </w:rPr>
              <w:t>④</w:t>
            </w:r>
            <w:r>
              <w:rPr>
                <w:rFonts w:hint="default"/>
              </w:rPr>
              <w:t>实行安全检查制度，各类安全设施、消防器材，进行各种日常的、定期的、专业的防火安全检查，并将发现的问题定人、限期落实整改。</w:t>
            </w:r>
          </w:p>
          <w:p>
            <w:pPr>
              <w:pStyle w:val="69"/>
              <w:keepNext w:val="0"/>
              <w:keepLines w:val="0"/>
              <w:suppressLineNumbers w:val="0"/>
              <w:spacing w:before="0" w:beforeAutospacing="0" w:after="0" w:afterAutospacing="0"/>
              <w:ind w:left="0" w:right="0"/>
              <w:jc w:val="left"/>
              <w:rPr>
                <w:rFonts w:hint="default"/>
              </w:rPr>
            </w:pPr>
            <w:r>
              <w:rPr>
                <w:rFonts w:hint="eastAsia" w:ascii="宋体" w:hAnsi="宋体" w:cs="宋体"/>
              </w:rPr>
              <w:t>⑤</w:t>
            </w:r>
            <w:r>
              <w:rPr>
                <w:rFonts w:hint="default"/>
              </w:rPr>
              <w:t>制定各种操作规范，加强监督管理，严格看管检查制度，避免事故的发生。</w:t>
            </w:r>
          </w:p>
          <w:p>
            <w:pPr>
              <w:pStyle w:val="69"/>
              <w:keepNext w:val="0"/>
              <w:keepLines w:val="0"/>
              <w:suppressLineNumbers w:val="0"/>
              <w:spacing w:before="0" w:beforeAutospacing="0" w:after="0" w:afterAutospacing="0"/>
              <w:ind w:left="0" w:right="0"/>
              <w:jc w:val="left"/>
              <w:rPr>
                <w:rFonts w:hint="default"/>
              </w:rPr>
            </w:pPr>
            <w:r>
              <w:rPr>
                <w:rFonts w:hint="default"/>
              </w:rPr>
              <w:t>b.储存过程的环境风险管理事故防范措施：</w:t>
            </w:r>
          </w:p>
          <w:p>
            <w:pPr>
              <w:pStyle w:val="69"/>
              <w:keepNext w:val="0"/>
              <w:keepLines w:val="0"/>
              <w:suppressLineNumbers w:val="0"/>
              <w:spacing w:before="0" w:beforeAutospacing="0" w:after="0" w:afterAutospacing="0"/>
              <w:ind w:left="0" w:right="0"/>
              <w:jc w:val="left"/>
              <w:rPr>
                <w:rFonts w:hint="default"/>
              </w:rPr>
            </w:pPr>
            <w:r>
              <w:rPr>
                <w:rFonts w:hint="eastAsia" w:ascii="宋体" w:hAnsi="宋体" w:cs="宋体"/>
              </w:rPr>
              <w:t>①</w:t>
            </w:r>
            <w:r>
              <w:rPr>
                <w:rFonts w:hint="default"/>
              </w:rPr>
              <w:t>加强原料、液化石油气储存管理，储存过程须严格遵守安全防火规定、仓库和堆场配备防火器材，严禁与易燃易爆品混存。</w:t>
            </w:r>
          </w:p>
          <w:p>
            <w:pPr>
              <w:pStyle w:val="69"/>
              <w:keepNext w:val="0"/>
              <w:keepLines w:val="0"/>
              <w:suppressLineNumbers w:val="0"/>
              <w:spacing w:before="0" w:beforeAutospacing="0" w:after="0" w:afterAutospacing="0"/>
              <w:ind w:left="0" w:right="0"/>
              <w:jc w:val="left"/>
              <w:rPr>
                <w:rFonts w:hint="default"/>
              </w:rPr>
            </w:pPr>
            <w:r>
              <w:rPr>
                <w:rFonts w:hint="eastAsia" w:ascii="宋体" w:hAnsi="宋体" w:cs="宋体"/>
              </w:rPr>
              <w:t>②</w:t>
            </w:r>
            <w:r>
              <w:rPr>
                <w:rFonts w:hint="default"/>
              </w:rPr>
              <w:t>落实责任制，生产车间、仓库应分设负责人看管，确保车间、仓库消防隐患时刻监控，不可利用废物定期清理。</w:t>
            </w:r>
          </w:p>
          <w:p>
            <w:pPr>
              <w:pStyle w:val="69"/>
              <w:keepNext w:val="0"/>
              <w:keepLines w:val="0"/>
              <w:suppressLineNumbers w:val="0"/>
              <w:spacing w:before="0" w:beforeAutospacing="0" w:after="0" w:afterAutospacing="0"/>
              <w:ind w:left="0" w:right="0"/>
              <w:jc w:val="left"/>
              <w:rPr>
                <w:rFonts w:hint="default"/>
              </w:rPr>
            </w:pPr>
            <w:r>
              <w:rPr>
                <w:rFonts w:hint="default"/>
              </w:rPr>
              <w:t>c.有毒气体的防范措施</w:t>
            </w:r>
          </w:p>
          <w:p>
            <w:pPr>
              <w:pStyle w:val="69"/>
              <w:keepNext w:val="0"/>
              <w:keepLines w:val="0"/>
              <w:suppressLineNumbers w:val="0"/>
              <w:spacing w:before="0" w:beforeAutospacing="0" w:after="0" w:afterAutospacing="0"/>
              <w:ind w:left="0" w:right="0"/>
              <w:jc w:val="left"/>
              <w:rPr>
                <w:rFonts w:hint="default"/>
              </w:rPr>
            </w:pPr>
            <w:r>
              <w:rPr>
                <w:rFonts w:hint="eastAsia" w:ascii="宋体" w:hAnsi="宋体" w:cs="宋体"/>
              </w:rPr>
              <w:t>①</w:t>
            </w:r>
            <w:r>
              <w:rPr>
                <w:rFonts w:hint="default"/>
              </w:rPr>
              <w:t>加强安全教育培训和宣传：液化石油气燃烧产生各种毒害气体，企业应加强对从业人员的专题教育，进一步提高企业管理者、操作人员的安全意识防范知识和应急救援的水平。</w:t>
            </w:r>
          </w:p>
          <w:p>
            <w:pPr>
              <w:pStyle w:val="69"/>
              <w:keepNext w:val="0"/>
              <w:keepLines w:val="0"/>
              <w:suppressLineNumbers w:val="0"/>
              <w:spacing w:before="0" w:beforeAutospacing="0" w:after="0" w:afterAutospacing="0"/>
              <w:ind w:left="0" w:right="0"/>
              <w:jc w:val="left"/>
              <w:rPr>
                <w:rFonts w:hint="default"/>
              </w:rPr>
            </w:pPr>
            <w:r>
              <w:rPr>
                <w:rFonts w:hint="eastAsia" w:ascii="宋体" w:hAnsi="宋体" w:cs="宋体"/>
              </w:rPr>
              <w:t>②</w:t>
            </w:r>
            <w:r>
              <w:rPr>
                <w:rFonts w:hint="default"/>
              </w:rPr>
              <w:t>加大安全生产的投入：在强化安全教育、提高安全意识的同时，企业必须加大安全生产的投入。</w:t>
            </w:r>
          </w:p>
          <w:p>
            <w:pPr>
              <w:pStyle w:val="69"/>
              <w:keepNext w:val="0"/>
              <w:keepLines w:val="0"/>
              <w:suppressLineNumbers w:val="0"/>
              <w:spacing w:before="0" w:beforeAutospacing="0" w:after="0" w:afterAutospacing="0"/>
              <w:ind w:left="0" w:right="0"/>
              <w:jc w:val="left"/>
              <w:rPr>
                <w:rFonts w:hint="default"/>
                <w:b/>
              </w:rPr>
            </w:pPr>
            <w:r>
              <w:rPr>
                <w:rFonts w:hint="default"/>
                <w:b/>
              </w:rPr>
              <w:t>B.废机油泄漏事故风险防范措施</w:t>
            </w:r>
          </w:p>
          <w:p>
            <w:pPr>
              <w:pStyle w:val="69"/>
              <w:keepNext w:val="0"/>
              <w:keepLines w:val="0"/>
              <w:suppressLineNumbers w:val="0"/>
              <w:spacing w:before="0" w:beforeAutospacing="0" w:after="0" w:afterAutospacing="0"/>
              <w:ind w:left="0" w:right="0"/>
              <w:jc w:val="left"/>
              <w:rPr>
                <w:rFonts w:hint="default"/>
                <w:bCs/>
              </w:rPr>
            </w:pPr>
            <w:r>
              <w:rPr>
                <w:rFonts w:hint="eastAsia"/>
                <w:bCs/>
              </w:rPr>
              <w:t>a、泄漏风险防范措施</w:t>
            </w:r>
          </w:p>
          <w:p>
            <w:pPr>
              <w:pStyle w:val="69"/>
              <w:keepNext w:val="0"/>
              <w:keepLines w:val="0"/>
              <w:suppressLineNumbers w:val="0"/>
              <w:spacing w:before="0" w:beforeAutospacing="0" w:after="0" w:afterAutospacing="0"/>
              <w:ind w:left="0" w:right="0"/>
              <w:jc w:val="left"/>
              <w:rPr>
                <w:rFonts w:hint="default"/>
                <w:bCs/>
              </w:rPr>
            </w:pPr>
            <w:r>
              <w:rPr>
                <w:rFonts w:hint="eastAsia"/>
                <w:bCs/>
              </w:rPr>
              <w:t>为防止废机泄漏后外流，在危废暂存间内设置环形围堰，对泄露的废油液等进行收集，另外，还可在废油收集桶底部设置接油盘，收集后委托有资质单位进行处理。</w:t>
            </w:r>
          </w:p>
          <w:p>
            <w:pPr>
              <w:pStyle w:val="69"/>
              <w:keepNext w:val="0"/>
              <w:keepLines w:val="0"/>
              <w:suppressLineNumbers w:val="0"/>
              <w:spacing w:before="0" w:beforeAutospacing="0" w:after="0" w:afterAutospacing="0"/>
              <w:ind w:left="0" w:right="0"/>
              <w:jc w:val="left"/>
              <w:rPr>
                <w:rFonts w:hint="default"/>
                <w:bCs/>
              </w:rPr>
            </w:pPr>
            <w:r>
              <w:rPr>
                <w:rFonts w:hint="eastAsia"/>
                <w:bCs/>
              </w:rPr>
              <w:t>防渗措施：为避免废机油泄露污染地下水和土壤，应按规定对危废暂存间地面进行防渗处理。防渗层采用至少2mm厚的人工材料，渗透系数≤1×10</w:t>
            </w:r>
            <w:r>
              <w:rPr>
                <w:rFonts w:hint="eastAsia"/>
                <w:bCs/>
                <w:vertAlign w:val="superscript"/>
              </w:rPr>
              <w:t>-10</w:t>
            </w:r>
            <w:r>
              <w:rPr>
                <w:rFonts w:hint="eastAsia"/>
                <w:bCs/>
              </w:rPr>
              <w:t>cm/s。</w:t>
            </w:r>
          </w:p>
          <w:p>
            <w:pPr>
              <w:pStyle w:val="69"/>
              <w:keepNext w:val="0"/>
              <w:keepLines w:val="0"/>
              <w:suppressLineNumbers w:val="0"/>
              <w:spacing w:before="0" w:beforeAutospacing="0" w:after="0" w:afterAutospacing="0"/>
              <w:ind w:left="0" w:right="0"/>
              <w:jc w:val="left"/>
              <w:rPr>
                <w:rFonts w:hint="default"/>
                <w:bCs/>
              </w:rPr>
            </w:pPr>
            <w:r>
              <w:rPr>
                <w:rFonts w:hint="eastAsia"/>
                <w:bCs/>
              </w:rPr>
              <w:t>b、暂存过程中的风险防范措施</w:t>
            </w:r>
          </w:p>
          <w:p>
            <w:pPr>
              <w:pStyle w:val="69"/>
              <w:keepNext w:val="0"/>
              <w:keepLines w:val="0"/>
              <w:suppressLineNumbers w:val="0"/>
              <w:spacing w:before="0" w:beforeAutospacing="0" w:after="0" w:afterAutospacing="0"/>
              <w:ind w:left="0" w:right="0"/>
              <w:jc w:val="left"/>
              <w:rPr>
                <w:rFonts w:hint="default"/>
                <w:bCs/>
              </w:rPr>
            </w:pPr>
            <w:r>
              <w:rPr>
                <w:rFonts w:hint="eastAsia"/>
                <w:bCs/>
              </w:rPr>
              <w:t>1）危废暂存间内设置围堰，地面进行防腐防渗处理。</w:t>
            </w:r>
          </w:p>
          <w:p>
            <w:pPr>
              <w:pStyle w:val="69"/>
              <w:keepNext w:val="0"/>
              <w:keepLines w:val="0"/>
              <w:suppressLineNumbers w:val="0"/>
              <w:spacing w:before="0" w:beforeAutospacing="0" w:after="0" w:afterAutospacing="0"/>
              <w:ind w:left="0" w:right="0"/>
              <w:jc w:val="left"/>
              <w:rPr>
                <w:rFonts w:hint="default"/>
                <w:bCs/>
              </w:rPr>
            </w:pPr>
            <w:r>
              <w:rPr>
                <w:rFonts w:hint="eastAsia"/>
                <w:bCs/>
              </w:rPr>
              <w:t>2）危险废物进入危废暂存间暂存后，须做好危险废物情况的记录，记录上须注明危险废物的名称、来源、数量等。</w:t>
            </w:r>
          </w:p>
          <w:p>
            <w:pPr>
              <w:pStyle w:val="69"/>
              <w:keepNext w:val="0"/>
              <w:keepLines w:val="0"/>
              <w:suppressLineNumbers w:val="0"/>
              <w:spacing w:before="0" w:beforeAutospacing="0" w:after="0" w:afterAutospacing="0"/>
              <w:ind w:left="0" w:right="0"/>
              <w:jc w:val="left"/>
              <w:rPr>
                <w:rFonts w:hint="default"/>
                <w:bCs/>
              </w:rPr>
            </w:pPr>
            <w:r>
              <w:rPr>
                <w:rFonts w:hint="eastAsia"/>
                <w:bCs/>
              </w:rPr>
              <w:t>3）危废暂存间内必须设置警示标志。</w:t>
            </w:r>
          </w:p>
          <w:p>
            <w:pPr>
              <w:pStyle w:val="69"/>
              <w:keepNext w:val="0"/>
              <w:keepLines w:val="0"/>
              <w:suppressLineNumbers w:val="0"/>
              <w:spacing w:before="0" w:beforeAutospacing="0" w:after="0" w:afterAutospacing="0"/>
              <w:ind w:left="0" w:right="0"/>
              <w:jc w:val="left"/>
              <w:rPr>
                <w:rFonts w:hint="default"/>
                <w:bCs/>
              </w:rPr>
            </w:pPr>
            <w:r>
              <w:rPr>
                <w:rFonts w:hint="eastAsia"/>
                <w:bCs/>
              </w:rPr>
              <w:t>4）危险废物的转移应严格按照《危险废物转移联单管理办法（总局令第5号）》执行，并填写危险废物转移联单。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613" w:type="dxa"/>
            <w:vAlign w:val="center"/>
          </w:tcPr>
          <w:p>
            <w:pPr>
              <w:pStyle w:val="69"/>
              <w:keepNext w:val="0"/>
              <w:keepLines w:val="0"/>
              <w:suppressLineNumbers w:val="0"/>
              <w:spacing w:before="0" w:beforeAutospacing="0" w:after="0" w:afterAutospacing="0"/>
              <w:ind w:left="0" w:right="0"/>
              <w:rPr>
                <w:rFonts w:hint="default"/>
                <w:spacing w:val="-8"/>
              </w:rPr>
            </w:pPr>
            <w:r>
              <w:rPr>
                <w:rFonts w:hint="default"/>
                <w:spacing w:val="-8"/>
              </w:rPr>
              <w:t>其他环境</w:t>
            </w:r>
          </w:p>
          <w:p>
            <w:pPr>
              <w:pStyle w:val="69"/>
              <w:keepNext w:val="0"/>
              <w:keepLines w:val="0"/>
              <w:suppressLineNumbers w:val="0"/>
              <w:spacing w:before="0" w:beforeAutospacing="0" w:after="0" w:afterAutospacing="0"/>
              <w:ind w:left="0" w:right="0"/>
              <w:rPr>
                <w:rFonts w:hint="default"/>
                <w:spacing w:val="-8"/>
              </w:rPr>
            </w:pPr>
            <w:r>
              <w:rPr>
                <w:rFonts w:hint="default"/>
                <w:spacing w:val="-8"/>
              </w:rPr>
              <w:t>管理要求</w:t>
            </w:r>
          </w:p>
        </w:tc>
        <w:tc>
          <w:tcPr>
            <w:tcW w:w="7187" w:type="dxa"/>
            <w:gridSpan w:val="4"/>
            <w:vAlign w:val="center"/>
          </w:tcPr>
          <w:p>
            <w:pPr>
              <w:pStyle w:val="69"/>
              <w:keepNext w:val="0"/>
              <w:keepLines w:val="0"/>
              <w:suppressLineNumbers w:val="0"/>
              <w:spacing w:before="0" w:beforeAutospacing="0" w:after="0" w:afterAutospacing="0"/>
              <w:ind w:left="0" w:right="0"/>
              <w:jc w:val="left"/>
              <w:rPr>
                <w:rFonts w:hint="default"/>
              </w:rPr>
            </w:pPr>
            <w:r>
              <w:rPr>
                <w:rFonts w:hint="eastAsia" w:ascii="Times New Roman" w:hAnsi="Times New Roman" w:eastAsia="宋体" w:cs="Times New Roman"/>
                <w:kern w:val="2"/>
                <w:sz w:val="21"/>
                <w:szCs w:val="24"/>
                <w:lang w:val="en-US" w:eastAsia="zh-CN" w:bidi="ar"/>
              </w:rPr>
              <w:t>项目运营过程中，建立环保台账、环保档案，加强环保设施的管理，定时检查、发现问题及时检修，确保污染物的达标排放。</w:t>
            </w:r>
          </w:p>
        </w:tc>
      </w:tr>
    </w:tbl>
    <w:p>
      <w:pPr>
        <w:pStyle w:val="4"/>
        <w:ind w:firstLine="602"/>
        <w:rPr>
          <w:snapToGrid w:val="0"/>
          <w:color w:val="auto"/>
        </w:rPr>
      </w:pPr>
      <w:bookmarkStart w:id="12" w:name="_Toc105597209"/>
      <w:bookmarkStart w:id="13" w:name="_Toc68166148"/>
      <w:r>
        <w:rPr>
          <w:snapToGrid w:val="0"/>
          <w:color w:val="auto"/>
        </w:rPr>
        <w:t>六、结论</w:t>
      </w:r>
      <w:bookmarkEnd w:id="12"/>
      <w:bookmarkEnd w:id="13"/>
    </w:p>
    <w:tbl>
      <w:tblPr>
        <w:tblStyle w:val="22"/>
        <w:tblW w:w="8865" w:type="dxa"/>
        <w:jc w:val="center"/>
        <w:tblBorders>
          <w:top w:val="single" w:color="auto" w:sz="4"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tcPr>
          <w:p>
            <w:pPr>
              <w:pStyle w:val="49"/>
              <w:keepNext w:val="0"/>
              <w:keepLines w:val="0"/>
              <w:suppressLineNumbers w:val="0"/>
              <w:spacing w:before="0" w:beforeAutospacing="0" w:after="0" w:afterAutospacing="0"/>
              <w:ind w:left="0" w:right="0"/>
              <w:rPr>
                <w:rFonts w:hint="default"/>
              </w:rPr>
            </w:pPr>
            <w:r>
              <w:rPr>
                <w:rFonts w:hint="eastAsia"/>
              </w:rPr>
              <w:t>本项目建设符合</w:t>
            </w:r>
            <w:r>
              <w:rPr>
                <w:rFonts w:hint="default"/>
              </w:rPr>
              <w:t>国家及地方产业政策，选址和布局合理可行。</w:t>
            </w:r>
            <w:r>
              <w:rPr>
                <w:rFonts w:hint="eastAsia"/>
              </w:rPr>
              <w:t>项目产生的废气、噪声通过采取环评提出的防治措施后，能够达标排放；</w:t>
            </w:r>
            <w:r>
              <w:rPr>
                <w:rFonts w:hint="eastAsia"/>
                <w:lang w:val="en-US" w:eastAsia="zh-CN"/>
              </w:rPr>
              <w:t>废水均得到合理的处理</w:t>
            </w:r>
            <w:r>
              <w:rPr>
                <w:rFonts w:hint="eastAsia"/>
              </w:rPr>
              <w:t>；</w:t>
            </w:r>
            <w:r>
              <w:rPr>
                <w:rFonts w:hint="default"/>
              </w:rPr>
              <w:t>产生的固体废弃物都能得到妥善处置</w:t>
            </w:r>
            <w:r>
              <w:rPr>
                <w:rFonts w:hint="eastAsia"/>
              </w:rPr>
              <w:t>。</w:t>
            </w:r>
            <w:r>
              <w:rPr>
                <w:rFonts w:hint="eastAsia" w:ascii="Times New Roman" w:hAnsi="Times New Roman" w:eastAsia="宋体" w:cs="Times New Roman"/>
                <w:kern w:val="2"/>
                <w:sz w:val="24"/>
                <w:szCs w:val="24"/>
                <w:lang w:val="en-US" w:eastAsia="zh-CN" w:bidi="ar"/>
              </w:rPr>
              <w:t>在项目在建设过程中严格执行“三同时”制度，环保设施与主体工程同时设计、同时施工、同时投产使用；落实报告表中各项污染防治措施，做到污染物达标排放，项目的实施可以做到社会效益、经济效益和环境效益三者的和谐统一、协调发展。从环境保护的角度来看，项目是可行的。</w:t>
            </w:r>
            <w:r>
              <w:rPr>
                <w:rFonts w:hint="eastAsia"/>
              </w:rPr>
              <w:t>。</w:t>
            </w:r>
          </w:p>
          <w:p>
            <w:pPr>
              <w:pStyle w:val="51"/>
              <w:keepNext w:val="0"/>
              <w:keepLines w:val="0"/>
              <w:suppressLineNumbers w:val="0"/>
              <w:spacing w:before="0" w:beforeAutospacing="0" w:after="0" w:afterAutospacing="0"/>
              <w:ind w:left="0" w:right="0" w:firstLine="480"/>
              <w:rPr>
                <w:rFonts w:hint="default"/>
              </w:rPr>
            </w:pPr>
          </w:p>
        </w:tc>
      </w:tr>
    </w:tbl>
    <w:p>
      <w:pPr>
        <w:ind w:firstLine="480"/>
        <w:sectPr>
          <w:pgSz w:w="11906" w:h="16838"/>
          <w:pgMar w:top="1701" w:right="1531" w:bottom="1701" w:left="1531" w:header="851" w:footer="851" w:gutter="0"/>
          <w:cols w:space="720" w:num="1"/>
          <w:docGrid w:linePitch="312" w:charSpace="0"/>
        </w:sectPr>
      </w:pPr>
    </w:p>
    <w:p>
      <w:pPr>
        <w:pStyle w:val="18"/>
        <w:adjustRightInd w:val="0"/>
        <w:snapToGrid w:val="0"/>
        <w:spacing w:before="0" w:beforeAutospacing="0" w:after="0" w:afterAutospacing="0" w:line="648" w:lineRule="auto"/>
        <w:ind w:firstLine="640"/>
        <w:outlineLvl w:val="0"/>
        <w:rPr>
          <w:rFonts w:ascii="Times New Roman" w:hAnsi="Times New Roman" w:eastAsia="黑体"/>
          <w:snapToGrid w:val="0"/>
          <w:sz w:val="32"/>
          <w:szCs w:val="32"/>
        </w:rPr>
      </w:pPr>
      <w:bookmarkStart w:id="14" w:name="_Toc105597210"/>
      <w:bookmarkStart w:id="15" w:name="_Toc68166149"/>
      <w:r>
        <w:rPr>
          <w:rFonts w:ascii="Times New Roman" w:hAnsi="Times New Roman" w:eastAsia="黑体"/>
          <w:snapToGrid w:val="0"/>
          <w:sz w:val="32"/>
          <w:szCs w:val="32"/>
        </w:rPr>
        <w:t>附表</w:t>
      </w:r>
      <w:bookmarkEnd w:id="14"/>
      <w:bookmarkEnd w:id="15"/>
    </w:p>
    <w:p>
      <w:pPr>
        <w:pStyle w:val="76"/>
        <w:rPr>
          <w:snapToGrid w:val="0"/>
        </w:rPr>
      </w:pPr>
      <w:r>
        <w:rPr>
          <w:snapToGrid w:val="0"/>
        </w:rPr>
        <w:t>建设项目污染物排放量汇总表</w:t>
      </w:r>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714"/>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91" w:type="dxa"/>
            <w:tcBorders>
              <w:tl2br w:val="single" w:color="auto" w:sz="4" w:space="0"/>
            </w:tcBorders>
            <w:tcMar>
              <w:left w:w="28" w:type="dxa"/>
              <w:right w:w="28" w:type="dxa"/>
            </w:tcMar>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项目</w:t>
            </w:r>
          </w:p>
          <w:p>
            <w:pPr>
              <w:pStyle w:val="69"/>
              <w:keepNext w:val="0"/>
              <w:keepLines w:val="0"/>
              <w:suppressLineNumbers w:val="0"/>
              <w:spacing w:before="0" w:beforeAutospacing="0" w:after="0" w:afterAutospacing="0"/>
              <w:ind w:left="0" w:right="0"/>
              <w:rPr>
                <w:rFonts w:hint="default"/>
                <w:snapToGrid w:val="0"/>
              </w:rPr>
            </w:pPr>
            <w:r>
              <w:rPr>
                <w:rFonts w:hint="default"/>
                <w:snapToGrid w:val="0"/>
              </w:rPr>
              <w:t>分类</w:t>
            </w:r>
          </w:p>
        </w:tc>
        <w:tc>
          <w:tcPr>
            <w:tcW w:w="1714" w:type="dxa"/>
            <w:tcMar>
              <w:left w:w="28" w:type="dxa"/>
              <w:right w:w="28" w:type="dxa"/>
            </w:tcMar>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污染物名称</w:t>
            </w:r>
          </w:p>
        </w:tc>
        <w:tc>
          <w:tcPr>
            <w:tcW w:w="1701" w:type="dxa"/>
            <w:tcMar>
              <w:left w:w="28" w:type="dxa"/>
              <w:right w:w="28" w:type="dxa"/>
            </w:tcMar>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现有工程</w:t>
            </w:r>
          </w:p>
          <w:p>
            <w:pPr>
              <w:pStyle w:val="69"/>
              <w:keepNext w:val="0"/>
              <w:keepLines w:val="0"/>
              <w:suppressLineNumbers w:val="0"/>
              <w:spacing w:before="0" w:beforeAutospacing="0" w:after="0" w:afterAutospacing="0"/>
              <w:ind w:left="0" w:right="0"/>
              <w:rPr>
                <w:rFonts w:hint="default"/>
                <w:snapToGrid w:val="0"/>
              </w:rPr>
            </w:pPr>
            <w:r>
              <w:rPr>
                <w:rFonts w:hint="default"/>
                <w:snapToGrid w:val="0"/>
              </w:rPr>
              <w:t>排放量（固体废物产生量）</w:t>
            </w:r>
            <w:r>
              <w:rPr>
                <w:rFonts w:hint="default"/>
                <w:snapToGrid w:val="0"/>
              </w:rPr>
              <w:fldChar w:fldCharType="begin"/>
            </w:r>
            <w:r>
              <w:rPr>
                <w:rFonts w:hint="default"/>
                <w:snapToGrid w:val="0"/>
              </w:rPr>
              <w:instrText xml:space="preserve"> = 1 \* GB3 \* MERGEFORMAT </w:instrText>
            </w:r>
            <w:r>
              <w:rPr>
                <w:rFonts w:hint="default"/>
                <w:snapToGrid w:val="0"/>
              </w:rPr>
              <w:fldChar w:fldCharType="separate"/>
            </w:r>
            <w:r>
              <w:rPr>
                <w:rFonts w:hint="eastAsia" w:ascii="宋体" w:hAnsi="宋体" w:cs="宋体"/>
              </w:rPr>
              <w:t>①</w:t>
            </w:r>
            <w:r>
              <w:rPr>
                <w:rFonts w:hint="default"/>
                <w:snapToGrid w:val="0"/>
              </w:rPr>
              <w:fldChar w:fldCharType="end"/>
            </w:r>
          </w:p>
        </w:tc>
        <w:tc>
          <w:tcPr>
            <w:tcW w:w="1276" w:type="dxa"/>
            <w:tcMar>
              <w:left w:w="28" w:type="dxa"/>
              <w:right w:w="28" w:type="dxa"/>
            </w:tcMar>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现有工程</w:t>
            </w:r>
          </w:p>
          <w:p>
            <w:pPr>
              <w:pStyle w:val="69"/>
              <w:keepNext w:val="0"/>
              <w:keepLines w:val="0"/>
              <w:suppressLineNumbers w:val="0"/>
              <w:spacing w:before="0" w:beforeAutospacing="0" w:after="0" w:afterAutospacing="0"/>
              <w:ind w:left="0" w:right="0"/>
              <w:rPr>
                <w:rFonts w:hint="default"/>
                <w:snapToGrid w:val="0"/>
              </w:rPr>
            </w:pPr>
            <w:r>
              <w:rPr>
                <w:rFonts w:hint="default"/>
                <w:snapToGrid w:val="0"/>
              </w:rPr>
              <w:t>许可排放量</w:t>
            </w:r>
          </w:p>
          <w:p>
            <w:pPr>
              <w:pStyle w:val="69"/>
              <w:keepNext w:val="0"/>
              <w:keepLines w:val="0"/>
              <w:suppressLineNumbers w:val="0"/>
              <w:spacing w:before="0" w:beforeAutospacing="0" w:after="0" w:afterAutospacing="0"/>
              <w:ind w:left="0" w:right="0"/>
              <w:rPr>
                <w:rFonts w:hint="default"/>
                <w:snapToGrid w:val="0"/>
              </w:rPr>
            </w:pPr>
            <w:r>
              <w:rPr>
                <w:rFonts w:hint="default"/>
                <w:snapToGrid w:val="0"/>
              </w:rPr>
              <w:fldChar w:fldCharType="begin"/>
            </w:r>
            <w:r>
              <w:rPr>
                <w:rFonts w:hint="default"/>
                <w:snapToGrid w:val="0"/>
              </w:rPr>
              <w:instrText xml:space="preserve"> = 2 \* GB3 \* MERGEFORMAT </w:instrText>
            </w:r>
            <w:r>
              <w:rPr>
                <w:rFonts w:hint="default"/>
                <w:snapToGrid w:val="0"/>
              </w:rPr>
              <w:fldChar w:fldCharType="separate"/>
            </w:r>
            <w:r>
              <w:rPr>
                <w:rFonts w:hint="eastAsia" w:ascii="宋体" w:hAnsi="宋体" w:cs="宋体"/>
                <w:snapToGrid w:val="0"/>
              </w:rPr>
              <w:t>②</w:t>
            </w:r>
            <w:r>
              <w:rPr>
                <w:rFonts w:hint="default"/>
                <w:snapToGrid w:val="0"/>
              </w:rPr>
              <w:fldChar w:fldCharType="end"/>
            </w:r>
          </w:p>
        </w:tc>
        <w:tc>
          <w:tcPr>
            <w:tcW w:w="1701" w:type="dxa"/>
            <w:tcMar>
              <w:left w:w="28" w:type="dxa"/>
              <w:right w:w="28" w:type="dxa"/>
            </w:tcMar>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在建工程</w:t>
            </w:r>
          </w:p>
          <w:p>
            <w:pPr>
              <w:pStyle w:val="69"/>
              <w:keepNext w:val="0"/>
              <w:keepLines w:val="0"/>
              <w:suppressLineNumbers w:val="0"/>
              <w:spacing w:before="0" w:beforeAutospacing="0" w:after="0" w:afterAutospacing="0"/>
              <w:ind w:left="0" w:right="0"/>
              <w:rPr>
                <w:rFonts w:hint="default"/>
                <w:snapToGrid w:val="0"/>
              </w:rPr>
            </w:pPr>
            <w:r>
              <w:rPr>
                <w:rFonts w:hint="default"/>
                <w:snapToGrid w:val="0"/>
              </w:rPr>
              <w:t>排放量（固体废物产生量）</w:t>
            </w:r>
            <w:r>
              <w:rPr>
                <w:rFonts w:hint="default"/>
                <w:snapToGrid w:val="0"/>
              </w:rPr>
              <w:fldChar w:fldCharType="begin"/>
            </w:r>
            <w:r>
              <w:rPr>
                <w:rFonts w:hint="default"/>
                <w:snapToGrid w:val="0"/>
              </w:rPr>
              <w:instrText xml:space="preserve"> = 3 \* GB3 \* MERGEFORMAT </w:instrText>
            </w:r>
            <w:r>
              <w:rPr>
                <w:rFonts w:hint="default"/>
                <w:snapToGrid w:val="0"/>
              </w:rPr>
              <w:fldChar w:fldCharType="separate"/>
            </w:r>
            <w:r>
              <w:rPr>
                <w:rFonts w:hint="eastAsia" w:ascii="宋体" w:hAnsi="宋体" w:cs="宋体"/>
              </w:rPr>
              <w:t>③</w:t>
            </w:r>
            <w:r>
              <w:rPr>
                <w:rFonts w:hint="default"/>
                <w:snapToGrid w:val="0"/>
              </w:rPr>
              <w:fldChar w:fldCharType="end"/>
            </w:r>
          </w:p>
        </w:tc>
        <w:tc>
          <w:tcPr>
            <w:tcW w:w="1559" w:type="dxa"/>
            <w:tcMar>
              <w:left w:w="28" w:type="dxa"/>
              <w:right w:w="28" w:type="dxa"/>
            </w:tcMar>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本项目</w:t>
            </w:r>
          </w:p>
          <w:p>
            <w:pPr>
              <w:pStyle w:val="69"/>
              <w:keepNext w:val="0"/>
              <w:keepLines w:val="0"/>
              <w:suppressLineNumbers w:val="0"/>
              <w:spacing w:before="0" w:beforeAutospacing="0" w:after="0" w:afterAutospacing="0"/>
              <w:ind w:left="0" w:right="0"/>
              <w:rPr>
                <w:rFonts w:hint="default"/>
                <w:snapToGrid w:val="0"/>
              </w:rPr>
            </w:pPr>
            <w:r>
              <w:rPr>
                <w:rFonts w:hint="default"/>
                <w:snapToGrid w:val="0"/>
              </w:rPr>
              <w:t>排放量（固体废物产生量）</w:t>
            </w:r>
            <w:r>
              <w:rPr>
                <w:rFonts w:hint="default"/>
                <w:snapToGrid w:val="0"/>
              </w:rPr>
              <w:fldChar w:fldCharType="begin"/>
            </w:r>
            <w:r>
              <w:rPr>
                <w:rFonts w:hint="default"/>
                <w:snapToGrid w:val="0"/>
              </w:rPr>
              <w:instrText xml:space="preserve"> = 4 \* GB3 \* MERGEFORMAT </w:instrText>
            </w:r>
            <w:r>
              <w:rPr>
                <w:rFonts w:hint="default"/>
                <w:snapToGrid w:val="0"/>
              </w:rPr>
              <w:fldChar w:fldCharType="separate"/>
            </w:r>
            <w:r>
              <w:rPr>
                <w:rFonts w:hint="eastAsia" w:ascii="宋体" w:hAnsi="宋体" w:cs="宋体"/>
              </w:rPr>
              <w:t>④</w:t>
            </w:r>
            <w:r>
              <w:rPr>
                <w:rFonts w:hint="default"/>
                <w:snapToGrid w:val="0"/>
              </w:rPr>
              <w:fldChar w:fldCharType="end"/>
            </w:r>
          </w:p>
        </w:tc>
        <w:tc>
          <w:tcPr>
            <w:tcW w:w="1761" w:type="dxa"/>
            <w:tcMar>
              <w:left w:w="28" w:type="dxa"/>
              <w:right w:w="28" w:type="dxa"/>
            </w:tcMar>
            <w:vAlign w:val="center"/>
          </w:tcPr>
          <w:p>
            <w:pPr>
              <w:pStyle w:val="69"/>
              <w:keepNext w:val="0"/>
              <w:keepLines w:val="0"/>
              <w:suppressLineNumbers w:val="0"/>
              <w:spacing w:before="0" w:beforeAutospacing="0" w:after="0" w:afterAutospacing="0"/>
              <w:ind w:left="0" w:right="0"/>
              <w:rPr>
                <w:rFonts w:hint="default"/>
                <w:snapToGrid w:val="0"/>
                <w:spacing w:val="-16"/>
              </w:rPr>
            </w:pPr>
            <w:r>
              <w:rPr>
                <w:rFonts w:hint="default"/>
                <w:snapToGrid w:val="0"/>
                <w:spacing w:val="-16"/>
              </w:rPr>
              <w:t>以新带老削减量</w:t>
            </w:r>
          </w:p>
          <w:p>
            <w:pPr>
              <w:pStyle w:val="69"/>
              <w:keepNext w:val="0"/>
              <w:keepLines w:val="0"/>
              <w:suppressLineNumbers w:val="0"/>
              <w:spacing w:before="0" w:beforeAutospacing="0" w:after="0" w:afterAutospacing="0"/>
              <w:ind w:left="0" w:right="0"/>
              <w:rPr>
                <w:rFonts w:hint="default"/>
                <w:snapToGrid w:val="0"/>
                <w:spacing w:val="-16"/>
              </w:rPr>
            </w:pPr>
            <w:r>
              <w:rPr>
                <w:rFonts w:hint="default"/>
                <w:snapToGrid w:val="0"/>
                <w:spacing w:val="-16"/>
              </w:rPr>
              <w:t>（新建项目不填）</w:t>
            </w:r>
            <w:r>
              <w:rPr>
                <w:rFonts w:hint="default"/>
                <w:snapToGrid w:val="0"/>
                <w:spacing w:val="-16"/>
              </w:rPr>
              <w:fldChar w:fldCharType="begin"/>
            </w:r>
            <w:r>
              <w:rPr>
                <w:rFonts w:hint="default"/>
                <w:snapToGrid w:val="0"/>
                <w:spacing w:val="-16"/>
              </w:rPr>
              <w:instrText xml:space="preserve"> = 5 \* GB3 \* MERGEFORMAT </w:instrText>
            </w:r>
            <w:r>
              <w:rPr>
                <w:rFonts w:hint="default"/>
                <w:snapToGrid w:val="0"/>
                <w:spacing w:val="-16"/>
              </w:rPr>
              <w:fldChar w:fldCharType="separate"/>
            </w:r>
            <w:r>
              <w:rPr>
                <w:rFonts w:hint="eastAsia" w:ascii="宋体" w:hAnsi="宋体" w:cs="宋体"/>
              </w:rPr>
              <w:t>⑤</w:t>
            </w:r>
            <w:r>
              <w:rPr>
                <w:rFonts w:hint="default"/>
                <w:snapToGrid w:val="0"/>
                <w:spacing w:val="-16"/>
              </w:rPr>
              <w:fldChar w:fldCharType="end"/>
            </w:r>
          </w:p>
        </w:tc>
        <w:tc>
          <w:tcPr>
            <w:tcW w:w="1959" w:type="dxa"/>
            <w:tcMar>
              <w:left w:w="28" w:type="dxa"/>
              <w:right w:w="28" w:type="dxa"/>
            </w:tcMar>
            <w:vAlign w:val="center"/>
          </w:tcPr>
          <w:p>
            <w:pPr>
              <w:pStyle w:val="69"/>
              <w:keepNext w:val="0"/>
              <w:keepLines w:val="0"/>
              <w:suppressLineNumbers w:val="0"/>
              <w:spacing w:before="0" w:beforeAutospacing="0" w:after="0" w:afterAutospacing="0"/>
              <w:ind w:left="0" w:right="0"/>
              <w:rPr>
                <w:rFonts w:hint="default"/>
                <w:snapToGrid w:val="0"/>
                <w:spacing w:val="-16"/>
              </w:rPr>
            </w:pPr>
            <w:r>
              <w:rPr>
                <w:rFonts w:hint="default"/>
                <w:snapToGrid w:val="0"/>
                <w:spacing w:val="-16"/>
              </w:rPr>
              <w:t>本项目建成后</w:t>
            </w:r>
          </w:p>
          <w:p>
            <w:pPr>
              <w:pStyle w:val="69"/>
              <w:keepNext w:val="0"/>
              <w:keepLines w:val="0"/>
              <w:suppressLineNumbers w:val="0"/>
              <w:spacing w:before="0" w:beforeAutospacing="0" w:after="0" w:afterAutospacing="0"/>
              <w:ind w:left="0" w:right="0"/>
              <w:rPr>
                <w:rFonts w:hint="default"/>
                <w:snapToGrid w:val="0"/>
                <w:spacing w:val="-16"/>
              </w:rPr>
            </w:pPr>
            <w:r>
              <w:rPr>
                <w:rFonts w:hint="default"/>
                <w:snapToGrid w:val="0"/>
                <w:spacing w:val="-16"/>
              </w:rPr>
              <w:t>全厂排放量（固体废物产生量）</w:t>
            </w:r>
            <w:r>
              <w:rPr>
                <w:rFonts w:hint="default"/>
                <w:snapToGrid w:val="0"/>
                <w:spacing w:val="-16"/>
              </w:rPr>
              <w:fldChar w:fldCharType="begin"/>
            </w:r>
            <w:r>
              <w:rPr>
                <w:rFonts w:hint="default"/>
                <w:snapToGrid w:val="0"/>
                <w:spacing w:val="-16"/>
              </w:rPr>
              <w:instrText xml:space="preserve"> = 6 \* GB3 \* MERGEFORMAT </w:instrText>
            </w:r>
            <w:r>
              <w:rPr>
                <w:rFonts w:hint="default"/>
                <w:snapToGrid w:val="0"/>
                <w:spacing w:val="-16"/>
              </w:rPr>
              <w:fldChar w:fldCharType="separate"/>
            </w:r>
            <w:r>
              <w:rPr>
                <w:rFonts w:hint="eastAsia" w:ascii="宋体" w:hAnsi="宋体" w:cs="宋体"/>
              </w:rPr>
              <w:t>⑥</w:t>
            </w:r>
            <w:r>
              <w:rPr>
                <w:rFonts w:hint="default"/>
                <w:snapToGrid w:val="0"/>
                <w:spacing w:val="-16"/>
              </w:rPr>
              <w:fldChar w:fldCharType="end"/>
            </w:r>
          </w:p>
        </w:tc>
        <w:tc>
          <w:tcPr>
            <w:tcW w:w="826" w:type="dxa"/>
            <w:tcMar>
              <w:left w:w="28" w:type="dxa"/>
              <w:right w:w="28" w:type="dxa"/>
            </w:tcMar>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变化量</w:t>
            </w:r>
          </w:p>
          <w:p>
            <w:pPr>
              <w:pStyle w:val="69"/>
              <w:keepNext w:val="0"/>
              <w:keepLines w:val="0"/>
              <w:suppressLineNumbers w:val="0"/>
              <w:spacing w:before="0" w:beforeAutospacing="0" w:after="0" w:afterAutospacing="0"/>
              <w:ind w:left="0" w:right="0"/>
              <w:rPr>
                <w:rFonts w:hint="default"/>
                <w:snapToGrid w:val="0"/>
              </w:rPr>
            </w:pPr>
            <w:r>
              <w:rPr>
                <w:rFonts w:hint="default"/>
                <w:snapToGrid w:val="0"/>
              </w:rPr>
              <w:fldChar w:fldCharType="begin"/>
            </w:r>
            <w:r>
              <w:rPr>
                <w:rFonts w:hint="default"/>
                <w:snapToGrid w:val="0"/>
              </w:rPr>
              <w:instrText xml:space="preserve"> = 7 \* GB3 \* MERGEFORMAT </w:instrText>
            </w:r>
            <w:r>
              <w:rPr>
                <w:rFonts w:hint="default"/>
                <w:snapToGrid w:val="0"/>
              </w:rPr>
              <w:fldChar w:fldCharType="separate"/>
            </w:r>
            <w:r>
              <w:rPr>
                <w:rFonts w:hint="eastAsia" w:ascii="宋体" w:hAnsi="宋体" w:cs="宋体"/>
              </w:rPr>
              <w:t>⑦</w:t>
            </w:r>
            <w:r>
              <w:rPr>
                <w:rFonts w:hint="default"/>
                <w:snapToGrid w:val="0"/>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1" w:type="dxa"/>
            <w:vMerge w:val="restart"/>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废气</w:t>
            </w: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有组织颗粒物</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bCs/>
              </w:rPr>
              <w:t>0.043</w:t>
            </w:r>
            <w:r>
              <w:rPr>
                <w:rFonts w:hint="default"/>
                <w:bCs/>
              </w:rPr>
              <w:t>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bCs/>
              </w:rPr>
              <w:t>0.043</w:t>
            </w:r>
            <w:r>
              <w:rPr>
                <w:rFonts w:hint="default"/>
                <w:bCs/>
              </w:rPr>
              <w:t>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无组织非甲烷总烃</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bCs/>
              </w:rPr>
              <w:t>0.134</w:t>
            </w:r>
            <w:r>
              <w:rPr>
                <w:rFonts w:hint="default"/>
                <w:bCs/>
              </w:rPr>
              <w:t>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bCs/>
              </w:rPr>
              <w:t>0.134</w:t>
            </w:r>
            <w:r>
              <w:rPr>
                <w:rFonts w:hint="default"/>
                <w:bCs/>
              </w:rPr>
              <w:t>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无组织粉尘</w:t>
            </w:r>
          </w:p>
        </w:tc>
        <w:tc>
          <w:tcPr>
            <w:tcW w:w="1701" w:type="dxa"/>
            <w:vAlign w:val="center"/>
          </w:tcPr>
          <w:p>
            <w:pPr>
              <w:pStyle w:val="69"/>
              <w:keepNext w:val="0"/>
              <w:keepLines w:val="0"/>
              <w:suppressLineNumbers w:val="0"/>
              <w:spacing w:before="0" w:beforeAutospacing="0" w:after="0" w:afterAutospacing="0"/>
              <w:ind w:left="0" w:right="0"/>
              <w:rPr>
                <w:rFonts w:hint="default"/>
                <w:b/>
                <w:snapToGrid w:val="0"/>
              </w:rPr>
            </w:pPr>
            <w:r>
              <w:rPr>
                <w:rFonts w:hint="eastAsia"/>
                <w:b/>
                <w:snapToGrid w:val="0"/>
              </w:rPr>
              <w:t>/</w:t>
            </w: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rPr>
              <w:t>0.0</w:t>
            </w:r>
            <w:r>
              <w:rPr>
                <w:rFonts w:hint="eastAsia"/>
                <w:lang w:val="en-US" w:eastAsia="zh-CN"/>
              </w:rPr>
              <w:t>67</w:t>
            </w:r>
            <w:r>
              <w:rPr>
                <w:rFonts w:hint="eastAsia"/>
              </w:rPr>
              <w:t>t</w:t>
            </w:r>
            <w:r>
              <w:rPr>
                <w:rFonts w:hint="default"/>
              </w:rPr>
              <w: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rPr>
              <w:t>0.0</w:t>
            </w:r>
            <w:r>
              <w:rPr>
                <w:rFonts w:hint="eastAsia"/>
                <w:lang w:val="en-US" w:eastAsia="zh-CN"/>
              </w:rPr>
              <w:t>67</w:t>
            </w:r>
            <w:r>
              <w:rPr>
                <w:rFonts w:hint="eastAsia"/>
              </w:rPr>
              <w:t>t</w:t>
            </w:r>
            <w:r>
              <w:rPr>
                <w:rFonts w:hint="default"/>
              </w:rPr>
              <w: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91"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废水</w:t>
            </w: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91" w:type="dxa"/>
            <w:vMerge w:val="restart"/>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一般工业</w:t>
            </w:r>
          </w:p>
          <w:p>
            <w:pPr>
              <w:pStyle w:val="69"/>
              <w:keepNext w:val="0"/>
              <w:keepLines w:val="0"/>
              <w:suppressLineNumbers w:val="0"/>
              <w:spacing w:before="0" w:beforeAutospacing="0" w:after="0" w:afterAutospacing="0"/>
              <w:ind w:left="0" w:right="0"/>
              <w:rPr>
                <w:rFonts w:hint="default"/>
                <w:snapToGrid w:val="0"/>
              </w:rPr>
            </w:pPr>
            <w:r>
              <w:rPr>
                <w:rFonts w:hint="default"/>
                <w:snapToGrid w:val="0"/>
              </w:rPr>
              <w:t>固体废物</w:t>
            </w: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bCs/>
                <w:spacing w:val="-10"/>
              </w:rPr>
              <w:t>废安全气囊</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2</w:t>
            </w:r>
            <w:r>
              <w:rPr>
                <w:rFonts w:hint="default"/>
                <w:szCs w:val="24"/>
              </w:rPr>
              <w:t>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2</w:t>
            </w:r>
            <w:r>
              <w:rPr>
                <w:rFonts w:hint="default"/>
                <w:szCs w:val="24"/>
              </w:rPr>
              <w:t>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bCs/>
                <w:spacing w:val="-10"/>
              </w:rPr>
              <w:t>不可利用材料</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zCs w:val="24"/>
              </w:rPr>
              <w:t>72</w:t>
            </w:r>
            <w:r>
              <w:rPr>
                <w:rFonts w:hint="default"/>
                <w:szCs w:val="24"/>
              </w:rPr>
              <w:t>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zCs w:val="24"/>
              </w:rPr>
              <w:t>72</w:t>
            </w:r>
            <w:r>
              <w:rPr>
                <w:rFonts w:hint="default"/>
                <w:szCs w:val="24"/>
              </w:rPr>
              <w:t>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291" w:type="dxa"/>
            <w:vMerge w:val="restart"/>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危险废物</w:t>
            </w: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废蓄电池</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85.7</w:t>
            </w:r>
            <w:r>
              <w:rPr>
                <w:rFonts w:hint="default"/>
              </w:rPr>
              <w:t>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85.7</w:t>
            </w:r>
            <w:r>
              <w:rPr>
                <w:rFonts w:hint="default"/>
              </w:rPr>
              <w:t>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废尾气净化装置</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7.7</w:t>
            </w:r>
            <w:r>
              <w:rPr>
                <w:rFonts w:hint="default"/>
              </w:rPr>
              <w:t xml:space="preserve"> 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7.7</w:t>
            </w:r>
            <w:r>
              <w:rPr>
                <w:rFonts w:hint="default"/>
              </w:rPr>
              <w:t xml:space="preserve"> 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废电容及线路板</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1.5</w:t>
            </w:r>
            <w:r>
              <w:rPr>
                <w:rFonts w:hint="default"/>
                <w:szCs w:val="24"/>
              </w:rPr>
              <w:t>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1.5</w:t>
            </w:r>
            <w:r>
              <w:rPr>
                <w:rFonts w:hint="default"/>
                <w:szCs w:val="24"/>
              </w:rPr>
              <w:t>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废油液</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33.5</w:t>
            </w:r>
            <w:r>
              <w:rPr>
                <w:rFonts w:hint="default"/>
                <w:szCs w:val="24"/>
              </w:rPr>
              <w:t xml:space="preserve"> 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33.5</w:t>
            </w:r>
            <w:r>
              <w:rPr>
                <w:rFonts w:hint="default"/>
                <w:szCs w:val="24"/>
              </w:rPr>
              <w:t xml:space="preserve"> 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废冷却液</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1</w:t>
            </w:r>
            <w:r>
              <w:rPr>
                <w:rFonts w:hint="default"/>
                <w:szCs w:val="24"/>
              </w:rPr>
              <w:t xml:space="preserve"> 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1</w:t>
            </w:r>
            <w:r>
              <w:rPr>
                <w:rFonts w:hint="default"/>
                <w:szCs w:val="24"/>
              </w:rPr>
              <w:t xml:space="preserve"> 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废空调制冷剂</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2</w:t>
            </w:r>
            <w:r>
              <w:rPr>
                <w:rFonts w:hint="default"/>
                <w:szCs w:val="24"/>
              </w:rPr>
              <w:t xml:space="preserve"> 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2</w:t>
            </w:r>
            <w:r>
              <w:rPr>
                <w:rFonts w:hint="default"/>
                <w:szCs w:val="24"/>
              </w:rPr>
              <w:t xml:space="preserve"> 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含铅、汞部件</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3.2</w:t>
            </w:r>
            <w:r>
              <w:rPr>
                <w:rFonts w:hint="default"/>
                <w:szCs w:val="24"/>
              </w:rPr>
              <w:t xml:space="preserve"> 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3.2</w:t>
            </w:r>
            <w:r>
              <w:rPr>
                <w:rFonts w:hint="default"/>
                <w:szCs w:val="24"/>
              </w:rPr>
              <w:t xml:space="preserve"> 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废液化气罐</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13</w:t>
            </w:r>
            <w:r>
              <w:rPr>
                <w:rFonts w:hint="default"/>
                <w:szCs w:val="24"/>
              </w:rPr>
              <w:t xml:space="preserve"> 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13</w:t>
            </w:r>
            <w:r>
              <w:rPr>
                <w:rFonts w:hint="default"/>
                <w:szCs w:val="24"/>
              </w:rPr>
              <w:t xml:space="preserve"> 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eastAsia="宋体"/>
                <w:snapToGrid w:val="0"/>
                <w:lang w:val="en-US" w:eastAsia="zh-CN"/>
              </w:rPr>
            </w:pPr>
            <w:r>
              <w:rPr>
                <w:rFonts w:hint="eastAsia"/>
                <w:snapToGrid w:val="0"/>
                <w:lang w:val="en-US" w:eastAsia="zh-CN"/>
              </w:rPr>
              <w:t>污水处理站污泥</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0.1</w:t>
            </w:r>
            <w:r>
              <w:rPr>
                <w:rFonts w:hint="default"/>
                <w:szCs w:val="24"/>
              </w:rPr>
              <w:t xml:space="preserve"> 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0.1</w:t>
            </w:r>
            <w:r>
              <w:rPr>
                <w:rFonts w:hint="default"/>
                <w:szCs w:val="24"/>
              </w:rPr>
              <w:t xml:space="preserve"> 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91" w:type="dxa"/>
            <w:vMerge w:val="continue"/>
            <w:vAlign w:val="center"/>
          </w:tcPr>
          <w:p>
            <w:pPr>
              <w:pStyle w:val="69"/>
              <w:keepNext w:val="0"/>
              <w:keepLines w:val="0"/>
              <w:suppressLineNumbers w:val="0"/>
              <w:spacing w:before="0" w:beforeAutospacing="0" w:after="0" w:afterAutospacing="0"/>
              <w:ind w:left="0" w:right="0"/>
              <w:rPr>
                <w:rFonts w:hint="default"/>
                <w:snapToGrid w:val="0"/>
              </w:rPr>
            </w:pPr>
          </w:p>
        </w:tc>
        <w:tc>
          <w:tcPr>
            <w:tcW w:w="1714" w:type="dxa"/>
            <w:vAlign w:val="center"/>
          </w:tcPr>
          <w:p>
            <w:pPr>
              <w:pStyle w:val="69"/>
              <w:keepNext w:val="0"/>
              <w:keepLines w:val="0"/>
              <w:suppressLineNumbers w:val="0"/>
              <w:spacing w:before="0" w:beforeAutospacing="0" w:after="0" w:afterAutospacing="0"/>
              <w:ind w:left="0" w:right="0"/>
              <w:rPr>
                <w:rFonts w:hint="default"/>
                <w:snapToGrid w:val="0"/>
              </w:rPr>
            </w:pPr>
            <w:r>
              <w:rPr>
                <w:rFonts w:hint="default"/>
                <w:snapToGrid w:val="0"/>
              </w:rPr>
              <w:t>废含油手套、抹布、拖把</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27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70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5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0.4</w:t>
            </w:r>
            <w:r>
              <w:rPr>
                <w:rFonts w:hint="default"/>
                <w:szCs w:val="24"/>
              </w:rPr>
              <w:t>t/a</w:t>
            </w:r>
          </w:p>
        </w:tc>
        <w:tc>
          <w:tcPr>
            <w:tcW w:w="1761"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c>
          <w:tcPr>
            <w:tcW w:w="1959"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0.4</w:t>
            </w:r>
            <w:r>
              <w:rPr>
                <w:rFonts w:hint="default"/>
                <w:szCs w:val="24"/>
              </w:rPr>
              <w:t>t/a</w:t>
            </w:r>
          </w:p>
        </w:tc>
        <w:tc>
          <w:tcPr>
            <w:tcW w:w="826" w:type="dxa"/>
            <w:vAlign w:val="center"/>
          </w:tcPr>
          <w:p>
            <w:pPr>
              <w:pStyle w:val="69"/>
              <w:keepNext w:val="0"/>
              <w:keepLines w:val="0"/>
              <w:suppressLineNumbers w:val="0"/>
              <w:spacing w:before="0" w:beforeAutospacing="0" w:after="0" w:afterAutospacing="0"/>
              <w:ind w:left="0" w:right="0"/>
              <w:rPr>
                <w:rFonts w:hint="default"/>
                <w:snapToGrid w:val="0"/>
              </w:rPr>
            </w:pPr>
            <w:r>
              <w:rPr>
                <w:rFonts w:hint="eastAsia"/>
                <w:snapToGrid w:val="0"/>
              </w:rPr>
              <w:t>/</w:t>
            </w:r>
          </w:p>
        </w:tc>
      </w:tr>
    </w:tbl>
    <w:p>
      <w:pPr>
        <w:pStyle w:val="44"/>
        <w:spacing w:before="192" w:beforeLines="80" w:after="24"/>
        <w:ind w:firstLine="420"/>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pPr>
        <w:tabs>
          <w:tab w:val="left" w:pos="2569"/>
        </w:tabs>
        <w:ind w:firstLine="0" w:firstLineChars="0"/>
      </w:pPr>
    </w:p>
    <w:sectPr>
      <w:footerReference r:id="rId11" w:type="default"/>
      <w:pgSz w:w="16838" w:h="11906" w:orient="landscape"/>
      <w:pgMar w:top="1080" w:right="1440" w:bottom="1080" w:left="1440" w:header="851" w:footer="851"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4002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80"/>
    <w:family w:val="auto"/>
    <w:pitch w:val="default"/>
    <w:sig w:usb0="00000000" w:usb1="00000000" w:usb2="00000000" w:usb3="00000000" w:csb0="00020000" w:csb1="00000000"/>
  </w:font>
  <w:font w:name="TimesNewRomanPS-ItalicMT">
    <w:altName w:val="宋体"/>
    <w:panose1 w:val="00000000000000000000"/>
    <w:charset w:val="86"/>
    <w:family w:val="auto"/>
    <w:pitch w:val="default"/>
    <w:sig w:usb0="00000000" w:usb1="00000000" w:usb2="00000000" w:usb3="00000000" w:csb0="0004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fldChar w:fldCharType="begin"/>
    </w:r>
    <w:r>
      <w:instrText xml:space="preserve">PAGE   \* MERGEFORMAT</w:instrText>
    </w:r>
    <w:r>
      <w:fldChar w:fldCharType="separate"/>
    </w:r>
    <w:r>
      <w:rPr>
        <w:lang w:val="zh-CN"/>
      </w:rPr>
      <w:t>69</w:t>
    </w:r>
    <w:r>
      <w:fldChar w:fldCharType="end"/>
    </w:r>
  </w:p>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ind w:firstLine="560"/>
      <w:rPr>
        <w:rStyle w:val="25"/>
        <w:rFonts w:ascii="宋体" w:hAnsi="宋体"/>
        <w:sz w:val="28"/>
        <w:szCs w:val="28"/>
      </w:rPr>
    </w:pPr>
    <w:r>
      <w:rPr>
        <w:rStyle w:val="25"/>
        <w:rFonts w:hint="eastAsia" w:ascii="宋体" w:hAnsi="宋体"/>
        <w:sz w:val="28"/>
        <w:szCs w:val="28"/>
      </w:rPr>
      <w:t>—</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78</w:t>
    </w:r>
    <w:r>
      <w:rPr>
        <w:rFonts w:ascii="宋体" w:hAnsi="宋体"/>
        <w:sz w:val="26"/>
        <w:szCs w:val="26"/>
      </w:rPr>
      <w:fldChar w:fldCharType="end"/>
    </w:r>
    <w:r>
      <w:rPr>
        <w:rStyle w:val="25"/>
        <w:rFonts w:hint="eastAsia" w:ascii="宋体" w:hAnsi="宋体"/>
        <w:sz w:val="28"/>
        <w:szCs w:val="28"/>
      </w:rPr>
      <w:t>—</w:t>
    </w:r>
  </w:p>
  <w:p>
    <w:pPr>
      <w:pStyle w:val="14"/>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line="240" w:lineRule="auto"/>
      <w:ind w:firstLine="420"/>
      <w:rPr>
        <w:sz w:val="21"/>
        <w:szCs w:val="21"/>
      </w:rPr>
    </w:pPr>
    <w:r>
      <w:rPr>
        <w:rFonts w:hint="eastAsia"/>
        <w:sz w:val="21"/>
        <w:szCs w:val="21"/>
      </w:rPr>
      <w:t>德宏沄实公司报废机动车回收拆解建设项目环境影响报告表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464E06"/>
    <w:multiLevelType w:val="multilevel"/>
    <w:tmpl w:val="41464E0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5E9C6084"/>
    <w:multiLevelType w:val="multilevel"/>
    <w:tmpl w:val="5E9C6084"/>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5041E8A"/>
    <w:multiLevelType w:val="multilevel"/>
    <w:tmpl w:val="65041E8A"/>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wMDI0OGE0NjVlMDAyYmYxNTU0NTRjOTU3Mjc0MmUifQ=="/>
  </w:docVars>
  <w:rsids>
    <w:rsidRoot w:val="00172A27"/>
    <w:rsid w:val="00000595"/>
    <w:rsid w:val="00002BB3"/>
    <w:rsid w:val="00003BCE"/>
    <w:rsid w:val="00004528"/>
    <w:rsid w:val="00005B0D"/>
    <w:rsid w:val="000060B3"/>
    <w:rsid w:val="00006554"/>
    <w:rsid w:val="000076EA"/>
    <w:rsid w:val="0001044E"/>
    <w:rsid w:val="0001099B"/>
    <w:rsid w:val="00010F10"/>
    <w:rsid w:val="00013C3D"/>
    <w:rsid w:val="00015E29"/>
    <w:rsid w:val="00017032"/>
    <w:rsid w:val="00017954"/>
    <w:rsid w:val="000200C7"/>
    <w:rsid w:val="00020C20"/>
    <w:rsid w:val="00021FF3"/>
    <w:rsid w:val="00026182"/>
    <w:rsid w:val="00027AB0"/>
    <w:rsid w:val="000316B1"/>
    <w:rsid w:val="00033260"/>
    <w:rsid w:val="00034271"/>
    <w:rsid w:val="000360D4"/>
    <w:rsid w:val="000370C4"/>
    <w:rsid w:val="00037426"/>
    <w:rsid w:val="00040C70"/>
    <w:rsid w:val="00042617"/>
    <w:rsid w:val="0004305B"/>
    <w:rsid w:val="0004364B"/>
    <w:rsid w:val="00044FB7"/>
    <w:rsid w:val="00050805"/>
    <w:rsid w:val="00050EB8"/>
    <w:rsid w:val="0005243F"/>
    <w:rsid w:val="000535D4"/>
    <w:rsid w:val="00054F6D"/>
    <w:rsid w:val="00055B02"/>
    <w:rsid w:val="00061550"/>
    <w:rsid w:val="00061A41"/>
    <w:rsid w:val="00061B1F"/>
    <w:rsid w:val="00062C17"/>
    <w:rsid w:val="00062DCA"/>
    <w:rsid w:val="00063E36"/>
    <w:rsid w:val="0006468F"/>
    <w:rsid w:val="00064A83"/>
    <w:rsid w:val="00065831"/>
    <w:rsid w:val="00066D17"/>
    <w:rsid w:val="000725DB"/>
    <w:rsid w:val="000733C4"/>
    <w:rsid w:val="00073794"/>
    <w:rsid w:val="00074783"/>
    <w:rsid w:val="00074ADB"/>
    <w:rsid w:val="00075B68"/>
    <w:rsid w:val="0007741F"/>
    <w:rsid w:val="0008070B"/>
    <w:rsid w:val="00080BD4"/>
    <w:rsid w:val="00080DAC"/>
    <w:rsid w:val="000810AC"/>
    <w:rsid w:val="0008168B"/>
    <w:rsid w:val="00081899"/>
    <w:rsid w:val="00081A02"/>
    <w:rsid w:val="00082231"/>
    <w:rsid w:val="00082D3D"/>
    <w:rsid w:val="00083A9E"/>
    <w:rsid w:val="00084FF0"/>
    <w:rsid w:val="0009176A"/>
    <w:rsid w:val="0009215C"/>
    <w:rsid w:val="00092D38"/>
    <w:rsid w:val="0009377B"/>
    <w:rsid w:val="000937BC"/>
    <w:rsid w:val="0009380A"/>
    <w:rsid w:val="000942F3"/>
    <w:rsid w:val="00094894"/>
    <w:rsid w:val="00095810"/>
    <w:rsid w:val="00096C9E"/>
    <w:rsid w:val="00096E5D"/>
    <w:rsid w:val="000A01B6"/>
    <w:rsid w:val="000A0AC6"/>
    <w:rsid w:val="000A1043"/>
    <w:rsid w:val="000A122E"/>
    <w:rsid w:val="000A20C9"/>
    <w:rsid w:val="000A2593"/>
    <w:rsid w:val="000A2C59"/>
    <w:rsid w:val="000A2D8F"/>
    <w:rsid w:val="000A3676"/>
    <w:rsid w:val="000A3810"/>
    <w:rsid w:val="000A5251"/>
    <w:rsid w:val="000A600C"/>
    <w:rsid w:val="000A7DA1"/>
    <w:rsid w:val="000B058F"/>
    <w:rsid w:val="000B0593"/>
    <w:rsid w:val="000B43A1"/>
    <w:rsid w:val="000B4467"/>
    <w:rsid w:val="000B4BF8"/>
    <w:rsid w:val="000B4C81"/>
    <w:rsid w:val="000B4DB9"/>
    <w:rsid w:val="000B5988"/>
    <w:rsid w:val="000B5DFF"/>
    <w:rsid w:val="000B66DE"/>
    <w:rsid w:val="000C0921"/>
    <w:rsid w:val="000C09AC"/>
    <w:rsid w:val="000C2EE5"/>
    <w:rsid w:val="000C4D83"/>
    <w:rsid w:val="000C5B00"/>
    <w:rsid w:val="000C767F"/>
    <w:rsid w:val="000C7F8F"/>
    <w:rsid w:val="000D1878"/>
    <w:rsid w:val="000D376D"/>
    <w:rsid w:val="000D427A"/>
    <w:rsid w:val="000D54F8"/>
    <w:rsid w:val="000D5837"/>
    <w:rsid w:val="000D5A44"/>
    <w:rsid w:val="000D7104"/>
    <w:rsid w:val="000E3B9F"/>
    <w:rsid w:val="000E3ED2"/>
    <w:rsid w:val="000E458B"/>
    <w:rsid w:val="000E5402"/>
    <w:rsid w:val="000E574A"/>
    <w:rsid w:val="000F2E5C"/>
    <w:rsid w:val="000F3BEA"/>
    <w:rsid w:val="000F57AA"/>
    <w:rsid w:val="000F61C0"/>
    <w:rsid w:val="000F665F"/>
    <w:rsid w:val="000F6D9F"/>
    <w:rsid w:val="000F6DC4"/>
    <w:rsid w:val="000F7981"/>
    <w:rsid w:val="00101D0B"/>
    <w:rsid w:val="001022C7"/>
    <w:rsid w:val="00103A91"/>
    <w:rsid w:val="00113636"/>
    <w:rsid w:val="00116320"/>
    <w:rsid w:val="00116BDF"/>
    <w:rsid w:val="00116DF0"/>
    <w:rsid w:val="00120A65"/>
    <w:rsid w:val="00125A9D"/>
    <w:rsid w:val="001266AF"/>
    <w:rsid w:val="00126B5B"/>
    <w:rsid w:val="00127046"/>
    <w:rsid w:val="001270F6"/>
    <w:rsid w:val="0013070C"/>
    <w:rsid w:val="00130ABB"/>
    <w:rsid w:val="00131F42"/>
    <w:rsid w:val="0013290F"/>
    <w:rsid w:val="001352D2"/>
    <w:rsid w:val="001354A2"/>
    <w:rsid w:val="001357F1"/>
    <w:rsid w:val="00135B7E"/>
    <w:rsid w:val="00136232"/>
    <w:rsid w:val="00136A58"/>
    <w:rsid w:val="0014011F"/>
    <w:rsid w:val="00140BFB"/>
    <w:rsid w:val="00140FA8"/>
    <w:rsid w:val="0014195B"/>
    <w:rsid w:val="00142BB0"/>
    <w:rsid w:val="00142FEB"/>
    <w:rsid w:val="00143A2D"/>
    <w:rsid w:val="00145A41"/>
    <w:rsid w:val="00150131"/>
    <w:rsid w:val="001505AA"/>
    <w:rsid w:val="00151090"/>
    <w:rsid w:val="00151675"/>
    <w:rsid w:val="0015202E"/>
    <w:rsid w:val="00152472"/>
    <w:rsid w:val="0015257F"/>
    <w:rsid w:val="001558D3"/>
    <w:rsid w:val="00157435"/>
    <w:rsid w:val="00157946"/>
    <w:rsid w:val="0016011C"/>
    <w:rsid w:val="001618C7"/>
    <w:rsid w:val="00162AEC"/>
    <w:rsid w:val="001632A4"/>
    <w:rsid w:val="00163609"/>
    <w:rsid w:val="00163E8F"/>
    <w:rsid w:val="00165CEA"/>
    <w:rsid w:val="00165FBC"/>
    <w:rsid w:val="0016650E"/>
    <w:rsid w:val="001710E2"/>
    <w:rsid w:val="00171574"/>
    <w:rsid w:val="00172A27"/>
    <w:rsid w:val="00173D0A"/>
    <w:rsid w:val="00174203"/>
    <w:rsid w:val="0017504D"/>
    <w:rsid w:val="001760D3"/>
    <w:rsid w:val="0017671A"/>
    <w:rsid w:val="00177422"/>
    <w:rsid w:val="001774DB"/>
    <w:rsid w:val="00181B23"/>
    <w:rsid w:val="0018272E"/>
    <w:rsid w:val="001837CA"/>
    <w:rsid w:val="00184590"/>
    <w:rsid w:val="00184FCB"/>
    <w:rsid w:val="001870D1"/>
    <w:rsid w:val="0018781E"/>
    <w:rsid w:val="00187855"/>
    <w:rsid w:val="001906ED"/>
    <w:rsid w:val="00191CED"/>
    <w:rsid w:val="00192569"/>
    <w:rsid w:val="0019262D"/>
    <w:rsid w:val="00193EF4"/>
    <w:rsid w:val="00195D22"/>
    <w:rsid w:val="00196B08"/>
    <w:rsid w:val="001971AC"/>
    <w:rsid w:val="001977FF"/>
    <w:rsid w:val="00197E23"/>
    <w:rsid w:val="001A10CA"/>
    <w:rsid w:val="001A1B35"/>
    <w:rsid w:val="001A48A2"/>
    <w:rsid w:val="001A48A6"/>
    <w:rsid w:val="001A6F61"/>
    <w:rsid w:val="001A7D10"/>
    <w:rsid w:val="001B2397"/>
    <w:rsid w:val="001B31F3"/>
    <w:rsid w:val="001B56AC"/>
    <w:rsid w:val="001B7153"/>
    <w:rsid w:val="001B72B8"/>
    <w:rsid w:val="001B7A8E"/>
    <w:rsid w:val="001C1467"/>
    <w:rsid w:val="001C16C4"/>
    <w:rsid w:val="001C1D13"/>
    <w:rsid w:val="001C1F9A"/>
    <w:rsid w:val="001C1FC5"/>
    <w:rsid w:val="001C287A"/>
    <w:rsid w:val="001C497C"/>
    <w:rsid w:val="001C6042"/>
    <w:rsid w:val="001C69B3"/>
    <w:rsid w:val="001D12E3"/>
    <w:rsid w:val="001D1562"/>
    <w:rsid w:val="001D2AFA"/>
    <w:rsid w:val="001D4A75"/>
    <w:rsid w:val="001D5595"/>
    <w:rsid w:val="001D5928"/>
    <w:rsid w:val="001D68E0"/>
    <w:rsid w:val="001D72AD"/>
    <w:rsid w:val="001D7874"/>
    <w:rsid w:val="001D7F22"/>
    <w:rsid w:val="001E161D"/>
    <w:rsid w:val="001E3FD9"/>
    <w:rsid w:val="001E5D26"/>
    <w:rsid w:val="001E6097"/>
    <w:rsid w:val="001E646A"/>
    <w:rsid w:val="001E6CCA"/>
    <w:rsid w:val="001F0C8A"/>
    <w:rsid w:val="001F0F17"/>
    <w:rsid w:val="001F1925"/>
    <w:rsid w:val="001F22BC"/>
    <w:rsid w:val="001F3347"/>
    <w:rsid w:val="001F5065"/>
    <w:rsid w:val="001F608B"/>
    <w:rsid w:val="001F69E4"/>
    <w:rsid w:val="001F7E69"/>
    <w:rsid w:val="0020246F"/>
    <w:rsid w:val="00204178"/>
    <w:rsid w:val="0020717D"/>
    <w:rsid w:val="00207BC0"/>
    <w:rsid w:val="0021120F"/>
    <w:rsid w:val="002125B4"/>
    <w:rsid w:val="00213D43"/>
    <w:rsid w:val="002145E6"/>
    <w:rsid w:val="0021509B"/>
    <w:rsid w:val="002155B8"/>
    <w:rsid w:val="00215C4E"/>
    <w:rsid w:val="0021770B"/>
    <w:rsid w:val="002202A2"/>
    <w:rsid w:val="00221277"/>
    <w:rsid w:val="00221A33"/>
    <w:rsid w:val="002221A8"/>
    <w:rsid w:val="00223769"/>
    <w:rsid w:val="00224839"/>
    <w:rsid w:val="002249B2"/>
    <w:rsid w:val="002249F0"/>
    <w:rsid w:val="00224ACF"/>
    <w:rsid w:val="00226574"/>
    <w:rsid w:val="002278EC"/>
    <w:rsid w:val="00227FEA"/>
    <w:rsid w:val="002314FA"/>
    <w:rsid w:val="0023280E"/>
    <w:rsid w:val="00232CB8"/>
    <w:rsid w:val="00233A28"/>
    <w:rsid w:val="00234F37"/>
    <w:rsid w:val="0023512B"/>
    <w:rsid w:val="0023673A"/>
    <w:rsid w:val="002377D1"/>
    <w:rsid w:val="00240189"/>
    <w:rsid w:val="002408C2"/>
    <w:rsid w:val="00240FCD"/>
    <w:rsid w:val="00241782"/>
    <w:rsid w:val="00241F80"/>
    <w:rsid w:val="00242793"/>
    <w:rsid w:val="0024282A"/>
    <w:rsid w:val="002461C2"/>
    <w:rsid w:val="00246251"/>
    <w:rsid w:val="0024692F"/>
    <w:rsid w:val="00246F4D"/>
    <w:rsid w:val="00247CD0"/>
    <w:rsid w:val="00250371"/>
    <w:rsid w:val="002506BC"/>
    <w:rsid w:val="002511E8"/>
    <w:rsid w:val="00251444"/>
    <w:rsid w:val="0025343C"/>
    <w:rsid w:val="002536E8"/>
    <w:rsid w:val="00253894"/>
    <w:rsid w:val="00254345"/>
    <w:rsid w:val="002568A2"/>
    <w:rsid w:val="002617F9"/>
    <w:rsid w:val="00261BDD"/>
    <w:rsid w:val="00262CB0"/>
    <w:rsid w:val="002641DB"/>
    <w:rsid w:val="00264557"/>
    <w:rsid w:val="00264B74"/>
    <w:rsid w:val="00265DF0"/>
    <w:rsid w:val="00265F73"/>
    <w:rsid w:val="002665F6"/>
    <w:rsid w:val="00267C68"/>
    <w:rsid w:val="00270EF5"/>
    <w:rsid w:val="00271985"/>
    <w:rsid w:val="00275F5C"/>
    <w:rsid w:val="00275FC3"/>
    <w:rsid w:val="00277B11"/>
    <w:rsid w:val="002805AB"/>
    <w:rsid w:val="00280EDF"/>
    <w:rsid w:val="00282C72"/>
    <w:rsid w:val="00282FEA"/>
    <w:rsid w:val="00283746"/>
    <w:rsid w:val="00284204"/>
    <w:rsid w:val="002905CB"/>
    <w:rsid w:val="00290B29"/>
    <w:rsid w:val="00291104"/>
    <w:rsid w:val="002913D7"/>
    <w:rsid w:val="00291773"/>
    <w:rsid w:val="00291B63"/>
    <w:rsid w:val="002926F8"/>
    <w:rsid w:val="002927CD"/>
    <w:rsid w:val="00294121"/>
    <w:rsid w:val="00294C9D"/>
    <w:rsid w:val="00296842"/>
    <w:rsid w:val="002A100C"/>
    <w:rsid w:val="002A168C"/>
    <w:rsid w:val="002A1CB4"/>
    <w:rsid w:val="002A2580"/>
    <w:rsid w:val="002A296D"/>
    <w:rsid w:val="002A349C"/>
    <w:rsid w:val="002A3DC7"/>
    <w:rsid w:val="002A3DCA"/>
    <w:rsid w:val="002A4932"/>
    <w:rsid w:val="002A6487"/>
    <w:rsid w:val="002A6C87"/>
    <w:rsid w:val="002B04B6"/>
    <w:rsid w:val="002B2B0C"/>
    <w:rsid w:val="002B2E6F"/>
    <w:rsid w:val="002B49E2"/>
    <w:rsid w:val="002B6568"/>
    <w:rsid w:val="002B7B00"/>
    <w:rsid w:val="002B7C44"/>
    <w:rsid w:val="002C0650"/>
    <w:rsid w:val="002C209E"/>
    <w:rsid w:val="002C2B17"/>
    <w:rsid w:val="002C4D59"/>
    <w:rsid w:val="002C7E9B"/>
    <w:rsid w:val="002C7EA1"/>
    <w:rsid w:val="002D0A7D"/>
    <w:rsid w:val="002D1450"/>
    <w:rsid w:val="002D1C5B"/>
    <w:rsid w:val="002D34F2"/>
    <w:rsid w:val="002D3607"/>
    <w:rsid w:val="002D3DD0"/>
    <w:rsid w:val="002D4779"/>
    <w:rsid w:val="002D7F2D"/>
    <w:rsid w:val="002E0D27"/>
    <w:rsid w:val="002E1F3A"/>
    <w:rsid w:val="002E2367"/>
    <w:rsid w:val="002E2927"/>
    <w:rsid w:val="002E298A"/>
    <w:rsid w:val="002E4BED"/>
    <w:rsid w:val="002E51CD"/>
    <w:rsid w:val="002E7370"/>
    <w:rsid w:val="002E7606"/>
    <w:rsid w:val="002F1AFF"/>
    <w:rsid w:val="002F311A"/>
    <w:rsid w:val="002F3930"/>
    <w:rsid w:val="002F5548"/>
    <w:rsid w:val="002F57DA"/>
    <w:rsid w:val="002F5FA9"/>
    <w:rsid w:val="002F69CC"/>
    <w:rsid w:val="002F6C10"/>
    <w:rsid w:val="002F7697"/>
    <w:rsid w:val="00300C06"/>
    <w:rsid w:val="003016B4"/>
    <w:rsid w:val="00301978"/>
    <w:rsid w:val="0030332C"/>
    <w:rsid w:val="003048CF"/>
    <w:rsid w:val="00304A85"/>
    <w:rsid w:val="003051C2"/>
    <w:rsid w:val="00305621"/>
    <w:rsid w:val="0030611D"/>
    <w:rsid w:val="00307A0E"/>
    <w:rsid w:val="00310987"/>
    <w:rsid w:val="003118AD"/>
    <w:rsid w:val="00312296"/>
    <w:rsid w:val="00312305"/>
    <w:rsid w:val="00313477"/>
    <w:rsid w:val="003149D5"/>
    <w:rsid w:val="00314F0E"/>
    <w:rsid w:val="0031581E"/>
    <w:rsid w:val="00317B6F"/>
    <w:rsid w:val="00321AA8"/>
    <w:rsid w:val="00321D8E"/>
    <w:rsid w:val="00321FF9"/>
    <w:rsid w:val="00322442"/>
    <w:rsid w:val="003233FC"/>
    <w:rsid w:val="00323AD4"/>
    <w:rsid w:val="003247FC"/>
    <w:rsid w:val="00324E66"/>
    <w:rsid w:val="003252CD"/>
    <w:rsid w:val="00325928"/>
    <w:rsid w:val="00325F28"/>
    <w:rsid w:val="00330E3E"/>
    <w:rsid w:val="00332863"/>
    <w:rsid w:val="00332B2C"/>
    <w:rsid w:val="0033343D"/>
    <w:rsid w:val="003343CB"/>
    <w:rsid w:val="0033684D"/>
    <w:rsid w:val="00337032"/>
    <w:rsid w:val="00337B42"/>
    <w:rsid w:val="00337DC9"/>
    <w:rsid w:val="00340447"/>
    <w:rsid w:val="00340E52"/>
    <w:rsid w:val="00341B42"/>
    <w:rsid w:val="00342820"/>
    <w:rsid w:val="00342F02"/>
    <w:rsid w:val="0034348F"/>
    <w:rsid w:val="00344A21"/>
    <w:rsid w:val="00344AAF"/>
    <w:rsid w:val="00344B26"/>
    <w:rsid w:val="00344C67"/>
    <w:rsid w:val="00346933"/>
    <w:rsid w:val="00346938"/>
    <w:rsid w:val="00347623"/>
    <w:rsid w:val="00350378"/>
    <w:rsid w:val="003512CB"/>
    <w:rsid w:val="003548DB"/>
    <w:rsid w:val="00355ABD"/>
    <w:rsid w:val="00356653"/>
    <w:rsid w:val="0035743F"/>
    <w:rsid w:val="0035773F"/>
    <w:rsid w:val="00357BE2"/>
    <w:rsid w:val="0036170C"/>
    <w:rsid w:val="00363179"/>
    <w:rsid w:val="003635EF"/>
    <w:rsid w:val="003639A3"/>
    <w:rsid w:val="003655E6"/>
    <w:rsid w:val="00366376"/>
    <w:rsid w:val="00366E0F"/>
    <w:rsid w:val="00367A4E"/>
    <w:rsid w:val="0037087D"/>
    <w:rsid w:val="00370DCC"/>
    <w:rsid w:val="0037161D"/>
    <w:rsid w:val="00371C62"/>
    <w:rsid w:val="00372417"/>
    <w:rsid w:val="00372AE2"/>
    <w:rsid w:val="00373456"/>
    <w:rsid w:val="003736B0"/>
    <w:rsid w:val="003759EB"/>
    <w:rsid w:val="00376468"/>
    <w:rsid w:val="003815F0"/>
    <w:rsid w:val="00381A72"/>
    <w:rsid w:val="00382FEC"/>
    <w:rsid w:val="003837FC"/>
    <w:rsid w:val="0038397B"/>
    <w:rsid w:val="00384676"/>
    <w:rsid w:val="0038508F"/>
    <w:rsid w:val="0038567C"/>
    <w:rsid w:val="003857E1"/>
    <w:rsid w:val="00386E66"/>
    <w:rsid w:val="00387596"/>
    <w:rsid w:val="00390857"/>
    <w:rsid w:val="00390CC7"/>
    <w:rsid w:val="0039299D"/>
    <w:rsid w:val="00396C45"/>
    <w:rsid w:val="00397A42"/>
    <w:rsid w:val="003A067D"/>
    <w:rsid w:val="003A108A"/>
    <w:rsid w:val="003A15B9"/>
    <w:rsid w:val="003A2221"/>
    <w:rsid w:val="003A4BF3"/>
    <w:rsid w:val="003B420D"/>
    <w:rsid w:val="003B4539"/>
    <w:rsid w:val="003B4629"/>
    <w:rsid w:val="003B524D"/>
    <w:rsid w:val="003B6716"/>
    <w:rsid w:val="003B73DD"/>
    <w:rsid w:val="003C26BD"/>
    <w:rsid w:val="003C45AD"/>
    <w:rsid w:val="003C518B"/>
    <w:rsid w:val="003C6C16"/>
    <w:rsid w:val="003D0B2B"/>
    <w:rsid w:val="003D1A49"/>
    <w:rsid w:val="003D1C36"/>
    <w:rsid w:val="003D39F5"/>
    <w:rsid w:val="003D3DB0"/>
    <w:rsid w:val="003D4800"/>
    <w:rsid w:val="003D5E83"/>
    <w:rsid w:val="003D794D"/>
    <w:rsid w:val="003D7BB7"/>
    <w:rsid w:val="003E29A2"/>
    <w:rsid w:val="003E3058"/>
    <w:rsid w:val="003E37BB"/>
    <w:rsid w:val="003E382B"/>
    <w:rsid w:val="003E565E"/>
    <w:rsid w:val="003E587B"/>
    <w:rsid w:val="003E76A9"/>
    <w:rsid w:val="003F0809"/>
    <w:rsid w:val="003F15F7"/>
    <w:rsid w:val="003F280E"/>
    <w:rsid w:val="003F5771"/>
    <w:rsid w:val="003F6313"/>
    <w:rsid w:val="003F6988"/>
    <w:rsid w:val="003F6A8C"/>
    <w:rsid w:val="003F755C"/>
    <w:rsid w:val="004026AF"/>
    <w:rsid w:val="004028F5"/>
    <w:rsid w:val="004032CF"/>
    <w:rsid w:val="00406307"/>
    <w:rsid w:val="00406960"/>
    <w:rsid w:val="00406F01"/>
    <w:rsid w:val="0041053A"/>
    <w:rsid w:val="00411412"/>
    <w:rsid w:val="00411B98"/>
    <w:rsid w:val="004151A0"/>
    <w:rsid w:val="00416BFF"/>
    <w:rsid w:val="00416D50"/>
    <w:rsid w:val="00416F33"/>
    <w:rsid w:val="00416FD5"/>
    <w:rsid w:val="00417461"/>
    <w:rsid w:val="00417772"/>
    <w:rsid w:val="00417D67"/>
    <w:rsid w:val="004203EA"/>
    <w:rsid w:val="00420E6A"/>
    <w:rsid w:val="00422432"/>
    <w:rsid w:val="00425A9E"/>
    <w:rsid w:val="004264EA"/>
    <w:rsid w:val="00426D6B"/>
    <w:rsid w:val="00431E6C"/>
    <w:rsid w:val="004327A2"/>
    <w:rsid w:val="00432DF7"/>
    <w:rsid w:val="004331E5"/>
    <w:rsid w:val="00433CE7"/>
    <w:rsid w:val="004351A1"/>
    <w:rsid w:val="0043533F"/>
    <w:rsid w:val="00437A10"/>
    <w:rsid w:val="00437A2D"/>
    <w:rsid w:val="0044105C"/>
    <w:rsid w:val="004438FB"/>
    <w:rsid w:val="00443960"/>
    <w:rsid w:val="0044408B"/>
    <w:rsid w:val="00444F79"/>
    <w:rsid w:val="004468FE"/>
    <w:rsid w:val="00446922"/>
    <w:rsid w:val="00446D47"/>
    <w:rsid w:val="00450023"/>
    <w:rsid w:val="00450A3F"/>
    <w:rsid w:val="00452738"/>
    <w:rsid w:val="00452972"/>
    <w:rsid w:val="00452B2F"/>
    <w:rsid w:val="00456091"/>
    <w:rsid w:val="00456407"/>
    <w:rsid w:val="00456630"/>
    <w:rsid w:val="004566C0"/>
    <w:rsid w:val="0045706C"/>
    <w:rsid w:val="00460364"/>
    <w:rsid w:val="004612BC"/>
    <w:rsid w:val="00461709"/>
    <w:rsid w:val="00462A11"/>
    <w:rsid w:val="00463ADC"/>
    <w:rsid w:val="00464BB7"/>
    <w:rsid w:val="00466321"/>
    <w:rsid w:val="0047089E"/>
    <w:rsid w:val="004726A9"/>
    <w:rsid w:val="00472ECF"/>
    <w:rsid w:val="004743D3"/>
    <w:rsid w:val="004800D9"/>
    <w:rsid w:val="0048214B"/>
    <w:rsid w:val="00482ED4"/>
    <w:rsid w:val="00483EBB"/>
    <w:rsid w:val="00484B9B"/>
    <w:rsid w:val="00484C8D"/>
    <w:rsid w:val="004855F6"/>
    <w:rsid w:val="004859D5"/>
    <w:rsid w:val="00486583"/>
    <w:rsid w:val="0048661E"/>
    <w:rsid w:val="00487D24"/>
    <w:rsid w:val="00487DE1"/>
    <w:rsid w:val="00491D49"/>
    <w:rsid w:val="004928C4"/>
    <w:rsid w:val="00494670"/>
    <w:rsid w:val="004954EE"/>
    <w:rsid w:val="00495E51"/>
    <w:rsid w:val="00495F4B"/>
    <w:rsid w:val="0049631C"/>
    <w:rsid w:val="00497475"/>
    <w:rsid w:val="00497BB6"/>
    <w:rsid w:val="00497C7C"/>
    <w:rsid w:val="004A05E0"/>
    <w:rsid w:val="004A1579"/>
    <w:rsid w:val="004A372F"/>
    <w:rsid w:val="004A3823"/>
    <w:rsid w:val="004A3BF7"/>
    <w:rsid w:val="004A3EA4"/>
    <w:rsid w:val="004B0540"/>
    <w:rsid w:val="004B06D8"/>
    <w:rsid w:val="004B146C"/>
    <w:rsid w:val="004B2485"/>
    <w:rsid w:val="004B2642"/>
    <w:rsid w:val="004B2AAC"/>
    <w:rsid w:val="004B2C1D"/>
    <w:rsid w:val="004B3734"/>
    <w:rsid w:val="004B5767"/>
    <w:rsid w:val="004C662D"/>
    <w:rsid w:val="004D07BD"/>
    <w:rsid w:val="004D381C"/>
    <w:rsid w:val="004D3E4C"/>
    <w:rsid w:val="004D51FF"/>
    <w:rsid w:val="004D6503"/>
    <w:rsid w:val="004E10E4"/>
    <w:rsid w:val="004E116E"/>
    <w:rsid w:val="004E26AC"/>
    <w:rsid w:val="004E463C"/>
    <w:rsid w:val="004E48F9"/>
    <w:rsid w:val="004E5D5C"/>
    <w:rsid w:val="004E6946"/>
    <w:rsid w:val="004F1AD8"/>
    <w:rsid w:val="004F4147"/>
    <w:rsid w:val="004F4510"/>
    <w:rsid w:val="004F55FF"/>
    <w:rsid w:val="004F6B5D"/>
    <w:rsid w:val="004F7C73"/>
    <w:rsid w:val="005003B6"/>
    <w:rsid w:val="00501AD7"/>
    <w:rsid w:val="005034BC"/>
    <w:rsid w:val="005039CB"/>
    <w:rsid w:val="0050460D"/>
    <w:rsid w:val="0050558F"/>
    <w:rsid w:val="00506286"/>
    <w:rsid w:val="00506443"/>
    <w:rsid w:val="00507168"/>
    <w:rsid w:val="00510813"/>
    <w:rsid w:val="00510A86"/>
    <w:rsid w:val="00511990"/>
    <w:rsid w:val="00511DE0"/>
    <w:rsid w:val="0051201C"/>
    <w:rsid w:val="00514870"/>
    <w:rsid w:val="00514B9B"/>
    <w:rsid w:val="00515E6D"/>
    <w:rsid w:val="005169F8"/>
    <w:rsid w:val="00517F02"/>
    <w:rsid w:val="005204DA"/>
    <w:rsid w:val="00520C25"/>
    <w:rsid w:val="00522843"/>
    <w:rsid w:val="00524000"/>
    <w:rsid w:val="00524212"/>
    <w:rsid w:val="00524303"/>
    <w:rsid w:val="00524AA4"/>
    <w:rsid w:val="005258A2"/>
    <w:rsid w:val="00526F27"/>
    <w:rsid w:val="00527554"/>
    <w:rsid w:val="00527694"/>
    <w:rsid w:val="005276D3"/>
    <w:rsid w:val="00527EEA"/>
    <w:rsid w:val="005327B4"/>
    <w:rsid w:val="00535421"/>
    <w:rsid w:val="005363C4"/>
    <w:rsid w:val="00537D00"/>
    <w:rsid w:val="00537EB6"/>
    <w:rsid w:val="005401AE"/>
    <w:rsid w:val="00540F42"/>
    <w:rsid w:val="00540FB0"/>
    <w:rsid w:val="00542E07"/>
    <w:rsid w:val="00545424"/>
    <w:rsid w:val="00546278"/>
    <w:rsid w:val="005464B2"/>
    <w:rsid w:val="005473AD"/>
    <w:rsid w:val="00547C3C"/>
    <w:rsid w:val="00552BE8"/>
    <w:rsid w:val="00553C6E"/>
    <w:rsid w:val="00554A7B"/>
    <w:rsid w:val="0055572C"/>
    <w:rsid w:val="00560C9E"/>
    <w:rsid w:val="00560FA7"/>
    <w:rsid w:val="0056106A"/>
    <w:rsid w:val="0056180B"/>
    <w:rsid w:val="00563EB0"/>
    <w:rsid w:val="00565B4D"/>
    <w:rsid w:val="00566D5C"/>
    <w:rsid w:val="00567FCA"/>
    <w:rsid w:val="005713DF"/>
    <w:rsid w:val="005720AE"/>
    <w:rsid w:val="00576629"/>
    <w:rsid w:val="005767DB"/>
    <w:rsid w:val="00576E68"/>
    <w:rsid w:val="005770BF"/>
    <w:rsid w:val="00577486"/>
    <w:rsid w:val="00577D4D"/>
    <w:rsid w:val="00577F23"/>
    <w:rsid w:val="0058027C"/>
    <w:rsid w:val="0058165D"/>
    <w:rsid w:val="00581EBE"/>
    <w:rsid w:val="005834B5"/>
    <w:rsid w:val="00584A52"/>
    <w:rsid w:val="00585E27"/>
    <w:rsid w:val="005860DE"/>
    <w:rsid w:val="00586126"/>
    <w:rsid w:val="005910A5"/>
    <w:rsid w:val="00591445"/>
    <w:rsid w:val="005933EB"/>
    <w:rsid w:val="005948A8"/>
    <w:rsid w:val="00594D77"/>
    <w:rsid w:val="0059639A"/>
    <w:rsid w:val="005969E4"/>
    <w:rsid w:val="005A06B7"/>
    <w:rsid w:val="005A13AD"/>
    <w:rsid w:val="005A1759"/>
    <w:rsid w:val="005A4669"/>
    <w:rsid w:val="005A55F9"/>
    <w:rsid w:val="005A673D"/>
    <w:rsid w:val="005A68A7"/>
    <w:rsid w:val="005B07D8"/>
    <w:rsid w:val="005B197B"/>
    <w:rsid w:val="005B1FF3"/>
    <w:rsid w:val="005B40C5"/>
    <w:rsid w:val="005B6097"/>
    <w:rsid w:val="005B7287"/>
    <w:rsid w:val="005C404A"/>
    <w:rsid w:val="005C43BC"/>
    <w:rsid w:val="005C591F"/>
    <w:rsid w:val="005C62C8"/>
    <w:rsid w:val="005C7475"/>
    <w:rsid w:val="005D12BF"/>
    <w:rsid w:val="005D1BCF"/>
    <w:rsid w:val="005D2657"/>
    <w:rsid w:val="005D2954"/>
    <w:rsid w:val="005D36AB"/>
    <w:rsid w:val="005D6D74"/>
    <w:rsid w:val="005D6F45"/>
    <w:rsid w:val="005D7867"/>
    <w:rsid w:val="005D7CD6"/>
    <w:rsid w:val="005E01B9"/>
    <w:rsid w:val="005E108D"/>
    <w:rsid w:val="005E2BC9"/>
    <w:rsid w:val="005E2D4A"/>
    <w:rsid w:val="005E420E"/>
    <w:rsid w:val="005E50A3"/>
    <w:rsid w:val="005E7398"/>
    <w:rsid w:val="005F0C5F"/>
    <w:rsid w:val="005F171F"/>
    <w:rsid w:val="005F5420"/>
    <w:rsid w:val="005F5A49"/>
    <w:rsid w:val="00600266"/>
    <w:rsid w:val="00600DEF"/>
    <w:rsid w:val="00601454"/>
    <w:rsid w:val="00601676"/>
    <w:rsid w:val="00601938"/>
    <w:rsid w:val="0060281D"/>
    <w:rsid w:val="0060477B"/>
    <w:rsid w:val="0060757A"/>
    <w:rsid w:val="00611FAF"/>
    <w:rsid w:val="006134CE"/>
    <w:rsid w:val="006156B5"/>
    <w:rsid w:val="006161A0"/>
    <w:rsid w:val="00616507"/>
    <w:rsid w:val="00616722"/>
    <w:rsid w:val="00617601"/>
    <w:rsid w:val="00617BED"/>
    <w:rsid w:val="00617CC3"/>
    <w:rsid w:val="0062081A"/>
    <w:rsid w:val="00620DF3"/>
    <w:rsid w:val="00621860"/>
    <w:rsid w:val="00623A37"/>
    <w:rsid w:val="006263D2"/>
    <w:rsid w:val="00630276"/>
    <w:rsid w:val="00631A1A"/>
    <w:rsid w:val="00632F7B"/>
    <w:rsid w:val="00633334"/>
    <w:rsid w:val="00634F88"/>
    <w:rsid w:val="00635FB7"/>
    <w:rsid w:val="006360EE"/>
    <w:rsid w:val="006361E1"/>
    <w:rsid w:val="00636847"/>
    <w:rsid w:val="00636AB0"/>
    <w:rsid w:val="006377A6"/>
    <w:rsid w:val="00637A3D"/>
    <w:rsid w:val="0064000D"/>
    <w:rsid w:val="006411EF"/>
    <w:rsid w:val="006426DE"/>
    <w:rsid w:val="00643491"/>
    <w:rsid w:val="00644BAC"/>
    <w:rsid w:val="00646605"/>
    <w:rsid w:val="00651E40"/>
    <w:rsid w:val="006553A8"/>
    <w:rsid w:val="00655658"/>
    <w:rsid w:val="00661AB0"/>
    <w:rsid w:val="0066221E"/>
    <w:rsid w:val="00663047"/>
    <w:rsid w:val="00664061"/>
    <w:rsid w:val="00664199"/>
    <w:rsid w:val="00667135"/>
    <w:rsid w:val="00667D44"/>
    <w:rsid w:val="0067124D"/>
    <w:rsid w:val="00671BFE"/>
    <w:rsid w:val="0067276A"/>
    <w:rsid w:val="006733A0"/>
    <w:rsid w:val="00673891"/>
    <w:rsid w:val="006748B8"/>
    <w:rsid w:val="00675175"/>
    <w:rsid w:val="00675ACE"/>
    <w:rsid w:val="006775C3"/>
    <w:rsid w:val="0067775E"/>
    <w:rsid w:val="00680E1A"/>
    <w:rsid w:val="006837B7"/>
    <w:rsid w:val="0068557B"/>
    <w:rsid w:val="006856D9"/>
    <w:rsid w:val="0068599F"/>
    <w:rsid w:val="006859AA"/>
    <w:rsid w:val="00685EAD"/>
    <w:rsid w:val="00686C7E"/>
    <w:rsid w:val="00691409"/>
    <w:rsid w:val="0069290A"/>
    <w:rsid w:val="0069517B"/>
    <w:rsid w:val="00695B0D"/>
    <w:rsid w:val="006966A8"/>
    <w:rsid w:val="0069775A"/>
    <w:rsid w:val="00697813"/>
    <w:rsid w:val="006A0533"/>
    <w:rsid w:val="006A0FE6"/>
    <w:rsid w:val="006A131F"/>
    <w:rsid w:val="006A2237"/>
    <w:rsid w:val="006A2806"/>
    <w:rsid w:val="006A31FA"/>
    <w:rsid w:val="006A3EE8"/>
    <w:rsid w:val="006A5029"/>
    <w:rsid w:val="006A660F"/>
    <w:rsid w:val="006A72BF"/>
    <w:rsid w:val="006B03F2"/>
    <w:rsid w:val="006B109B"/>
    <w:rsid w:val="006B10C9"/>
    <w:rsid w:val="006B1FC3"/>
    <w:rsid w:val="006B25B1"/>
    <w:rsid w:val="006B2DBE"/>
    <w:rsid w:val="006B37DC"/>
    <w:rsid w:val="006B4C74"/>
    <w:rsid w:val="006B4F68"/>
    <w:rsid w:val="006B5EEA"/>
    <w:rsid w:val="006B658E"/>
    <w:rsid w:val="006C0592"/>
    <w:rsid w:val="006C272E"/>
    <w:rsid w:val="006C2DD0"/>
    <w:rsid w:val="006C422B"/>
    <w:rsid w:val="006C5479"/>
    <w:rsid w:val="006D0815"/>
    <w:rsid w:val="006D1260"/>
    <w:rsid w:val="006D13B5"/>
    <w:rsid w:val="006D1416"/>
    <w:rsid w:val="006D555D"/>
    <w:rsid w:val="006D5766"/>
    <w:rsid w:val="006D647D"/>
    <w:rsid w:val="006D694E"/>
    <w:rsid w:val="006E0B17"/>
    <w:rsid w:val="006E0B4E"/>
    <w:rsid w:val="006E12FF"/>
    <w:rsid w:val="006E25BD"/>
    <w:rsid w:val="006E2C51"/>
    <w:rsid w:val="006E4B7E"/>
    <w:rsid w:val="006E55A5"/>
    <w:rsid w:val="006E607E"/>
    <w:rsid w:val="006E75C5"/>
    <w:rsid w:val="006F3275"/>
    <w:rsid w:val="006F4068"/>
    <w:rsid w:val="006F7FC5"/>
    <w:rsid w:val="00701D21"/>
    <w:rsid w:val="00703280"/>
    <w:rsid w:val="00703BBF"/>
    <w:rsid w:val="00705A20"/>
    <w:rsid w:val="00706C5D"/>
    <w:rsid w:val="00707683"/>
    <w:rsid w:val="0071047E"/>
    <w:rsid w:val="00714521"/>
    <w:rsid w:val="00714CBB"/>
    <w:rsid w:val="00722994"/>
    <w:rsid w:val="00722C50"/>
    <w:rsid w:val="00723C21"/>
    <w:rsid w:val="00727E8F"/>
    <w:rsid w:val="00730BCD"/>
    <w:rsid w:val="00730E37"/>
    <w:rsid w:val="00732922"/>
    <w:rsid w:val="00735215"/>
    <w:rsid w:val="00740400"/>
    <w:rsid w:val="00740F30"/>
    <w:rsid w:val="00741028"/>
    <w:rsid w:val="00745ECC"/>
    <w:rsid w:val="0074659E"/>
    <w:rsid w:val="00747954"/>
    <w:rsid w:val="007506F2"/>
    <w:rsid w:val="0075162E"/>
    <w:rsid w:val="00751D4C"/>
    <w:rsid w:val="007531F1"/>
    <w:rsid w:val="00754034"/>
    <w:rsid w:val="0075461C"/>
    <w:rsid w:val="00755B35"/>
    <w:rsid w:val="00756556"/>
    <w:rsid w:val="0075773F"/>
    <w:rsid w:val="00760959"/>
    <w:rsid w:val="00760B99"/>
    <w:rsid w:val="0076169A"/>
    <w:rsid w:val="007618C4"/>
    <w:rsid w:val="00763156"/>
    <w:rsid w:val="00764E42"/>
    <w:rsid w:val="00765462"/>
    <w:rsid w:val="007658B1"/>
    <w:rsid w:val="00765F59"/>
    <w:rsid w:val="00767412"/>
    <w:rsid w:val="00767526"/>
    <w:rsid w:val="00767980"/>
    <w:rsid w:val="00767EA0"/>
    <w:rsid w:val="00770102"/>
    <w:rsid w:val="00770B19"/>
    <w:rsid w:val="007731D0"/>
    <w:rsid w:val="00774347"/>
    <w:rsid w:val="0077463F"/>
    <w:rsid w:val="00774A6E"/>
    <w:rsid w:val="0077503C"/>
    <w:rsid w:val="0077515B"/>
    <w:rsid w:val="0078085F"/>
    <w:rsid w:val="00781F88"/>
    <w:rsid w:val="007836EA"/>
    <w:rsid w:val="007849F1"/>
    <w:rsid w:val="00784CDA"/>
    <w:rsid w:val="00785471"/>
    <w:rsid w:val="00785982"/>
    <w:rsid w:val="007865BF"/>
    <w:rsid w:val="007866E7"/>
    <w:rsid w:val="0078672F"/>
    <w:rsid w:val="007874C9"/>
    <w:rsid w:val="0078786E"/>
    <w:rsid w:val="007878E6"/>
    <w:rsid w:val="007906C4"/>
    <w:rsid w:val="00790ACD"/>
    <w:rsid w:val="007922CE"/>
    <w:rsid w:val="00793B2F"/>
    <w:rsid w:val="007940EA"/>
    <w:rsid w:val="007967E8"/>
    <w:rsid w:val="007A0C35"/>
    <w:rsid w:val="007A2170"/>
    <w:rsid w:val="007A22BF"/>
    <w:rsid w:val="007A2DFA"/>
    <w:rsid w:val="007A3323"/>
    <w:rsid w:val="007A4505"/>
    <w:rsid w:val="007A4C93"/>
    <w:rsid w:val="007A4F0D"/>
    <w:rsid w:val="007A5174"/>
    <w:rsid w:val="007A53C4"/>
    <w:rsid w:val="007A5B0E"/>
    <w:rsid w:val="007B23CF"/>
    <w:rsid w:val="007B318A"/>
    <w:rsid w:val="007B5440"/>
    <w:rsid w:val="007B5F54"/>
    <w:rsid w:val="007B6306"/>
    <w:rsid w:val="007B68D3"/>
    <w:rsid w:val="007B72B8"/>
    <w:rsid w:val="007B7A58"/>
    <w:rsid w:val="007B7C40"/>
    <w:rsid w:val="007C1969"/>
    <w:rsid w:val="007C1987"/>
    <w:rsid w:val="007C21B5"/>
    <w:rsid w:val="007C2495"/>
    <w:rsid w:val="007C25FA"/>
    <w:rsid w:val="007C4FE7"/>
    <w:rsid w:val="007C7C45"/>
    <w:rsid w:val="007D0B35"/>
    <w:rsid w:val="007D0DF5"/>
    <w:rsid w:val="007D1E87"/>
    <w:rsid w:val="007D416F"/>
    <w:rsid w:val="007D4239"/>
    <w:rsid w:val="007D5472"/>
    <w:rsid w:val="007D5A7E"/>
    <w:rsid w:val="007D7730"/>
    <w:rsid w:val="007D78DF"/>
    <w:rsid w:val="007D7A91"/>
    <w:rsid w:val="007E11A8"/>
    <w:rsid w:val="007E1A2E"/>
    <w:rsid w:val="007E2183"/>
    <w:rsid w:val="007E3BC6"/>
    <w:rsid w:val="007E3D58"/>
    <w:rsid w:val="007E413B"/>
    <w:rsid w:val="007E4BD2"/>
    <w:rsid w:val="007E5B10"/>
    <w:rsid w:val="007E5FA6"/>
    <w:rsid w:val="007E63BA"/>
    <w:rsid w:val="007E71BE"/>
    <w:rsid w:val="007E7BBC"/>
    <w:rsid w:val="007F22AB"/>
    <w:rsid w:val="007F424A"/>
    <w:rsid w:val="007F5E45"/>
    <w:rsid w:val="007F7921"/>
    <w:rsid w:val="007F7DA4"/>
    <w:rsid w:val="0080045A"/>
    <w:rsid w:val="00801393"/>
    <w:rsid w:val="0080194D"/>
    <w:rsid w:val="00802F88"/>
    <w:rsid w:val="00806139"/>
    <w:rsid w:val="00810A68"/>
    <w:rsid w:val="0081293E"/>
    <w:rsid w:val="0081509D"/>
    <w:rsid w:val="00815465"/>
    <w:rsid w:val="00817C61"/>
    <w:rsid w:val="00817E9A"/>
    <w:rsid w:val="008212E4"/>
    <w:rsid w:val="00822D0D"/>
    <w:rsid w:val="00823C9F"/>
    <w:rsid w:val="00824FB9"/>
    <w:rsid w:val="00825268"/>
    <w:rsid w:val="008253B9"/>
    <w:rsid w:val="00826E55"/>
    <w:rsid w:val="008306BD"/>
    <w:rsid w:val="008317A7"/>
    <w:rsid w:val="00831A80"/>
    <w:rsid w:val="00831E43"/>
    <w:rsid w:val="008336CC"/>
    <w:rsid w:val="00833743"/>
    <w:rsid w:val="008340A4"/>
    <w:rsid w:val="00835323"/>
    <w:rsid w:val="00835956"/>
    <w:rsid w:val="00835E31"/>
    <w:rsid w:val="008363E4"/>
    <w:rsid w:val="00836CD1"/>
    <w:rsid w:val="0083737F"/>
    <w:rsid w:val="008429C3"/>
    <w:rsid w:val="00842AC1"/>
    <w:rsid w:val="00843AB5"/>
    <w:rsid w:val="0084491C"/>
    <w:rsid w:val="00844A25"/>
    <w:rsid w:val="008452ED"/>
    <w:rsid w:val="00847C5F"/>
    <w:rsid w:val="008516C7"/>
    <w:rsid w:val="008516EA"/>
    <w:rsid w:val="008523B6"/>
    <w:rsid w:val="0085243D"/>
    <w:rsid w:val="00852619"/>
    <w:rsid w:val="00852771"/>
    <w:rsid w:val="00852916"/>
    <w:rsid w:val="008607A1"/>
    <w:rsid w:val="00860E32"/>
    <w:rsid w:val="00862312"/>
    <w:rsid w:val="00862342"/>
    <w:rsid w:val="00864565"/>
    <w:rsid w:val="008651F4"/>
    <w:rsid w:val="008660B0"/>
    <w:rsid w:val="008664A6"/>
    <w:rsid w:val="00870FD1"/>
    <w:rsid w:val="0087135F"/>
    <w:rsid w:val="008729DA"/>
    <w:rsid w:val="00872D94"/>
    <w:rsid w:val="00873155"/>
    <w:rsid w:val="00873703"/>
    <w:rsid w:val="008755CB"/>
    <w:rsid w:val="008763A9"/>
    <w:rsid w:val="00876F93"/>
    <w:rsid w:val="00880364"/>
    <w:rsid w:val="008825DD"/>
    <w:rsid w:val="008845FB"/>
    <w:rsid w:val="008868AC"/>
    <w:rsid w:val="008906B3"/>
    <w:rsid w:val="008914EB"/>
    <w:rsid w:val="00891592"/>
    <w:rsid w:val="00891E9E"/>
    <w:rsid w:val="00893C9F"/>
    <w:rsid w:val="00894C58"/>
    <w:rsid w:val="00895BD3"/>
    <w:rsid w:val="008976CE"/>
    <w:rsid w:val="008A0350"/>
    <w:rsid w:val="008A102E"/>
    <w:rsid w:val="008A2660"/>
    <w:rsid w:val="008A2F68"/>
    <w:rsid w:val="008A4E3F"/>
    <w:rsid w:val="008A4FDD"/>
    <w:rsid w:val="008A64EC"/>
    <w:rsid w:val="008A6D86"/>
    <w:rsid w:val="008A7B7E"/>
    <w:rsid w:val="008B0225"/>
    <w:rsid w:val="008B3862"/>
    <w:rsid w:val="008B4FA6"/>
    <w:rsid w:val="008B5282"/>
    <w:rsid w:val="008B6D79"/>
    <w:rsid w:val="008B7C17"/>
    <w:rsid w:val="008C1B51"/>
    <w:rsid w:val="008C2D01"/>
    <w:rsid w:val="008C3D3C"/>
    <w:rsid w:val="008C40E6"/>
    <w:rsid w:val="008C4F52"/>
    <w:rsid w:val="008C6BE3"/>
    <w:rsid w:val="008C7307"/>
    <w:rsid w:val="008C77EB"/>
    <w:rsid w:val="008D0F7A"/>
    <w:rsid w:val="008D30BE"/>
    <w:rsid w:val="008D55E4"/>
    <w:rsid w:val="008D58E9"/>
    <w:rsid w:val="008D59EC"/>
    <w:rsid w:val="008D635D"/>
    <w:rsid w:val="008D64A3"/>
    <w:rsid w:val="008D68E4"/>
    <w:rsid w:val="008D72A9"/>
    <w:rsid w:val="008E04CE"/>
    <w:rsid w:val="008E0506"/>
    <w:rsid w:val="008E0CFF"/>
    <w:rsid w:val="008E126C"/>
    <w:rsid w:val="008E294C"/>
    <w:rsid w:val="008E3E58"/>
    <w:rsid w:val="008E4F2A"/>
    <w:rsid w:val="008E51AD"/>
    <w:rsid w:val="008E5C10"/>
    <w:rsid w:val="008E5D6B"/>
    <w:rsid w:val="008E72C0"/>
    <w:rsid w:val="008E748E"/>
    <w:rsid w:val="008E76F0"/>
    <w:rsid w:val="008E7D62"/>
    <w:rsid w:val="008F028D"/>
    <w:rsid w:val="008F15FE"/>
    <w:rsid w:val="008F2D29"/>
    <w:rsid w:val="008F5187"/>
    <w:rsid w:val="008F5AD9"/>
    <w:rsid w:val="008F5B1B"/>
    <w:rsid w:val="008F60D8"/>
    <w:rsid w:val="00900821"/>
    <w:rsid w:val="009010F4"/>
    <w:rsid w:val="009012E2"/>
    <w:rsid w:val="00902727"/>
    <w:rsid w:val="0090312B"/>
    <w:rsid w:val="009041BE"/>
    <w:rsid w:val="009115F7"/>
    <w:rsid w:val="0091256F"/>
    <w:rsid w:val="00913B2D"/>
    <w:rsid w:val="0091470F"/>
    <w:rsid w:val="00914F65"/>
    <w:rsid w:val="0091520E"/>
    <w:rsid w:val="0091736D"/>
    <w:rsid w:val="0092016F"/>
    <w:rsid w:val="00924429"/>
    <w:rsid w:val="00924D67"/>
    <w:rsid w:val="00925897"/>
    <w:rsid w:val="00925C73"/>
    <w:rsid w:val="0093037A"/>
    <w:rsid w:val="00934148"/>
    <w:rsid w:val="00937509"/>
    <w:rsid w:val="00940EDE"/>
    <w:rsid w:val="0094154D"/>
    <w:rsid w:val="00941DD4"/>
    <w:rsid w:val="00947AC2"/>
    <w:rsid w:val="009500C0"/>
    <w:rsid w:val="0095155F"/>
    <w:rsid w:val="00954429"/>
    <w:rsid w:val="0095470A"/>
    <w:rsid w:val="00954B7C"/>
    <w:rsid w:val="009563CE"/>
    <w:rsid w:val="00957A8F"/>
    <w:rsid w:val="00960395"/>
    <w:rsid w:val="00960FC1"/>
    <w:rsid w:val="0096145E"/>
    <w:rsid w:val="009618C7"/>
    <w:rsid w:val="00961AF4"/>
    <w:rsid w:val="009621ED"/>
    <w:rsid w:val="00964887"/>
    <w:rsid w:val="009654DE"/>
    <w:rsid w:val="009656FC"/>
    <w:rsid w:val="00967C27"/>
    <w:rsid w:val="00970313"/>
    <w:rsid w:val="00974585"/>
    <w:rsid w:val="00974973"/>
    <w:rsid w:val="00976328"/>
    <w:rsid w:val="009767D1"/>
    <w:rsid w:val="0097680D"/>
    <w:rsid w:val="00976B22"/>
    <w:rsid w:val="00980259"/>
    <w:rsid w:val="0098160D"/>
    <w:rsid w:val="0098182D"/>
    <w:rsid w:val="00981C16"/>
    <w:rsid w:val="00982438"/>
    <w:rsid w:val="00983A2D"/>
    <w:rsid w:val="0098404C"/>
    <w:rsid w:val="009847A0"/>
    <w:rsid w:val="00984950"/>
    <w:rsid w:val="00985283"/>
    <w:rsid w:val="009878EA"/>
    <w:rsid w:val="009901FE"/>
    <w:rsid w:val="00993687"/>
    <w:rsid w:val="00994D7F"/>
    <w:rsid w:val="00995992"/>
    <w:rsid w:val="00997C0A"/>
    <w:rsid w:val="009A03E5"/>
    <w:rsid w:val="009A0F3B"/>
    <w:rsid w:val="009A125D"/>
    <w:rsid w:val="009A1422"/>
    <w:rsid w:val="009A1BB4"/>
    <w:rsid w:val="009A2628"/>
    <w:rsid w:val="009A283C"/>
    <w:rsid w:val="009A2C10"/>
    <w:rsid w:val="009A3200"/>
    <w:rsid w:val="009A3288"/>
    <w:rsid w:val="009A4D6E"/>
    <w:rsid w:val="009A7923"/>
    <w:rsid w:val="009A7930"/>
    <w:rsid w:val="009B0770"/>
    <w:rsid w:val="009B0897"/>
    <w:rsid w:val="009B09F7"/>
    <w:rsid w:val="009B112A"/>
    <w:rsid w:val="009B3DD9"/>
    <w:rsid w:val="009B479B"/>
    <w:rsid w:val="009B5506"/>
    <w:rsid w:val="009B6E15"/>
    <w:rsid w:val="009B7BD9"/>
    <w:rsid w:val="009C02AD"/>
    <w:rsid w:val="009C4366"/>
    <w:rsid w:val="009C492A"/>
    <w:rsid w:val="009C64E8"/>
    <w:rsid w:val="009C7DD5"/>
    <w:rsid w:val="009D1D75"/>
    <w:rsid w:val="009D2AEA"/>
    <w:rsid w:val="009D3B28"/>
    <w:rsid w:val="009D6868"/>
    <w:rsid w:val="009D70B7"/>
    <w:rsid w:val="009E0483"/>
    <w:rsid w:val="009E227D"/>
    <w:rsid w:val="009E25C2"/>
    <w:rsid w:val="009E348B"/>
    <w:rsid w:val="009E5019"/>
    <w:rsid w:val="009E5FE9"/>
    <w:rsid w:val="009E7A4E"/>
    <w:rsid w:val="009F0560"/>
    <w:rsid w:val="009F0C5E"/>
    <w:rsid w:val="009F5244"/>
    <w:rsid w:val="009F57D4"/>
    <w:rsid w:val="009F6D2A"/>
    <w:rsid w:val="009F7CB6"/>
    <w:rsid w:val="00A00060"/>
    <w:rsid w:val="00A007D3"/>
    <w:rsid w:val="00A0215C"/>
    <w:rsid w:val="00A04F1B"/>
    <w:rsid w:val="00A04FD9"/>
    <w:rsid w:val="00A0501B"/>
    <w:rsid w:val="00A05353"/>
    <w:rsid w:val="00A065B6"/>
    <w:rsid w:val="00A06E46"/>
    <w:rsid w:val="00A10DE2"/>
    <w:rsid w:val="00A14947"/>
    <w:rsid w:val="00A15909"/>
    <w:rsid w:val="00A15EB6"/>
    <w:rsid w:val="00A16CC8"/>
    <w:rsid w:val="00A17AA8"/>
    <w:rsid w:val="00A210F1"/>
    <w:rsid w:val="00A2296D"/>
    <w:rsid w:val="00A234B7"/>
    <w:rsid w:val="00A235D0"/>
    <w:rsid w:val="00A2471E"/>
    <w:rsid w:val="00A24C6C"/>
    <w:rsid w:val="00A24FF2"/>
    <w:rsid w:val="00A2676F"/>
    <w:rsid w:val="00A26F86"/>
    <w:rsid w:val="00A27219"/>
    <w:rsid w:val="00A30643"/>
    <w:rsid w:val="00A32414"/>
    <w:rsid w:val="00A32A83"/>
    <w:rsid w:val="00A32CFA"/>
    <w:rsid w:val="00A33B93"/>
    <w:rsid w:val="00A35402"/>
    <w:rsid w:val="00A356F4"/>
    <w:rsid w:val="00A368DB"/>
    <w:rsid w:val="00A36984"/>
    <w:rsid w:val="00A37E46"/>
    <w:rsid w:val="00A41B7A"/>
    <w:rsid w:val="00A41EE2"/>
    <w:rsid w:val="00A423AA"/>
    <w:rsid w:val="00A42468"/>
    <w:rsid w:val="00A44700"/>
    <w:rsid w:val="00A4563E"/>
    <w:rsid w:val="00A45F30"/>
    <w:rsid w:val="00A4711F"/>
    <w:rsid w:val="00A47E21"/>
    <w:rsid w:val="00A51959"/>
    <w:rsid w:val="00A519A2"/>
    <w:rsid w:val="00A528D3"/>
    <w:rsid w:val="00A534EA"/>
    <w:rsid w:val="00A53EC6"/>
    <w:rsid w:val="00A54218"/>
    <w:rsid w:val="00A54DA6"/>
    <w:rsid w:val="00A55C0F"/>
    <w:rsid w:val="00A56EAF"/>
    <w:rsid w:val="00A57DFA"/>
    <w:rsid w:val="00A60F7B"/>
    <w:rsid w:val="00A628C4"/>
    <w:rsid w:val="00A634ED"/>
    <w:rsid w:val="00A7053B"/>
    <w:rsid w:val="00A7063C"/>
    <w:rsid w:val="00A70674"/>
    <w:rsid w:val="00A72C3C"/>
    <w:rsid w:val="00A74694"/>
    <w:rsid w:val="00A801CA"/>
    <w:rsid w:val="00A80F4D"/>
    <w:rsid w:val="00A81B06"/>
    <w:rsid w:val="00A83001"/>
    <w:rsid w:val="00A83D35"/>
    <w:rsid w:val="00A870B8"/>
    <w:rsid w:val="00A8713F"/>
    <w:rsid w:val="00A87B8D"/>
    <w:rsid w:val="00A90BA1"/>
    <w:rsid w:val="00A91AFE"/>
    <w:rsid w:val="00A935AB"/>
    <w:rsid w:val="00A94B77"/>
    <w:rsid w:val="00A9521A"/>
    <w:rsid w:val="00A95565"/>
    <w:rsid w:val="00A96C80"/>
    <w:rsid w:val="00A97A9A"/>
    <w:rsid w:val="00AA0671"/>
    <w:rsid w:val="00AA1729"/>
    <w:rsid w:val="00AA19BA"/>
    <w:rsid w:val="00AA2531"/>
    <w:rsid w:val="00AA26DE"/>
    <w:rsid w:val="00AA409C"/>
    <w:rsid w:val="00AA4353"/>
    <w:rsid w:val="00AA4640"/>
    <w:rsid w:val="00AA5352"/>
    <w:rsid w:val="00AA5FFA"/>
    <w:rsid w:val="00AA647D"/>
    <w:rsid w:val="00AA6C51"/>
    <w:rsid w:val="00AB005F"/>
    <w:rsid w:val="00AB1E09"/>
    <w:rsid w:val="00AB2604"/>
    <w:rsid w:val="00AB5330"/>
    <w:rsid w:val="00AB6B91"/>
    <w:rsid w:val="00AB7747"/>
    <w:rsid w:val="00AC0979"/>
    <w:rsid w:val="00AC14CE"/>
    <w:rsid w:val="00AC1A85"/>
    <w:rsid w:val="00AC277A"/>
    <w:rsid w:val="00AC285A"/>
    <w:rsid w:val="00AC2A56"/>
    <w:rsid w:val="00AC36A9"/>
    <w:rsid w:val="00AC3BCB"/>
    <w:rsid w:val="00AC4A05"/>
    <w:rsid w:val="00AC749F"/>
    <w:rsid w:val="00AC7873"/>
    <w:rsid w:val="00AC78DB"/>
    <w:rsid w:val="00AD055E"/>
    <w:rsid w:val="00AD0F63"/>
    <w:rsid w:val="00AD199F"/>
    <w:rsid w:val="00AD32EE"/>
    <w:rsid w:val="00AD47A7"/>
    <w:rsid w:val="00AD617C"/>
    <w:rsid w:val="00AD6765"/>
    <w:rsid w:val="00AD6B96"/>
    <w:rsid w:val="00AD6C21"/>
    <w:rsid w:val="00AD702E"/>
    <w:rsid w:val="00AD7C12"/>
    <w:rsid w:val="00AD7EA4"/>
    <w:rsid w:val="00AE0656"/>
    <w:rsid w:val="00AE07D8"/>
    <w:rsid w:val="00AE0ED1"/>
    <w:rsid w:val="00AE2188"/>
    <w:rsid w:val="00AE2ACA"/>
    <w:rsid w:val="00AE75F0"/>
    <w:rsid w:val="00AE786B"/>
    <w:rsid w:val="00AF02DE"/>
    <w:rsid w:val="00AF05FC"/>
    <w:rsid w:val="00AF0CBF"/>
    <w:rsid w:val="00AF257F"/>
    <w:rsid w:val="00AF3072"/>
    <w:rsid w:val="00AF33CF"/>
    <w:rsid w:val="00AF4D50"/>
    <w:rsid w:val="00AF57D9"/>
    <w:rsid w:val="00AF6179"/>
    <w:rsid w:val="00AF6F98"/>
    <w:rsid w:val="00B00234"/>
    <w:rsid w:val="00B00A13"/>
    <w:rsid w:val="00B00B13"/>
    <w:rsid w:val="00B03879"/>
    <w:rsid w:val="00B042AF"/>
    <w:rsid w:val="00B04E8D"/>
    <w:rsid w:val="00B06454"/>
    <w:rsid w:val="00B102C2"/>
    <w:rsid w:val="00B1097E"/>
    <w:rsid w:val="00B11C7C"/>
    <w:rsid w:val="00B1295A"/>
    <w:rsid w:val="00B13095"/>
    <w:rsid w:val="00B142A7"/>
    <w:rsid w:val="00B14FE3"/>
    <w:rsid w:val="00B15161"/>
    <w:rsid w:val="00B15728"/>
    <w:rsid w:val="00B17927"/>
    <w:rsid w:val="00B17F3D"/>
    <w:rsid w:val="00B205B8"/>
    <w:rsid w:val="00B20A45"/>
    <w:rsid w:val="00B21A7C"/>
    <w:rsid w:val="00B21C97"/>
    <w:rsid w:val="00B22C5C"/>
    <w:rsid w:val="00B233C6"/>
    <w:rsid w:val="00B248BA"/>
    <w:rsid w:val="00B24F30"/>
    <w:rsid w:val="00B26267"/>
    <w:rsid w:val="00B26DF3"/>
    <w:rsid w:val="00B27A52"/>
    <w:rsid w:val="00B30A7D"/>
    <w:rsid w:val="00B315C1"/>
    <w:rsid w:val="00B31ABF"/>
    <w:rsid w:val="00B3296C"/>
    <w:rsid w:val="00B329A2"/>
    <w:rsid w:val="00B33BE3"/>
    <w:rsid w:val="00B37734"/>
    <w:rsid w:val="00B419EB"/>
    <w:rsid w:val="00B43939"/>
    <w:rsid w:val="00B4512D"/>
    <w:rsid w:val="00B46D08"/>
    <w:rsid w:val="00B46FD2"/>
    <w:rsid w:val="00B4734E"/>
    <w:rsid w:val="00B47567"/>
    <w:rsid w:val="00B4767E"/>
    <w:rsid w:val="00B47CB3"/>
    <w:rsid w:val="00B50845"/>
    <w:rsid w:val="00B51A23"/>
    <w:rsid w:val="00B53B5D"/>
    <w:rsid w:val="00B54856"/>
    <w:rsid w:val="00B556E5"/>
    <w:rsid w:val="00B56F1F"/>
    <w:rsid w:val="00B57FAC"/>
    <w:rsid w:val="00B60252"/>
    <w:rsid w:val="00B6031A"/>
    <w:rsid w:val="00B6055E"/>
    <w:rsid w:val="00B612C0"/>
    <w:rsid w:val="00B614CB"/>
    <w:rsid w:val="00B61746"/>
    <w:rsid w:val="00B622A9"/>
    <w:rsid w:val="00B6260D"/>
    <w:rsid w:val="00B626D8"/>
    <w:rsid w:val="00B627D0"/>
    <w:rsid w:val="00B62D14"/>
    <w:rsid w:val="00B62EA0"/>
    <w:rsid w:val="00B6317D"/>
    <w:rsid w:val="00B66DBF"/>
    <w:rsid w:val="00B67BB7"/>
    <w:rsid w:val="00B713E0"/>
    <w:rsid w:val="00B7155E"/>
    <w:rsid w:val="00B72B4D"/>
    <w:rsid w:val="00B74326"/>
    <w:rsid w:val="00B7439E"/>
    <w:rsid w:val="00B74E1D"/>
    <w:rsid w:val="00B76193"/>
    <w:rsid w:val="00B7723F"/>
    <w:rsid w:val="00B773BC"/>
    <w:rsid w:val="00B802ED"/>
    <w:rsid w:val="00B80534"/>
    <w:rsid w:val="00B806EE"/>
    <w:rsid w:val="00B80C01"/>
    <w:rsid w:val="00B82E16"/>
    <w:rsid w:val="00B834F6"/>
    <w:rsid w:val="00B8433C"/>
    <w:rsid w:val="00B85664"/>
    <w:rsid w:val="00B8698F"/>
    <w:rsid w:val="00B87491"/>
    <w:rsid w:val="00B877D0"/>
    <w:rsid w:val="00B878A3"/>
    <w:rsid w:val="00B90579"/>
    <w:rsid w:val="00B90608"/>
    <w:rsid w:val="00B90C45"/>
    <w:rsid w:val="00B90D0A"/>
    <w:rsid w:val="00B9282F"/>
    <w:rsid w:val="00B92FCF"/>
    <w:rsid w:val="00B9375F"/>
    <w:rsid w:val="00B947A1"/>
    <w:rsid w:val="00B95CD3"/>
    <w:rsid w:val="00B97FF5"/>
    <w:rsid w:val="00BA29E9"/>
    <w:rsid w:val="00BA3326"/>
    <w:rsid w:val="00BA3EDF"/>
    <w:rsid w:val="00BA441E"/>
    <w:rsid w:val="00BA58A6"/>
    <w:rsid w:val="00BA5D7E"/>
    <w:rsid w:val="00BA6052"/>
    <w:rsid w:val="00BA6747"/>
    <w:rsid w:val="00BA7142"/>
    <w:rsid w:val="00BA73B9"/>
    <w:rsid w:val="00BB0987"/>
    <w:rsid w:val="00BB219A"/>
    <w:rsid w:val="00BB237C"/>
    <w:rsid w:val="00BB2E25"/>
    <w:rsid w:val="00BB41A3"/>
    <w:rsid w:val="00BB5BE5"/>
    <w:rsid w:val="00BB5FC1"/>
    <w:rsid w:val="00BB74F2"/>
    <w:rsid w:val="00BB7A01"/>
    <w:rsid w:val="00BC1F8C"/>
    <w:rsid w:val="00BC32DC"/>
    <w:rsid w:val="00BC3534"/>
    <w:rsid w:val="00BC35B6"/>
    <w:rsid w:val="00BC3A59"/>
    <w:rsid w:val="00BC4AEC"/>
    <w:rsid w:val="00BC56FA"/>
    <w:rsid w:val="00BD1B03"/>
    <w:rsid w:val="00BD1B51"/>
    <w:rsid w:val="00BD27DD"/>
    <w:rsid w:val="00BD2A9A"/>
    <w:rsid w:val="00BD31AC"/>
    <w:rsid w:val="00BD3DC6"/>
    <w:rsid w:val="00BD4596"/>
    <w:rsid w:val="00BD5184"/>
    <w:rsid w:val="00BD51B5"/>
    <w:rsid w:val="00BD588A"/>
    <w:rsid w:val="00BE0E1B"/>
    <w:rsid w:val="00BE1405"/>
    <w:rsid w:val="00BE1500"/>
    <w:rsid w:val="00BE187C"/>
    <w:rsid w:val="00BE312D"/>
    <w:rsid w:val="00BE3C51"/>
    <w:rsid w:val="00BE48E3"/>
    <w:rsid w:val="00BE492D"/>
    <w:rsid w:val="00BE6B1F"/>
    <w:rsid w:val="00BE7231"/>
    <w:rsid w:val="00BF1C20"/>
    <w:rsid w:val="00BF1E93"/>
    <w:rsid w:val="00BF27C6"/>
    <w:rsid w:val="00BF39EA"/>
    <w:rsid w:val="00BF3FE4"/>
    <w:rsid w:val="00C00C90"/>
    <w:rsid w:val="00C01004"/>
    <w:rsid w:val="00C05173"/>
    <w:rsid w:val="00C07064"/>
    <w:rsid w:val="00C10578"/>
    <w:rsid w:val="00C10B63"/>
    <w:rsid w:val="00C11C8E"/>
    <w:rsid w:val="00C135BC"/>
    <w:rsid w:val="00C14519"/>
    <w:rsid w:val="00C15C95"/>
    <w:rsid w:val="00C169D4"/>
    <w:rsid w:val="00C206D1"/>
    <w:rsid w:val="00C214E3"/>
    <w:rsid w:val="00C216C3"/>
    <w:rsid w:val="00C237E6"/>
    <w:rsid w:val="00C250C2"/>
    <w:rsid w:val="00C2529B"/>
    <w:rsid w:val="00C2596A"/>
    <w:rsid w:val="00C265AC"/>
    <w:rsid w:val="00C2671E"/>
    <w:rsid w:val="00C27537"/>
    <w:rsid w:val="00C30820"/>
    <w:rsid w:val="00C30CAF"/>
    <w:rsid w:val="00C3193F"/>
    <w:rsid w:val="00C31974"/>
    <w:rsid w:val="00C328FE"/>
    <w:rsid w:val="00C3302C"/>
    <w:rsid w:val="00C33507"/>
    <w:rsid w:val="00C33ED0"/>
    <w:rsid w:val="00C34310"/>
    <w:rsid w:val="00C40C01"/>
    <w:rsid w:val="00C41DE4"/>
    <w:rsid w:val="00C437E1"/>
    <w:rsid w:val="00C4409D"/>
    <w:rsid w:val="00C448E0"/>
    <w:rsid w:val="00C44E72"/>
    <w:rsid w:val="00C45295"/>
    <w:rsid w:val="00C459D9"/>
    <w:rsid w:val="00C45A06"/>
    <w:rsid w:val="00C45E29"/>
    <w:rsid w:val="00C46722"/>
    <w:rsid w:val="00C47B45"/>
    <w:rsid w:val="00C47E5B"/>
    <w:rsid w:val="00C500DB"/>
    <w:rsid w:val="00C557B3"/>
    <w:rsid w:val="00C558DE"/>
    <w:rsid w:val="00C559E4"/>
    <w:rsid w:val="00C55F0E"/>
    <w:rsid w:val="00C60DD1"/>
    <w:rsid w:val="00C61E4B"/>
    <w:rsid w:val="00C62B86"/>
    <w:rsid w:val="00C64852"/>
    <w:rsid w:val="00C64BFF"/>
    <w:rsid w:val="00C65F28"/>
    <w:rsid w:val="00C6626B"/>
    <w:rsid w:val="00C704E9"/>
    <w:rsid w:val="00C70697"/>
    <w:rsid w:val="00C7083B"/>
    <w:rsid w:val="00C73E61"/>
    <w:rsid w:val="00C74928"/>
    <w:rsid w:val="00C74AE7"/>
    <w:rsid w:val="00C75A3B"/>
    <w:rsid w:val="00C7632C"/>
    <w:rsid w:val="00C763C9"/>
    <w:rsid w:val="00C76CF2"/>
    <w:rsid w:val="00C80057"/>
    <w:rsid w:val="00C80BDB"/>
    <w:rsid w:val="00C81092"/>
    <w:rsid w:val="00C821FC"/>
    <w:rsid w:val="00C82232"/>
    <w:rsid w:val="00C822D7"/>
    <w:rsid w:val="00C82913"/>
    <w:rsid w:val="00C83146"/>
    <w:rsid w:val="00C83A02"/>
    <w:rsid w:val="00C84563"/>
    <w:rsid w:val="00C90ECD"/>
    <w:rsid w:val="00C91500"/>
    <w:rsid w:val="00C921FB"/>
    <w:rsid w:val="00C926C4"/>
    <w:rsid w:val="00C95028"/>
    <w:rsid w:val="00C95BEA"/>
    <w:rsid w:val="00C972B1"/>
    <w:rsid w:val="00CA1197"/>
    <w:rsid w:val="00CA12FD"/>
    <w:rsid w:val="00CA2206"/>
    <w:rsid w:val="00CA2B6F"/>
    <w:rsid w:val="00CA2CCE"/>
    <w:rsid w:val="00CA359E"/>
    <w:rsid w:val="00CA36E6"/>
    <w:rsid w:val="00CA3C43"/>
    <w:rsid w:val="00CA43FD"/>
    <w:rsid w:val="00CA5C63"/>
    <w:rsid w:val="00CA7459"/>
    <w:rsid w:val="00CA7EF8"/>
    <w:rsid w:val="00CB1E6E"/>
    <w:rsid w:val="00CB26F8"/>
    <w:rsid w:val="00CB35B8"/>
    <w:rsid w:val="00CB3C88"/>
    <w:rsid w:val="00CB407C"/>
    <w:rsid w:val="00CB4E76"/>
    <w:rsid w:val="00CB6748"/>
    <w:rsid w:val="00CB6853"/>
    <w:rsid w:val="00CB6B6E"/>
    <w:rsid w:val="00CB78F1"/>
    <w:rsid w:val="00CC09CC"/>
    <w:rsid w:val="00CC0ABB"/>
    <w:rsid w:val="00CC13D7"/>
    <w:rsid w:val="00CC1686"/>
    <w:rsid w:val="00CC3BB9"/>
    <w:rsid w:val="00CC489B"/>
    <w:rsid w:val="00CC57DE"/>
    <w:rsid w:val="00CC6F3D"/>
    <w:rsid w:val="00CD128C"/>
    <w:rsid w:val="00CD1363"/>
    <w:rsid w:val="00CD176D"/>
    <w:rsid w:val="00CD2BCD"/>
    <w:rsid w:val="00CD3A4C"/>
    <w:rsid w:val="00CD5AC5"/>
    <w:rsid w:val="00CD721D"/>
    <w:rsid w:val="00CD79DA"/>
    <w:rsid w:val="00CE10E9"/>
    <w:rsid w:val="00CE1FC2"/>
    <w:rsid w:val="00CE258A"/>
    <w:rsid w:val="00CE27EC"/>
    <w:rsid w:val="00CE2910"/>
    <w:rsid w:val="00CE2CEE"/>
    <w:rsid w:val="00CE3A38"/>
    <w:rsid w:val="00CE3A70"/>
    <w:rsid w:val="00CE5393"/>
    <w:rsid w:val="00CF02F0"/>
    <w:rsid w:val="00CF1477"/>
    <w:rsid w:val="00CF36BE"/>
    <w:rsid w:val="00CF4327"/>
    <w:rsid w:val="00CF45CC"/>
    <w:rsid w:val="00CF49B2"/>
    <w:rsid w:val="00CF5E53"/>
    <w:rsid w:val="00CF6000"/>
    <w:rsid w:val="00CF616F"/>
    <w:rsid w:val="00CF6883"/>
    <w:rsid w:val="00CF7FA9"/>
    <w:rsid w:val="00D003F3"/>
    <w:rsid w:val="00D00652"/>
    <w:rsid w:val="00D0364F"/>
    <w:rsid w:val="00D040F2"/>
    <w:rsid w:val="00D0490E"/>
    <w:rsid w:val="00D0609B"/>
    <w:rsid w:val="00D06834"/>
    <w:rsid w:val="00D07054"/>
    <w:rsid w:val="00D1042D"/>
    <w:rsid w:val="00D1097C"/>
    <w:rsid w:val="00D1151E"/>
    <w:rsid w:val="00D12AD5"/>
    <w:rsid w:val="00D13AD8"/>
    <w:rsid w:val="00D15F0A"/>
    <w:rsid w:val="00D1625F"/>
    <w:rsid w:val="00D16727"/>
    <w:rsid w:val="00D20ACF"/>
    <w:rsid w:val="00D2113C"/>
    <w:rsid w:val="00D21635"/>
    <w:rsid w:val="00D218F9"/>
    <w:rsid w:val="00D23616"/>
    <w:rsid w:val="00D247EF"/>
    <w:rsid w:val="00D258F0"/>
    <w:rsid w:val="00D26BA1"/>
    <w:rsid w:val="00D270DB"/>
    <w:rsid w:val="00D27711"/>
    <w:rsid w:val="00D308ED"/>
    <w:rsid w:val="00D318C6"/>
    <w:rsid w:val="00D322DC"/>
    <w:rsid w:val="00D32FA9"/>
    <w:rsid w:val="00D33A08"/>
    <w:rsid w:val="00D36D86"/>
    <w:rsid w:val="00D3729C"/>
    <w:rsid w:val="00D407AF"/>
    <w:rsid w:val="00D428AA"/>
    <w:rsid w:val="00D42EA3"/>
    <w:rsid w:val="00D43484"/>
    <w:rsid w:val="00D465FF"/>
    <w:rsid w:val="00D50A34"/>
    <w:rsid w:val="00D5359C"/>
    <w:rsid w:val="00D53EFA"/>
    <w:rsid w:val="00D54294"/>
    <w:rsid w:val="00D60B97"/>
    <w:rsid w:val="00D634A0"/>
    <w:rsid w:val="00D652E4"/>
    <w:rsid w:val="00D66BF1"/>
    <w:rsid w:val="00D67DB1"/>
    <w:rsid w:val="00D71574"/>
    <w:rsid w:val="00D722EB"/>
    <w:rsid w:val="00D72795"/>
    <w:rsid w:val="00D727B5"/>
    <w:rsid w:val="00D72A9C"/>
    <w:rsid w:val="00D74149"/>
    <w:rsid w:val="00D775CA"/>
    <w:rsid w:val="00D7764C"/>
    <w:rsid w:val="00D77DED"/>
    <w:rsid w:val="00D8018C"/>
    <w:rsid w:val="00D81273"/>
    <w:rsid w:val="00D822AA"/>
    <w:rsid w:val="00D82675"/>
    <w:rsid w:val="00D82B51"/>
    <w:rsid w:val="00D857A0"/>
    <w:rsid w:val="00D86DE0"/>
    <w:rsid w:val="00D874ED"/>
    <w:rsid w:val="00D8798E"/>
    <w:rsid w:val="00D92E3B"/>
    <w:rsid w:val="00D93BF5"/>
    <w:rsid w:val="00D94A7C"/>
    <w:rsid w:val="00D94CE8"/>
    <w:rsid w:val="00D955E6"/>
    <w:rsid w:val="00D95896"/>
    <w:rsid w:val="00D95EC1"/>
    <w:rsid w:val="00D96B35"/>
    <w:rsid w:val="00DA0AB6"/>
    <w:rsid w:val="00DA4578"/>
    <w:rsid w:val="00DA46AB"/>
    <w:rsid w:val="00DA733C"/>
    <w:rsid w:val="00DB0F67"/>
    <w:rsid w:val="00DB1BF1"/>
    <w:rsid w:val="00DB2625"/>
    <w:rsid w:val="00DB2983"/>
    <w:rsid w:val="00DC00E3"/>
    <w:rsid w:val="00DC1257"/>
    <w:rsid w:val="00DC1472"/>
    <w:rsid w:val="00DC1DCB"/>
    <w:rsid w:val="00DC2C0D"/>
    <w:rsid w:val="00DC3DC0"/>
    <w:rsid w:val="00DC5B2B"/>
    <w:rsid w:val="00DC6503"/>
    <w:rsid w:val="00DD053B"/>
    <w:rsid w:val="00DD16E1"/>
    <w:rsid w:val="00DD1AC4"/>
    <w:rsid w:val="00DD2747"/>
    <w:rsid w:val="00DD318D"/>
    <w:rsid w:val="00DD4B01"/>
    <w:rsid w:val="00DD4F6A"/>
    <w:rsid w:val="00DD5BC3"/>
    <w:rsid w:val="00DD65DE"/>
    <w:rsid w:val="00DD71FF"/>
    <w:rsid w:val="00DE1FF3"/>
    <w:rsid w:val="00DE2AB2"/>
    <w:rsid w:val="00DE310F"/>
    <w:rsid w:val="00DE3611"/>
    <w:rsid w:val="00DE3801"/>
    <w:rsid w:val="00DE4254"/>
    <w:rsid w:val="00DE5420"/>
    <w:rsid w:val="00DE5D92"/>
    <w:rsid w:val="00DE738D"/>
    <w:rsid w:val="00DF0092"/>
    <w:rsid w:val="00DF0BE5"/>
    <w:rsid w:val="00DF1805"/>
    <w:rsid w:val="00DF2E12"/>
    <w:rsid w:val="00DF514A"/>
    <w:rsid w:val="00DF5F29"/>
    <w:rsid w:val="00DF60AD"/>
    <w:rsid w:val="00DF6690"/>
    <w:rsid w:val="00DF6804"/>
    <w:rsid w:val="00DF761E"/>
    <w:rsid w:val="00DF7935"/>
    <w:rsid w:val="00E0358D"/>
    <w:rsid w:val="00E04323"/>
    <w:rsid w:val="00E04725"/>
    <w:rsid w:val="00E05DC7"/>
    <w:rsid w:val="00E061D4"/>
    <w:rsid w:val="00E06A46"/>
    <w:rsid w:val="00E070A2"/>
    <w:rsid w:val="00E11131"/>
    <w:rsid w:val="00E12EF1"/>
    <w:rsid w:val="00E137B3"/>
    <w:rsid w:val="00E152E2"/>
    <w:rsid w:val="00E17B52"/>
    <w:rsid w:val="00E20349"/>
    <w:rsid w:val="00E230B6"/>
    <w:rsid w:val="00E2656A"/>
    <w:rsid w:val="00E32D37"/>
    <w:rsid w:val="00E3381C"/>
    <w:rsid w:val="00E33AB2"/>
    <w:rsid w:val="00E348D7"/>
    <w:rsid w:val="00E356FA"/>
    <w:rsid w:val="00E37886"/>
    <w:rsid w:val="00E412D0"/>
    <w:rsid w:val="00E42128"/>
    <w:rsid w:val="00E42527"/>
    <w:rsid w:val="00E4257F"/>
    <w:rsid w:val="00E455FB"/>
    <w:rsid w:val="00E46F3F"/>
    <w:rsid w:val="00E50089"/>
    <w:rsid w:val="00E50E6A"/>
    <w:rsid w:val="00E5358D"/>
    <w:rsid w:val="00E53B91"/>
    <w:rsid w:val="00E54CC8"/>
    <w:rsid w:val="00E56322"/>
    <w:rsid w:val="00E60982"/>
    <w:rsid w:val="00E62C62"/>
    <w:rsid w:val="00E63BA4"/>
    <w:rsid w:val="00E64BF8"/>
    <w:rsid w:val="00E64EBD"/>
    <w:rsid w:val="00E654C1"/>
    <w:rsid w:val="00E65D97"/>
    <w:rsid w:val="00E66C43"/>
    <w:rsid w:val="00E66C47"/>
    <w:rsid w:val="00E67680"/>
    <w:rsid w:val="00E72A5A"/>
    <w:rsid w:val="00E73354"/>
    <w:rsid w:val="00E75B23"/>
    <w:rsid w:val="00E75B52"/>
    <w:rsid w:val="00E766D3"/>
    <w:rsid w:val="00E77DB7"/>
    <w:rsid w:val="00E801EC"/>
    <w:rsid w:val="00E80FA7"/>
    <w:rsid w:val="00E83A2D"/>
    <w:rsid w:val="00E84E2A"/>
    <w:rsid w:val="00E85EC4"/>
    <w:rsid w:val="00E87842"/>
    <w:rsid w:val="00E91779"/>
    <w:rsid w:val="00E9242D"/>
    <w:rsid w:val="00E93361"/>
    <w:rsid w:val="00E947B0"/>
    <w:rsid w:val="00EA37E5"/>
    <w:rsid w:val="00EA66DB"/>
    <w:rsid w:val="00EA723F"/>
    <w:rsid w:val="00EB02C1"/>
    <w:rsid w:val="00EB0CD7"/>
    <w:rsid w:val="00EB1952"/>
    <w:rsid w:val="00EB1D92"/>
    <w:rsid w:val="00EB32E2"/>
    <w:rsid w:val="00EB44AD"/>
    <w:rsid w:val="00EB485B"/>
    <w:rsid w:val="00EB489C"/>
    <w:rsid w:val="00EB4FC4"/>
    <w:rsid w:val="00EB51A5"/>
    <w:rsid w:val="00EB5255"/>
    <w:rsid w:val="00EB5C47"/>
    <w:rsid w:val="00EB74F9"/>
    <w:rsid w:val="00EC313A"/>
    <w:rsid w:val="00EC3ED2"/>
    <w:rsid w:val="00EC5E04"/>
    <w:rsid w:val="00EC5EBE"/>
    <w:rsid w:val="00EC72F4"/>
    <w:rsid w:val="00EC7874"/>
    <w:rsid w:val="00EC7D47"/>
    <w:rsid w:val="00ED061D"/>
    <w:rsid w:val="00ED0629"/>
    <w:rsid w:val="00ED0639"/>
    <w:rsid w:val="00ED1CE2"/>
    <w:rsid w:val="00ED3921"/>
    <w:rsid w:val="00ED398E"/>
    <w:rsid w:val="00ED402E"/>
    <w:rsid w:val="00ED43B1"/>
    <w:rsid w:val="00ED5042"/>
    <w:rsid w:val="00ED709E"/>
    <w:rsid w:val="00EE1FAB"/>
    <w:rsid w:val="00EE28AE"/>
    <w:rsid w:val="00EE2C9D"/>
    <w:rsid w:val="00EE33B0"/>
    <w:rsid w:val="00EE3881"/>
    <w:rsid w:val="00EE44F8"/>
    <w:rsid w:val="00EE568A"/>
    <w:rsid w:val="00EE5DEC"/>
    <w:rsid w:val="00EF256A"/>
    <w:rsid w:val="00EF4755"/>
    <w:rsid w:val="00EF7135"/>
    <w:rsid w:val="00EF7F44"/>
    <w:rsid w:val="00F027DB"/>
    <w:rsid w:val="00F02D53"/>
    <w:rsid w:val="00F03709"/>
    <w:rsid w:val="00F040A9"/>
    <w:rsid w:val="00F049FE"/>
    <w:rsid w:val="00F06B03"/>
    <w:rsid w:val="00F14A7A"/>
    <w:rsid w:val="00F14B83"/>
    <w:rsid w:val="00F16251"/>
    <w:rsid w:val="00F16AC3"/>
    <w:rsid w:val="00F21A99"/>
    <w:rsid w:val="00F22985"/>
    <w:rsid w:val="00F23087"/>
    <w:rsid w:val="00F24E28"/>
    <w:rsid w:val="00F26C61"/>
    <w:rsid w:val="00F33377"/>
    <w:rsid w:val="00F33415"/>
    <w:rsid w:val="00F337CA"/>
    <w:rsid w:val="00F3383E"/>
    <w:rsid w:val="00F3529A"/>
    <w:rsid w:val="00F360FC"/>
    <w:rsid w:val="00F4078D"/>
    <w:rsid w:val="00F419B3"/>
    <w:rsid w:val="00F4207C"/>
    <w:rsid w:val="00F432BC"/>
    <w:rsid w:val="00F43E3E"/>
    <w:rsid w:val="00F4491D"/>
    <w:rsid w:val="00F45369"/>
    <w:rsid w:val="00F45F1D"/>
    <w:rsid w:val="00F461B0"/>
    <w:rsid w:val="00F465A7"/>
    <w:rsid w:val="00F505C6"/>
    <w:rsid w:val="00F50B7C"/>
    <w:rsid w:val="00F541B8"/>
    <w:rsid w:val="00F550E6"/>
    <w:rsid w:val="00F62461"/>
    <w:rsid w:val="00F631B8"/>
    <w:rsid w:val="00F66196"/>
    <w:rsid w:val="00F70009"/>
    <w:rsid w:val="00F70A47"/>
    <w:rsid w:val="00F7170D"/>
    <w:rsid w:val="00F728E8"/>
    <w:rsid w:val="00F74345"/>
    <w:rsid w:val="00F7456A"/>
    <w:rsid w:val="00F75BB7"/>
    <w:rsid w:val="00F7649E"/>
    <w:rsid w:val="00F76E18"/>
    <w:rsid w:val="00F7788A"/>
    <w:rsid w:val="00F8000E"/>
    <w:rsid w:val="00F809B0"/>
    <w:rsid w:val="00F80A0A"/>
    <w:rsid w:val="00F81224"/>
    <w:rsid w:val="00F82B19"/>
    <w:rsid w:val="00F85AC7"/>
    <w:rsid w:val="00F9212D"/>
    <w:rsid w:val="00F92167"/>
    <w:rsid w:val="00F94D7F"/>
    <w:rsid w:val="00F95058"/>
    <w:rsid w:val="00F965DA"/>
    <w:rsid w:val="00F9676A"/>
    <w:rsid w:val="00F96C02"/>
    <w:rsid w:val="00FA07B4"/>
    <w:rsid w:val="00FA1520"/>
    <w:rsid w:val="00FA170C"/>
    <w:rsid w:val="00FA1BCC"/>
    <w:rsid w:val="00FA2E6D"/>
    <w:rsid w:val="00FA406A"/>
    <w:rsid w:val="00FB0211"/>
    <w:rsid w:val="00FB0C82"/>
    <w:rsid w:val="00FB0DD3"/>
    <w:rsid w:val="00FB3D59"/>
    <w:rsid w:val="00FB3F73"/>
    <w:rsid w:val="00FB4518"/>
    <w:rsid w:val="00FB4BF1"/>
    <w:rsid w:val="00FB4F42"/>
    <w:rsid w:val="00FB503A"/>
    <w:rsid w:val="00FB516C"/>
    <w:rsid w:val="00FB6862"/>
    <w:rsid w:val="00FC2E69"/>
    <w:rsid w:val="00FC476E"/>
    <w:rsid w:val="00FC7D57"/>
    <w:rsid w:val="00FD0236"/>
    <w:rsid w:val="00FD0CE8"/>
    <w:rsid w:val="00FD10E3"/>
    <w:rsid w:val="00FD13E8"/>
    <w:rsid w:val="00FD18F4"/>
    <w:rsid w:val="00FD54DB"/>
    <w:rsid w:val="00FD619F"/>
    <w:rsid w:val="00FD6283"/>
    <w:rsid w:val="00FD7948"/>
    <w:rsid w:val="00FD7ECB"/>
    <w:rsid w:val="00FE0738"/>
    <w:rsid w:val="00FE0F0C"/>
    <w:rsid w:val="00FE2322"/>
    <w:rsid w:val="00FE33A2"/>
    <w:rsid w:val="00FE4DD0"/>
    <w:rsid w:val="00FE4DF6"/>
    <w:rsid w:val="00FE647D"/>
    <w:rsid w:val="00FE70A7"/>
    <w:rsid w:val="00FF27CB"/>
    <w:rsid w:val="00FF316B"/>
    <w:rsid w:val="00FF373D"/>
    <w:rsid w:val="00FF406A"/>
    <w:rsid w:val="00FF5585"/>
    <w:rsid w:val="00FF7BEC"/>
    <w:rsid w:val="01290F7E"/>
    <w:rsid w:val="015D1E09"/>
    <w:rsid w:val="017E4512"/>
    <w:rsid w:val="02407155"/>
    <w:rsid w:val="02697903"/>
    <w:rsid w:val="0286527E"/>
    <w:rsid w:val="02F96569"/>
    <w:rsid w:val="035A348C"/>
    <w:rsid w:val="03EA7B21"/>
    <w:rsid w:val="03F41F60"/>
    <w:rsid w:val="04043713"/>
    <w:rsid w:val="04134640"/>
    <w:rsid w:val="055F2C3F"/>
    <w:rsid w:val="05B07ED3"/>
    <w:rsid w:val="05F83EAE"/>
    <w:rsid w:val="063E7D85"/>
    <w:rsid w:val="06502A9C"/>
    <w:rsid w:val="07293586"/>
    <w:rsid w:val="07295285"/>
    <w:rsid w:val="07621DEE"/>
    <w:rsid w:val="07636392"/>
    <w:rsid w:val="076B50DC"/>
    <w:rsid w:val="07770C56"/>
    <w:rsid w:val="0904375E"/>
    <w:rsid w:val="092217DD"/>
    <w:rsid w:val="09346EFB"/>
    <w:rsid w:val="093A7294"/>
    <w:rsid w:val="0983189D"/>
    <w:rsid w:val="09D45CD3"/>
    <w:rsid w:val="09D63529"/>
    <w:rsid w:val="0A263993"/>
    <w:rsid w:val="0A2D3AC2"/>
    <w:rsid w:val="0AA755DF"/>
    <w:rsid w:val="0B05501A"/>
    <w:rsid w:val="0B120D44"/>
    <w:rsid w:val="0BD27BF6"/>
    <w:rsid w:val="0C3B3C7D"/>
    <w:rsid w:val="0C8A2246"/>
    <w:rsid w:val="0CAB2EAE"/>
    <w:rsid w:val="0CBB0361"/>
    <w:rsid w:val="0D4920A8"/>
    <w:rsid w:val="0D621C7D"/>
    <w:rsid w:val="0E73034D"/>
    <w:rsid w:val="0EAF72CF"/>
    <w:rsid w:val="0ED9050B"/>
    <w:rsid w:val="0EF82E2D"/>
    <w:rsid w:val="0F13775A"/>
    <w:rsid w:val="0F5F45FE"/>
    <w:rsid w:val="0F85575E"/>
    <w:rsid w:val="0F9A112B"/>
    <w:rsid w:val="0FED78F5"/>
    <w:rsid w:val="0FFE1A42"/>
    <w:rsid w:val="10230509"/>
    <w:rsid w:val="1048517D"/>
    <w:rsid w:val="106D2F64"/>
    <w:rsid w:val="10B63710"/>
    <w:rsid w:val="10C00A15"/>
    <w:rsid w:val="10F10820"/>
    <w:rsid w:val="111C2F7A"/>
    <w:rsid w:val="115E4BCB"/>
    <w:rsid w:val="11665CA1"/>
    <w:rsid w:val="11B45848"/>
    <w:rsid w:val="11DF761F"/>
    <w:rsid w:val="12285D13"/>
    <w:rsid w:val="132A6FCA"/>
    <w:rsid w:val="13951726"/>
    <w:rsid w:val="141C7A88"/>
    <w:rsid w:val="14396509"/>
    <w:rsid w:val="14DD2C3C"/>
    <w:rsid w:val="15622736"/>
    <w:rsid w:val="1595122D"/>
    <w:rsid w:val="16087E1D"/>
    <w:rsid w:val="16C126B6"/>
    <w:rsid w:val="17243D7E"/>
    <w:rsid w:val="17701D14"/>
    <w:rsid w:val="17735226"/>
    <w:rsid w:val="182C4904"/>
    <w:rsid w:val="185C4BE4"/>
    <w:rsid w:val="18696EEB"/>
    <w:rsid w:val="189F624C"/>
    <w:rsid w:val="18B703D5"/>
    <w:rsid w:val="18CF0B0E"/>
    <w:rsid w:val="195E2FE1"/>
    <w:rsid w:val="1987329C"/>
    <w:rsid w:val="19877BD6"/>
    <w:rsid w:val="198E1D99"/>
    <w:rsid w:val="19A137E6"/>
    <w:rsid w:val="1A1C66C0"/>
    <w:rsid w:val="1A42393B"/>
    <w:rsid w:val="1A6619C6"/>
    <w:rsid w:val="1A8F0EFB"/>
    <w:rsid w:val="1AAD45DE"/>
    <w:rsid w:val="1B046F80"/>
    <w:rsid w:val="1B3267B5"/>
    <w:rsid w:val="1B40161D"/>
    <w:rsid w:val="1B441859"/>
    <w:rsid w:val="1B6606B1"/>
    <w:rsid w:val="1C5E7925"/>
    <w:rsid w:val="1CEC537C"/>
    <w:rsid w:val="1CFD070F"/>
    <w:rsid w:val="1D5F6196"/>
    <w:rsid w:val="1D6132A5"/>
    <w:rsid w:val="1D8E56D5"/>
    <w:rsid w:val="1E094049"/>
    <w:rsid w:val="1E191DD0"/>
    <w:rsid w:val="1E7A43DA"/>
    <w:rsid w:val="1ECA562D"/>
    <w:rsid w:val="1F38650F"/>
    <w:rsid w:val="1FE7539E"/>
    <w:rsid w:val="20457015"/>
    <w:rsid w:val="20671BE0"/>
    <w:rsid w:val="20963CB8"/>
    <w:rsid w:val="20A81A1B"/>
    <w:rsid w:val="20B07FB6"/>
    <w:rsid w:val="20B646FB"/>
    <w:rsid w:val="213B74B1"/>
    <w:rsid w:val="215A2310"/>
    <w:rsid w:val="21DE318A"/>
    <w:rsid w:val="21EF5B80"/>
    <w:rsid w:val="22576990"/>
    <w:rsid w:val="22F47480"/>
    <w:rsid w:val="23015995"/>
    <w:rsid w:val="23974426"/>
    <w:rsid w:val="23DE1C48"/>
    <w:rsid w:val="240210CD"/>
    <w:rsid w:val="24BF09F7"/>
    <w:rsid w:val="24C2450B"/>
    <w:rsid w:val="252D53FE"/>
    <w:rsid w:val="256D6161"/>
    <w:rsid w:val="25D833F0"/>
    <w:rsid w:val="25EC2D81"/>
    <w:rsid w:val="277057A2"/>
    <w:rsid w:val="27D87ECE"/>
    <w:rsid w:val="28CC6951"/>
    <w:rsid w:val="29206EB8"/>
    <w:rsid w:val="29595666"/>
    <w:rsid w:val="29874881"/>
    <w:rsid w:val="29D9224A"/>
    <w:rsid w:val="29D9280E"/>
    <w:rsid w:val="29E325E0"/>
    <w:rsid w:val="29FF1564"/>
    <w:rsid w:val="2A3646FC"/>
    <w:rsid w:val="2A452503"/>
    <w:rsid w:val="2BA936A8"/>
    <w:rsid w:val="2C315A5A"/>
    <w:rsid w:val="2C4B1C25"/>
    <w:rsid w:val="2C4E2F5B"/>
    <w:rsid w:val="2C6A2A3E"/>
    <w:rsid w:val="2D090EAF"/>
    <w:rsid w:val="2D1E3FC4"/>
    <w:rsid w:val="2D9E56F5"/>
    <w:rsid w:val="2E1831B9"/>
    <w:rsid w:val="2E667F96"/>
    <w:rsid w:val="2E7319FE"/>
    <w:rsid w:val="2E8226AB"/>
    <w:rsid w:val="2FD065E6"/>
    <w:rsid w:val="2FD96870"/>
    <w:rsid w:val="30580BC9"/>
    <w:rsid w:val="311E2ED7"/>
    <w:rsid w:val="315619EE"/>
    <w:rsid w:val="315C449C"/>
    <w:rsid w:val="31790F59"/>
    <w:rsid w:val="31B82709"/>
    <w:rsid w:val="31D05482"/>
    <w:rsid w:val="320E33C9"/>
    <w:rsid w:val="32400B34"/>
    <w:rsid w:val="329E6876"/>
    <w:rsid w:val="32A4162D"/>
    <w:rsid w:val="333015F2"/>
    <w:rsid w:val="334B6320"/>
    <w:rsid w:val="33504527"/>
    <w:rsid w:val="338A444D"/>
    <w:rsid w:val="33D934D4"/>
    <w:rsid w:val="33FE2F6A"/>
    <w:rsid w:val="340E07E5"/>
    <w:rsid w:val="34235BF7"/>
    <w:rsid w:val="3563154B"/>
    <w:rsid w:val="358C5FA8"/>
    <w:rsid w:val="35C15DF1"/>
    <w:rsid w:val="36074A7F"/>
    <w:rsid w:val="36923549"/>
    <w:rsid w:val="36A71497"/>
    <w:rsid w:val="36B75FBF"/>
    <w:rsid w:val="36BD0C45"/>
    <w:rsid w:val="36E03245"/>
    <w:rsid w:val="37E00298"/>
    <w:rsid w:val="38B302F9"/>
    <w:rsid w:val="38F12CD3"/>
    <w:rsid w:val="38F94775"/>
    <w:rsid w:val="392971ED"/>
    <w:rsid w:val="39325651"/>
    <w:rsid w:val="3A872856"/>
    <w:rsid w:val="3B3763D1"/>
    <w:rsid w:val="3C06627C"/>
    <w:rsid w:val="3C2F6E1E"/>
    <w:rsid w:val="3C4F64BA"/>
    <w:rsid w:val="3CDA245A"/>
    <w:rsid w:val="3D1E06B7"/>
    <w:rsid w:val="3D7C6677"/>
    <w:rsid w:val="3DA2789E"/>
    <w:rsid w:val="3EDA0523"/>
    <w:rsid w:val="3F092A7C"/>
    <w:rsid w:val="400B7BB2"/>
    <w:rsid w:val="400E2CB0"/>
    <w:rsid w:val="407A6407"/>
    <w:rsid w:val="412D6DB2"/>
    <w:rsid w:val="41830ECD"/>
    <w:rsid w:val="41D77AF6"/>
    <w:rsid w:val="4200449D"/>
    <w:rsid w:val="423A3BCC"/>
    <w:rsid w:val="424E57D2"/>
    <w:rsid w:val="42B26C49"/>
    <w:rsid w:val="42D61147"/>
    <w:rsid w:val="433A6FE6"/>
    <w:rsid w:val="43480868"/>
    <w:rsid w:val="4350713C"/>
    <w:rsid w:val="436653E0"/>
    <w:rsid w:val="43C4431A"/>
    <w:rsid w:val="43F956AB"/>
    <w:rsid w:val="44B951CC"/>
    <w:rsid w:val="44CD14E0"/>
    <w:rsid w:val="44F20B0B"/>
    <w:rsid w:val="452E5F4C"/>
    <w:rsid w:val="45612018"/>
    <w:rsid w:val="458946E9"/>
    <w:rsid w:val="45A47C0E"/>
    <w:rsid w:val="46577FD6"/>
    <w:rsid w:val="46640FC2"/>
    <w:rsid w:val="46D955A7"/>
    <w:rsid w:val="47133957"/>
    <w:rsid w:val="478E0090"/>
    <w:rsid w:val="47A07E0C"/>
    <w:rsid w:val="4870272E"/>
    <w:rsid w:val="48BF65B6"/>
    <w:rsid w:val="49DC7715"/>
    <w:rsid w:val="49F92669"/>
    <w:rsid w:val="4A023139"/>
    <w:rsid w:val="4A7B0E07"/>
    <w:rsid w:val="4A7B576F"/>
    <w:rsid w:val="4AF561A9"/>
    <w:rsid w:val="4B0D4B5E"/>
    <w:rsid w:val="4B177332"/>
    <w:rsid w:val="4C447BF1"/>
    <w:rsid w:val="4C4A0649"/>
    <w:rsid w:val="4C7E5ECA"/>
    <w:rsid w:val="4C876AA5"/>
    <w:rsid w:val="4D0E00FB"/>
    <w:rsid w:val="4D176606"/>
    <w:rsid w:val="4DD30563"/>
    <w:rsid w:val="4DEC4FB0"/>
    <w:rsid w:val="4E075D8A"/>
    <w:rsid w:val="4E917AC9"/>
    <w:rsid w:val="4EC00FAD"/>
    <w:rsid w:val="4F9843DC"/>
    <w:rsid w:val="4FC62A8C"/>
    <w:rsid w:val="4FE20F0D"/>
    <w:rsid w:val="4FE51552"/>
    <w:rsid w:val="50504C4B"/>
    <w:rsid w:val="509C6E7C"/>
    <w:rsid w:val="50F06D9F"/>
    <w:rsid w:val="513C2B8F"/>
    <w:rsid w:val="515A6FC2"/>
    <w:rsid w:val="5162104E"/>
    <w:rsid w:val="51BC1CBE"/>
    <w:rsid w:val="51C3152B"/>
    <w:rsid w:val="52B2723B"/>
    <w:rsid w:val="53A039CC"/>
    <w:rsid w:val="53A1505A"/>
    <w:rsid w:val="54063E08"/>
    <w:rsid w:val="542078C7"/>
    <w:rsid w:val="54285A72"/>
    <w:rsid w:val="543437E8"/>
    <w:rsid w:val="544F4671"/>
    <w:rsid w:val="545F6D62"/>
    <w:rsid w:val="54F73313"/>
    <w:rsid w:val="54F80955"/>
    <w:rsid w:val="555170A7"/>
    <w:rsid w:val="5587536D"/>
    <w:rsid w:val="559B174B"/>
    <w:rsid w:val="55CE0CF4"/>
    <w:rsid w:val="56B22A9C"/>
    <w:rsid w:val="57815A85"/>
    <w:rsid w:val="57B72A76"/>
    <w:rsid w:val="57C3426C"/>
    <w:rsid w:val="57CE1F93"/>
    <w:rsid w:val="57E74C24"/>
    <w:rsid w:val="588743D1"/>
    <w:rsid w:val="5887701A"/>
    <w:rsid w:val="58934643"/>
    <w:rsid w:val="59C0439F"/>
    <w:rsid w:val="59E10BDE"/>
    <w:rsid w:val="5ABE2233"/>
    <w:rsid w:val="5B845C00"/>
    <w:rsid w:val="5B9B5D47"/>
    <w:rsid w:val="5BA07F3E"/>
    <w:rsid w:val="5BDF5D95"/>
    <w:rsid w:val="5BE82ADF"/>
    <w:rsid w:val="5BFE7528"/>
    <w:rsid w:val="5C442DDC"/>
    <w:rsid w:val="5C9E38A9"/>
    <w:rsid w:val="5D2E225D"/>
    <w:rsid w:val="5E051624"/>
    <w:rsid w:val="5E2467F1"/>
    <w:rsid w:val="5F1A2B43"/>
    <w:rsid w:val="5F5C3366"/>
    <w:rsid w:val="5FB837BB"/>
    <w:rsid w:val="5FF80BF6"/>
    <w:rsid w:val="60CC405A"/>
    <w:rsid w:val="60CE4842"/>
    <w:rsid w:val="614D41C6"/>
    <w:rsid w:val="61501F46"/>
    <w:rsid w:val="61651522"/>
    <w:rsid w:val="61E215D8"/>
    <w:rsid w:val="61F0668B"/>
    <w:rsid w:val="621B3775"/>
    <w:rsid w:val="62222102"/>
    <w:rsid w:val="62364782"/>
    <w:rsid w:val="62C30711"/>
    <w:rsid w:val="6394356A"/>
    <w:rsid w:val="63C61B2C"/>
    <w:rsid w:val="63D40BE9"/>
    <w:rsid w:val="64102431"/>
    <w:rsid w:val="64A5243A"/>
    <w:rsid w:val="64F531DE"/>
    <w:rsid w:val="65104FFE"/>
    <w:rsid w:val="65373578"/>
    <w:rsid w:val="66E54E82"/>
    <w:rsid w:val="66F6297C"/>
    <w:rsid w:val="671F124A"/>
    <w:rsid w:val="677A33C6"/>
    <w:rsid w:val="681F6961"/>
    <w:rsid w:val="68610A2F"/>
    <w:rsid w:val="68805514"/>
    <w:rsid w:val="68B633CD"/>
    <w:rsid w:val="69316E2F"/>
    <w:rsid w:val="694E2071"/>
    <w:rsid w:val="696B1A95"/>
    <w:rsid w:val="69766163"/>
    <w:rsid w:val="697A3B33"/>
    <w:rsid w:val="69D44760"/>
    <w:rsid w:val="6A1875DF"/>
    <w:rsid w:val="6A520EC7"/>
    <w:rsid w:val="6A5A7C39"/>
    <w:rsid w:val="6ABA2768"/>
    <w:rsid w:val="6AEA068A"/>
    <w:rsid w:val="6AF87E20"/>
    <w:rsid w:val="6AFB5782"/>
    <w:rsid w:val="6AFE5643"/>
    <w:rsid w:val="6B322639"/>
    <w:rsid w:val="6C636C38"/>
    <w:rsid w:val="6C9A49DA"/>
    <w:rsid w:val="6CCC5EF1"/>
    <w:rsid w:val="6D5D3A4D"/>
    <w:rsid w:val="6DB34098"/>
    <w:rsid w:val="6DB545B6"/>
    <w:rsid w:val="6DE02FB4"/>
    <w:rsid w:val="6DE61CDD"/>
    <w:rsid w:val="6E514CED"/>
    <w:rsid w:val="6E7759D4"/>
    <w:rsid w:val="6EB563D5"/>
    <w:rsid w:val="6ED92677"/>
    <w:rsid w:val="6F225983"/>
    <w:rsid w:val="6F33194F"/>
    <w:rsid w:val="6F861378"/>
    <w:rsid w:val="6FFC5590"/>
    <w:rsid w:val="70282975"/>
    <w:rsid w:val="706D1DD0"/>
    <w:rsid w:val="70856B87"/>
    <w:rsid w:val="70CD507F"/>
    <w:rsid w:val="70D527EE"/>
    <w:rsid w:val="70E2093C"/>
    <w:rsid w:val="711F4DE3"/>
    <w:rsid w:val="715B5300"/>
    <w:rsid w:val="71D27F8A"/>
    <w:rsid w:val="72553024"/>
    <w:rsid w:val="72A15DD7"/>
    <w:rsid w:val="73122968"/>
    <w:rsid w:val="731F5D5E"/>
    <w:rsid w:val="73C51AD5"/>
    <w:rsid w:val="741E793C"/>
    <w:rsid w:val="745E3944"/>
    <w:rsid w:val="747E787F"/>
    <w:rsid w:val="75122B09"/>
    <w:rsid w:val="76041EA7"/>
    <w:rsid w:val="7635099D"/>
    <w:rsid w:val="77762421"/>
    <w:rsid w:val="77B56B1F"/>
    <w:rsid w:val="78022884"/>
    <w:rsid w:val="780F09F4"/>
    <w:rsid w:val="78A90480"/>
    <w:rsid w:val="7974057E"/>
    <w:rsid w:val="7A364017"/>
    <w:rsid w:val="7A8265E1"/>
    <w:rsid w:val="7B686D42"/>
    <w:rsid w:val="7B841746"/>
    <w:rsid w:val="7BD76AF5"/>
    <w:rsid w:val="7C6C5AC7"/>
    <w:rsid w:val="7C9E76C2"/>
    <w:rsid w:val="7CA74223"/>
    <w:rsid w:val="7CC6544B"/>
    <w:rsid w:val="7D0239FF"/>
    <w:rsid w:val="7D5E40CD"/>
    <w:rsid w:val="7DC43F2F"/>
    <w:rsid w:val="7DCD56F2"/>
    <w:rsid w:val="7F001CE7"/>
    <w:rsid w:val="7F2C7FD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nhideWhenUsed="0" w:uiPriority="0" w:semiHidden="0" w:name="table of authorities" w:locked="1"/>
    <w:lsdException w:qFormat="1" w:unhideWhenUsed="0" w:uiPriority="0" w:semiHidden="0" w:name="macro" w:locked="1"/>
    <w:lsdException w:uiPriority="0" w:name="toa heading" w:locked="1"/>
    <w:lsdException w:unhideWhenUsed="0" w:uiPriority="0" w:semiHidden="0" w:name="List" w:locked="1"/>
    <w:lsdException w:unhideWhenUsed="0"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unhideWhenUsed="0" w:uiPriority="0" w:semiHidden="0" w:name="Subtitle" w:locked="1"/>
    <w:lsdException w:qFormat="1"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qFormat="1" w:unhideWhenUsed="0" w:uiPriority="99" w:semiHidden="0" w:name="Body Text Indent 3" w:locked="1"/>
    <w:lsdException w:uiPriority="0" w:name="Block Text" w:locked="1"/>
    <w:lsdException w:qFormat="1" w:uiPriority="99"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iPriority="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39"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3"/>
    <w:basedOn w:val="1"/>
    <w:next w:val="1"/>
    <w:link w:val="30"/>
    <w:qFormat/>
    <w:locked/>
    <w:uiPriority w:val="0"/>
    <w:pPr>
      <w:keepNext/>
      <w:spacing w:line="240" w:lineRule="auto"/>
      <w:ind w:firstLine="0" w:firstLineChars="0"/>
      <w:jc w:val="center"/>
      <w:outlineLvl w:val="2"/>
    </w:pPr>
    <w:rPr>
      <w:rFonts w:ascii="黑体"/>
      <w:b/>
      <w:bCs/>
      <w:color w:val="000000"/>
      <w:sz w:val="36"/>
    </w:rPr>
  </w:style>
  <w:style w:type="character" w:default="1" w:styleId="24">
    <w:name w:val="Default Paragraph Font"/>
    <w:semiHidden/>
    <w:unhideWhenUsed/>
    <w:qFormat/>
    <w:uiPriority w:val="1"/>
  </w:style>
  <w:style w:type="table" w:default="1" w:styleId="2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Plain Text"/>
    <w:basedOn w:val="1"/>
    <w:next w:val="1"/>
    <w:link w:val="87"/>
    <w:semiHidden/>
    <w:unhideWhenUsed/>
    <w:qFormat/>
    <w:locked/>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4"/>
      <w:lang w:val="en-US" w:eastAsia="zh-CN" w:bidi="ar"/>
    </w:rPr>
  </w:style>
  <w:style w:type="paragraph" w:styleId="3">
    <w:name w:val="macro"/>
    <w:link w:val="29"/>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6">
    <w:name w:val="Normal Indent"/>
    <w:basedOn w:val="1"/>
    <w:qFormat/>
    <w:locked/>
    <w:uiPriority w:val="0"/>
    <w:pPr>
      <w:ind w:firstLine="420"/>
    </w:pPr>
  </w:style>
  <w:style w:type="paragraph" w:styleId="7">
    <w:name w:val="Document Map"/>
    <w:basedOn w:val="1"/>
    <w:link w:val="31"/>
    <w:qFormat/>
    <w:locked/>
    <w:uiPriority w:val="0"/>
    <w:rPr>
      <w:rFonts w:ascii="宋体"/>
      <w:sz w:val="18"/>
      <w:szCs w:val="18"/>
    </w:rPr>
  </w:style>
  <w:style w:type="paragraph" w:styleId="8">
    <w:name w:val="annotation text"/>
    <w:basedOn w:val="1"/>
    <w:link w:val="32"/>
    <w:semiHidden/>
    <w:qFormat/>
    <w:uiPriority w:val="0"/>
    <w:pPr>
      <w:jc w:val="left"/>
    </w:pPr>
    <w:rPr>
      <w:kern w:val="0"/>
      <w:szCs w:val="20"/>
    </w:rPr>
  </w:style>
  <w:style w:type="paragraph" w:styleId="9">
    <w:name w:val="Salutation"/>
    <w:basedOn w:val="1"/>
    <w:next w:val="1"/>
    <w:link w:val="86"/>
    <w:semiHidden/>
    <w:unhideWhenUsed/>
    <w:qFormat/>
    <w:locked/>
    <w:uiPriority w:val="0"/>
  </w:style>
  <w:style w:type="paragraph" w:styleId="10">
    <w:name w:val="Body Text"/>
    <w:basedOn w:val="1"/>
    <w:link w:val="33"/>
    <w:qFormat/>
    <w:uiPriority w:val="0"/>
    <w:pPr>
      <w:widowControl/>
      <w:snapToGrid w:val="0"/>
      <w:spacing w:before="60" w:after="160" w:line="259" w:lineRule="auto"/>
      <w:ind w:right="113"/>
    </w:pPr>
    <w:rPr>
      <w:kern w:val="0"/>
      <w:sz w:val="18"/>
      <w:szCs w:val="20"/>
    </w:rPr>
  </w:style>
  <w:style w:type="paragraph" w:styleId="11">
    <w:name w:val="Body Text Indent"/>
    <w:basedOn w:val="1"/>
    <w:link w:val="34"/>
    <w:qFormat/>
    <w:uiPriority w:val="0"/>
    <w:pPr>
      <w:spacing w:after="120"/>
      <w:ind w:left="420" w:leftChars="200"/>
    </w:pPr>
    <w:rPr>
      <w:kern w:val="0"/>
      <w:szCs w:val="20"/>
    </w:rPr>
  </w:style>
  <w:style w:type="paragraph" w:styleId="12">
    <w:name w:val="Date"/>
    <w:basedOn w:val="1"/>
    <w:next w:val="1"/>
    <w:link w:val="35"/>
    <w:qFormat/>
    <w:uiPriority w:val="0"/>
    <w:pPr>
      <w:ind w:left="100" w:leftChars="2500"/>
    </w:pPr>
    <w:rPr>
      <w:kern w:val="0"/>
      <w:szCs w:val="20"/>
    </w:rPr>
  </w:style>
  <w:style w:type="paragraph" w:styleId="13">
    <w:name w:val="Balloon Text"/>
    <w:basedOn w:val="1"/>
    <w:link w:val="36"/>
    <w:semiHidden/>
    <w:qFormat/>
    <w:uiPriority w:val="0"/>
    <w:rPr>
      <w:kern w:val="0"/>
      <w:sz w:val="18"/>
      <w:szCs w:val="20"/>
    </w:rPr>
  </w:style>
  <w:style w:type="paragraph" w:styleId="14">
    <w:name w:val="footer"/>
    <w:basedOn w:val="1"/>
    <w:link w:val="37"/>
    <w:qFormat/>
    <w:uiPriority w:val="99"/>
    <w:pPr>
      <w:tabs>
        <w:tab w:val="center" w:pos="4153"/>
        <w:tab w:val="right" w:pos="8306"/>
      </w:tabs>
      <w:snapToGrid w:val="0"/>
      <w:jc w:val="left"/>
    </w:pPr>
    <w:rPr>
      <w:kern w:val="0"/>
      <w:sz w:val="18"/>
      <w:szCs w:val="20"/>
    </w:rPr>
  </w:style>
  <w:style w:type="paragraph" w:styleId="15">
    <w:name w:val="header"/>
    <w:basedOn w:val="1"/>
    <w:next w:val="1"/>
    <w:link w:val="28"/>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qFormat/>
    <w:locked/>
    <w:uiPriority w:val="39"/>
  </w:style>
  <w:style w:type="paragraph" w:styleId="17">
    <w:name w:val="Body Text Indent 3"/>
    <w:basedOn w:val="1"/>
    <w:link w:val="38"/>
    <w:qFormat/>
    <w:locked/>
    <w:uiPriority w:val="99"/>
    <w:pPr>
      <w:spacing w:after="120"/>
      <w:ind w:left="420" w:leftChars="200"/>
    </w:pPr>
    <w:rPr>
      <w:sz w:val="16"/>
      <w:szCs w:val="16"/>
    </w:rPr>
  </w:style>
  <w:style w:type="paragraph" w:styleId="18">
    <w:name w:val="Normal (Web)"/>
    <w:basedOn w:val="1"/>
    <w:link w:val="39"/>
    <w:qFormat/>
    <w:uiPriority w:val="0"/>
    <w:pPr>
      <w:widowControl/>
      <w:spacing w:before="100" w:beforeAutospacing="1" w:after="100" w:afterAutospacing="1"/>
      <w:jc w:val="left"/>
    </w:pPr>
    <w:rPr>
      <w:rFonts w:ascii="宋体" w:hAnsi="宋体"/>
      <w:kern w:val="0"/>
      <w:szCs w:val="20"/>
    </w:rPr>
  </w:style>
  <w:style w:type="paragraph" w:styleId="19">
    <w:name w:val="annotation subject"/>
    <w:basedOn w:val="8"/>
    <w:next w:val="8"/>
    <w:link w:val="40"/>
    <w:semiHidden/>
    <w:qFormat/>
    <w:uiPriority w:val="0"/>
    <w:rPr>
      <w:b/>
      <w:kern w:val="2"/>
    </w:rPr>
  </w:style>
  <w:style w:type="paragraph" w:styleId="20">
    <w:name w:val="Body Text First Indent"/>
    <w:basedOn w:val="10"/>
    <w:link w:val="81"/>
    <w:qFormat/>
    <w:locked/>
    <w:uiPriority w:val="0"/>
    <w:pPr>
      <w:widowControl w:val="0"/>
      <w:snapToGrid/>
      <w:spacing w:before="0" w:after="120" w:line="360" w:lineRule="auto"/>
      <w:ind w:right="0" w:firstLine="420" w:firstLineChars="100"/>
    </w:pPr>
    <w:rPr>
      <w:kern w:val="2"/>
      <w:sz w:val="24"/>
      <w:szCs w:val="24"/>
    </w:rPr>
  </w:style>
  <w:style w:type="paragraph" w:styleId="21">
    <w:name w:val="Body Text First Indent 2"/>
    <w:basedOn w:val="11"/>
    <w:link w:val="41"/>
    <w:qFormat/>
    <w:locked/>
    <w:uiPriority w:val="0"/>
    <w:pPr>
      <w:ind w:firstLine="420"/>
    </w:pPr>
    <w:rPr>
      <w:kern w:val="2"/>
      <w:szCs w:val="24"/>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qFormat/>
    <w:locked/>
    <w:uiPriority w:val="0"/>
  </w:style>
  <w:style w:type="character" w:styleId="26">
    <w:name w:val="Hyperlink"/>
    <w:unhideWhenUsed/>
    <w:qFormat/>
    <w:locked/>
    <w:uiPriority w:val="99"/>
    <w:rPr>
      <w:color w:val="0000FF"/>
      <w:u w:val="single"/>
    </w:rPr>
  </w:style>
  <w:style w:type="character" w:styleId="27">
    <w:name w:val="annotation reference"/>
    <w:semiHidden/>
    <w:qFormat/>
    <w:uiPriority w:val="0"/>
    <w:rPr>
      <w:sz w:val="21"/>
    </w:rPr>
  </w:style>
  <w:style w:type="character" w:customStyle="1" w:styleId="28">
    <w:name w:val="页眉 Char"/>
    <w:link w:val="15"/>
    <w:qFormat/>
    <w:locked/>
    <w:uiPriority w:val="0"/>
    <w:rPr>
      <w:sz w:val="18"/>
    </w:rPr>
  </w:style>
  <w:style w:type="character" w:customStyle="1" w:styleId="29">
    <w:name w:val="宏文本 Char"/>
    <w:link w:val="3"/>
    <w:qFormat/>
    <w:uiPriority w:val="0"/>
    <w:rPr>
      <w:rFonts w:ascii="Courier New" w:hAnsi="Courier New" w:cs="Courier New"/>
      <w:kern w:val="2"/>
      <w:sz w:val="24"/>
      <w:szCs w:val="24"/>
      <w:lang w:val="en-US" w:eastAsia="zh-CN" w:bidi="ar-SA"/>
    </w:rPr>
  </w:style>
  <w:style w:type="character" w:customStyle="1" w:styleId="30">
    <w:name w:val="标题 3 Char"/>
    <w:link w:val="5"/>
    <w:qFormat/>
    <w:uiPriority w:val="0"/>
    <w:rPr>
      <w:rFonts w:ascii="黑体"/>
      <w:b/>
      <w:bCs/>
      <w:color w:val="000000"/>
      <w:kern w:val="2"/>
      <w:sz w:val="36"/>
      <w:szCs w:val="24"/>
    </w:rPr>
  </w:style>
  <w:style w:type="character" w:customStyle="1" w:styleId="31">
    <w:name w:val="文档结构图 Char"/>
    <w:link w:val="7"/>
    <w:qFormat/>
    <w:uiPriority w:val="0"/>
    <w:rPr>
      <w:rFonts w:ascii="宋体"/>
      <w:kern w:val="2"/>
      <w:sz w:val="18"/>
      <w:szCs w:val="18"/>
    </w:rPr>
  </w:style>
  <w:style w:type="character" w:customStyle="1" w:styleId="32">
    <w:name w:val="批注文字 Char"/>
    <w:link w:val="8"/>
    <w:qFormat/>
    <w:locked/>
    <w:uiPriority w:val="0"/>
    <w:rPr>
      <w:rFonts w:ascii="Times New Roman" w:hAnsi="Times New Roman" w:eastAsia="宋体"/>
      <w:sz w:val="24"/>
    </w:rPr>
  </w:style>
  <w:style w:type="character" w:customStyle="1" w:styleId="33">
    <w:name w:val="正文文本 Char"/>
    <w:link w:val="10"/>
    <w:qFormat/>
    <w:locked/>
    <w:uiPriority w:val="0"/>
    <w:rPr>
      <w:sz w:val="18"/>
    </w:rPr>
  </w:style>
  <w:style w:type="character" w:customStyle="1" w:styleId="34">
    <w:name w:val="正文文本缩进 Char"/>
    <w:link w:val="11"/>
    <w:semiHidden/>
    <w:qFormat/>
    <w:locked/>
    <w:uiPriority w:val="0"/>
    <w:rPr>
      <w:rFonts w:ascii="Times New Roman" w:hAnsi="Times New Roman" w:eastAsia="宋体"/>
      <w:sz w:val="24"/>
    </w:rPr>
  </w:style>
  <w:style w:type="character" w:customStyle="1" w:styleId="35">
    <w:name w:val="日期 Char"/>
    <w:link w:val="12"/>
    <w:qFormat/>
    <w:locked/>
    <w:uiPriority w:val="0"/>
    <w:rPr>
      <w:rFonts w:ascii="Times New Roman" w:hAnsi="Times New Roman" w:eastAsia="宋体"/>
      <w:sz w:val="24"/>
    </w:rPr>
  </w:style>
  <w:style w:type="character" w:customStyle="1" w:styleId="36">
    <w:name w:val="批注框文本 Char"/>
    <w:link w:val="13"/>
    <w:semiHidden/>
    <w:qFormat/>
    <w:locked/>
    <w:uiPriority w:val="0"/>
    <w:rPr>
      <w:rFonts w:ascii="Times New Roman" w:hAnsi="Times New Roman" w:eastAsia="宋体"/>
      <w:sz w:val="18"/>
    </w:rPr>
  </w:style>
  <w:style w:type="character" w:customStyle="1" w:styleId="37">
    <w:name w:val="页脚 Char"/>
    <w:link w:val="14"/>
    <w:qFormat/>
    <w:locked/>
    <w:uiPriority w:val="99"/>
    <w:rPr>
      <w:sz w:val="18"/>
    </w:rPr>
  </w:style>
  <w:style w:type="character" w:customStyle="1" w:styleId="38">
    <w:name w:val="正文文本缩进 3 Char"/>
    <w:link w:val="17"/>
    <w:qFormat/>
    <w:uiPriority w:val="99"/>
    <w:rPr>
      <w:kern w:val="2"/>
      <w:sz w:val="16"/>
      <w:szCs w:val="16"/>
    </w:rPr>
  </w:style>
  <w:style w:type="character" w:customStyle="1" w:styleId="39">
    <w:name w:val="普通(网站) Char"/>
    <w:link w:val="18"/>
    <w:qFormat/>
    <w:locked/>
    <w:uiPriority w:val="0"/>
    <w:rPr>
      <w:rFonts w:ascii="宋体" w:hAnsi="宋体" w:eastAsia="宋体"/>
      <w:sz w:val="24"/>
    </w:rPr>
  </w:style>
  <w:style w:type="character" w:customStyle="1" w:styleId="40">
    <w:name w:val="批注主题 Char"/>
    <w:link w:val="19"/>
    <w:semiHidden/>
    <w:qFormat/>
    <w:locked/>
    <w:uiPriority w:val="0"/>
    <w:rPr>
      <w:rFonts w:ascii="Times New Roman" w:hAnsi="Times New Roman" w:eastAsia="宋体"/>
      <w:b/>
      <w:kern w:val="2"/>
      <w:sz w:val="24"/>
    </w:rPr>
  </w:style>
  <w:style w:type="character" w:customStyle="1" w:styleId="41">
    <w:name w:val="正文首行缩进 2 Char"/>
    <w:link w:val="21"/>
    <w:qFormat/>
    <w:uiPriority w:val="0"/>
    <w:rPr>
      <w:rFonts w:ascii="Times New Roman" w:hAnsi="Times New Roman" w:eastAsia="宋体"/>
      <w:kern w:val="2"/>
      <w:sz w:val="24"/>
      <w:szCs w:val="24"/>
    </w:rPr>
  </w:style>
  <w:style w:type="character" w:customStyle="1" w:styleId="42">
    <w:name w:val="批注文字 字符1"/>
    <w:semiHidden/>
    <w:qFormat/>
    <w:uiPriority w:val="0"/>
    <w:rPr>
      <w:rFonts w:ascii="Times New Roman" w:hAnsi="Times New Roman" w:eastAsia="宋体"/>
      <w:sz w:val="24"/>
    </w:rPr>
  </w:style>
  <w:style w:type="character" w:customStyle="1" w:styleId="43">
    <w:name w:val="表格 Char"/>
    <w:link w:val="44"/>
    <w:qFormat/>
    <w:locked/>
    <w:uiPriority w:val="0"/>
    <w:rPr>
      <w:rFonts w:ascii="宋体"/>
      <w:sz w:val="21"/>
    </w:rPr>
  </w:style>
  <w:style w:type="paragraph" w:customStyle="1" w:styleId="44">
    <w:name w:val="表格"/>
    <w:basedOn w:val="1"/>
    <w:next w:val="1"/>
    <w:link w:val="43"/>
    <w:qFormat/>
    <w:uiPriority w:val="0"/>
    <w:pPr>
      <w:adjustRightInd w:val="0"/>
      <w:snapToGrid w:val="0"/>
      <w:spacing w:beforeLines="10" w:afterLines="10" w:line="259" w:lineRule="auto"/>
      <w:jc w:val="center"/>
    </w:pPr>
    <w:rPr>
      <w:rFonts w:ascii="宋体"/>
      <w:kern w:val="0"/>
      <w:sz w:val="21"/>
      <w:szCs w:val="20"/>
    </w:rPr>
  </w:style>
  <w:style w:type="character" w:customStyle="1" w:styleId="45">
    <w:name w:val="正文文本 字符1"/>
    <w:semiHidden/>
    <w:qFormat/>
    <w:uiPriority w:val="0"/>
    <w:rPr>
      <w:rFonts w:ascii="Times New Roman" w:hAnsi="Times New Roman" w:eastAsia="宋体"/>
      <w:sz w:val="24"/>
    </w:rPr>
  </w:style>
  <w:style w:type="character" w:customStyle="1" w:styleId="46">
    <w:name w:val="报告正文 Char"/>
    <w:link w:val="47"/>
    <w:qFormat/>
    <w:uiPriority w:val="0"/>
    <w:rPr>
      <w:rFonts w:hAnsi="宋体"/>
      <w:kern w:val="2"/>
      <w:sz w:val="24"/>
      <w:szCs w:val="24"/>
    </w:rPr>
  </w:style>
  <w:style w:type="paragraph" w:customStyle="1" w:styleId="47">
    <w:name w:val="报告正文"/>
    <w:basedOn w:val="1"/>
    <w:link w:val="46"/>
    <w:qFormat/>
    <w:uiPriority w:val="0"/>
    <w:pPr>
      <w:ind w:firstLine="480"/>
    </w:pPr>
    <w:rPr>
      <w:rFonts w:hAnsi="宋体"/>
    </w:rPr>
  </w:style>
  <w:style w:type="character" w:customStyle="1" w:styleId="48">
    <w:name w:val="LZ正文 Char"/>
    <w:link w:val="49"/>
    <w:qFormat/>
    <w:uiPriority w:val="0"/>
    <w:rPr>
      <w:kern w:val="2"/>
      <w:sz w:val="24"/>
      <w:szCs w:val="24"/>
    </w:rPr>
  </w:style>
  <w:style w:type="paragraph" w:customStyle="1" w:styleId="49">
    <w:name w:val="LZ正文"/>
    <w:basedOn w:val="1"/>
    <w:link w:val="48"/>
    <w:qFormat/>
    <w:uiPriority w:val="0"/>
    <w:pPr>
      <w:ind w:firstLine="480"/>
    </w:pPr>
  </w:style>
  <w:style w:type="character" w:customStyle="1" w:styleId="50">
    <w:name w:val="wy正文 Char"/>
    <w:link w:val="51"/>
    <w:qFormat/>
    <w:uiPriority w:val="0"/>
    <w:rPr>
      <w:sz w:val="24"/>
    </w:rPr>
  </w:style>
  <w:style w:type="paragraph" w:customStyle="1" w:styleId="51">
    <w:name w:val="wy正文"/>
    <w:basedOn w:val="1"/>
    <w:link w:val="50"/>
    <w:qFormat/>
    <w:uiPriority w:val="0"/>
    <w:rPr>
      <w:kern w:val="0"/>
      <w:szCs w:val="20"/>
    </w:rPr>
  </w:style>
  <w:style w:type="character" w:customStyle="1" w:styleId="52">
    <w:name w:val="页脚 字符"/>
    <w:qFormat/>
    <w:uiPriority w:val="99"/>
  </w:style>
  <w:style w:type="character" w:customStyle="1" w:styleId="53">
    <w:name w:val="LZ表头 Char"/>
    <w:link w:val="54"/>
    <w:qFormat/>
    <w:uiPriority w:val="0"/>
    <w:rPr>
      <w:b/>
      <w:kern w:val="2"/>
      <w:sz w:val="24"/>
      <w:szCs w:val="24"/>
    </w:rPr>
  </w:style>
  <w:style w:type="paragraph" w:customStyle="1" w:styleId="54">
    <w:name w:val="LZ表头"/>
    <w:basedOn w:val="21"/>
    <w:link w:val="53"/>
    <w:qFormat/>
    <w:uiPriority w:val="0"/>
    <w:pPr>
      <w:spacing w:after="0"/>
      <w:ind w:left="0" w:leftChars="0" w:firstLine="0" w:firstLineChars="0"/>
      <w:jc w:val="center"/>
      <w:outlineLvl w:val="3"/>
    </w:pPr>
    <w:rPr>
      <w:b/>
    </w:rPr>
  </w:style>
  <w:style w:type="character" w:customStyle="1" w:styleId="55">
    <w:name w:val="表内容 Char"/>
    <w:link w:val="56"/>
    <w:qFormat/>
    <w:uiPriority w:val="0"/>
    <w:rPr>
      <w:snapToGrid/>
      <w:kern w:val="2"/>
      <w:sz w:val="21"/>
      <w:szCs w:val="24"/>
    </w:rPr>
  </w:style>
  <w:style w:type="paragraph" w:customStyle="1" w:styleId="56">
    <w:name w:val="表内容"/>
    <w:basedOn w:val="1"/>
    <w:link w:val="55"/>
    <w:qFormat/>
    <w:uiPriority w:val="0"/>
    <w:pPr>
      <w:keepNext/>
      <w:keepLines/>
      <w:tabs>
        <w:tab w:val="left" w:pos="-2400"/>
        <w:tab w:val="left" w:pos="1320"/>
        <w:tab w:val="left" w:pos="3878"/>
        <w:tab w:val="left" w:pos="6080"/>
        <w:tab w:val="left" w:pos="6580"/>
        <w:tab w:val="left" w:pos="8137"/>
      </w:tabs>
      <w:spacing w:line="240" w:lineRule="auto"/>
      <w:ind w:firstLine="0" w:firstLineChars="0"/>
      <w:jc w:val="center"/>
      <w:textAlignment w:val="center"/>
    </w:pPr>
    <w:rPr>
      <w:sz w:val="21"/>
    </w:rPr>
  </w:style>
  <w:style w:type="character" w:customStyle="1" w:styleId="57">
    <w:name w:val="李植正文 Char"/>
    <w:link w:val="58"/>
    <w:qFormat/>
    <w:uiPriority w:val="0"/>
    <w:rPr>
      <w:color w:val="000000"/>
      <w:kern w:val="2"/>
      <w:sz w:val="24"/>
      <w:szCs w:val="22"/>
    </w:rPr>
  </w:style>
  <w:style w:type="paragraph" w:customStyle="1" w:styleId="58">
    <w:name w:val="李植正文"/>
    <w:basedOn w:val="1"/>
    <w:link w:val="57"/>
    <w:qFormat/>
    <w:uiPriority w:val="0"/>
    <w:pPr>
      <w:keepLines/>
      <w:adjustRightInd w:val="0"/>
      <w:snapToGrid w:val="0"/>
    </w:pPr>
    <w:rPr>
      <w:color w:val="000000"/>
      <w:szCs w:val="22"/>
    </w:rPr>
  </w:style>
  <w:style w:type="character" w:customStyle="1" w:styleId="59">
    <w:name w:val="无间隔 Char"/>
    <w:link w:val="60"/>
    <w:qFormat/>
    <w:uiPriority w:val="1"/>
    <w:rPr>
      <w:kern w:val="2"/>
      <w:sz w:val="24"/>
      <w:szCs w:val="24"/>
      <w:lang w:val="en-US" w:eastAsia="zh-CN" w:bidi="ar-SA"/>
    </w:rPr>
  </w:style>
  <w:style w:type="paragraph" w:styleId="60">
    <w:name w:val="No Spacing"/>
    <w:link w:val="59"/>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61">
    <w:name w:val="日期 字符"/>
    <w:semiHidden/>
    <w:qFormat/>
    <w:uiPriority w:val="0"/>
    <w:rPr>
      <w:rFonts w:ascii="Times New Roman" w:hAnsi="Times New Roman" w:eastAsia="宋体"/>
      <w:sz w:val="24"/>
    </w:rPr>
  </w:style>
  <w:style w:type="paragraph" w:customStyle="1" w:styleId="62">
    <w:name w:val="中文报告书样式"/>
    <w:basedOn w:val="1"/>
    <w:qFormat/>
    <w:uiPriority w:val="0"/>
    <w:pPr>
      <w:adjustRightInd w:val="0"/>
      <w:spacing w:line="480" w:lineRule="atLeast"/>
      <w:ind w:firstLine="482" w:firstLineChars="0"/>
    </w:pPr>
    <w:rPr>
      <w:kern w:val="24"/>
      <w:szCs w:val="20"/>
    </w:rPr>
  </w:style>
  <w:style w:type="paragraph" w:customStyle="1" w:styleId="63">
    <w:name w:val="环评正文"/>
    <w:basedOn w:val="1"/>
    <w:qFormat/>
    <w:uiPriority w:val="0"/>
    <w:rPr>
      <w:szCs w:val="22"/>
    </w:rPr>
  </w:style>
  <w:style w:type="paragraph" w:customStyle="1" w:styleId="64">
    <w:name w:val="Char Char Char Char Char Char"/>
    <w:basedOn w:val="1"/>
    <w:next w:val="3"/>
    <w:qFormat/>
    <w:uiPriority w:val="0"/>
    <w:pPr>
      <w:spacing w:line="240" w:lineRule="auto"/>
    </w:pPr>
    <w:rPr>
      <w:rFonts w:ascii="楷体_GB2312" w:eastAsia="楷体_GB2312"/>
      <w:sz w:val="28"/>
      <w:szCs w:val="28"/>
    </w:rPr>
  </w:style>
  <w:style w:type="paragraph" w:customStyle="1" w:styleId="65">
    <w:name w:val="1"/>
    <w:basedOn w:val="4"/>
    <w:next w:val="1"/>
    <w:qFormat/>
    <w:uiPriority w:val="39"/>
    <w:pPr>
      <w:keepLines/>
      <w:widowControl/>
      <w:overflowPunct/>
      <w:snapToGrid/>
      <w:spacing w:before="480" w:after="0" w:line="276" w:lineRule="auto"/>
      <w:ind w:left="0" w:firstLine="0" w:firstLineChars="0"/>
      <w:jc w:val="left"/>
      <w:outlineLvl w:val="9"/>
    </w:pPr>
    <w:rPr>
      <w:rFonts w:ascii="Cambria" w:hAnsi="Cambria" w:eastAsia="宋体"/>
      <w:color w:val="365F91"/>
      <w:kern w:val="0"/>
      <w:sz w:val="28"/>
      <w:szCs w:val="28"/>
    </w:rPr>
  </w:style>
  <w:style w:type="paragraph" w:customStyle="1" w:styleId="66">
    <w:name w:val="Char1"/>
    <w:basedOn w:val="1"/>
    <w:qFormat/>
    <w:uiPriority w:val="0"/>
    <w:pPr>
      <w:widowControl/>
      <w:spacing w:after="160" w:line="240" w:lineRule="exact"/>
      <w:jc w:val="left"/>
    </w:pPr>
  </w:style>
  <w:style w:type="paragraph" w:customStyle="1" w:styleId="67">
    <w:name w:val="表格内文字"/>
    <w:basedOn w:val="1"/>
    <w:qFormat/>
    <w:uiPriority w:val="0"/>
    <w:pPr>
      <w:adjustRightInd w:val="0"/>
      <w:snapToGrid w:val="0"/>
      <w:spacing w:line="240" w:lineRule="auto"/>
      <w:ind w:firstLine="0" w:firstLineChars="0"/>
      <w:jc w:val="center"/>
    </w:pPr>
    <w:rPr>
      <w:sz w:val="21"/>
      <w:szCs w:val="20"/>
    </w:rPr>
  </w:style>
  <w:style w:type="paragraph" w:customStyle="1" w:styleId="68">
    <w:name w:val="表头"/>
    <w:basedOn w:val="1"/>
    <w:qFormat/>
    <w:uiPriority w:val="0"/>
    <w:pPr>
      <w:spacing w:line="480" w:lineRule="exact"/>
      <w:ind w:firstLine="520"/>
      <w:jc w:val="center"/>
    </w:pPr>
    <w:rPr>
      <w:b/>
      <w:sz w:val="21"/>
      <w:szCs w:val="22"/>
    </w:rPr>
  </w:style>
  <w:style w:type="paragraph" w:customStyle="1" w:styleId="69">
    <w:name w:val="LZ表内容"/>
    <w:basedOn w:val="1"/>
    <w:qFormat/>
    <w:uiPriority w:val="0"/>
    <w:pPr>
      <w:spacing w:line="240" w:lineRule="auto"/>
      <w:ind w:firstLine="0" w:firstLineChars="0"/>
      <w:jc w:val="center"/>
    </w:pPr>
    <w:rPr>
      <w:spacing w:val="2"/>
      <w:sz w:val="21"/>
      <w:szCs w:val="20"/>
    </w:rPr>
  </w:style>
  <w:style w:type="paragraph" w:customStyle="1" w:styleId="70">
    <w:name w:val="样式 正文缩进正文缩进2正文缩进 Char Char正文缩进 Char Char Char Char正文缩进 Char ..."/>
    <w:basedOn w:val="6"/>
    <w:qFormat/>
    <w:uiPriority w:val="0"/>
    <w:pPr>
      <w:ind w:firstLine="200" w:firstLineChars="0"/>
    </w:pPr>
    <w:rPr>
      <w:rFonts w:cs="宋体"/>
      <w:szCs w:val="20"/>
    </w:rPr>
  </w:style>
  <w:style w:type="paragraph" w:customStyle="1" w:styleId="71">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72">
    <w:name w:val="应填表格"/>
    <w:basedOn w:val="1"/>
    <w:qFormat/>
    <w:uiPriority w:val="0"/>
    <w:pPr>
      <w:adjustRightInd w:val="0"/>
      <w:spacing w:before="40" w:after="40" w:line="240" w:lineRule="auto"/>
      <w:ind w:firstLine="0" w:firstLineChars="0"/>
      <w:jc w:val="left"/>
    </w:pPr>
    <w:rPr>
      <w:rFonts w:hint="eastAsia" w:ascii="宋体"/>
      <w:color w:val="FF0000"/>
      <w:kern w:val="0"/>
      <w:szCs w:val="20"/>
    </w:rPr>
  </w:style>
  <w:style w:type="paragraph" w:customStyle="1" w:styleId="7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样式 样式 正文缩进正文（首行缩进两字） + 首行缩进:  2 字符 + 首行缩进:  2 字符"/>
    <w:basedOn w:val="1"/>
    <w:qFormat/>
    <w:uiPriority w:val="0"/>
    <w:pPr>
      <w:spacing w:line="288" w:lineRule="auto"/>
    </w:pPr>
    <w:rPr>
      <w:rFonts w:cs="宋体"/>
      <w:szCs w:val="20"/>
    </w:rPr>
  </w:style>
  <w:style w:type="paragraph" w:customStyle="1" w:styleId="75">
    <w:name w:val="表格内容"/>
    <w:basedOn w:val="1"/>
    <w:qFormat/>
    <w:uiPriority w:val="0"/>
    <w:pPr>
      <w:widowControl/>
      <w:spacing w:line="240" w:lineRule="auto"/>
      <w:ind w:firstLine="0" w:firstLineChars="0"/>
      <w:jc w:val="center"/>
    </w:pPr>
    <w:rPr>
      <w:bCs/>
      <w:kern w:val="0"/>
      <w:sz w:val="21"/>
      <w:szCs w:val="18"/>
    </w:rPr>
  </w:style>
  <w:style w:type="paragraph" w:customStyle="1" w:styleId="76">
    <w:name w:val="LZ表头、图尾"/>
    <w:basedOn w:val="1"/>
    <w:qFormat/>
    <w:uiPriority w:val="0"/>
    <w:pPr>
      <w:kinsoku w:val="0"/>
      <w:overflowPunct w:val="0"/>
      <w:autoSpaceDE w:val="0"/>
      <w:autoSpaceDN w:val="0"/>
      <w:adjustRightInd w:val="0"/>
      <w:ind w:firstLine="0" w:firstLineChars="0"/>
      <w:jc w:val="center"/>
      <w:textAlignment w:val="baseline"/>
    </w:pPr>
    <w:rPr>
      <w:b/>
      <w:kern w:val="0"/>
      <w:szCs w:val="20"/>
    </w:rPr>
  </w:style>
  <w:style w:type="paragraph" w:customStyle="1" w:styleId="77">
    <w:name w:val="0"/>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78">
    <w:name w:val="正文 首行缩进:  2 字符"/>
    <w:basedOn w:val="1"/>
    <w:qFormat/>
    <w:uiPriority w:val="0"/>
    <w:pPr>
      <w:adjustRightInd w:val="0"/>
      <w:snapToGrid w:val="0"/>
      <w:spacing w:line="500" w:lineRule="exact"/>
      <w:jc w:val="left"/>
    </w:pPr>
    <w:rPr>
      <w:szCs w:val="20"/>
    </w:rPr>
  </w:style>
  <w:style w:type="paragraph" w:customStyle="1" w:styleId="79">
    <w:name w:val="123456"/>
    <w:basedOn w:val="1"/>
    <w:qFormat/>
    <w:uiPriority w:val="0"/>
  </w:style>
  <w:style w:type="paragraph" w:customStyle="1" w:styleId="80">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81">
    <w:name w:val="正文首行缩进 Char"/>
    <w:basedOn w:val="33"/>
    <w:link w:val="20"/>
    <w:qFormat/>
    <w:uiPriority w:val="0"/>
    <w:rPr>
      <w:kern w:val="2"/>
      <w:sz w:val="24"/>
      <w:szCs w:val="24"/>
    </w:rPr>
  </w:style>
  <w:style w:type="paragraph" w:customStyle="1" w:styleId="82">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83">
    <w:name w:val="p0"/>
    <w:basedOn w:val="1"/>
    <w:qFormat/>
    <w:uiPriority w:val="0"/>
    <w:pPr>
      <w:widowControl/>
      <w:spacing w:line="240" w:lineRule="auto"/>
      <w:ind w:firstLine="0" w:firstLineChars="0"/>
      <w:jc w:val="left"/>
    </w:pPr>
    <w:rPr>
      <w:kern w:val="0"/>
      <w:sz w:val="20"/>
      <w:szCs w:val="20"/>
    </w:rPr>
  </w:style>
  <w:style w:type="paragraph" w:customStyle="1" w:styleId="84">
    <w:name w:val="TOC 标题1"/>
    <w:basedOn w:val="4"/>
    <w:next w:val="1"/>
    <w:semiHidden/>
    <w:unhideWhenUsed/>
    <w:qFormat/>
    <w:uiPriority w:val="39"/>
    <w:pPr>
      <w:keepLines/>
      <w:widowControl/>
      <w:overflowPunct/>
      <w:snapToGrid/>
      <w:spacing w:before="480" w:after="0" w:line="276" w:lineRule="auto"/>
      <w:ind w:left="0" w:firstLine="0" w:firstLineChars="0"/>
      <w:jc w:val="left"/>
      <w:outlineLvl w:val="9"/>
    </w:pPr>
    <w:rPr>
      <w:rFonts w:asciiTheme="majorHAnsi" w:hAnsiTheme="majorHAnsi" w:eastAsiaTheme="majorEastAsia" w:cstheme="majorBidi"/>
      <w:color w:val="376092" w:themeColor="accent1" w:themeShade="BF"/>
      <w:kern w:val="0"/>
      <w:sz w:val="28"/>
      <w:szCs w:val="28"/>
    </w:rPr>
  </w:style>
  <w:style w:type="paragraph" w:styleId="85">
    <w:name w:val="List Paragraph"/>
    <w:basedOn w:val="1"/>
    <w:unhideWhenUsed/>
    <w:qFormat/>
    <w:uiPriority w:val="99"/>
    <w:pPr>
      <w:ind w:firstLine="420"/>
    </w:pPr>
  </w:style>
  <w:style w:type="character" w:customStyle="1" w:styleId="86">
    <w:name w:val="称呼 Char"/>
    <w:basedOn w:val="24"/>
    <w:link w:val="9"/>
    <w:qFormat/>
    <w:uiPriority w:val="0"/>
    <w:rPr>
      <w:kern w:val="2"/>
      <w:sz w:val="21"/>
      <w:szCs w:val="24"/>
    </w:rPr>
  </w:style>
  <w:style w:type="character" w:customStyle="1" w:styleId="87">
    <w:name w:val="纯文本 Char"/>
    <w:basedOn w:val="24"/>
    <w:link w:val="2"/>
    <w:qFormat/>
    <w:uiPriority w:val="0"/>
    <w:rPr>
      <w:rFonts w:hint="eastAsia" w:ascii="宋体" w:hAnsi="Courier New" w:eastAsia="宋体" w:cs="宋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emf"/><Relationship Id="rId23" Type="http://schemas.openxmlformats.org/officeDocument/2006/relationships/oleObject" Target="embeddings/oleObject3.bin"/><Relationship Id="rId22" Type="http://schemas.openxmlformats.org/officeDocument/2006/relationships/image" Target="media/image8.emf"/><Relationship Id="rId21" Type="http://schemas.openxmlformats.org/officeDocument/2006/relationships/oleObject" Target="embeddings/oleObject2.bin"/><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4BBB4-8255-42A8-9D17-6FCC2DF4AB3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80</Pages>
  <Words>47622</Words>
  <Characters>54674</Characters>
  <Lines>430</Lines>
  <Paragraphs>121</Paragraphs>
  <TotalTime>44</TotalTime>
  <ScaleCrop>false</ScaleCrop>
  <LinksUpToDate>false</LinksUpToDate>
  <CharactersWithSpaces>55186</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鹿</cp:lastModifiedBy>
  <cp:lastPrinted>2022-03-08T07:15:00Z</cp:lastPrinted>
  <dcterms:modified xsi:type="dcterms:W3CDTF">2024-02-06T02:44:20Z</dcterms:modified>
  <dc:title>附件2</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2C6D7A29F47E4D309A28F1629C9428AB</vt:lpwstr>
  </property>
</Properties>
</file>