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680"/>
        <w:jc w:val="center"/>
        <w:rPr>
          <w:sz w:val="32"/>
          <w:szCs w:val="32"/>
        </w:rPr>
      </w:pPr>
      <w:r>
        <w:rPr>
          <w:rFonts w:hint="eastAsia"/>
          <w:sz w:val="32"/>
          <w:szCs w:val="32"/>
        </w:rPr>
        <w:t>《</w:t>
      </w:r>
      <w:r>
        <w:rPr>
          <w:rFonts w:hint="eastAsia"/>
          <w:b/>
          <w:sz w:val="30"/>
          <w:szCs w:val="30"/>
        </w:rPr>
        <w:t>建设项目环境影响报告表</w:t>
      </w:r>
      <w:r>
        <w:rPr>
          <w:rFonts w:hint="eastAsia"/>
          <w:sz w:val="32"/>
          <w:szCs w:val="32"/>
        </w:rPr>
        <w:t>》</w:t>
      </w:r>
      <w:r>
        <w:rPr>
          <w:rFonts w:hint="eastAsia"/>
          <w:b/>
          <w:sz w:val="32"/>
          <w:szCs w:val="32"/>
        </w:rPr>
        <w:t>编制说明</w:t>
      </w:r>
    </w:p>
    <w:p>
      <w:pPr>
        <w:ind w:firstLine="31680"/>
        <w:rPr>
          <w:sz w:val="30"/>
          <w:szCs w:val="20"/>
        </w:rPr>
      </w:pPr>
    </w:p>
    <w:p>
      <w:pPr>
        <w:ind w:firstLine="31680"/>
        <w:rPr>
          <w:sz w:val="28"/>
          <w:szCs w:val="28"/>
        </w:rPr>
      </w:pPr>
      <w:r>
        <w:rPr>
          <w:rFonts w:hint="eastAsia"/>
          <w:sz w:val="28"/>
          <w:szCs w:val="28"/>
        </w:rPr>
        <w:t>《建设项目环境影响报告表》由具有从事环境影响评价工作资质的单位编制。</w:t>
      </w:r>
    </w:p>
    <w:p>
      <w:pPr>
        <w:ind w:firstLine="31680"/>
        <w:rPr>
          <w:sz w:val="28"/>
          <w:szCs w:val="28"/>
        </w:rPr>
      </w:pPr>
      <w:r>
        <w:rPr>
          <w:sz w:val="28"/>
          <w:szCs w:val="28"/>
        </w:rPr>
        <w:t>1</w:t>
      </w:r>
      <w:r>
        <w:rPr>
          <w:rFonts w:hint="eastAsia"/>
          <w:sz w:val="28"/>
          <w:szCs w:val="28"/>
        </w:rPr>
        <w:t>、项目名称</w:t>
      </w:r>
      <w:r>
        <w:rPr>
          <w:sz w:val="28"/>
          <w:szCs w:val="28"/>
        </w:rPr>
        <w:t>───</w:t>
      </w:r>
      <w:r>
        <w:rPr>
          <w:rFonts w:hint="eastAsia"/>
          <w:sz w:val="28"/>
          <w:szCs w:val="28"/>
        </w:rPr>
        <w:t>指项目立项批复时的名称，应不超过</w:t>
      </w:r>
      <w:r>
        <w:rPr>
          <w:sz w:val="28"/>
          <w:szCs w:val="28"/>
        </w:rPr>
        <w:t>30</w:t>
      </w:r>
      <w:r>
        <w:rPr>
          <w:rFonts w:hint="eastAsia"/>
          <w:sz w:val="28"/>
          <w:szCs w:val="28"/>
        </w:rPr>
        <w:t>个字（两个英文字段作一个汉字）。</w:t>
      </w:r>
    </w:p>
    <w:p>
      <w:pPr>
        <w:ind w:firstLine="31680"/>
        <w:rPr>
          <w:sz w:val="28"/>
          <w:szCs w:val="28"/>
        </w:rPr>
      </w:pPr>
      <w:r>
        <w:rPr>
          <w:sz w:val="28"/>
          <w:szCs w:val="28"/>
        </w:rPr>
        <w:t>2</w:t>
      </w:r>
      <w:r>
        <w:rPr>
          <w:rFonts w:hint="eastAsia"/>
          <w:sz w:val="28"/>
          <w:szCs w:val="28"/>
        </w:rPr>
        <w:t>、建设地点</w:t>
      </w:r>
      <w:r>
        <w:rPr>
          <w:sz w:val="28"/>
          <w:szCs w:val="28"/>
        </w:rPr>
        <w:t>───</w:t>
      </w:r>
      <w:r>
        <w:rPr>
          <w:rFonts w:hint="eastAsia"/>
          <w:sz w:val="28"/>
          <w:szCs w:val="28"/>
        </w:rPr>
        <w:t>指项目所在地详细地址，公路、铁路应填写起止地点。</w:t>
      </w:r>
    </w:p>
    <w:p>
      <w:pPr>
        <w:ind w:firstLine="618" w:firstLineChars="221"/>
        <w:rPr>
          <w:sz w:val="28"/>
          <w:szCs w:val="28"/>
        </w:rPr>
      </w:pPr>
      <w:r>
        <w:rPr>
          <w:sz w:val="28"/>
          <w:szCs w:val="28"/>
        </w:rPr>
        <w:t>3</w:t>
      </w:r>
      <w:r>
        <w:rPr>
          <w:rFonts w:hint="eastAsia"/>
          <w:sz w:val="28"/>
          <w:szCs w:val="28"/>
        </w:rPr>
        <w:t>、行业类别</w:t>
      </w:r>
      <w:r>
        <w:rPr>
          <w:sz w:val="28"/>
          <w:szCs w:val="28"/>
        </w:rPr>
        <w:t>───</w:t>
      </w:r>
      <w:r>
        <w:rPr>
          <w:rFonts w:hint="eastAsia"/>
          <w:sz w:val="28"/>
          <w:szCs w:val="28"/>
        </w:rPr>
        <w:t>按国标填写。</w:t>
      </w:r>
    </w:p>
    <w:p>
      <w:pPr>
        <w:ind w:firstLine="618" w:firstLineChars="221"/>
        <w:rPr>
          <w:sz w:val="28"/>
          <w:szCs w:val="28"/>
        </w:rPr>
      </w:pPr>
      <w:r>
        <w:rPr>
          <w:sz w:val="28"/>
          <w:szCs w:val="28"/>
        </w:rPr>
        <w:t>4</w:t>
      </w:r>
      <w:r>
        <w:rPr>
          <w:rFonts w:hint="eastAsia"/>
          <w:sz w:val="28"/>
          <w:szCs w:val="28"/>
        </w:rPr>
        <w:t>、总投资</w:t>
      </w:r>
      <w:r>
        <w:rPr>
          <w:sz w:val="28"/>
          <w:szCs w:val="28"/>
        </w:rPr>
        <w:t>───</w:t>
      </w:r>
      <w:r>
        <w:rPr>
          <w:rFonts w:hint="eastAsia"/>
          <w:sz w:val="28"/>
          <w:szCs w:val="28"/>
        </w:rPr>
        <w:t>指项目投资总额。</w:t>
      </w:r>
    </w:p>
    <w:p>
      <w:pPr>
        <w:ind w:firstLine="616" w:firstLineChars="220"/>
        <w:rPr>
          <w:sz w:val="28"/>
          <w:szCs w:val="28"/>
        </w:rPr>
      </w:pPr>
      <w:r>
        <w:rPr>
          <w:sz w:val="28"/>
          <w:szCs w:val="28"/>
        </w:rPr>
        <w:t>5</w:t>
      </w:r>
      <w:r>
        <w:rPr>
          <w:rFonts w:hint="eastAsia"/>
          <w:sz w:val="28"/>
          <w:szCs w:val="28"/>
        </w:rPr>
        <w:t>、主要环境保护目标</w:t>
      </w:r>
      <w:r>
        <w:rPr>
          <w:sz w:val="28"/>
          <w:szCs w:val="28"/>
        </w:rPr>
        <w:t>───</w:t>
      </w:r>
      <w:r>
        <w:rPr>
          <w:rFonts w:hint="eastAsia"/>
          <w:sz w:val="28"/>
          <w:szCs w:val="28"/>
        </w:rPr>
        <w:t>指项目区周围一定范围内集中居民住宅区、学校、医院、保护文物、风景名胜区、水源地和生态敏感点等，应尽可能给出保护目标、性质、规模和距厂界距离等。</w:t>
      </w:r>
    </w:p>
    <w:p>
      <w:pPr>
        <w:ind w:firstLine="641" w:firstLineChars="229"/>
        <w:rPr>
          <w:sz w:val="28"/>
          <w:szCs w:val="28"/>
        </w:rPr>
      </w:pPr>
      <w:r>
        <w:rPr>
          <w:sz w:val="28"/>
          <w:szCs w:val="28"/>
        </w:rPr>
        <w:t>6</w:t>
      </w:r>
      <w:r>
        <w:rPr>
          <w:rFonts w:hint="eastAsia"/>
          <w:sz w:val="28"/>
          <w:szCs w:val="28"/>
        </w:rPr>
        <w:t>、结论与建议</w:t>
      </w:r>
      <w:r>
        <w:rPr>
          <w:sz w:val="28"/>
          <w:szCs w:val="28"/>
        </w:rPr>
        <w:t>───</w:t>
      </w:r>
      <w:r>
        <w:rPr>
          <w:rFonts w:hint="eastAsia"/>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pPr>
        <w:ind w:firstLine="638" w:firstLineChars="228"/>
        <w:rPr>
          <w:sz w:val="28"/>
          <w:szCs w:val="28"/>
        </w:rPr>
      </w:pPr>
      <w:r>
        <w:rPr>
          <w:sz w:val="28"/>
          <w:szCs w:val="28"/>
        </w:rPr>
        <w:t>7</w:t>
      </w:r>
      <w:r>
        <w:rPr>
          <w:rFonts w:hint="eastAsia"/>
          <w:sz w:val="28"/>
          <w:szCs w:val="28"/>
        </w:rPr>
        <w:t>、预审意见</w:t>
      </w:r>
      <w:r>
        <w:rPr>
          <w:sz w:val="28"/>
          <w:szCs w:val="28"/>
        </w:rPr>
        <w:t>───</w:t>
      </w:r>
      <w:r>
        <w:rPr>
          <w:rFonts w:hint="eastAsia"/>
          <w:sz w:val="28"/>
          <w:szCs w:val="28"/>
        </w:rPr>
        <w:t>由行业主管部门填写答复意见，无主管部门项目，可不填。</w:t>
      </w:r>
    </w:p>
    <w:p>
      <w:pPr>
        <w:ind w:firstLine="31680"/>
        <w:rPr>
          <w:sz w:val="28"/>
          <w:szCs w:val="28"/>
        </w:rPr>
      </w:pPr>
      <w:r>
        <w:rPr>
          <w:sz w:val="28"/>
          <w:szCs w:val="28"/>
        </w:rPr>
        <w:t>8</w:t>
      </w:r>
      <w:r>
        <w:rPr>
          <w:rFonts w:hint="eastAsia"/>
          <w:sz w:val="28"/>
          <w:szCs w:val="28"/>
        </w:rPr>
        <w:t>、审批意见</w:t>
      </w:r>
      <w:r>
        <w:rPr>
          <w:sz w:val="28"/>
          <w:szCs w:val="28"/>
        </w:rPr>
        <w:t>───</w:t>
      </w:r>
      <w:r>
        <w:rPr>
          <w:rFonts w:hint="eastAsia"/>
          <w:sz w:val="28"/>
          <w:szCs w:val="28"/>
        </w:rPr>
        <w:t>由负责审批该项目的环境保护行政主管部门批复。</w:t>
      </w:r>
    </w:p>
    <w:p>
      <w:pPr>
        <w:ind w:firstLine="31680"/>
        <w:rPr>
          <w:sz w:val="28"/>
          <w:szCs w:val="28"/>
        </w:rPr>
      </w:pPr>
    </w:p>
    <w:p>
      <w:pPr>
        <w:ind w:firstLine="31680"/>
        <w:rPr>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134" w:bottom="1440" w:left="1418" w:header="851" w:footer="992" w:gutter="0"/>
          <w:pgNumType w:start="0"/>
          <w:cols w:space="425" w:num="1"/>
          <w:docGrid w:type="lines" w:linePitch="326" w:charSpace="0"/>
        </w:sectPr>
      </w:pPr>
    </w:p>
    <w:p>
      <w:pPr>
        <w:pStyle w:val="2"/>
      </w:pPr>
      <w:r>
        <w:rPr>
          <w:rFonts w:hint="eastAsia"/>
        </w:rPr>
        <w:t>表一、建设项目基本情况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42"/>
        <w:gridCol w:w="1276"/>
        <w:gridCol w:w="2126"/>
        <w:gridCol w:w="1116"/>
        <w:gridCol w:w="496"/>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pStyle w:val="41"/>
              <w:rPr>
                <w:b/>
                <w:sz w:val="24"/>
                <w:szCs w:val="24"/>
              </w:rPr>
            </w:pPr>
            <w:r>
              <w:rPr>
                <w:rFonts w:hint="eastAsia"/>
                <w:b/>
                <w:sz w:val="24"/>
                <w:szCs w:val="24"/>
              </w:rPr>
              <w:t>项目名称</w:t>
            </w:r>
          </w:p>
        </w:tc>
        <w:tc>
          <w:tcPr>
            <w:tcW w:w="7902" w:type="dxa"/>
            <w:gridSpan w:val="6"/>
            <w:vAlign w:val="center"/>
          </w:tcPr>
          <w:p>
            <w:pPr>
              <w:pStyle w:val="41"/>
              <w:rPr>
                <w:sz w:val="24"/>
                <w:szCs w:val="24"/>
              </w:rPr>
            </w:pPr>
            <w:r>
              <w:rPr>
                <w:rFonts w:hint="eastAsia"/>
                <w:bCs/>
                <w:sz w:val="24"/>
                <w:szCs w:val="24"/>
              </w:rPr>
              <w:t>芒市华鑫木制品厂迁建项目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pStyle w:val="41"/>
              <w:rPr>
                <w:b/>
                <w:sz w:val="24"/>
                <w:szCs w:val="24"/>
              </w:rPr>
            </w:pPr>
            <w:r>
              <w:rPr>
                <w:rFonts w:hint="eastAsia"/>
                <w:b/>
                <w:sz w:val="24"/>
                <w:szCs w:val="24"/>
              </w:rPr>
              <w:t>建设单位</w:t>
            </w:r>
          </w:p>
        </w:tc>
        <w:tc>
          <w:tcPr>
            <w:tcW w:w="7902" w:type="dxa"/>
            <w:gridSpan w:val="6"/>
            <w:vAlign w:val="center"/>
          </w:tcPr>
          <w:p>
            <w:pPr>
              <w:pStyle w:val="41"/>
              <w:rPr>
                <w:sz w:val="24"/>
                <w:szCs w:val="24"/>
              </w:rPr>
            </w:pPr>
            <w:r>
              <w:rPr>
                <w:rFonts w:hint="eastAsia"/>
                <w:bCs/>
                <w:sz w:val="24"/>
                <w:szCs w:val="24"/>
              </w:rPr>
              <w:t>芒市华鑫木制品厂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pStyle w:val="41"/>
              <w:rPr>
                <w:b/>
                <w:bCs/>
                <w:sz w:val="24"/>
                <w:szCs w:val="24"/>
              </w:rPr>
            </w:pPr>
            <w:r>
              <w:rPr>
                <w:rFonts w:hint="eastAsia"/>
                <w:b/>
                <w:bCs/>
                <w:sz w:val="24"/>
                <w:szCs w:val="24"/>
              </w:rPr>
              <w:t>法人代表</w:t>
            </w:r>
          </w:p>
        </w:tc>
        <w:tc>
          <w:tcPr>
            <w:tcW w:w="3118" w:type="dxa"/>
            <w:gridSpan w:val="2"/>
            <w:vAlign w:val="center"/>
          </w:tcPr>
          <w:p>
            <w:pPr>
              <w:pStyle w:val="41"/>
              <w:rPr>
                <w:bCs/>
                <w:sz w:val="24"/>
                <w:szCs w:val="24"/>
              </w:rPr>
            </w:pPr>
            <w:r>
              <w:rPr>
                <w:rFonts w:hint="eastAsia"/>
                <w:sz w:val="24"/>
                <w:szCs w:val="24"/>
                <w:shd w:val="clear" w:color="auto" w:fill="FFFFFF"/>
              </w:rPr>
              <w:t>张家华</w:t>
            </w:r>
          </w:p>
        </w:tc>
        <w:tc>
          <w:tcPr>
            <w:tcW w:w="2126" w:type="dxa"/>
            <w:vAlign w:val="center"/>
          </w:tcPr>
          <w:p>
            <w:pPr>
              <w:pStyle w:val="41"/>
              <w:rPr>
                <w:b/>
                <w:bCs/>
                <w:sz w:val="24"/>
                <w:szCs w:val="24"/>
              </w:rPr>
            </w:pPr>
            <w:r>
              <w:rPr>
                <w:rFonts w:hint="eastAsia"/>
                <w:b/>
                <w:bCs/>
                <w:sz w:val="24"/>
                <w:szCs w:val="24"/>
              </w:rPr>
              <w:t>联系人</w:t>
            </w:r>
          </w:p>
        </w:tc>
        <w:tc>
          <w:tcPr>
            <w:tcW w:w="2658" w:type="dxa"/>
            <w:gridSpan w:val="3"/>
            <w:vAlign w:val="center"/>
          </w:tcPr>
          <w:p>
            <w:pPr>
              <w:pStyle w:val="41"/>
              <w:rPr>
                <w:bCs/>
                <w:sz w:val="24"/>
                <w:szCs w:val="24"/>
              </w:rPr>
            </w:pPr>
            <w:r>
              <w:rPr>
                <w:rFonts w:hint="eastAsia"/>
                <w:sz w:val="24"/>
                <w:szCs w:val="24"/>
                <w:shd w:val="clear" w:color="auto" w:fill="FFFFFF"/>
              </w:rPr>
              <w:t>张家华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pStyle w:val="41"/>
              <w:rPr>
                <w:b/>
                <w:bCs/>
                <w:sz w:val="24"/>
                <w:szCs w:val="24"/>
              </w:rPr>
            </w:pPr>
            <w:r>
              <w:rPr>
                <w:rFonts w:hint="eastAsia"/>
                <w:b/>
                <w:bCs/>
                <w:sz w:val="24"/>
                <w:szCs w:val="24"/>
              </w:rPr>
              <w:t>通讯地址</w:t>
            </w:r>
          </w:p>
        </w:tc>
        <w:tc>
          <w:tcPr>
            <w:tcW w:w="7902" w:type="dxa"/>
            <w:gridSpan w:val="6"/>
            <w:vAlign w:val="center"/>
          </w:tcPr>
          <w:p>
            <w:pPr>
              <w:pStyle w:val="41"/>
              <w:rPr>
                <w:sz w:val="24"/>
                <w:szCs w:val="24"/>
              </w:rPr>
            </w:pPr>
            <w:r>
              <w:rPr>
                <w:rFonts w:hint="eastAsia"/>
                <w:bCs/>
                <w:sz w:val="24"/>
                <w:szCs w:val="24"/>
              </w:rPr>
              <w:t>芒市大湾水电有限公司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pStyle w:val="41"/>
              <w:rPr>
                <w:b/>
                <w:bCs/>
                <w:sz w:val="24"/>
                <w:szCs w:val="24"/>
              </w:rPr>
            </w:pPr>
            <w:r>
              <w:rPr>
                <w:rFonts w:hint="eastAsia"/>
                <w:b/>
                <w:bCs/>
                <w:sz w:val="24"/>
                <w:szCs w:val="24"/>
              </w:rPr>
              <w:t>联系电话</w:t>
            </w:r>
          </w:p>
        </w:tc>
        <w:tc>
          <w:tcPr>
            <w:tcW w:w="1842" w:type="dxa"/>
            <w:vAlign w:val="center"/>
          </w:tcPr>
          <w:p>
            <w:pPr>
              <w:pStyle w:val="41"/>
              <w:rPr>
                <w:bCs/>
                <w:sz w:val="24"/>
                <w:szCs w:val="24"/>
              </w:rPr>
            </w:pPr>
            <w:r>
              <w:rPr>
                <w:bCs/>
                <w:sz w:val="24"/>
                <w:szCs w:val="24"/>
              </w:rPr>
              <w:t>137</w:t>
            </w:r>
            <w:r>
              <w:rPr>
                <w:rFonts w:hint="eastAsia"/>
                <w:bCs/>
                <w:sz w:val="24"/>
                <w:szCs w:val="24"/>
                <w:lang w:val="en-US" w:eastAsia="zh-CN"/>
              </w:rPr>
              <w:t>******</w:t>
            </w:r>
            <w:r>
              <w:rPr>
                <w:bCs/>
                <w:sz w:val="24"/>
                <w:szCs w:val="24"/>
              </w:rPr>
              <w:t>808</w:t>
            </w:r>
          </w:p>
        </w:tc>
        <w:tc>
          <w:tcPr>
            <w:tcW w:w="1276" w:type="dxa"/>
            <w:vAlign w:val="center"/>
          </w:tcPr>
          <w:p>
            <w:pPr>
              <w:pStyle w:val="41"/>
              <w:rPr>
                <w:b/>
                <w:bCs/>
                <w:sz w:val="24"/>
                <w:szCs w:val="24"/>
              </w:rPr>
            </w:pPr>
            <w:r>
              <w:rPr>
                <w:rFonts w:hint="eastAsia"/>
                <w:b/>
                <w:bCs/>
                <w:sz w:val="24"/>
                <w:szCs w:val="24"/>
              </w:rPr>
              <w:t>传真</w:t>
            </w:r>
          </w:p>
        </w:tc>
        <w:tc>
          <w:tcPr>
            <w:tcW w:w="2126" w:type="dxa"/>
            <w:vAlign w:val="center"/>
          </w:tcPr>
          <w:p>
            <w:pPr>
              <w:pStyle w:val="41"/>
              <w:rPr>
                <w:bCs/>
                <w:sz w:val="24"/>
                <w:szCs w:val="24"/>
              </w:rPr>
            </w:pPr>
            <w:r>
              <w:rPr>
                <w:bCs/>
                <w:sz w:val="24"/>
                <w:szCs w:val="24"/>
              </w:rPr>
              <w:t>/</w:t>
            </w:r>
          </w:p>
        </w:tc>
        <w:tc>
          <w:tcPr>
            <w:tcW w:w="1116" w:type="dxa"/>
            <w:vAlign w:val="center"/>
          </w:tcPr>
          <w:p>
            <w:pPr>
              <w:pStyle w:val="41"/>
              <w:rPr>
                <w:b/>
                <w:bCs/>
                <w:sz w:val="24"/>
                <w:szCs w:val="24"/>
              </w:rPr>
            </w:pPr>
            <w:r>
              <w:rPr>
                <w:rFonts w:hint="eastAsia"/>
                <w:b/>
                <w:bCs/>
                <w:sz w:val="24"/>
                <w:szCs w:val="24"/>
              </w:rPr>
              <w:t>邮编</w:t>
            </w:r>
          </w:p>
        </w:tc>
        <w:tc>
          <w:tcPr>
            <w:tcW w:w="1542" w:type="dxa"/>
            <w:gridSpan w:val="2"/>
            <w:vAlign w:val="center"/>
          </w:tcPr>
          <w:p>
            <w:pPr>
              <w:pStyle w:val="41"/>
              <w:rPr>
                <w:b/>
                <w:bCs/>
                <w:sz w:val="24"/>
                <w:szCs w:val="24"/>
              </w:rPr>
            </w:pPr>
            <w:r>
              <w:rPr>
                <w:sz w:val="24"/>
                <w:szCs w:val="24"/>
                <w:shd w:val="clear" w:color="auto" w:fill="FFFFFF"/>
              </w:rPr>
              <w:t>678400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pStyle w:val="41"/>
              <w:rPr>
                <w:b/>
                <w:bCs/>
                <w:sz w:val="24"/>
                <w:szCs w:val="24"/>
              </w:rPr>
            </w:pPr>
            <w:r>
              <w:rPr>
                <w:rFonts w:hint="eastAsia"/>
                <w:b/>
                <w:bCs/>
                <w:sz w:val="24"/>
                <w:szCs w:val="24"/>
              </w:rPr>
              <w:t>建设地点</w:t>
            </w:r>
          </w:p>
        </w:tc>
        <w:tc>
          <w:tcPr>
            <w:tcW w:w="7902" w:type="dxa"/>
            <w:gridSpan w:val="6"/>
            <w:vAlign w:val="center"/>
          </w:tcPr>
          <w:p>
            <w:pPr>
              <w:pStyle w:val="41"/>
              <w:rPr>
                <w:sz w:val="24"/>
                <w:szCs w:val="24"/>
              </w:rPr>
            </w:pPr>
            <w:r>
              <w:rPr>
                <w:rFonts w:hint="eastAsia"/>
                <w:bCs/>
                <w:sz w:val="24"/>
                <w:szCs w:val="24"/>
              </w:rPr>
              <w:t>芒市大湾电站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pStyle w:val="41"/>
              <w:rPr>
                <w:b/>
                <w:sz w:val="24"/>
                <w:szCs w:val="24"/>
              </w:rPr>
            </w:pPr>
            <w:r>
              <w:rPr>
                <w:rFonts w:hint="eastAsia"/>
                <w:b/>
                <w:sz w:val="24"/>
                <w:szCs w:val="24"/>
              </w:rPr>
              <w:t>立项审批部门</w:t>
            </w:r>
          </w:p>
        </w:tc>
        <w:tc>
          <w:tcPr>
            <w:tcW w:w="3118" w:type="dxa"/>
            <w:gridSpan w:val="2"/>
            <w:vAlign w:val="center"/>
          </w:tcPr>
          <w:p>
            <w:pPr>
              <w:pStyle w:val="41"/>
              <w:rPr>
                <w:sz w:val="24"/>
                <w:szCs w:val="24"/>
              </w:rPr>
            </w:pPr>
            <w:r>
              <w:rPr>
                <w:rFonts w:hint="eastAsia"/>
                <w:bCs/>
                <w:sz w:val="24"/>
                <w:szCs w:val="24"/>
              </w:rPr>
              <w:t>芒市发展和改革局</w:t>
            </w:r>
          </w:p>
        </w:tc>
        <w:tc>
          <w:tcPr>
            <w:tcW w:w="2126" w:type="dxa"/>
            <w:vAlign w:val="center"/>
          </w:tcPr>
          <w:p>
            <w:pPr>
              <w:pStyle w:val="41"/>
              <w:rPr>
                <w:b/>
                <w:sz w:val="24"/>
                <w:szCs w:val="24"/>
              </w:rPr>
            </w:pPr>
            <w:r>
              <w:rPr>
                <w:rFonts w:hint="eastAsia"/>
                <w:b/>
                <w:sz w:val="24"/>
                <w:szCs w:val="24"/>
              </w:rPr>
              <w:t>批准文号</w:t>
            </w:r>
          </w:p>
        </w:tc>
        <w:tc>
          <w:tcPr>
            <w:tcW w:w="2658" w:type="dxa"/>
            <w:gridSpan w:val="3"/>
            <w:vAlign w:val="center"/>
          </w:tcPr>
          <w:p>
            <w:pPr>
              <w:pStyle w:val="41"/>
              <w:rPr>
                <w:sz w:val="24"/>
                <w:szCs w:val="24"/>
              </w:rPr>
            </w:pPr>
            <w:r>
              <w:rPr>
                <w:rFonts w:hint="eastAsia"/>
                <w:bCs/>
                <w:sz w:val="24"/>
                <w:szCs w:val="24"/>
              </w:rPr>
              <w:t>芒发改备案</w:t>
            </w:r>
            <w:r>
              <w:rPr>
                <w:bCs/>
                <w:sz w:val="24"/>
                <w:szCs w:val="24"/>
              </w:rPr>
              <w:t>[2016]10</w:t>
            </w:r>
            <w:r>
              <w:rPr>
                <w:rFonts w:hint="eastAsia"/>
                <w:bCs/>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pStyle w:val="41"/>
              <w:rPr>
                <w:b/>
                <w:sz w:val="24"/>
                <w:szCs w:val="24"/>
              </w:rPr>
            </w:pPr>
            <w:r>
              <w:rPr>
                <w:rFonts w:hint="eastAsia"/>
                <w:b/>
                <w:sz w:val="24"/>
                <w:szCs w:val="24"/>
              </w:rPr>
              <w:t>建设性质</w:t>
            </w:r>
          </w:p>
        </w:tc>
        <w:tc>
          <w:tcPr>
            <w:tcW w:w="3118" w:type="dxa"/>
            <w:gridSpan w:val="2"/>
            <w:vAlign w:val="center"/>
          </w:tcPr>
          <w:p>
            <w:pPr>
              <w:pStyle w:val="41"/>
              <w:rPr>
                <w:sz w:val="24"/>
                <w:szCs w:val="24"/>
              </w:rPr>
            </w:pPr>
            <w:r>
              <w:rPr>
                <w:rFonts w:hint="eastAsia"/>
                <w:sz w:val="24"/>
                <w:szCs w:val="24"/>
              </w:rPr>
              <w:t>新建</w:t>
            </w:r>
            <w:r>
              <w:rPr>
                <w:sz w:val="24"/>
                <w:szCs w:val="24"/>
              </w:rPr>
              <w:t xml:space="preserve">□ </w:t>
            </w:r>
            <w:r>
              <w:rPr>
                <w:rFonts w:hint="eastAsia"/>
                <w:sz w:val="24"/>
                <w:szCs w:val="24"/>
              </w:rPr>
              <w:t>改扩建</w:t>
            </w:r>
            <w:r>
              <w:rPr>
                <w:sz w:val="24"/>
                <w:szCs w:val="24"/>
              </w:rPr>
              <w:t xml:space="preserve">□ </w:t>
            </w:r>
            <w:r>
              <w:rPr>
                <w:rFonts w:hint="eastAsia"/>
                <w:sz w:val="24"/>
                <w:szCs w:val="24"/>
              </w:rPr>
              <w:t>迁建</w:t>
            </w:r>
            <w:r>
              <w:rPr>
                <w:sz w:val="24"/>
                <w:szCs w:val="24"/>
              </w:rPr>
              <w:t>√</w:t>
            </w:r>
          </w:p>
        </w:tc>
        <w:tc>
          <w:tcPr>
            <w:tcW w:w="2126" w:type="dxa"/>
            <w:vAlign w:val="center"/>
          </w:tcPr>
          <w:p>
            <w:pPr>
              <w:pStyle w:val="41"/>
              <w:rPr>
                <w:b/>
                <w:sz w:val="24"/>
                <w:szCs w:val="24"/>
              </w:rPr>
            </w:pPr>
            <w:r>
              <w:rPr>
                <w:rFonts w:hint="eastAsia"/>
                <w:b/>
                <w:sz w:val="24"/>
                <w:szCs w:val="24"/>
              </w:rPr>
              <w:t>行业类别及</w:t>
            </w:r>
          </w:p>
          <w:p>
            <w:pPr>
              <w:pStyle w:val="41"/>
              <w:rPr>
                <w:b/>
                <w:sz w:val="24"/>
                <w:szCs w:val="24"/>
              </w:rPr>
            </w:pPr>
            <w:r>
              <w:rPr>
                <w:rFonts w:hint="eastAsia"/>
                <w:b/>
                <w:sz w:val="24"/>
                <w:szCs w:val="24"/>
              </w:rPr>
              <w:t>代码</w:t>
            </w:r>
          </w:p>
        </w:tc>
        <w:tc>
          <w:tcPr>
            <w:tcW w:w="2658" w:type="dxa"/>
            <w:gridSpan w:val="3"/>
            <w:vAlign w:val="center"/>
          </w:tcPr>
          <w:p>
            <w:pPr>
              <w:pStyle w:val="41"/>
              <w:rPr>
                <w:sz w:val="24"/>
                <w:szCs w:val="24"/>
              </w:rPr>
            </w:pPr>
            <w:r>
              <w:rPr>
                <w:rFonts w:hint="eastAsia"/>
                <w:sz w:val="24"/>
                <w:szCs w:val="24"/>
              </w:rPr>
              <w:t>木制家具制造</w:t>
            </w:r>
          </w:p>
          <w:p>
            <w:pPr>
              <w:pStyle w:val="41"/>
              <w:rPr>
                <w:sz w:val="24"/>
                <w:szCs w:val="24"/>
              </w:rPr>
            </w:pPr>
            <w:r>
              <w:rPr>
                <w:rFonts w:hint="eastAsia"/>
                <w:sz w:val="24"/>
                <w:szCs w:val="24"/>
              </w:rPr>
              <w:t>（</w:t>
            </w:r>
            <w:r>
              <w:rPr>
                <w:sz w:val="24"/>
                <w:szCs w:val="24"/>
              </w:rPr>
              <w:t>C2110</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pStyle w:val="41"/>
              <w:rPr>
                <w:b/>
                <w:sz w:val="24"/>
                <w:szCs w:val="24"/>
              </w:rPr>
            </w:pPr>
            <w:r>
              <w:rPr>
                <w:rFonts w:hint="eastAsia"/>
                <w:b/>
                <w:sz w:val="24"/>
                <w:szCs w:val="24"/>
              </w:rPr>
              <w:t>占地面积</w:t>
            </w:r>
          </w:p>
          <w:p>
            <w:pPr>
              <w:pStyle w:val="41"/>
              <w:rPr>
                <w:b/>
                <w:sz w:val="24"/>
                <w:szCs w:val="24"/>
              </w:rPr>
            </w:pPr>
            <w:r>
              <w:rPr>
                <w:b/>
                <w:sz w:val="24"/>
                <w:szCs w:val="24"/>
              </w:rPr>
              <w:t>(</w:t>
            </w:r>
            <w:r>
              <w:rPr>
                <w:rFonts w:hint="eastAsia"/>
                <w:b/>
                <w:sz w:val="24"/>
                <w:szCs w:val="24"/>
              </w:rPr>
              <w:t>平方米</w:t>
            </w:r>
            <w:r>
              <w:rPr>
                <w:b/>
                <w:sz w:val="24"/>
                <w:szCs w:val="24"/>
              </w:rPr>
              <w:t>)</w:t>
            </w:r>
          </w:p>
        </w:tc>
        <w:tc>
          <w:tcPr>
            <w:tcW w:w="3118" w:type="dxa"/>
            <w:gridSpan w:val="2"/>
            <w:vAlign w:val="center"/>
          </w:tcPr>
          <w:p>
            <w:pPr>
              <w:pStyle w:val="41"/>
              <w:rPr>
                <w:sz w:val="24"/>
                <w:szCs w:val="24"/>
              </w:rPr>
            </w:pPr>
            <w:r>
              <w:rPr>
                <w:bCs/>
                <w:sz w:val="24"/>
                <w:szCs w:val="24"/>
              </w:rPr>
              <w:t>1000</w:t>
            </w:r>
          </w:p>
        </w:tc>
        <w:tc>
          <w:tcPr>
            <w:tcW w:w="2126" w:type="dxa"/>
            <w:vAlign w:val="center"/>
          </w:tcPr>
          <w:p>
            <w:pPr>
              <w:pStyle w:val="41"/>
              <w:rPr>
                <w:b/>
                <w:sz w:val="24"/>
                <w:szCs w:val="24"/>
              </w:rPr>
            </w:pPr>
            <w:r>
              <w:rPr>
                <w:rFonts w:hint="eastAsia"/>
                <w:b/>
                <w:sz w:val="24"/>
                <w:szCs w:val="24"/>
              </w:rPr>
              <w:t>绿化面积</w:t>
            </w:r>
          </w:p>
          <w:p>
            <w:pPr>
              <w:pStyle w:val="41"/>
              <w:rPr>
                <w:b/>
                <w:sz w:val="24"/>
                <w:szCs w:val="24"/>
              </w:rPr>
            </w:pPr>
            <w:r>
              <w:rPr>
                <w:b/>
                <w:sz w:val="24"/>
                <w:szCs w:val="24"/>
              </w:rPr>
              <w:t>(</w:t>
            </w:r>
            <w:r>
              <w:rPr>
                <w:rFonts w:hint="eastAsia"/>
                <w:b/>
                <w:sz w:val="24"/>
                <w:szCs w:val="24"/>
              </w:rPr>
              <w:t>平方米</w:t>
            </w:r>
            <w:r>
              <w:rPr>
                <w:b/>
                <w:sz w:val="24"/>
                <w:szCs w:val="24"/>
              </w:rPr>
              <w:t>)</w:t>
            </w:r>
          </w:p>
        </w:tc>
        <w:tc>
          <w:tcPr>
            <w:tcW w:w="2658" w:type="dxa"/>
            <w:gridSpan w:val="3"/>
            <w:vAlign w:val="center"/>
          </w:tcPr>
          <w:p>
            <w:pPr>
              <w:pStyle w:val="41"/>
              <w:rPr>
                <w:sz w:val="24"/>
                <w:szCs w:val="24"/>
              </w:rPr>
            </w:pPr>
            <w:r>
              <w:rPr>
                <w:bCs/>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68" w:type="dxa"/>
            <w:vAlign w:val="center"/>
          </w:tcPr>
          <w:p>
            <w:pPr>
              <w:pStyle w:val="41"/>
              <w:rPr>
                <w:b/>
                <w:sz w:val="24"/>
                <w:szCs w:val="24"/>
              </w:rPr>
            </w:pPr>
            <w:r>
              <w:rPr>
                <w:rFonts w:hint="eastAsia"/>
                <w:b/>
                <w:sz w:val="24"/>
                <w:szCs w:val="24"/>
              </w:rPr>
              <w:t>总投资</w:t>
            </w:r>
          </w:p>
          <w:p>
            <w:pPr>
              <w:pStyle w:val="41"/>
              <w:rPr>
                <w:b/>
                <w:sz w:val="24"/>
                <w:szCs w:val="24"/>
              </w:rPr>
            </w:pPr>
            <w:r>
              <w:rPr>
                <w:b/>
                <w:sz w:val="24"/>
                <w:szCs w:val="24"/>
              </w:rPr>
              <w:t>(</w:t>
            </w:r>
            <w:r>
              <w:rPr>
                <w:rFonts w:hint="eastAsia"/>
                <w:b/>
                <w:sz w:val="24"/>
                <w:szCs w:val="24"/>
              </w:rPr>
              <w:t>万元</w:t>
            </w:r>
            <w:r>
              <w:rPr>
                <w:b/>
                <w:sz w:val="24"/>
                <w:szCs w:val="24"/>
              </w:rPr>
              <w:t>)</w:t>
            </w:r>
          </w:p>
        </w:tc>
        <w:tc>
          <w:tcPr>
            <w:tcW w:w="1842" w:type="dxa"/>
            <w:vAlign w:val="center"/>
          </w:tcPr>
          <w:p>
            <w:pPr>
              <w:pStyle w:val="41"/>
              <w:rPr>
                <w:sz w:val="24"/>
                <w:szCs w:val="24"/>
              </w:rPr>
            </w:pPr>
            <w:r>
              <w:rPr>
                <w:sz w:val="24"/>
                <w:szCs w:val="24"/>
              </w:rPr>
              <w:t>6</w:t>
            </w:r>
          </w:p>
        </w:tc>
        <w:tc>
          <w:tcPr>
            <w:tcW w:w="1276" w:type="dxa"/>
            <w:vAlign w:val="center"/>
          </w:tcPr>
          <w:p>
            <w:pPr>
              <w:pStyle w:val="41"/>
              <w:rPr>
                <w:b/>
                <w:sz w:val="24"/>
                <w:szCs w:val="24"/>
              </w:rPr>
            </w:pPr>
            <w:r>
              <w:rPr>
                <w:rFonts w:hint="eastAsia"/>
                <w:b/>
                <w:sz w:val="24"/>
                <w:szCs w:val="24"/>
              </w:rPr>
              <w:t>环保投资</w:t>
            </w:r>
          </w:p>
          <w:p>
            <w:pPr>
              <w:pStyle w:val="41"/>
              <w:rPr>
                <w:b/>
                <w:sz w:val="24"/>
                <w:szCs w:val="24"/>
              </w:rPr>
            </w:pPr>
            <w:r>
              <w:rPr>
                <w:b/>
                <w:sz w:val="24"/>
                <w:szCs w:val="24"/>
              </w:rPr>
              <w:t>(</w:t>
            </w:r>
            <w:r>
              <w:rPr>
                <w:rFonts w:hint="eastAsia"/>
                <w:b/>
                <w:sz w:val="24"/>
                <w:szCs w:val="24"/>
              </w:rPr>
              <w:t>万元</w:t>
            </w:r>
            <w:r>
              <w:rPr>
                <w:b/>
                <w:sz w:val="24"/>
                <w:szCs w:val="24"/>
              </w:rPr>
              <w:t>)</w:t>
            </w:r>
          </w:p>
        </w:tc>
        <w:tc>
          <w:tcPr>
            <w:tcW w:w="2126" w:type="dxa"/>
            <w:vAlign w:val="center"/>
          </w:tcPr>
          <w:p>
            <w:pPr>
              <w:pStyle w:val="41"/>
              <w:rPr>
                <w:sz w:val="24"/>
                <w:szCs w:val="24"/>
              </w:rPr>
            </w:pPr>
            <w:r>
              <w:rPr>
                <w:sz w:val="24"/>
                <w:szCs w:val="24"/>
              </w:rPr>
              <w:t>0.7</w:t>
            </w:r>
          </w:p>
        </w:tc>
        <w:tc>
          <w:tcPr>
            <w:tcW w:w="1612" w:type="dxa"/>
            <w:gridSpan w:val="2"/>
            <w:vAlign w:val="center"/>
          </w:tcPr>
          <w:p>
            <w:pPr>
              <w:pStyle w:val="41"/>
              <w:rPr>
                <w:b/>
                <w:sz w:val="24"/>
                <w:szCs w:val="24"/>
              </w:rPr>
            </w:pPr>
            <w:r>
              <w:rPr>
                <w:rFonts w:hint="eastAsia"/>
                <w:b/>
                <w:sz w:val="24"/>
                <w:szCs w:val="24"/>
              </w:rPr>
              <w:t>环保投资占总投资比</w:t>
            </w:r>
            <w:r>
              <w:rPr>
                <w:b/>
                <w:sz w:val="24"/>
                <w:szCs w:val="24"/>
              </w:rPr>
              <w:t>%</w:t>
            </w:r>
          </w:p>
        </w:tc>
        <w:tc>
          <w:tcPr>
            <w:tcW w:w="1046" w:type="dxa"/>
            <w:vAlign w:val="center"/>
          </w:tcPr>
          <w:p>
            <w:pPr>
              <w:pStyle w:val="41"/>
              <w:rPr>
                <w:b/>
                <w:sz w:val="24"/>
                <w:szCs w:val="24"/>
              </w:rPr>
            </w:pPr>
            <w:r>
              <w:rPr>
                <w:sz w:val="24"/>
                <w:szCs w:val="24"/>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pStyle w:val="41"/>
              <w:rPr>
                <w:b/>
                <w:sz w:val="24"/>
                <w:szCs w:val="24"/>
              </w:rPr>
            </w:pPr>
            <w:r>
              <w:rPr>
                <w:rFonts w:hint="eastAsia"/>
                <w:b/>
                <w:sz w:val="24"/>
                <w:szCs w:val="24"/>
              </w:rPr>
              <w:t>评价经费</w:t>
            </w:r>
          </w:p>
          <w:p>
            <w:pPr>
              <w:pStyle w:val="41"/>
              <w:rPr>
                <w:b/>
                <w:sz w:val="24"/>
                <w:szCs w:val="24"/>
              </w:rPr>
            </w:pPr>
            <w:r>
              <w:rPr>
                <w:b/>
                <w:sz w:val="24"/>
                <w:szCs w:val="24"/>
              </w:rPr>
              <w:t>(</w:t>
            </w:r>
            <w:r>
              <w:rPr>
                <w:rFonts w:hint="eastAsia"/>
                <w:b/>
                <w:sz w:val="24"/>
                <w:szCs w:val="24"/>
              </w:rPr>
              <w:t>万元</w:t>
            </w:r>
            <w:r>
              <w:rPr>
                <w:b/>
                <w:sz w:val="24"/>
                <w:szCs w:val="24"/>
              </w:rPr>
              <w:t>)</w:t>
            </w:r>
          </w:p>
        </w:tc>
        <w:tc>
          <w:tcPr>
            <w:tcW w:w="3118" w:type="dxa"/>
            <w:gridSpan w:val="2"/>
            <w:vAlign w:val="center"/>
          </w:tcPr>
          <w:p>
            <w:pPr>
              <w:pStyle w:val="41"/>
              <w:rPr>
                <w:sz w:val="24"/>
                <w:szCs w:val="24"/>
              </w:rPr>
            </w:pPr>
            <w:r>
              <w:rPr>
                <w:bCs/>
                <w:sz w:val="24"/>
                <w:szCs w:val="24"/>
              </w:rPr>
              <w:t>/</w:t>
            </w:r>
          </w:p>
        </w:tc>
        <w:tc>
          <w:tcPr>
            <w:tcW w:w="2126" w:type="dxa"/>
            <w:vAlign w:val="center"/>
          </w:tcPr>
          <w:p>
            <w:pPr>
              <w:pStyle w:val="41"/>
              <w:rPr>
                <w:b/>
                <w:sz w:val="24"/>
                <w:szCs w:val="24"/>
              </w:rPr>
            </w:pPr>
            <w:r>
              <w:rPr>
                <w:rFonts w:hint="eastAsia"/>
                <w:b/>
                <w:sz w:val="24"/>
                <w:szCs w:val="24"/>
              </w:rPr>
              <w:t>预期投产日期</w:t>
            </w:r>
          </w:p>
        </w:tc>
        <w:tc>
          <w:tcPr>
            <w:tcW w:w="2658" w:type="dxa"/>
            <w:gridSpan w:val="3"/>
            <w:vAlign w:val="center"/>
          </w:tcPr>
          <w:p>
            <w:pPr>
              <w:pStyle w:val="41"/>
              <w:rPr>
                <w:sz w:val="24"/>
                <w:szCs w:val="24"/>
              </w:rPr>
            </w:pPr>
            <w:r>
              <w:rPr>
                <w:sz w:val="24"/>
                <w:szCs w:val="24"/>
              </w:rPr>
              <w:t>2016</w:t>
            </w:r>
            <w:r>
              <w:rPr>
                <w:rFonts w:hint="eastAsia"/>
                <w:sz w:val="24"/>
                <w:szCs w:val="24"/>
              </w:rPr>
              <w:t>年</w:t>
            </w:r>
            <w:r>
              <w:rPr>
                <w:sz w:val="24"/>
                <w:szCs w:val="24"/>
              </w:rPr>
              <w:t>8</w:t>
            </w:r>
            <w:r>
              <w:rPr>
                <w:rFonts w:hint="eastAsia"/>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9570" w:type="dxa"/>
            <w:gridSpan w:val="7"/>
            <w:vAlign w:val="center"/>
          </w:tcPr>
          <w:p>
            <w:pPr>
              <w:pStyle w:val="75"/>
              <w:ind w:firstLine="0" w:firstLineChars="0"/>
              <w:rPr>
                <w:color w:val="auto"/>
                <w:sz w:val="28"/>
              </w:rPr>
            </w:pPr>
            <w:r>
              <w:rPr>
                <w:rFonts w:hint="eastAsia"/>
                <w:color w:val="auto"/>
                <w:sz w:val="28"/>
              </w:rPr>
              <w:t>工程内容及规模：</w:t>
            </w:r>
          </w:p>
          <w:p>
            <w:pPr>
              <w:pStyle w:val="75"/>
              <w:ind w:firstLine="31680"/>
              <w:rPr>
                <w:color w:val="auto"/>
              </w:rPr>
            </w:pPr>
            <w:r>
              <w:rPr>
                <w:color w:val="auto"/>
              </w:rPr>
              <w:t>1</w:t>
            </w:r>
            <w:r>
              <w:rPr>
                <w:rFonts w:hint="eastAsia"/>
                <w:color w:val="auto"/>
              </w:rPr>
              <w:t>、任务由来</w:t>
            </w:r>
          </w:p>
          <w:p>
            <w:pPr>
              <w:pStyle w:val="36"/>
              <w:ind w:firstLine="31680"/>
            </w:pPr>
            <w:r>
              <w:rPr>
                <w:rFonts w:hint="eastAsia"/>
              </w:rPr>
              <w:t>芒市华鑫木制品厂成立于</w:t>
            </w:r>
            <w:r>
              <w:t>2012</w:t>
            </w:r>
            <w:r>
              <w:rPr>
                <w:rFonts w:hint="eastAsia"/>
              </w:rPr>
              <w:t>年，并于</w:t>
            </w:r>
            <w:r>
              <w:t>2012</w:t>
            </w:r>
            <w:r>
              <w:rPr>
                <w:rFonts w:hint="eastAsia"/>
              </w:rPr>
              <w:t>年</w:t>
            </w:r>
            <w:r>
              <w:t>3</w:t>
            </w:r>
            <w:r>
              <w:rPr>
                <w:rFonts w:hint="eastAsia"/>
              </w:rPr>
              <w:t>月办理建设项目环境影响登记表，取得了相关批复（芒环评</w:t>
            </w:r>
            <w:r>
              <w:t>2012-113</w:t>
            </w:r>
            <w:r>
              <w:rPr>
                <w:rFonts w:hint="eastAsia"/>
              </w:rPr>
              <w:t>号）。芒市华鑫木制品厂位于芒市芒市镇松树寨村委会芒晃村民小组，总投资</w:t>
            </w:r>
            <w:r>
              <w:t>15</w:t>
            </w:r>
            <w:r>
              <w:rPr>
                <w:rFonts w:hint="eastAsia"/>
              </w:rPr>
              <w:t>万元，主要生产小型实木家具，年产实木沙发</w:t>
            </w:r>
            <w:r>
              <w:t>1200</w:t>
            </w:r>
            <w:r>
              <w:rPr>
                <w:rFonts w:hint="eastAsia"/>
              </w:rPr>
              <w:t>套，</w:t>
            </w:r>
            <w:r>
              <w:t>2012</w:t>
            </w:r>
            <w:r>
              <w:rPr>
                <w:rFonts w:hint="eastAsia"/>
              </w:rPr>
              <w:t>年至今芒市华鑫木制品厂正常运行。</w:t>
            </w:r>
          </w:p>
          <w:p>
            <w:pPr>
              <w:pStyle w:val="36"/>
              <w:ind w:firstLine="31680"/>
            </w:pPr>
            <w:r>
              <w:rPr>
                <w:rFonts w:hint="eastAsia"/>
              </w:rPr>
              <w:t>由于公司房租即将到期、业务发展的需求及厂区位置局限性等多重方面的因素，芒市华鑫木制品厂决定搬迁至芒市大湾村，项目租用芒市大湾水电有限公司闲置厂房及空地，总投资</w:t>
            </w:r>
            <w:r>
              <w:t>6</w:t>
            </w:r>
            <w:r>
              <w:rPr>
                <w:rFonts w:hint="eastAsia"/>
              </w:rPr>
              <w:t>万元，占地面积</w:t>
            </w:r>
            <w:r>
              <w:t>1000m</w:t>
            </w:r>
            <w:r>
              <w:rPr>
                <w:vertAlign w:val="superscript"/>
              </w:rPr>
              <w:t>2</w:t>
            </w:r>
            <w:r>
              <w:rPr>
                <w:rFonts w:hint="eastAsia"/>
              </w:rPr>
              <w:t>。其中半成品仓库</w:t>
            </w:r>
            <w:r>
              <w:t>130m</w:t>
            </w:r>
            <w:r>
              <w:rPr>
                <w:vertAlign w:val="superscript"/>
              </w:rPr>
              <w:t>2</w:t>
            </w:r>
            <w:r>
              <w:rPr>
                <w:rFonts w:hint="eastAsia"/>
              </w:rPr>
              <w:t>；组装、打磨区</w:t>
            </w:r>
            <w:r>
              <w:t>210m</w:t>
            </w:r>
            <w:r>
              <w:rPr>
                <w:vertAlign w:val="superscript"/>
              </w:rPr>
              <w:t>2</w:t>
            </w:r>
            <w:r>
              <w:rPr>
                <w:rFonts w:hint="eastAsia"/>
              </w:rPr>
              <w:t>；废木屑堆场</w:t>
            </w:r>
            <w:r>
              <w:t>5m</w:t>
            </w:r>
            <w:r>
              <w:rPr>
                <w:vertAlign w:val="superscript"/>
              </w:rPr>
              <w:t>2</w:t>
            </w:r>
            <w:r>
              <w:rPr>
                <w:rFonts w:hint="eastAsia"/>
              </w:rPr>
              <w:t>；刷漆、晾干区</w:t>
            </w:r>
            <w:r>
              <w:t>305m</w:t>
            </w:r>
            <w:r>
              <w:rPr>
                <w:vertAlign w:val="superscript"/>
              </w:rPr>
              <w:t>2</w:t>
            </w:r>
            <w:r>
              <w:rPr>
                <w:rFonts w:hint="eastAsia"/>
              </w:rPr>
              <w:t>；成品仓库</w:t>
            </w:r>
            <w:r>
              <w:t>110m</w:t>
            </w:r>
            <w:r>
              <w:rPr>
                <w:vertAlign w:val="superscript"/>
              </w:rPr>
              <w:t>2</w:t>
            </w:r>
            <w:r>
              <w:rPr>
                <w:rFonts w:hint="eastAsia"/>
              </w:rPr>
              <w:t>；办公室</w:t>
            </w:r>
            <w:r>
              <w:t>50m</w:t>
            </w:r>
            <w:r>
              <w:rPr>
                <w:vertAlign w:val="superscript"/>
              </w:rPr>
              <w:t>2</w:t>
            </w:r>
            <w:r>
              <w:rPr>
                <w:rFonts w:hint="eastAsia"/>
              </w:rPr>
              <w:t>，危废贮藏间</w:t>
            </w:r>
            <w:r>
              <w:t>25m</w:t>
            </w:r>
            <w:r>
              <w:rPr>
                <w:vertAlign w:val="superscript"/>
              </w:rPr>
              <w:t>2</w:t>
            </w:r>
            <w:r>
              <w:rPr>
                <w:rFonts w:hint="eastAsia"/>
              </w:rPr>
              <w:t>。项目区不设食堂及宿舍。项目建成后预计年产实木沙发</w:t>
            </w:r>
            <w:r>
              <w:t>1200</w:t>
            </w:r>
            <w:r>
              <w:rPr>
                <w:rFonts w:hint="eastAsia"/>
              </w:rPr>
              <w:t>套。</w:t>
            </w:r>
          </w:p>
          <w:p>
            <w:pPr>
              <w:pStyle w:val="36"/>
              <w:ind w:firstLine="31680"/>
            </w:pPr>
            <w:r>
              <w:rPr>
                <w:rFonts w:hint="eastAsia"/>
              </w:rPr>
              <w:t>目前，该项目正在按相关法律法规要求办理前期工作，并于</w:t>
            </w:r>
            <w:r>
              <w:t>2016</w:t>
            </w:r>
            <w:r>
              <w:rPr>
                <w:rFonts w:hint="eastAsia"/>
              </w:rPr>
              <w:t>年</w:t>
            </w:r>
            <w:r>
              <w:t>1</w:t>
            </w:r>
            <w:r>
              <w:rPr>
                <w:rFonts w:hint="eastAsia"/>
              </w:rPr>
              <w:t>月</w:t>
            </w:r>
            <w:r>
              <w:t>20</w:t>
            </w:r>
            <w:r>
              <w:rPr>
                <w:rFonts w:hint="eastAsia"/>
              </w:rPr>
              <w:t>号取得芒市发展和改革局关于本项目的投资项目备案证（芒发改备案</w:t>
            </w:r>
            <w:r>
              <w:t>[2016]10</w:t>
            </w:r>
            <w:r>
              <w:rPr>
                <w:rFonts w:hint="eastAsia"/>
              </w:rPr>
              <w:t>号）。</w:t>
            </w:r>
          </w:p>
          <w:p>
            <w:pPr>
              <w:pStyle w:val="36"/>
              <w:ind w:firstLine="31680"/>
            </w:pPr>
            <w:r>
              <w:rPr>
                <w:rFonts w:hint="eastAsia"/>
              </w:rPr>
              <w:t>根据《中华人民共和国环境保护法》、《中华人民共和国环境影响评价法》等有关法律和规定，本项目前期应进行环境影响评价。根据《建设项目环境影响评价分类管理名录》，本项目应编制环境影响报告表。因此，芒市华鑫木制品厂委托云南银发绿色环保产业股份有限公司（以下简称</w:t>
            </w:r>
            <w:r>
              <w:t>“</w:t>
            </w:r>
            <w:r>
              <w:rPr>
                <w:rFonts w:hint="eastAsia"/>
              </w:rPr>
              <w:t>我单位</w:t>
            </w:r>
            <w:r>
              <w:t>”</w:t>
            </w:r>
            <w:r>
              <w:rPr>
                <w:rFonts w:hint="eastAsia"/>
              </w:rPr>
              <w:t>）对本项目进行环境影响评价工作。我单位于</w:t>
            </w:r>
            <w:r>
              <w:t>2016</w:t>
            </w:r>
            <w:r>
              <w:rPr>
                <w:rFonts w:hint="eastAsia"/>
              </w:rPr>
              <w:t>年</w:t>
            </w:r>
            <w:r>
              <w:t>5</w:t>
            </w:r>
            <w:r>
              <w:rPr>
                <w:rFonts w:hint="eastAsia"/>
              </w:rPr>
              <w:t>月</w:t>
            </w:r>
            <w:r>
              <w:t>5</w:t>
            </w:r>
            <w:r>
              <w:rPr>
                <w:rFonts w:hint="eastAsia"/>
              </w:rPr>
              <w:t>日接受委托后，由专业技术人员开展了现场踏勘，现场调查和资料收集，对项目认真分析后，按环境影响评价导则要求编制了《芒市华鑫木制品厂项目环境影响报告表》，供建设单位上报审批。</w:t>
            </w:r>
          </w:p>
          <w:p>
            <w:pPr>
              <w:pStyle w:val="75"/>
              <w:ind w:firstLine="31680"/>
              <w:rPr>
                <w:color w:val="auto"/>
              </w:rPr>
            </w:pPr>
            <w:r>
              <w:rPr>
                <w:color w:val="auto"/>
              </w:rPr>
              <w:t>2</w:t>
            </w:r>
            <w:r>
              <w:rPr>
                <w:rFonts w:hint="eastAsia"/>
                <w:color w:val="auto"/>
              </w:rPr>
              <w:t>、建设内容及规模</w:t>
            </w:r>
          </w:p>
          <w:p>
            <w:pPr>
              <w:pStyle w:val="36"/>
              <w:ind w:firstLine="31680"/>
            </w:pPr>
            <w:r>
              <w:rPr>
                <w:rFonts w:hint="eastAsia"/>
              </w:rPr>
              <w:t>（</w:t>
            </w:r>
            <w:r>
              <w:t>1</w:t>
            </w:r>
            <w:r>
              <w:rPr>
                <w:rFonts w:hint="eastAsia"/>
              </w:rPr>
              <w:t>）拟建项目工程内容及规模</w:t>
            </w:r>
          </w:p>
          <w:p>
            <w:pPr>
              <w:pStyle w:val="36"/>
              <w:ind w:firstLine="31680"/>
            </w:pPr>
            <w:r>
              <w:rPr>
                <w:rFonts w:hint="eastAsia"/>
              </w:rPr>
              <w:t>拟建项目租用芒市大湾水电有限公司闲置用房和闲置空地，总投资</w:t>
            </w:r>
            <w:r>
              <w:t>6</w:t>
            </w:r>
            <w:r>
              <w:rPr>
                <w:rFonts w:hint="eastAsia"/>
              </w:rPr>
              <w:t>万元，占地面积</w:t>
            </w:r>
            <w:r>
              <w:t>1000m</w:t>
            </w:r>
            <w:r>
              <w:rPr>
                <w:vertAlign w:val="superscript"/>
              </w:rPr>
              <w:t>2</w:t>
            </w:r>
            <w:r>
              <w:rPr>
                <w:rFonts w:hint="eastAsia"/>
              </w:rPr>
              <w:t>，其中半成品仓库</w:t>
            </w:r>
            <w:r>
              <w:t>130m</w:t>
            </w:r>
            <w:r>
              <w:rPr>
                <w:vertAlign w:val="superscript"/>
              </w:rPr>
              <w:t>2</w:t>
            </w:r>
            <w:r>
              <w:rPr>
                <w:rFonts w:hint="eastAsia"/>
              </w:rPr>
              <w:t>；组装、打磨区</w:t>
            </w:r>
            <w:r>
              <w:t>210m</w:t>
            </w:r>
            <w:r>
              <w:rPr>
                <w:vertAlign w:val="superscript"/>
              </w:rPr>
              <w:t>2</w:t>
            </w:r>
            <w:r>
              <w:rPr>
                <w:rFonts w:hint="eastAsia"/>
              </w:rPr>
              <w:t>；废木屑堆场</w:t>
            </w:r>
            <w:r>
              <w:t>5m</w:t>
            </w:r>
            <w:r>
              <w:rPr>
                <w:vertAlign w:val="superscript"/>
              </w:rPr>
              <w:t>2</w:t>
            </w:r>
            <w:r>
              <w:rPr>
                <w:rFonts w:hint="eastAsia"/>
              </w:rPr>
              <w:t>；刷漆、晾干区</w:t>
            </w:r>
            <w:r>
              <w:t>305m</w:t>
            </w:r>
            <w:r>
              <w:rPr>
                <w:vertAlign w:val="superscript"/>
              </w:rPr>
              <w:t>2</w:t>
            </w:r>
            <w:r>
              <w:rPr>
                <w:rFonts w:hint="eastAsia"/>
              </w:rPr>
              <w:t>；成品仓库</w:t>
            </w:r>
            <w:r>
              <w:t>110m</w:t>
            </w:r>
            <w:r>
              <w:rPr>
                <w:vertAlign w:val="superscript"/>
              </w:rPr>
              <w:t>2</w:t>
            </w:r>
            <w:r>
              <w:rPr>
                <w:rFonts w:hint="eastAsia"/>
              </w:rPr>
              <w:t>；办公室</w:t>
            </w:r>
            <w:r>
              <w:t>50m</w:t>
            </w:r>
            <w:r>
              <w:rPr>
                <w:vertAlign w:val="superscript"/>
              </w:rPr>
              <w:t>2</w:t>
            </w:r>
            <w:r>
              <w:rPr>
                <w:rFonts w:hint="eastAsia"/>
              </w:rPr>
              <w:t>，危废贮藏间</w:t>
            </w:r>
            <w:r>
              <w:t>25m</w:t>
            </w:r>
            <w:r>
              <w:rPr>
                <w:vertAlign w:val="superscript"/>
              </w:rPr>
              <w:t>2</w:t>
            </w:r>
            <w:r>
              <w:rPr>
                <w:rFonts w:hint="eastAsia"/>
              </w:rPr>
              <w:t>。项目区不设食堂及宿舍。项目建成后预计年生产</w:t>
            </w:r>
            <w:r>
              <w:t>1200</w:t>
            </w:r>
            <w:r>
              <w:rPr>
                <w:rFonts w:hint="eastAsia"/>
              </w:rPr>
              <w:t>套小型实木沙发。项目主要建设内容见表</w:t>
            </w:r>
            <w:r>
              <w:t>1-1</w:t>
            </w:r>
            <w:r>
              <w:rPr>
                <w:rFonts w:hint="eastAsia"/>
              </w:rPr>
              <w:t>，主要技术经济指标见表</w:t>
            </w:r>
            <w:r>
              <w:t>1-2</w:t>
            </w:r>
            <w:r>
              <w:rPr>
                <w:rFonts w:hint="eastAsia"/>
              </w:rPr>
              <w:t>，产品方案见表</w:t>
            </w:r>
            <w:r>
              <w:t>1-3</w:t>
            </w:r>
            <w:r>
              <w:rPr>
                <w:rFonts w:hint="eastAsia"/>
              </w:rPr>
              <w:t>。</w:t>
            </w:r>
          </w:p>
          <w:p>
            <w:pPr>
              <w:pStyle w:val="47"/>
              <w:ind w:firstLine="480"/>
            </w:pPr>
            <w:r>
              <w:rPr>
                <w:rFonts w:hint="eastAsia"/>
              </w:rPr>
              <w:t>表</w:t>
            </w:r>
            <w:r>
              <w:t xml:space="preserve">1-1 </w:t>
            </w:r>
            <w:r>
              <w:rPr>
                <w:rFonts w:hint="eastAsia"/>
              </w:rPr>
              <w:t>拟建项目建设内容一览表</w:t>
            </w:r>
          </w:p>
          <w:tbl>
            <w:tblPr>
              <w:tblStyle w:val="2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4"/>
              <w:gridCol w:w="1665"/>
              <w:gridCol w:w="5104"/>
              <w:gridCol w:w="14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3"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工程类别</w:t>
                  </w: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项目名称</w:t>
                  </w:r>
                </w:p>
              </w:tc>
              <w:tc>
                <w:tcPr>
                  <w:tcW w:w="273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工程内容及功能</w:t>
                  </w:r>
                </w:p>
              </w:tc>
              <w:tc>
                <w:tcPr>
                  <w:tcW w:w="755"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结构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3" w:type="pct"/>
                  <w:vMerge w:val="restar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主体工程</w:t>
                  </w: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半成品仓库</w:t>
                  </w:r>
                </w:p>
              </w:tc>
              <w:tc>
                <w:tcPr>
                  <w:tcW w:w="273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面积为</w:t>
                  </w:r>
                  <w:r>
                    <w:t>130m</w:t>
                  </w:r>
                  <w:r>
                    <w:rPr>
                      <w:vertAlign w:val="superscript"/>
                    </w:rPr>
                    <w:t>2</w:t>
                  </w:r>
                  <w:r>
                    <w:rPr>
                      <w:rFonts w:hint="eastAsia"/>
                    </w:rPr>
                    <w:t>，堆放半成品家具</w:t>
                  </w:r>
                </w:p>
              </w:tc>
              <w:tc>
                <w:tcPr>
                  <w:tcW w:w="755"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单层钢架构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pStyle w:val="41"/>
                  </w:pP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组装、打磨车间</w:t>
                  </w:r>
                </w:p>
              </w:tc>
              <w:tc>
                <w:tcPr>
                  <w:tcW w:w="273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面积为</w:t>
                  </w:r>
                  <w:r>
                    <w:t>210m</w:t>
                  </w:r>
                  <w:r>
                    <w:rPr>
                      <w:vertAlign w:val="superscript"/>
                    </w:rPr>
                    <w:t>2</w:t>
                  </w:r>
                  <w:r>
                    <w:rPr>
                      <w:rFonts w:hint="eastAsia"/>
                    </w:rPr>
                    <w:t>，半成品家具组装，打磨</w:t>
                  </w:r>
                </w:p>
              </w:tc>
              <w:tc>
                <w:tcPr>
                  <w:tcW w:w="755"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单层钢架构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pStyle w:val="41"/>
                  </w:pP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废木屑堆场</w:t>
                  </w:r>
                </w:p>
              </w:tc>
              <w:tc>
                <w:tcPr>
                  <w:tcW w:w="273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面积为</w:t>
                  </w:r>
                  <w:r>
                    <w:t>5m</w:t>
                  </w:r>
                  <w:r>
                    <w:rPr>
                      <w:vertAlign w:val="superscript"/>
                    </w:rPr>
                    <w:t>2</w:t>
                  </w:r>
                  <w:r>
                    <w:rPr>
                      <w:rFonts w:hint="eastAsia"/>
                    </w:rPr>
                    <w:t>，用于临时堆放废木屑</w:t>
                  </w:r>
                </w:p>
              </w:tc>
              <w:tc>
                <w:tcPr>
                  <w:tcW w:w="755"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单层钢架构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pStyle w:val="41"/>
                  </w:pP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刷漆、晾干车间</w:t>
                  </w:r>
                </w:p>
              </w:tc>
              <w:tc>
                <w:tcPr>
                  <w:tcW w:w="273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面积为</w:t>
                  </w:r>
                  <w:r>
                    <w:t>305m</w:t>
                  </w:r>
                  <w:r>
                    <w:rPr>
                      <w:vertAlign w:val="superscript"/>
                    </w:rPr>
                    <w:t>2</w:t>
                  </w:r>
                  <w:r>
                    <w:rPr>
                      <w:rFonts w:hint="eastAsia"/>
                    </w:rPr>
                    <w:t>，用于家具人工上漆，自然晾干</w:t>
                  </w:r>
                </w:p>
              </w:tc>
              <w:tc>
                <w:tcPr>
                  <w:tcW w:w="755"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单层钢架构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pStyle w:val="41"/>
                  </w:pP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成品仓库</w:t>
                  </w:r>
                </w:p>
              </w:tc>
              <w:tc>
                <w:tcPr>
                  <w:tcW w:w="273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面积为</w:t>
                  </w:r>
                  <w:r>
                    <w:t>110m</w:t>
                  </w:r>
                  <w:r>
                    <w:rPr>
                      <w:vertAlign w:val="superscript"/>
                    </w:rPr>
                    <w:t>2</w:t>
                  </w:r>
                  <w:r>
                    <w:rPr>
                      <w:rFonts w:hint="eastAsia"/>
                    </w:rPr>
                    <w:t>，堆放成品家具</w:t>
                  </w:r>
                </w:p>
              </w:tc>
              <w:tc>
                <w:tcPr>
                  <w:tcW w:w="755"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单层钢架构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pStyle w:val="41"/>
                  </w:pP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危废贮藏间</w:t>
                  </w:r>
                </w:p>
              </w:tc>
              <w:tc>
                <w:tcPr>
                  <w:tcW w:w="273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面积为</w:t>
                  </w:r>
                  <w:r>
                    <w:t>25m</w:t>
                  </w:r>
                  <w:r>
                    <w:rPr>
                      <w:vertAlign w:val="superscript"/>
                    </w:rPr>
                    <w:t>2</w:t>
                  </w:r>
                  <w:r>
                    <w:rPr>
                      <w:rFonts w:hint="eastAsia"/>
                    </w:rPr>
                    <w:t>，用于废弃油漆桶的堆放</w:t>
                  </w:r>
                </w:p>
              </w:tc>
              <w:tc>
                <w:tcPr>
                  <w:tcW w:w="755"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单层钢架构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3"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辅助工程</w:t>
                  </w: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办公室</w:t>
                  </w:r>
                </w:p>
              </w:tc>
              <w:tc>
                <w:tcPr>
                  <w:tcW w:w="273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面积为</w:t>
                  </w:r>
                  <w:r>
                    <w:t>50m</w:t>
                  </w:r>
                  <w:r>
                    <w:rPr>
                      <w:vertAlign w:val="superscript"/>
                    </w:rPr>
                    <w:t>2</w:t>
                  </w:r>
                  <w:r>
                    <w:rPr>
                      <w:rFonts w:hint="eastAsia"/>
                    </w:rPr>
                    <w:t>，用于生产办公</w:t>
                  </w:r>
                </w:p>
              </w:tc>
              <w:tc>
                <w:tcPr>
                  <w:tcW w:w="755"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单层活动房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3" w:type="pct"/>
                  <w:vMerge w:val="restar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公用工程</w:t>
                  </w: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供电</w:t>
                  </w:r>
                </w:p>
              </w:tc>
              <w:tc>
                <w:tcPr>
                  <w:tcW w:w="273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依托由项目区旁市政电网引入厂区</w:t>
                  </w:r>
                </w:p>
              </w:tc>
              <w:tc>
                <w:tcPr>
                  <w:tcW w:w="755" w:type="pct"/>
                  <w:tcBorders>
                    <w:top w:val="single" w:color="000000" w:sz="4" w:space="0"/>
                    <w:left w:val="single" w:color="000000" w:sz="4" w:space="0"/>
                    <w:bottom w:val="single" w:color="000000" w:sz="4" w:space="0"/>
                    <w:right w:val="single" w:color="000000" w:sz="4" w:space="0"/>
                  </w:tcBorders>
                  <w:vAlign w:val="center"/>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pStyle w:val="41"/>
                  </w:pP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供水</w:t>
                  </w:r>
                </w:p>
              </w:tc>
              <w:tc>
                <w:tcPr>
                  <w:tcW w:w="273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项目区生产和生活用水均来自项目区地下水</w:t>
                  </w:r>
                </w:p>
              </w:tc>
              <w:tc>
                <w:tcPr>
                  <w:tcW w:w="755" w:type="pct"/>
                  <w:tcBorders>
                    <w:top w:val="single" w:color="000000" w:sz="4" w:space="0"/>
                    <w:left w:val="single" w:color="000000" w:sz="4" w:space="0"/>
                    <w:bottom w:val="single" w:color="000000" w:sz="4" w:space="0"/>
                    <w:right w:val="single" w:color="000000" w:sz="4" w:space="0"/>
                  </w:tcBorders>
                  <w:vAlign w:val="center"/>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pStyle w:val="41"/>
                  </w:pP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排水</w:t>
                  </w:r>
                </w:p>
              </w:tc>
              <w:tc>
                <w:tcPr>
                  <w:tcW w:w="273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废水经化粪池收集处理后，委托附近村民定期清掏，用于农灌施肥，不外排</w:t>
                  </w:r>
                </w:p>
              </w:tc>
              <w:tc>
                <w:tcPr>
                  <w:tcW w:w="755" w:type="pct"/>
                  <w:tcBorders>
                    <w:top w:val="single" w:color="000000" w:sz="4" w:space="0"/>
                    <w:left w:val="single" w:color="000000" w:sz="4" w:space="0"/>
                    <w:bottom w:val="single" w:color="000000" w:sz="4" w:space="0"/>
                    <w:right w:val="single" w:color="000000" w:sz="4" w:space="0"/>
                  </w:tcBorders>
                  <w:vAlign w:val="center"/>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623" w:type="pct"/>
                  <w:vMerge w:val="restar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环保工程</w:t>
                  </w: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废气处理</w:t>
                  </w:r>
                </w:p>
              </w:tc>
              <w:tc>
                <w:tcPr>
                  <w:tcW w:w="273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刷漆、晾干车间通风风机</w:t>
                  </w:r>
                  <w:r>
                    <w:t>2</w:t>
                  </w:r>
                  <w:r>
                    <w:rPr>
                      <w:rFonts w:hint="eastAsia"/>
                    </w:rPr>
                    <w:t>套、活性炭吸附装置</w:t>
                  </w:r>
                  <w:r>
                    <w:t>1</w:t>
                  </w:r>
                  <w:r>
                    <w:rPr>
                      <w:rFonts w:hint="eastAsia"/>
                    </w:rPr>
                    <w:t>套</w:t>
                  </w:r>
                </w:p>
              </w:tc>
              <w:tc>
                <w:tcPr>
                  <w:tcW w:w="755" w:type="pct"/>
                  <w:tcBorders>
                    <w:top w:val="single" w:color="000000" w:sz="4" w:space="0"/>
                    <w:left w:val="single" w:color="000000" w:sz="4" w:space="0"/>
                    <w:bottom w:val="single" w:color="000000" w:sz="4" w:space="0"/>
                    <w:right w:val="single" w:color="000000" w:sz="4" w:space="0"/>
                  </w:tcBorders>
                  <w:vAlign w:val="center"/>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pStyle w:val="41"/>
                  </w:pP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废水处理</w:t>
                  </w:r>
                </w:p>
              </w:tc>
              <w:tc>
                <w:tcPr>
                  <w:tcW w:w="273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化粪池</w:t>
                  </w:r>
                  <w:r>
                    <w:t>1</w:t>
                  </w:r>
                  <w:r>
                    <w:rPr>
                      <w:rFonts w:hint="eastAsia"/>
                    </w:rPr>
                    <w:t>座</w:t>
                  </w:r>
                  <w:r>
                    <w:t>1m</w:t>
                  </w:r>
                  <w:r>
                    <w:rPr>
                      <w:vertAlign w:val="superscript"/>
                    </w:rPr>
                    <w:t>3</w:t>
                  </w:r>
                </w:p>
              </w:tc>
              <w:tc>
                <w:tcPr>
                  <w:tcW w:w="755" w:type="pct"/>
                  <w:tcBorders>
                    <w:top w:val="single" w:color="000000" w:sz="4" w:space="0"/>
                    <w:left w:val="single" w:color="000000" w:sz="4" w:space="0"/>
                    <w:bottom w:val="single" w:color="000000" w:sz="4" w:space="0"/>
                    <w:right w:val="single" w:color="000000" w:sz="4" w:space="0"/>
                  </w:tcBorders>
                  <w:vAlign w:val="center"/>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pStyle w:val="41"/>
                  </w:pP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固废治理</w:t>
                  </w:r>
                </w:p>
              </w:tc>
              <w:tc>
                <w:tcPr>
                  <w:tcW w:w="273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设置大垃圾桶</w:t>
                  </w:r>
                  <w:r>
                    <w:t>1</w:t>
                  </w:r>
                  <w:r>
                    <w:rPr>
                      <w:rFonts w:hint="eastAsia"/>
                    </w:rPr>
                    <w:t>个</w:t>
                  </w:r>
                </w:p>
              </w:tc>
              <w:tc>
                <w:tcPr>
                  <w:tcW w:w="755" w:type="pct"/>
                  <w:tcBorders>
                    <w:top w:val="single" w:color="000000" w:sz="4" w:space="0"/>
                    <w:left w:val="single" w:color="000000" w:sz="4" w:space="0"/>
                    <w:bottom w:val="single" w:color="000000" w:sz="4" w:space="0"/>
                    <w:right w:val="single" w:color="000000" w:sz="4" w:space="0"/>
                  </w:tcBorders>
                  <w:vAlign w:val="center"/>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pStyle w:val="41"/>
                  </w:pP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绿化</w:t>
                  </w:r>
                </w:p>
              </w:tc>
              <w:tc>
                <w:tcPr>
                  <w:tcW w:w="2731" w:type="pct"/>
                  <w:tcBorders>
                    <w:top w:val="single" w:color="000000" w:sz="4" w:space="0"/>
                    <w:left w:val="single" w:color="000000" w:sz="4" w:space="0"/>
                    <w:bottom w:val="single" w:color="000000" w:sz="4" w:space="0"/>
                    <w:right w:val="single" w:color="000000" w:sz="4" w:space="0"/>
                  </w:tcBorders>
                  <w:vAlign w:val="center"/>
                </w:tcPr>
                <w:p>
                  <w:pPr>
                    <w:pStyle w:val="41"/>
                  </w:pPr>
                  <w:r>
                    <w:t>50m</w:t>
                  </w:r>
                  <w:r>
                    <w:rPr>
                      <w:vertAlign w:val="superscript"/>
                    </w:rPr>
                    <w:t>2</w:t>
                  </w:r>
                </w:p>
              </w:tc>
              <w:tc>
                <w:tcPr>
                  <w:tcW w:w="755" w:type="pct"/>
                  <w:tcBorders>
                    <w:top w:val="single" w:color="000000" w:sz="4" w:space="0"/>
                    <w:left w:val="single" w:color="000000" w:sz="4" w:space="0"/>
                    <w:bottom w:val="single" w:color="000000" w:sz="4" w:space="0"/>
                    <w:right w:val="single" w:color="000000" w:sz="4" w:space="0"/>
                  </w:tcBorders>
                  <w:vAlign w:val="center"/>
                </w:tcPr>
                <w:p>
                  <w:pPr>
                    <w:pStyle w:val="41"/>
                  </w:pPr>
                </w:p>
              </w:tc>
            </w:tr>
          </w:tbl>
          <w:p>
            <w:pPr>
              <w:pStyle w:val="47"/>
              <w:ind w:firstLine="480"/>
            </w:pPr>
          </w:p>
          <w:p>
            <w:pPr>
              <w:pStyle w:val="47"/>
              <w:jc w:val="both"/>
            </w:pPr>
          </w:p>
          <w:p>
            <w:pPr>
              <w:pStyle w:val="47"/>
              <w:jc w:val="both"/>
            </w:pPr>
          </w:p>
          <w:p>
            <w:pPr>
              <w:pStyle w:val="47"/>
              <w:jc w:val="both"/>
            </w:pPr>
          </w:p>
          <w:p>
            <w:pPr>
              <w:pStyle w:val="47"/>
              <w:ind w:firstLine="480"/>
            </w:pPr>
            <w:r>
              <w:rPr>
                <w:rFonts w:hint="eastAsia"/>
              </w:rPr>
              <w:t>表</w:t>
            </w:r>
            <w:r>
              <w:t xml:space="preserve">1-2 </w:t>
            </w:r>
            <w:r>
              <w:rPr>
                <w:rFonts w:hint="eastAsia"/>
              </w:rPr>
              <w:t>项目经济技术指标</w:t>
            </w:r>
          </w:p>
          <w:tbl>
            <w:tblPr>
              <w:tblStyle w:val="21"/>
              <w:tblW w:w="5000" w:type="pct"/>
              <w:tblInd w:w="0" w:type="dxa"/>
              <w:tblLayout w:type="autofit"/>
              <w:tblCellMar>
                <w:top w:w="0" w:type="dxa"/>
                <w:left w:w="108" w:type="dxa"/>
                <w:bottom w:w="0" w:type="dxa"/>
                <w:right w:w="108" w:type="dxa"/>
              </w:tblCellMar>
            </w:tblPr>
            <w:tblGrid>
              <w:gridCol w:w="767"/>
              <w:gridCol w:w="3519"/>
              <w:gridCol w:w="1328"/>
              <w:gridCol w:w="1658"/>
              <w:gridCol w:w="2082"/>
            </w:tblGrid>
            <w:tr>
              <w:tblPrEx>
                <w:tblCellMar>
                  <w:top w:w="0" w:type="dxa"/>
                  <w:left w:w="108" w:type="dxa"/>
                  <w:bottom w:w="0" w:type="dxa"/>
                  <w:right w:w="108" w:type="dxa"/>
                </w:tblCellMar>
              </w:tblPrEx>
              <w:trPr>
                <w:trHeight w:val="340" w:hRule="atLeast"/>
                <w:tblHeader/>
              </w:trPr>
              <w:tc>
                <w:tcPr>
                  <w:tcW w:w="2291" w:type="pct"/>
                  <w:gridSpan w:val="2"/>
                  <w:tcBorders>
                    <w:top w:val="single" w:color="auto" w:sz="4" w:space="0"/>
                    <w:left w:val="single" w:color="auto" w:sz="4" w:space="0"/>
                    <w:bottom w:val="single" w:color="auto" w:sz="4" w:space="0"/>
                    <w:right w:val="single" w:color="auto" w:sz="4" w:space="0"/>
                  </w:tcBorders>
                  <w:noWrap/>
                  <w:vAlign w:val="center"/>
                </w:tcPr>
                <w:p>
                  <w:pPr>
                    <w:pStyle w:val="41"/>
                  </w:pPr>
                  <w:r>
                    <w:rPr>
                      <w:rFonts w:hint="eastAsia"/>
                    </w:rPr>
                    <w:t>名称</w:t>
                  </w:r>
                </w:p>
              </w:tc>
              <w:tc>
                <w:tcPr>
                  <w:tcW w:w="710" w:type="pct"/>
                  <w:tcBorders>
                    <w:top w:val="single" w:color="auto" w:sz="4" w:space="0"/>
                    <w:left w:val="nil"/>
                    <w:bottom w:val="single" w:color="auto" w:sz="4" w:space="0"/>
                    <w:right w:val="single" w:color="auto" w:sz="4" w:space="0"/>
                  </w:tcBorders>
                  <w:noWrap/>
                  <w:vAlign w:val="center"/>
                </w:tcPr>
                <w:p>
                  <w:pPr>
                    <w:pStyle w:val="41"/>
                  </w:pPr>
                  <w:r>
                    <w:rPr>
                      <w:rFonts w:hint="eastAsia"/>
                    </w:rPr>
                    <w:t>单位</w:t>
                  </w:r>
                </w:p>
              </w:tc>
              <w:tc>
                <w:tcPr>
                  <w:tcW w:w="886" w:type="pct"/>
                  <w:tcBorders>
                    <w:top w:val="single" w:color="auto" w:sz="4" w:space="0"/>
                    <w:left w:val="nil"/>
                    <w:bottom w:val="single" w:color="auto" w:sz="4" w:space="0"/>
                    <w:right w:val="single" w:color="auto" w:sz="4" w:space="0"/>
                  </w:tcBorders>
                  <w:noWrap/>
                  <w:vAlign w:val="center"/>
                </w:tcPr>
                <w:p>
                  <w:pPr>
                    <w:pStyle w:val="41"/>
                  </w:pPr>
                  <w:r>
                    <w:rPr>
                      <w:rFonts w:hint="eastAsia"/>
                    </w:rPr>
                    <w:t>指标</w:t>
                  </w:r>
                </w:p>
              </w:tc>
              <w:tc>
                <w:tcPr>
                  <w:tcW w:w="1113" w:type="pct"/>
                  <w:tcBorders>
                    <w:top w:val="single" w:color="auto" w:sz="4" w:space="0"/>
                    <w:left w:val="nil"/>
                    <w:bottom w:val="single" w:color="auto" w:sz="4" w:space="0"/>
                    <w:right w:val="single" w:color="auto" w:sz="4" w:space="0"/>
                  </w:tcBorders>
                  <w:noWrap/>
                  <w:vAlign w:val="center"/>
                </w:tcPr>
                <w:p>
                  <w:pPr>
                    <w:pStyle w:val="41"/>
                  </w:pPr>
                  <w:r>
                    <w:rPr>
                      <w:rFonts w:hint="eastAsia"/>
                    </w:rPr>
                    <w:t>备注</w:t>
                  </w:r>
                </w:p>
              </w:tc>
            </w:tr>
            <w:tr>
              <w:tblPrEx>
                <w:tblCellMar>
                  <w:top w:w="0" w:type="dxa"/>
                  <w:left w:w="108" w:type="dxa"/>
                  <w:bottom w:w="0" w:type="dxa"/>
                  <w:right w:w="108" w:type="dxa"/>
                </w:tblCellMar>
              </w:tblPrEx>
              <w:trPr>
                <w:trHeight w:val="340" w:hRule="atLeast"/>
              </w:trPr>
              <w:tc>
                <w:tcPr>
                  <w:tcW w:w="2291" w:type="pct"/>
                  <w:gridSpan w:val="2"/>
                  <w:tcBorders>
                    <w:top w:val="single" w:color="auto" w:sz="4" w:space="0"/>
                    <w:left w:val="single" w:color="auto" w:sz="4" w:space="0"/>
                    <w:bottom w:val="single" w:color="auto" w:sz="4" w:space="0"/>
                    <w:right w:val="single" w:color="auto" w:sz="4" w:space="0"/>
                  </w:tcBorders>
                  <w:noWrap/>
                  <w:vAlign w:val="center"/>
                </w:tcPr>
                <w:p>
                  <w:pPr>
                    <w:pStyle w:val="41"/>
                  </w:pPr>
                  <w:r>
                    <w:rPr>
                      <w:rFonts w:hint="eastAsia"/>
                    </w:rPr>
                    <w:t>总投资</w:t>
                  </w:r>
                </w:p>
              </w:tc>
              <w:tc>
                <w:tcPr>
                  <w:tcW w:w="710" w:type="pct"/>
                  <w:tcBorders>
                    <w:top w:val="single" w:color="auto" w:sz="4" w:space="0"/>
                    <w:left w:val="nil"/>
                    <w:bottom w:val="single" w:color="auto" w:sz="4" w:space="0"/>
                    <w:right w:val="single" w:color="auto" w:sz="4" w:space="0"/>
                  </w:tcBorders>
                  <w:noWrap/>
                  <w:vAlign w:val="center"/>
                </w:tcPr>
                <w:p>
                  <w:pPr>
                    <w:pStyle w:val="41"/>
                  </w:pPr>
                  <w:r>
                    <w:rPr>
                      <w:rFonts w:hint="eastAsia"/>
                    </w:rPr>
                    <w:t>万元</w:t>
                  </w:r>
                </w:p>
              </w:tc>
              <w:tc>
                <w:tcPr>
                  <w:tcW w:w="886" w:type="pct"/>
                  <w:tcBorders>
                    <w:top w:val="single" w:color="auto" w:sz="4" w:space="0"/>
                    <w:left w:val="nil"/>
                    <w:bottom w:val="single" w:color="auto" w:sz="4" w:space="0"/>
                    <w:right w:val="single" w:color="auto" w:sz="4" w:space="0"/>
                  </w:tcBorders>
                  <w:noWrap/>
                  <w:vAlign w:val="center"/>
                </w:tcPr>
                <w:p>
                  <w:pPr>
                    <w:pStyle w:val="41"/>
                  </w:pPr>
                  <w:r>
                    <w:t>6</w:t>
                  </w:r>
                </w:p>
              </w:tc>
              <w:tc>
                <w:tcPr>
                  <w:tcW w:w="1113" w:type="pct"/>
                  <w:tcBorders>
                    <w:top w:val="single" w:color="auto" w:sz="4" w:space="0"/>
                    <w:left w:val="nil"/>
                    <w:bottom w:val="single" w:color="auto" w:sz="4" w:space="0"/>
                    <w:right w:val="single" w:color="auto" w:sz="4" w:space="0"/>
                  </w:tcBorders>
                  <w:noWrap/>
                  <w:vAlign w:val="center"/>
                </w:tcPr>
                <w:p>
                  <w:pPr>
                    <w:pStyle w:val="41"/>
                  </w:pPr>
                </w:p>
              </w:tc>
            </w:tr>
            <w:tr>
              <w:tblPrEx>
                <w:tblCellMar>
                  <w:top w:w="0" w:type="dxa"/>
                  <w:left w:w="108" w:type="dxa"/>
                  <w:bottom w:w="0" w:type="dxa"/>
                  <w:right w:w="108" w:type="dxa"/>
                </w:tblCellMar>
              </w:tblPrEx>
              <w:trPr>
                <w:trHeight w:val="340" w:hRule="atLeast"/>
              </w:trPr>
              <w:tc>
                <w:tcPr>
                  <w:tcW w:w="2291" w:type="pct"/>
                  <w:gridSpan w:val="2"/>
                  <w:tcBorders>
                    <w:top w:val="single" w:color="auto" w:sz="4" w:space="0"/>
                    <w:left w:val="single" w:color="auto" w:sz="4" w:space="0"/>
                    <w:bottom w:val="single" w:color="auto" w:sz="4" w:space="0"/>
                    <w:right w:val="single" w:color="auto" w:sz="4" w:space="0"/>
                  </w:tcBorders>
                  <w:noWrap/>
                  <w:vAlign w:val="center"/>
                </w:tcPr>
                <w:p>
                  <w:pPr>
                    <w:pStyle w:val="41"/>
                  </w:pPr>
                  <w:r>
                    <w:rPr>
                      <w:rFonts w:hint="eastAsia"/>
                    </w:rPr>
                    <w:t>占地面积</w:t>
                  </w:r>
                </w:p>
              </w:tc>
              <w:tc>
                <w:tcPr>
                  <w:tcW w:w="710" w:type="pct"/>
                  <w:tcBorders>
                    <w:top w:val="single" w:color="auto" w:sz="4" w:space="0"/>
                    <w:left w:val="nil"/>
                    <w:bottom w:val="single" w:color="auto" w:sz="4" w:space="0"/>
                    <w:right w:val="single" w:color="auto" w:sz="4" w:space="0"/>
                  </w:tcBorders>
                  <w:noWrap/>
                  <w:vAlign w:val="center"/>
                </w:tcPr>
                <w:p>
                  <w:pPr>
                    <w:pStyle w:val="41"/>
                  </w:pPr>
                  <w:r>
                    <w:t>m</w:t>
                  </w:r>
                  <w:r>
                    <w:rPr>
                      <w:vertAlign w:val="superscript"/>
                    </w:rPr>
                    <w:t>2</w:t>
                  </w:r>
                </w:p>
              </w:tc>
              <w:tc>
                <w:tcPr>
                  <w:tcW w:w="886" w:type="pct"/>
                  <w:tcBorders>
                    <w:top w:val="single" w:color="auto" w:sz="4" w:space="0"/>
                    <w:left w:val="nil"/>
                    <w:bottom w:val="single" w:color="auto" w:sz="4" w:space="0"/>
                    <w:right w:val="single" w:color="auto" w:sz="4" w:space="0"/>
                  </w:tcBorders>
                  <w:noWrap/>
                  <w:vAlign w:val="center"/>
                </w:tcPr>
                <w:p>
                  <w:pPr>
                    <w:pStyle w:val="41"/>
                  </w:pPr>
                  <w:r>
                    <w:t>1000</w:t>
                  </w:r>
                </w:p>
              </w:tc>
              <w:tc>
                <w:tcPr>
                  <w:tcW w:w="1113" w:type="pct"/>
                  <w:tcBorders>
                    <w:top w:val="single" w:color="auto" w:sz="4" w:space="0"/>
                    <w:left w:val="nil"/>
                    <w:bottom w:val="single" w:color="auto" w:sz="4" w:space="0"/>
                    <w:right w:val="single" w:color="auto" w:sz="4" w:space="0"/>
                  </w:tcBorders>
                  <w:noWrap/>
                  <w:vAlign w:val="center"/>
                </w:tcPr>
                <w:p>
                  <w:pPr>
                    <w:pStyle w:val="41"/>
                  </w:pPr>
                </w:p>
              </w:tc>
            </w:tr>
            <w:tr>
              <w:tblPrEx>
                <w:tblCellMar>
                  <w:top w:w="0" w:type="dxa"/>
                  <w:left w:w="108" w:type="dxa"/>
                  <w:bottom w:w="0" w:type="dxa"/>
                  <w:right w:w="108" w:type="dxa"/>
                </w:tblCellMar>
              </w:tblPrEx>
              <w:trPr>
                <w:trHeight w:val="340" w:hRule="atLeast"/>
              </w:trPr>
              <w:tc>
                <w:tcPr>
                  <w:tcW w:w="2291" w:type="pct"/>
                  <w:gridSpan w:val="2"/>
                  <w:tcBorders>
                    <w:top w:val="single" w:color="auto" w:sz="4" w:space="0"/>
                    <w:left w:val="single" w:color="auto" w:sz="4" w:space="0"/>
                    <w:bottom w:val="single" w:color="auto" w:sz="4" w:space="0"/>
                    <w:right w:val="single" w:color="auto" w:sz="4" w:space="0"/>
                  </w:tcBorders>
                  <w:noWrap/>
                  <w:vAlign w:val="center"/>
                </w:tcPr>
                <w:p>
                  <w:pPr>
                    <w:pStyle w:val="41"/>
                  </w:pPr>
                  <w:r>
                    <w:rPr>
                      <w:rFonts w:hint="eastAsia"/>
                    </w:rPr>
                    <w:t>生产加工区</w:t>
                  </w:r>
                </w:p>
              </w:tc>
              <w:tc>
                <w:tcPr>
                  <w:tcW w:w="710" w:type="pct"/>
                  <w:tcBorders>
                    <w:top w:val="single" w:color="auto" w:sz="4" w:space="0"/>
                    <w:left w:val="nil"/>
                    <w:bottom w:val="single" w:color="auto" w:sz="4" w:space="0"/>
                    <w:right w:val="single" w:color="auto" w:sz="4" w:space="0"/>
                  </w:tcBorders>
                  <w:noWrap/>
                  <w:vAlign w:val="center"/>
                </w:tcPr>
                <w:p>
                  <w:pPr>
                    <w:pStyle w:val="41"/>
                  </w:pPr>
                  <w:r>
                    <w:t>m</w:t>
                  </w:r>
                  <w:r>
                    <w:rPr>
                      <w:vertAlign w:val="superscript"/>
                    </w:rPr>
                    <w:t>2</w:t>
                  </w:r>
                </w:p>
              </w:tc>
              <w:tc>
                <w:tcPr>
                  <w:tcW w:w="886" w:type="pct"/>
                  <w:tcBorders>
                    <w:top w:val="single" w:color="auto" w:sz="4" w:space="0"/>
                    <w:left w:val="nil"/>
                    <w:bottom w:val="single" w:color="auto" w:sz="4" w:space="0"/>
                    <w:right w:val="single" w:color="auto" w:sz="4" w:space="0"/>
                  </w:tcBorders>
                  <w:noWrap/>
                  <w:vAlign w:val="center"/>
                </w:tcPr>
                <w:p>
                  <w:pPr>
                    <w:pStyle w:val="41"/>
                  </w:pPr>
                  <w:r>
                    <w:t>785</w:t>
                  </w:r>
                </w:p>
              </w:tc>
              <w:tc>
                <w:tcPr>
                  <w:tcW w:w="1113" w:type="pct"/>
                  <w:tcBorders>
                    <w:top w:val="single" w:color="auto" w:sz="4" w:space="0"/>
                    <w:left w:val="nil"/>
                    <w:bottom w:val="single" w:color="auto" w:sz="4" w:space="0"/>
                    <w:right w:val="single" w:color="auto" w:sz="4" w:space="0"/>
                  </w:tcBorders>
                  <w:noWrap/>
                  <w:vAlign w:val="center"/>
                </w:tcPr>
                <w:p>
                  <w:pPr>
                    <w:pStyle w:val="41"/>
                  </w:pPr>
                </w:p>
              </w:tc>
            </w:tr>
            <w:tr>
              <w:tblPrEx>
                <w:tblCellMar>
                  <w:top w:w="0" w:type="dxa"/>
                  <w:left w:w="108" w:type="dxa"/>
                  <w:bottom w:w="0" w:type="dxa"/>
                  <w:right w:w="108" w:type="dxa"/>
                </w:tblCellMar>
              </w:tblPrEx>
              <w:trPr>
                <w:trHeight w:val="340" w:hRule="atLeast"/>
              </w:trPr>
              <w:tc>
                <w:tcPr>
                  <w:tcW w:w="410"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其</w:t>
                  </w:r>
                  <w:r>
                    <w:br w:type="textWrapping"/>
                  </w:r>
                  <w:r>
                    <w:rPr>
                      <w:rFonts w:hint="eastAsia"/>
                    </w:rPr>
                    <w:t>中</w:t>
                  </w:r>
                </w:p>
              </w:tc>
              <w:tc>
                <w:tcPr>
                  <w:tcW w:w="1881" w:type="pct"/>
                  <w:tcBorders>
                    <w:top w:val="single" w:color="auto" w:sz="4" w:space="0"/>
                    <w:left w:val="nil"/>
                    <w:bottom w:val="single" w:color="auto" w:sz="4" w:space="0"/>
                    <w:right w:val="single" w:color="auto" w:sz="4" w:space="0"/>
                  </w:tcBorders>
                  <w:vAlign w:val="center"/>
                </w:tcPr>
                <w:p>
                  <w:pPr>
                    <w:pStyle w:val="41"/>
                  </w:pPr>
                  <w:r>
                    <w:rPr>
                      <w:rFonts w:hint="eastAsia"/>
                    </w:rPr>
                    <w:t>半成品仓库</w:t>
                  </w:r>
                </w:p>
              </w:tc>
              <w:tc>
                <w:tcPr>
                  <w:tcW w:w="710" w:type="pct"/>
                  <w:tcBorders>
                    <w:top w:val="single" w:color="auto" w:sz="4" w:space="0"/>
                    <w:left w:val="nil"/>
                    <w:bottom w:val="single" w:color="auto" w:sz="4" w:space="0"/>
                    <w:right w:val="single" w:color="auto" w:sz="4" w:space="0"/>
                  </w:tcBorders>
                  <w:noWrap/>
                  <w:vAlign w:val="center"/>
                </w:tcPr>
                <w:p>
                  <w:pPr>
                    <w:pStyle w:val="41"/>
                  </w:pPr>
                  <w:r>
                    <w:t>m</w:t>
                  </w:r>
                  <w:r>
                    <w:rPr>
                      <w:vertAlign w:val="superscript"/>
                    </w:rPr>
                    <w:t>2</w:t>
                  </w:r>
                </w:p>
              </w:tc>
              <w:tc>
                <w:tcPr>
                  <w:tcW w:w="886" w:type="pct"/>
                  <w:tcBorders>
                    <w:top w:val="single" w:color="auto" w:sz="4" w:space="0"/>
                    <w:left w:val="nil"/>
                    <w:bottom w:val="single" w:color="auto" w:sz="4" w:space="0"/>
                    <w:right w:val="single" w:color="auto" w:sz="4" w:space="0"/>
                  </w:tcBorders>
                  <w:noWrap/>
                  <w:vAlign w:val="center"/>
                </w:tcPr>
                <w:p>
                  <w:pPr>
                    <w:pStyle w:val="41"/>
                  </w:pPr>
                  <w:r>
                    <w:t>130</w:t>
                  </w:r>
                </w:p>
              </w:tc>
              <w:tc>
                <w:tcPr>
                  <w:tcW w:w="1113" w:type="pct"/>
                  <w:tcBorders>
                    <w:top w:val="single" w:color="auto" w:sz="4" w:space="0"/>
                    <w:left w:val="nil"/>
                    <w:bottom w:val="single" w:color="auto" w:sz="4" w:space="0"/>
                    <w:right w:val="single" w:color="auto" w:sz="4" w:space="0"/>
                  </w:tcBorders>
                  <w:noWrap/>
                  <w:vAlign w:val="center"/>
                </w:tcPr>
                <w:p>
                  <w:pPr>
                    <w:pStyle w:val="41"/>
                  </w:pPr>
                </w:p>
              </w:tc>
            </w:tr>
            <w:tr>
              <w:tblPrEx>
                <w:tblCellMar>
                  <w:top w:w="0" w:type="dxa"/>
                  <w:left w:w="108" w:type="dxa"/>
                  <w:bottom w:w="0" w:type="dxa"/>
                  <w:right w:w="108" w:type="dxa"/>
                </w:tblCellMar>
              </w:tblPrEx>
              <w:trPr>
                <w:trHeight w:val="340" w:hRule="atLeast"/>
              </w:trPr>
              <w:tc>
                <w:tcPr>
                  <w:tcW w:w="410"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881" w:type="pct"/>
                  <w:tcBorders>
                    <w:top w:val="single" w:color="auto" w:sz="4" w:space="0"/>
                    <w:left w:val="nil"/>
                    <w:bottom w:val="single" w:color="auto" w:sz="4" w:space="0"/>
                    <w:right w:val="single" w:color="auto" w:sz="4" w:space="0"/>
                  </w:tcBorders>
                  <w:vAlign w:val="center"/>
                </w:tcPr>
                <w:p>
                  <w:pPr>
                    <w:pStyle w:val="41"/>
                  </w:pPr>
                  <w:r>
                    <w:rPr>
                      <w:rFonts w:hint="eastAsia"/>
                    </w:rPr>
                    <w:t>组装、打磨区</w:t>
                  </w:r>
                </w:p>
              </w:tc>
              <w:tc>
                <w:tcPr>
                  <w:tcW w:w="710" w:type="pct"/>
                  <w:tcBorders>
                    <w:top w:val="single" w:color="auto" w:sz="4" w:space="0"/>
                    <w:left w:val="nil"/>
                    <w:bottom w:val="single" w:color="auto" w:sz="4" w:space="0"/>
                    <w:right w:val="single" w:color="auto" w:sz="4" w:space="0"/>
                  </w:tcBorders>
                  <w:noWrap/>
                  <w:vAlign w:val="center"/>
                </w:tcPr>
                <w:p>
                  <w:pPr>
                    <w:pStyle w:val="41"/>
                  </w:pPr>
                  <w:r>
                    <w:t>m</w:t>
                  </w:r>
                  <w:r>
                    <w:rPr>
                      <w:vertAlign w:val="superscript"/>
                    </w:rPr>
                    <w:t>2</w:t>
                  </w:r>
                </w:p>
              </w:tc>
              <w:tc>
                <w:tcPr>
                  <w:tcW w:w="886" w:type="pct"/>
                  <w:tcBorders>
                    <w:top w:val="single" w:color="auto" w:sz="4" w:space="0"/>
                    <w:left w:val="nil"/>
                    <w:bottom w:val="single" w:color="auto" w:sz="4" w:space="0"/>
                    <w:right w:val="single" w:color="auto" w:sz="4" w:space="0"/>
                  </w:tcBorders>
                  <w:noWrap/>
                  <w:vAlign w:val="center"/>
                </w:tcPr>
                <w:p>
                  <w:pPr>
                    <w:pStyle w:val="41"/>
                  </w:pPr>
                  <w:r>
                    <w:t>210</w:t>
                  </w:r>
                </w:p>
              </w:tc>
              <w:tc>
                <w:tcPr>
                  <w:tcW w:w="1113" w:type="pct"/>
                  <w:tcBorders>
                    <w:top w:val="single" w:color="auto" w:sz="4" w:space="0"/>
                    <w:left w:val="nil"/>
                    <w:bottom w:val="single" w:color="auto" w:sz="4" w:space="0"/>
                    <w:right w:val="single" w:color="auto" w:sz="4" w:space="0"/>
                  </w:tcBorders>
                  <w:noWrap/>
                  <w:vAlign w:val="center"/>
                </w:tcPr>
                <w:p>
                  <w:pPr>
                    <w:pStyle w:val="41"/>
                  </w:pPr>
                </w:p>
              </w:tc>
            </w:tr>
            <w:tr>
              <w:tblPrEx>
                <w:tblCellMar>
                  <w:top w:w="0" w:type="dxa"/>
                  <w:left w:w="108" w:type="dxa"/>
                  <w:bottom w:w="0" w:type="dxa"/>
                  <w:right w:w="108" w:type="dxa"/>
                </w:tblCellMar>
              </w:tblPrEx>
              <w:trPr>
                <w:trHeight w:val="340" w:hRule="atLeast"/>
              </w:trPr>
              <w:tc>
                <w:tcPr>
                  <w:tcW w:w="410"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881" w:type="pct"/>
                  <w:tcBorders>
                    <w:top w:val="single" w:color="auto" w:sz="4" w:space="0"/>
                    <w:left w:val="nil"/>
                    <w:bottom w:val="single" w:color="auto" w:sz="4" w:space="0"/>
                    <w:right w:val="single" w:color="auto" w:sz="4" w:space="0"/>
                  </w:tcBorders>
                  <w:vAlign w:val="center"/>
                </w:tcPr>
                <w:p>
                  <w:pPr>
                    <w:pStyle w:val="41"/>
                  </w:pPr>
                  <w:r>
                    <w:rPr>
                      <w:rFonts w:hint="eastAsia"/>
                    </w:rPr>
                    <w:t>废木屑堆场</w:t>
                  </w:r>
                </w:p>
              </w:tc>
              <w:tc>
                <w:tcPr>
                  <w:tcW w:w="710" w:type="pct"/>
                  <w:tcBorders>
                    <w:top w:val="single" w:color="auto" w:sz="4" w:space="0"/>
                    <w:left w:val="nil"/>
                    <w:bottom w:val="single" w:color="auto" w:sz="4" w:space="0"/>
                    <w:right w:val="single" w:color="auto" w:sz="4" w:space="0"/>
                  </w:tcBorders>
                  <w:noWrap/>
                  <w:vAlign w:val="center"/>
                </w:tcPr>
                <w:p>
                  <w:pPr>
                    <w:pStyle w:val="41"/>
                  </w:pPr>
                  <w:r>
                    <w:t>m</w:t>
                  </w:r>
                  <w:r>
                    <w:rPr>
                      <w:vertAlign w:val="superscript"/>
                    </w:rPr>
                    <w:t>2</w:t>
                  </w:r>
                </w:p>
              </w:tc>
              <w:tc>
                <w:tcPr>
                  <w:tcW w:w="886" w:type="pct"/>
                  <w:tcBorders>
                    <w:top w:val="single" w:color="auto" w:sz="4" w:space="0"/>
                    <w:left w:val="nil"/>
                    <w:bottom w:val="single" w:color="auto" w:sz="4" w:space="0"/>
                    <w:right w:val="single" w:color="auto" w:sz="4" w:space="0"/>
                  </w:tcBorders>
                  <w:noWrap/>
                  <w:vAlign w:val="center"/>
                </w:tcPr>
                <w:p>
                  <w:pPr>
                    <w:pStyle w:val="41"/>
                  </w:pPr>
                  <w:r>
                    <w:t>5</w:t>
                  </w:r>
                </w:p>
              </w:tc>
              <w:tc>
                <w:tcPr>
                  <w:tcW w:w="1113" w:type="pct"/>
                  <w:tcBorders>
                    <w:top w:val="single" w:color="auto" w:sz="4" w:space="0"/>
                    <w:left w:val="nil"/>
                    <w:bottom w:val="single" w:color="auto" w:sz="4" w:space="0"/>
                    <w:right w:val="single" w:color="auto" w:sz="4" w:space="0"/>
                  </w:tcBorders>
                  <w:noWrap/>
                  <w:vAlign w:val="center"/>
                </w:tcPr>
                <w:p>
                  <w:pPr>
                    <w:pStyle w:val="41"/>
                  </w:pPr>
                </w:p>
              </w:tc>
            </w:tr>
            <w:tr>
              <w:tblPrEx>
                <w:tblCellMar>
                  <w:top w:w="0" w:type="dxa"/>
                  <w:left w:w="108" w:type="dxa"/>
                  <w:bottom w:w="0" w:type="dxa"/>
                  <w:right w:w="108" w:type="dxa"/>
                </w:tblCellMar>
              </w:tblPrEx>
              <w:trPr>
                <w:trHeight w:val="340" w:hRule="atLeast"/>
              </w:trPr>
              <w:tc>
                <w:tcPr>
                  <w:tcW w:w="410"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881" w:type="pct"/>
                  <w:tcBorders>
                    <w:top w:val="single" w:color="auto" w:sz="4" w:space="0"/>
                    <w:left w:val="nil"/>
                    <w:bottom w:val="single" w:color="auto" w:sz="4" w:space="0"/>
                    <w:right w:val="single" w:color="auto" w:sz="4" w:space="0"/>
                  </w:tcBorders>
                  <w:vAlign w:val="center"/>
                </w:tcPr>
                <w:p>
                  <w:pPr>
                    <w:pStyle w:val="41"/>
                  </w:pPr>
                  <w:r>
                    <w:rPr>
                      <w:rFonts w:hint="eastAsia"/>
                    </w:rPr>
                    <w:t>刷漆、晾干区</w:t>
                  </w:r>
                </w:p>
              </w:tc>
              <w:tc>
                <w:tcPr>
                  <w:tcW w:w="710" w:type="pct"/>
                  <w:tcBorders>
                    <w:top w:val="single" w:color="auto" w:sz="4" w:space="0"/>
                    <w:left w:val="nil"/>
                    <w:bottom w:val="single" w:color="auto" w:sz="4" w:space="0"/>
                    <w:right w:val="single" w:color="auto" w:sz="4" w:space="0"/>
                  </w:tcBorders>
                  <w:noWrap/>
                  <w:vAlign w:val="center"/>
                </w:tcPr>
                <w:p>
                  <w:pPr>
                    <w:pStyle w:val="41"/>
                  </w:pPr>
                  <w:r>
                    <w:t>m</w:t>
                  </w:r>
                  <w:r>
                    <w:rPr>
                      <w:vertAlign w:val="superscript"/>
                    </w:rPr>
                    <w:t>2</w:t>
                  </w:r>
                </w:p>
              </w:tc>
              <w:tc>
                <w:tcPr>
                  <w:tcW w:w="886" w:type="pct"/>
                  <w:tcBorders>
                    <w:top w:val="single" w:color="auto" w:sz="4" w:space="0"/>
                    <w:left w:val="nil"/>
                    <w:bottom w:val="single" w:color="auto" w:sz="4" w:space="0"/>
                    <w:right w:val="single" w:color="auto" w:sz="4" w:space="0"/>
                  </w:tcBorders>
                  <w:noWrap/>
                  <w:vAlign w:val="center"/>
                </w:tcPr>
                <w:p>
                  <w:pPr>
                    <w:pStyle w:val="41"/>
                  </w:pPr>
                  <w:r>
                    <w:t>305</w:t>
                  </w:r>
                </w:p>
              </w:tc>
              <w:tc>
                <w:tcPr>
                  <w:tcW w:w="1113" w:type="pct"/>
                  <w:tcBorders>
                    <w:top w:val="single" w:color="auto" w:sz="4" w:space="0"/>
                    <w:left w:val="nil"/>
                    <w:bottom w:val="single" w:color="auto" w:sz="4" w:space="0"/>
                    <w:right w:val="single" w:color="auto" w:sz="4" w:space="0"/>
                  </w:tcBorders>
                  <w:noWrap/>
                  <w:vAlign w:val="center"/>
                </w:tcPr>
                <w:p>
                  <w:pPr>
                    <w:pStyle w:val="41"/>
                  </w:pPr>
                </w:p>
              </w:tc>
            </w:tr>
            <w:tr>
              <w:tblPrEx>
                <w:tblCellMar>
                  <w:top w:w="0" w:type="dxa"/>
                  <w:left w:w="108" w:type="dxa"/>
                  <w:bottom w:w="0" w:type="dxa"/>
                  <w:right w:w="108" w:type="dxa"/>
                </w:tblCellMar>
              </w:tblPrEx>
              <w:trPr>
                <w:trHeight w:val="340" w:hRule="atLeast"/>
              </w:trPr>
              <w:tc>
                <w:tcPr>
                  <w:tcW w:w="410"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881" w:type="pct"/>
                  <w:tcBorders>
                    <w:top w:val="single" w:color="auto" w:sz="4" w:space="0"/>
                    <w:left w:val="nil"/>
                    <w:bottom w:val="single" w:color="auto" w:sz="4" w:space="0"/>
                    <w:right w:val="single" w:color="auto" w:sz="4" w:space="0"/>
                  </w:tcBorders>
                  <w:vAlign w:val="center"/>
                </w:tcPr>
                <w:p>
                  <w:pPr>
                    <w:pStyle w:val="41"/>
                  </w:pPr>
                  <w:r>
                    <w:rPr>
                      <w:rFonts w:hint="eastAsia"/>
                    </w:rPr>
                    <w:t>成品仓库</w:t>
                  </w:r>
                </w:p>
              </w:tc>
              <w:tc>
                <w:tcPr>
                  <w:tcW w:w="710" w:type="pct"/>
                  <w:tcBorders>
                    <w:top w:val="single" w:color="auto" w:sz="4" w:space="0"/>
                    <w:left w:val="nil"/>
                    <w:bottom w:val="single" w:color="auto" w:sz="4" w:space="0"/>
                    <w:right w:val="single" w:color="auto" w:sz="4" w:space="0"/>
                  </w:tcBorders>
                  <w:noWrap/>
                  <w:vAlign w:val="center"/>
                </w:tcPr>
                <w:p>
                  <w:pPr>
                    <w:pStyle w:val="41"/>
                  </w:pPr>
                  <w:r>
                    <w:t>m</w:t>
                  </w:r>
                  <w:r>
                    <w:rPr>
                      <w:vertAlign w:val="superscript"/>
                    </w:rPr>
                    <w:t>2</w:t>
                  </w:r>
                </w:p>
              </w:tc>
              <w:tc>
                <w:tcPr>
                  <w:tcW w:w="886" w:type="pct"/>
                  <w:tcBorders>
                    <w:top w:val="single" w:color="auto" w:sz="4" w:space="0"/>
                    <w:left w:val="nil"/>
                    <w:bottom w:val="single" w:color="auto" w:sz="4" w:space="0"/>
                    <w:right w:val="single" w:color="auto" w:sz="4" w:space="0"/>
                  </w:tcBorders>
                  <w:noWrap/>
                  <w:vAlign w:val="center"/>
                </w:tcPr>
                <w:p>
                  <w:pPr>
                    <w:pStyle w:val="41"/>
                  </w:pPr>
                  <w:r>
                    <w:t>110</w:t>
                  </w:r>
                </w:p>
              </w:tc>
              <w:tc>
                <w:tcPr>
                  <w:tcW w:w="1113" w:type="pct"/>
                  <w:tcBorders>
                    <w:top w:val="single" w:color="auto" w:sz="4" w:space="0"/>
                    <w:left w:val="nil"/>
                    <w:bottom w:val="single" w:color="auto" w:sz="4" w:space="0"/>
                    <w:right w:val="single" w:color="auto" w:sz="4" w:space="0"/>
                  </w:tcBorders>
                  <w:noWrap/>
                  <w:vAlign w:val="center"/>
                </w:tcPr>
                <w:p>
                  <w:pPr>
                    <w:pStyle w:val="41"/>
                  </w:pPr>
                </w:p>
              </w:tc>
            </w:tr>
            <w:tr>
              <w:tblPrEx>
                <w:tblCellMar>
                  <w:top w:w="0" w:type="dxa"/>
                  <w:left w:w="108" w:type="dxa"/>
                  <w:bottom w:w="0" w:type="dxa"/>
                  <w:right w:w="108" w:type="dxa"/>
                </w:tblCellMar>
              </w:tblPrEx>
              <w:trPr>
                <w:trHeight w:val="340" w:hRule="atLeast"/>
              </w:trPr>
              <w:tc>
                <w:tcPr>
                  <w:tcW w:w="410"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881" w:type="pct"/>
                  <w:tcBorders>
                    <w:top w:val="single" w:color="auto" w:sz="4" w:space="0"/>
                    <w:left w:val="nil"/>
                    <w:right w:val="single" w:color="auto" w:sz="4" w:space="0"/>
                  </w:tcBorders>
                  <w:vAlign w:val="center"/>
                </w:tcPr>
                <w:p>
                  <w:pPr>
                    <w:pStyle w:val="41"/>
                  </w:pPr>
                  <w:r>
                    <w:rPr>
                      <w:rFonts w:hint="eastAsia"/>
                    </w:rPr>
                    <w:t>危废贮藏间</w:t>
                  </w:r>
                </w:p>
              </w:tc>
              <w:tc>
                <w:tcPr>
                  <w:tcW w:w="710" w:type="pct"/>
                  <w:tcBorders>
                    <w:top w:val="single" w:color="auto" w:sz="4" w:space="0"/>
                    <w:left w:val="nil"/>
                    <w:right w:val="single" w:color="auto" w:sz="4" w:space="0"/>
                  </w:tcBorders>
                  <w:noWrap/>
                  <w:vAlign w:val="center"/>
                </w:tcPr>
                <w:p>
                  <w:pPr>
                    <w:pStyle w:val="41"/>
                  </w:pPr>
                  <w:r>
                    <w:t>m</w:t>
                  </w:r>
                  <w:r>
                    <w:rPr>
                      <w:vertAlign w:val="superscript"/>
                    </w:rPr>
                    <w:t>2</w:t>
                  </w:r>
                </w:p>
              </w:tc>
              <w:tc>
                <w:tcPr>
                  <w:tcW w:w="886" w:type="pct"/>
                  <w:tcBorders>
                    <w:top w:val="single" w:color="auto" w:sz="4" w:space="0"/>
                    <w:left w:val="nil"/>
                    <w:right w:val="single" w:color="auto" w:sz="4" w:space="0"/>
                  </w:tcBorders>
                  <w:noWrap/>
                  <w:vAlign w:val="center"/>
                </w:tcPr>
                <w:p>
                  <w:pPr>
                    <w:pStyle w:val="41"/>
                  </w:pPr>
                  <w:r>
                    <w:t>25</w:t>
                  </w:r>
                </w:p>
              </w:tc>
              <w:tc>
                <w:tcPr>
                  <w:tcW w:w="1113" w:type="pct"/>
                  <w:tcBorders>
                    <w:top w:val="single" w:color="auto" w:sz="4" w:space="0"/>
                    <w:left w:val="nil"/>
                    <w:right w:val="single" w:color="auto" w:sz="4" w:space="0"/>
                  </w:tcBorders>
                  <w:noWrap/>
                  <w:vAlign w:val="center"/>
                </w:tcPr>
                <w:p>
                  <w:pPr>
                    <w:pStyle w:val="41"/>
                  </w:pPr>
                </w:p>
              </w:tc>
            </w:tr>
            <w:tr>
              <w:tblPrEx>
                <w:tblCellMar>
                  <w:top w:w="0" w:type="dxa"/>
                  <w:left w:w="108" w:type="dxa"/>
                  <w:bottom w:w="0" w:type="dxa"/>
                  <w:right w:w="108" w:type="dxa"/>
                </w:tblCellMar>
              </w:tblPrEx>
              <w:trPr>
                <w:trHeight w:val="340" w:hRule="atLeast"/>
              </w:trPr>
              <w:tc>
                <w:tcPr>
                  <w:tcW w:w="2291" w:type="pct"/>
                  <w:gridSpan w:val="2"/>
                  <w:tcBorders>
                    <w:top w:val="single" w:color="auto" w:sz="4" w:space="0"/>
                    <w:left w:val="single" w:color="auto" w:sz="4" w:space="0"/>
                    <w:bottom w:val="single" w:color="auto" w:sz="4" w:space="0"/>
                    <w:right w:val="single" w:color="auto" w:sz="4" w:space="0"/>
                  </w:tcBorders>
                  <w:noWrap/>
                  <w:vAlign w:val="center"/>
                </w:tcPr>
                <w:p>
                  <w:pPr>
                    <w:pStyle w:val="41"/>
                  </w:pPr>
                  <w:r>
                    <w:rPr>
                      <w:rFonts w:hint="eastAsia"/>
                    </w:rPr>
                    <w:t>生活办公区</w:t>
                  </w:r>
                </w:p>
              </w:tc>
              <w:tc>
                <w:tcPr>
                  <w:tcW w:w="710" w:type="pct"/>
                  <w:tcBorders>
                    <w:top w:val="single" w:color="auto" w:sz="4" w:space="0"/>
                    <w:left w:val="nil"/>
                    <w:bottom w:val="single" w:color="auto" w:sz="4" w:space="0"/>
                    <w:right w:val="single" w:color="auto" w:sz="4" w:space="0"/>
                  </w:tcBorders>
                  <w:noWrap/>
                  <w:vAlign w:val="center"/>
                </w:tcPr>
                <w:p>
                  <w:pPr>
                    <w:pStyle w:val="41"/>
                  </w:pPr>
                  <w:r>
                    <w:t>m</w:t>
                  </w:r>
                  <w:r>
                    <w:rPr>
                      <w:vertAlign w:val="superscript"/>
                    </w:rPr>
                    <w:t>2</w:t>
                  </w:r>
                </w:p>
              </w:tc>
              <w:tc>
                <w:tcPr>
                  <w:tcW w:w="886" w:type="pct"/>
                  <w:tcBorders>
                    <w:top w:val="single" w:color="auto" w:sz="4" w:space="0"/>
                    <w:left w:val="nil"/>
                    <w:bottom w:val="single" w:color="auto" w:sz="4" w:space="0"/>
                    <w:right w:val="single" w:color="auto" w:sz="4" w:space="0"/>
                  </w:tcBorders>
                  <w:noWrap/>
                  <w:vAlign w:val="center"/>
                </w:tcPr>
                <w:p>
                  <w:pPr>
                    <w:pStyle w:val="41"/>
                  </w:pPr>
                  <w:r>
                    <w:t>50</w:t>
                  </w:r>
                </w:p>
              </w:tc>
              <w:tc>
                <w:tcPr>
                  <w:tcW w:w="1113" w:type="pct"/>
                  <w:tcBorders>
                    <w:top w:val="single" w:color="auto" w:sz="4" w:space="0"/>
                    <w:left w:val="nil"/>
                    <w:bottom w:val="single" w:color="auto" w:sz="4" w:space="0"/>
                    <w:right w:val="single" w:color="auto" w:sz="4" w:space="0"/>
                  </w:tcBorders>
                  <w:noWrap/>
                  <w:vAlign w:val="center"/>
                </w:tcPr>
                <w:p>
                  <w:pPr>
                    <w:pStyle w:val="41"/>
                  </w:pPr>
                </w:p>
              </w:tc>
            </w:tr>
            <w:tr>
              <w:tblPrEx>
                <w:tblCellMar>
                  <w:top w:w="0" w:type="dxa"/>
                  <w:left w:w="108" w:type="dxa"/>
                  <w:bottom w:w="0" w:type="dxa"/>
                  <w:right w:w="108" w:type="dxa"/>
                </w:tblCellMar>
              </w:tblPrEx>
              <w:trPr>
                <w:trHeight w:val="340" w:hRule="atLeast"/>
              </w:trPr>
              <w:tc>
                <w:tcPr>
                  <w:tcW w:w="41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其中</w:t>
                  </w:r>
                </w:p>
              </w:tc>
              <w:tc>
                <w:tcPr>
                  <w:tcW w:w="1881" w:type="pct"/>
                  <w:tcBorders>
                    <w:top w:val="single" w:color="auto" w:sz="4" w:space="0"/>
                    <w:left w:val="nil"/>
                    <w:bottom w:val="single" w:color="auto" w:sz="4" w:space="0"/>
                    <w:right w:val="single" w:color="auto" w:sz="4" w:space="0"/>
                  </w:tcBorders>
                  <w:noWrap/>
                  <w:vAlign w:val="center"/>
                </w:tcPr>
                <w:p>
                  <w:pPr>
                    <w:pStyle w:val="41"/>
                  </w:pPr>
                  <w:r>
                    <w:rPr>
                      <w:rFonts w:hint="eastAsia"/>
                    </w:rPr>
                    <w:t>办公室</w:t>
                  </w:r>
                </w:p>
              </w:tc>
              <w:tc>
                <w:tcPr>
                  <w:tcW w:w="710" w:type="pct"/>
                  <w:tcBorders>
                    <w:top w:val="single" w:color="auto" w:sz="4" w:space="0"/>
                    <w:left w:val="nil"/>
                    <w:bottom w:val="single" w:color="auto" w:sz="4" w:space="0"/>
                    <w:right w:val="single" w:color="auto" w:sz="4" w:space="0"/>
                  </w:tcBorders>
                  <w:noWrap/>
                  <w:vAlign w:val="center"/>
                </w:tcPr>
                <w:p>
                  <w:pPr>
                    <w:pStyle w:val="41"/>
                  </w:pPr>
                  <w:r>
                    <w:t>m</w:t>
                  </w:r>
                  <w:r>
                    <w:rPr>
                      <w:vertAlign w:val="superscript"/>
                    </w:rPr>
                    <w:t>2</w:t>
                  </w:r>
                </w:p>
              </w:tc>
              <w:tc>
                <w:tcPr>
                  <w:tcW w:w="886" w:type="pct"/>
                  <w:tcBorders>
                    <w:top w:val="single" w:color="auto" w:sz="4" w:space="0"/>
                    <w:left w:val="nil"/>
                    <w:bottom w:val="single" w:color="auto" w:sz="4" w:space="0"/>
                    <w:right w:val="single" w:color="auto" w:sz="4" w:space="0"/>
                  </w:tcBorders>
                  <w:noWrap/>
                  <w:vAlign w:val="center"/>
                </w:tcPr>
                <w:p>
                  <w:pPr>
                    <w:pStyle w:val="41"/>
                  </w:pPr>
                  <w:r>
                    <w:t>50</w:t>
                  </w:r>
                </w:p>
              </w:tc>
              <w:tc>
                <w:tcPr>
                  <w:tcW w:w="1113" w:type="pct"/>
                  <w:tcBorders>
                    <w:top w:val="single" w:color="auto" w:sz="4" w:space="0"/>
                    <w:left w:val="nil"/>
                    <w:bottom w:val="single" w:color="auto" w:sz="4" w:space="0"/>
                    <w:right w:val="single" w:color="auto" w:sz="4" w:space="0"/>
                  </w:tcBorders>
                  <w:noWrap/>
                  <w:vAlign w:val="center"/>
                </w:tcPr>
                <w:p>
                  <w:pPr>
                    <w:pStyle w:val="41"/>
                  </w:pPr>
                </w:p>
              </w:tc>
            </w:tr>
            <w:tr>
              <w:tblPrEx>
                <w:tblCellMar>
                  <w:top w:w="0" w:type="dxa"/>
                  <w:left w:w="108" w:type="dxa"/>
                  <w:bottom w:w="0" w:type="dxa"/>
                  <w:right w:w="108" w:type="dxa"/>
                </w:tblCellMar>
              </w:tblPrEx>
              <w:trPr>
                <w:trHeight w:val="340" w:hRule="atLeast"/>
              </w:trPr>
              <w:tc>
                <w:tcPr>
                  <w:tcW w:w="2291" w:type="pct"/>
                  <w:gridSpan w:val="2"/>
                  <w:tcBorders>
                    <w:top w:val="single" w:color="auto" w:sz="4" w:space="0"/>
                    <w:left w:val="single" w:color="auto" w:sz="4" w:space="0"/>
                    <w:bottom w:val="single" w:color="auto" w:sz="4" w:space="0"/>
                    <w:right w:val="single" w:color="auto" w:sz="4" w:space="0"/>
                  </w:tcBorders>
                  <w:noWrap/>
                  <w:vAlign w:val="center"/>
                </w:tcPr>
                <w:p>
                  <w:pPr>
                    <w:pStyle w:val="41"/>
                  </w:pPr>
                  <w:r>
                    <w:rPr>
                      <w:rFonts w:hint="eastAsia"/>
                    </w:rPr>
                    <w:t>其他</w:t>
                  </w:r>
                </w:p>
              </w:tc>
              <w:tc>
                <w:tcPr>
                  <w:tcW w:w="710" w:type="pct"/>
                  <w:tcBorders>
                    <w:top w:val="single" w:color="auto" w:sz="4" w:space="0"/>
                    <w:left w:val="nil"/>
                    <w:bottom w:val="single" w:color="auto" w:sz="4" w:space="0"/>
                    <w:right w:val="single" w:color="auto" w:sz="4" w:space="0"/>
                  </w:tcBorders>
                  <w:noWrap/>
                  <w:vAlign w:val="center"/>
                </w:tcPr>
                <w:p>
                  <w:pPr>
                    <w:pStyle w:val="41"/>
                  </w:pPr>
                </w:p>
              </w:tc>
              <w:tc>
                <w:tcPr>
                  <w:tcW w:w="886" w:type="pct"/>
                  <w:tcBorders>
                    <w:top w:val="single" w:color="auto" w:sz="4" w:space="0"/>
                    <w:left w:val="nil"/>
                    <w:bottom w:val="single" w:color="auto" w:sz="4" w:space="0"/>
                    <w:right w:val="single" w:color="auto" w:sz="4" w:space="0"/>
                  </w:tcBorders>
                  <w:noWrap/>
                  <w:vAlign w:val="center"/>
                </w:tcPr>
                <w:p>
                  <w:pPr>
                    <w:pStyle w:val="41"/>
                  </w:pPr>
                </w:p>
              </w:tc>
              <w:tc>
                <w:tcPr>
                  <w:tcW w:w="1113" w:type="pct"/>
                  <w:tcBorders>
                    <w:top w:val="single" w:color="auto" w:sz="4" w:space="0"/>
                    <w:left w:val="nil"/>
                    <w:bottom w:val="single" w:color="auto" w:sz="4" w:space="0"/>
                    <w:right w:val="single" w:color="auto" w:sz="4" w:space="0"/>
                  </w:tcBorders>
                  <w:noWrap/>
                  <w:vAlign w:val="center"/>
                </w:tcPr>
                <w:p>
                  <w:pPr>
                    <w:pStyle w:val="41"/>
                  </w:pPr>
                </w:p>
              </w:tc>
            </w:tr>
            <w:tr>
              <w:tblPrEx>
                <w:tblCellMar>
                  <w:top w:w="0" w:type="dxa"/>
                  <w:left w:w="108" w:type="dxa"/>
                  <w:bottom w:w="0" w:type="dxa"/>
                  <w:right w:w="108" w:type="dxa"/>
                </w:tblCellMar>
              </w:tblPrEx>
              <w:trPr>
                <w:trHeight w:val="340" w:hRule="atLeast"/>
              </w:trPr>
              <w:tc>
                <w:tcPr>
                  <w:tcW w:w="2291" w:type="pct"/>
                  <w:gridSpan w:val="2"/>
                  <w:tcBorders>
                    <w:top w:val="single" w:color="auto" w:sz="4" w:space="0"/>
                    <w:left w:val="single" w:color="auto" w:sz="4" w:space="0"/>
                    <w:bottom w:val="single" w:color="auto" w:sz="4" w:space="0"/>
                    <w:right w:val="single" w:color="auto" w:sz="4" w:space="0"/>
                  </w:tcBorders>
                  <w:noWrap/>
                  <w:vAlign w:val="center"/>
                </w:tcPr>
                <w:p>
                  <w:pPr>
                    <w:pStyle w:val="41"/>
                  </w:pPr>
                  <w:r>
                    <w:rPr>
                      <w:rFonts w:hint="eastAsia"/>
                    </w:rPr>
                    <w:t>绿化</w:t>
                  </w:r>
                </w:p>
              </w:tc>
              <w:tc>
                <w:tcPr>
                  <w:tcW w:w="710" w:type="pct"/>
                  <w:tcBorders>
                    <w:top w:val="single" w:color="auto" w:sz="4" w:space="0"/>
                    <w:left w:val="nil"/>
                    <w:bottom w:val="single" w:color="auto" w:sz="4" w:space="0"/>
                    <w:right w:val="single" w:color="auto" w:sz="4" w:space="0"/>
                  </w:tcBorders>
                  <w:noWrap/>
                  <w:vAlign w:val="center"/>
                </w:tcPr>
                <w:p>
                  <w:pPr>
                    <w:pStyle w:val="41"/>
                  </w:pPr>
                  <w:r>
                    <w:t>m</w:t>
                  </w:r>
                  <w:r>
                    <w:rPr>
                      <w:vertAlign w:val="superscript"/>
                    </w:rPr>
                    <w:t>2</w:t>
                  </w:r>
                </w:p>
              </w:tc>
              <w:tc>
                <w:tcPr>
                  <w:tcW w:w="886" w:type="pct"/>
                  <w:tcBorders>
                    <w:top w:val="single" w:color="auto" w:sz="4" w:space="0"/>
                    <w:left w:val="nil"/>
                    <w:bottom w:val="single" w:color="auto" w:sz="4" w:space="0"/>
                    <w:right w:val="single" w:color="auto" w:sz="4" w:space="0"/>
                  </w:tcBorders>
                  <w:noWrap/>
                  <w:vAlign w:val="center"/>
                </w:tcPr>
                <w:p>
                  <w:pPr>
                    <w:pStyle w:val="41"/>
                  </w:pPr>
                  <w:r>
                    <w:t>50</w:t>
                  </w:r>
                </w:p>
              </w:tc>
              <w:tc>
                <w:tcPr>
                  <w:tcW w:w="1113" w:type="pct"/>
                  <w:tcBorders>
                    <w:top w:val="single" w:color="auto" w:sz="4" w:space="0"/>
                    <w:left w:val="nil"/>
                    <w:bottom w:val="single" w:color="auto" w:sz="4" w:space="0"/>
                    <w:right w:val="single" w:color="auto" w:sz="4" w:space="0"/>
                  </w:tcBorders>
                  <w:noWrap/>
                  <w:vAlign w:val="center"/>
                </w:tcPr>
                <w:p>
                  <w:pPr>
                    <w:pStyle w:val="41"/>
                  </w:pPr>
                  <w:r>
                    <w:rPr>
                      <w:rFonts w:hint="eastAsia"/>
                    </w:rPr>
                    <w:t>绿化率</w:t>
                  </w:r>
                  <w:r>
                    <w:t>5%</w:t>
                  </w:r>
                </w:p>
              </w:tc>
            </w:tr>
            <w:tr>
              <w:tblPrEx>
                <w:tblCellMar>
                  <w:top w:w="0" w:type="dxa"/>
                  <w:left w:w="108" w:type="dxa"/>
                  <w:bottom w:w="0" w:type="dxa"/>
                  <w:right w:w="108" w:type="dxa"/>
                </w:tblCellMar>
              </w:tblPrEx>
              <w:trPr>
                <w:trHeight w:val="340" w:hRule="atLeast"/>
              </w:trPr>
              <w:tc>
                <w:tcPr>
                  <w:tcW w:w="2291" w:type="pct"/>
                  <w:gridSpan w:val="2"/>
                  <w:tcBorders>
                    <w:top w:val="single" w:color="auto" w:sz="4" w:space="0"/>
                    <w:left w:val="single" w:color="auto" w:sz="4" w:space="0"/>
                    <w:bottom w:val="single" w:color="auto" w:sz="4" w:space="0"/>
                    <w:right w:val="single" w:color="auto" w:sz="4" w:space="0"/>
                  </w:tcBorders>
                  <w:noWrap/>
                  <w:vAlign w:val="center"/>
                </w:tcPr>
                <w:p>
                  <w:pPr>
                    <w:pStyle w:val="41"/>
                  </w:pPr>
                  <w:r>
                    <w:rPr>
                      <w:rFonts w:hint="eastAsia"/>
                    </w:rPr>
                    <w:t>营运时间</w:t>
                  </w:r>
                </w:p>
              </w:tc>
              <w:tc>
                <w:tcPr>
                  <w:tcW w:w="710" w:type="pct"/>
                  <w:tcBorders>
                    <w:top w:val="single" w:color="auto" w:sz="4" w:space="0"/>
                    <w:left w:val="nil"/>
                    <w:bottom w:val="single" w:color="auto" w:sz="4" w:space="0"/>
                    <w:right w:val="single" w:color="auto" w:sz="4" w:space="0"/>
                  </w:tcBorders>
                  <w:noWrap/>
                  <w:vAlign w:val="center"/>
                </w:tcPr>
                <w:p>
                  <w:pPr>
                    <w:pStyle w:val="41"/>
                  </w:pPr>
                  <w:r>
                    <w:t>d/a</w:t>
                  </w:r>
                </w:p>
              </w:tc>
              <w:tc>
                <w:tcPr>
                  <w:tcW w:w="886" w:type="pct"/>
                  <w:tcBorders>
                    <w:top w:val="single" w:color="auto" w:sz="4" w:space="0"/>
                    <w:left w:val="nil"/>
                    <w:bottom w:val="single" w:color="auto" w:sz="4" w:space="0"/>
                    <w:right w:val="single" w:color="auto" w:sz="4" w:space="0"/>
                  </w:tcBorders>
                  <w:noWrap/>
                  <w:vAlign w:val="center"/>
                </w:tcPr>
                <w:p>
                  <w:pPr>
                    <w:pStyle w:val="41"/>
                  </w:pPr>
                  <w:r>
                    <w:t>300</w:t>
                  </w:r>
                </w:p>
              </w:tc>
              <w:tc>
                <w:tcPr>
                  <w:tcW w:w="1113" w:type="pct"/>
                  <w:tcBorders>
                    <w:top w:val="single" w:color="auto" w:sz="4" w:space="0"/>
                    <w:left w:val="nil"/>
                    <w:bottom w:val="single" w:color="auto" w:sz="4" w:space="0"/>
                    <w:right w:val="single" w:color="auto" w:sz="4" w:space="0"/>
                  </w:tcBorders>
                  <w:noWrap/>
                  <w:vAlign w:val="center"/>
                </w:tcPr>
                <w:p>
                  <w:pPr>
                    <w:pStyle w:val="41"/>
                  </w:pPr>
                  <w:r>
                    <w:t>8h/d</w:t>
                  </w:r>
                </w:p>
              </w:tc>
            </w:tr>
          </w:tbl>
          <w:p>
            <w:pPr>
              <w:pStyle w:val="47"/>
              <w:ind w:firstLine="480"/>
            </w:pPr>
          </w:p>
          <w:p>
            <w:pPr>
              <w:pStyle w:val="47"/>
              <w:ind w:firstLine="480"/>
            </w:pPr>
            <w:r>
              <w:rPr>
                <w:rFonts w:hint="eastAsia"/>
              </w:rPr>
              <w:t>表</w:t>
            </w:r>
            <w:r>
              <w:t xml:space="preserve">1-3 </w:t>
            </w:r>
            <w:r>
              <w:rPr>
                <w:rFonts w:hint="eastAsia"/>
              </w:rPr>
              <w:t>项目产品方案</w:t>
            </w: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2"/>
              <w:gridCol w:w="934"/>
              <w:gridCol w:w="1022"/>
              <w:gridCol w:w="5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59"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产品名称</w:t>
                  </w:r>
                </w:p>
              </w:tc>
              <w:tc>
                <w:tcPr>
                  <w:tcW w:w="500"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单位</w:t>
                  </w:r>
                </w:p>
              </w:tc>
              <w:tc>
                <w:tcPr>
                  <w:tcW w:w="547"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数量</w:t>
                  </w:r>
                </w:p>
              </w:tc>
              <w:tc>
                <w:tcPr>
                  <w:tcW w:w="2994"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规格（单位：</w:t>
                  </w:r>
                  <w:r>
                    <w:t>cm</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59"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实木沙发</w:t>
                  </w:r>
                </w:p>
              </w:tc>
              <w:tc>
                <w:tcPr>
                  <w:tcW w:w="500"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套</w:t>
                  </w:r>
                  <w:r>
                    <w:t>/a</w:t>
                  </w:r>
                </w:p>
              </w:tc>
              <w:tc>
                <w:tcPr>
                  <w:tcW w:w="547" w:type="pct"/>
                  <w:tcBorders>
                    <w:top w:val="single" w:color="000000" w:sz="4" w:space="0"/>
                    <w:left w:val="single" w:color="000000" w:sz="4" w:space="0"/>
                    <w:bottom w:val="single" w:color="000000" w:sz="4" w:space="0"/>
                    <w:right w:val="single" w:color="000000" w:sz="4" w:space="0"/>
                  </w:tcBorders>
                  <w:vAlign w:val="center"/>
                </w:tcPr>
                <w:p>
                  <w:pPr>
                    <w:pStyle w:val="41"/>
                  </w:pPr>
                  <w:r>
                    <w:t>1200</w:t>
                  </w:r>
                </w:p>
              </w:tc>
              <w:tc>
                <w:tcPr>
                  <w:tcW w:w="2994"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两人式、三人式，长度：</w:t>
                  </w:r>
                  <w:r>
                    <w:t>175-196</w:t>
                  </w:r>
                  <w:r>
                    <w:rPr>
                      <w:rFonts w:hint="eastAsia"/>
                    </w:rPr>
                    <w:t>；深度：</w:t>
                  </w:r>
                  <w:r>
                    <w:t>80-90</w:t>
                  </w:r>
                </w:p>
              </w:tc>
            </w:tr>
          </w:tbl>
          <w:p>
            <w:pPr>
              <w:pStyle w:val="71"/>
              <w:spacing w:before="163"/>
              <w:ind w:firstLine="31680"/>
            </w:pPr>
            <w:r>
              <w:t>3</w:t>
            </w:r>
            <w:r>
              <w:rPr>
                <w:rFonts w:hint="eastAsia"/>
              </w:rPr>
              <w:t>、主要原辅材料及能源消耗</w:t>
            </w:r>
          </w:p>
          <w:p>
            <w:pPr>
              <w:pStyle w:val="36"/>
              <w:ind w:firstLine="31680"/>
            </w:pPr>
            <w:r>
              <w:rPr>
                <w:rFonts w:hint="eastAsia"/>
              </w:rPr>
              <w:t>本项目主要生产实木沙发，年生产量为</w:t>
            </w:r>
            <w:r>
              <w:t>1200</w:t>
            </w:r>
            <w:r>
              <w:rPr>
                <w:rFonts w:hint="eastAsia"/>
              </w:rPr>
              <w:t>套</w:t>
            </w:r>
            <w:r>
              <w:t>/a</w:t>
            </w:r>
            <w:r>
              <w:rPr>
                <w:rFonts w:hint="eastAsia"/>
              </w:rPr>
              <w:t>。项目中所用到的原、辅材料全部在市面上购买，通过汽车运输，本项目主要原辅材料年消耗量详见表</w:t>
            </w:r>
            <w:r>
              <w:t>1-4</w:t>
            </w:r>
            <w:r>
              <w:rPr>
                <w:rFonts w:hint="eastAsia"/>
              </w:rPr>
              <w:t>，能源消耗详见表</w:t>
            </w:r>
            <w:r>
              <w:t>1-5</w:t>
            </w:r>
            <w:r>
              <w:rPr>
                <w:rFonts w:hint="eastAsia"/>
              </w:rPr>
              <w:t>。</w:t>
            </w:r>
          </w:p>
          <w:p>
            <w:pPr>
              <w:pStyle w:val="47"/>
              <w:ind w:firstLine="480"/>
              <w:rPr>
                <w:snapToGrid w:val="0"/>
              </w:rPr>
            </w:pPr>
            <w:r>
              <w:rPr>
                <w:rFonts w:hint="eastAsia"/>
                <w:snapToGrid w:val="0"/>
              </w:rPr>
              <w:t>表</w:t>
            </w:r>
            <w:r>
              <w:rPr>
                <w:snapToGrid w:val="0"/>
              </w:rPr>
              <w:t xml:space="preserve">1-4 </w:t>
            </w:r>
            <w:r>
              <w:rPr>
                <w:rFonts w:hint="eastAsia"/>
                <w:snapToGrid w:val="0"/>
              </w:rPr>
              <w:t>项目主要原辅材料消耗一览表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3252"/>
              <w:gridCol w:w="1392"/>
              <w:gridCol w:w="1686"/>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6"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序号</w:t>
                  </w:r>
                </w:p>
              </w:tc>
              <w:tc>
                <w:tcPr>
                  <w:tcW w:w="174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名称</w:t>
                  </w:r>
                </w:p>
              </w:tc>
              <w:tc>
                <w:tcPr>
                  <w:tcW w:w="74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单位</w:t>
                  </w:r>
                </w:p>
              </w:tc>
              <w:tc>
                <w:tcPr>
                  <w:tcW w:w="90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年耗量</w:t>
                  </w:r>
                </w:p>
              </w:tc>
              <w:tc>
                <w:tcPr>
                  <w:tcW w:w="108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6" w:type="pct"/>
                  <w:tcBorders>
                    <w:top w:val="single" w:color="auto" w:sz="4" w:space="0"/>
                    <w:left w:val="single" w:color="auto" w:sz="4" w:space="0"/>
                    <w:bottom w:val="single" w:color="auto" w:sz="4" w:space="0"/>
                    <w:right w:val="single" w:color="auto" w:sz="4" w:space="0"/>
                  </w:tcBorders>
                  <w:vAlign w:val="center"/>
                </w:tcPr>
                <w:p>
                  <w:pPr>
                    <w:pStyle w:val="41"/>
                  </w:pPr>
                  <w:r>
                    <w:t>1</w:t>
                  </w:r>
                </w:p>
              </w:tc>
              <w:tc>
                <w:tcPr>
                  <w:tcW w:w="174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半成品家具</w:t>
                  </w:r>
                </w:p>
              </w:tc>
              <w:tc>
                <w:tcPr>
                  <w:tcW w:w="74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套</w:t>
                  </w:r>
                  <w:r>
                    <w:t>/a</w:t>
                  </w:r>
                </w:p>
              </w:tc>
              <w:tc>
                <w:tcPr>
                  <w:tcW w:w="902" w:type="pct"/>
                  <w:tcBorders>
                    <w:top w:val="single" w:color="auto" w:sz="4" w:space="0"/>
                    <w:left w:val="single" w:color="auto" w:sz="4" w:space="0"/>
                    <w:bottom w:val="single" w:color="auto" w:sz="4" w:space="0"/>
                    <w:right w:val="single" w:color="auto" w:sz="4" w:space="0"/>
                  </w:tcBorders>
                  <w:vAlign w:val="center"/>
                </w:tcPr>
                <w:p>
                  <w:pPr>
                    <w:pStyle w:val="41"/>
                  </w:pPr>
                  <w:r>
                    <w:t>1200</w:t>
                  </w:r>
                </w:p>
              </w:tc>
              <w:tc>
                <w:tcPr>
                  <w:tcW w:w="108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外购广东，汽车运输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6" w:type="pct"/>
                  <w:tcBorders>
                    <w:top w:val="single" w:color="auto" w:sz="4" w:space="0"/>
                    <w:left w:val="single" w:color="auto" w:sz="4" w:space="0"/>
                    <w:bottom w:val="single" w:color="auto" w:sz="4" w:space="0"/>
                    <w:right w:val="single" w:color="auto" w:sz="4" w:space="0"/>
                  </w:tcBorders>
                  <w:vAlign w:val="center"/>
                </w:tcPr>
                <w:p>
                  <w:pPr>
                    <w:pStyle w:val="41"/>
                  </w:pPr>
                  <w:r>
                    <w:t>2</w:t>
                  </w:r>
                </w:p>
              </w:tc>
              <w:tc>
                <w:tcPr>
                  <w:tcW w:w="174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夫田专业家具漆</w:t>
                  </w:r>
                </w:p>
              </w:tc>
              <w:tc>
                <w:tcPr>
                  <w:tcW w:w="745" w:type="pct"/>
                  <w:tcBorders>
                    <w:top w:val="single" w:color="auto" w:sz="4" w:space="0"/>
                    <w:left w:val="single" w:color="auto" w:sz="4" w:space="0"/>
                    <w:bottom w:val="single" w:color="auto" w:sz="4" w:space="0"/>
                    <w:right w:val="single" w:color="auto" w:sz="4" w:space="0"/>
                  </w:tcBorders>
                  <w:vAlign w:val="center"/>
                </w:tcPr>
                <w:p>
                  <w:pPr>
                    <w:pStyle w:val="41"/>
                  </w:pPr>
                  <w:r>
                    <w:t>t/a</w:t>
                  </w:r>
                </w:p>
              </w:tc>
              <w:tc>
                <w:tcPr>
                  <w:tcW w:w="902" w:type="pct"/>
                  <w:tcBorders>
                    <w:top w:val="single" w:color="auto" w:sz="4" w:space="0"/>
                    <w:left w:val="single" w:color="auto" w:sz="4" w:space="0"/>
                    <w:bottom w:val="single" w:color="auto" w:sz="4" w:space="0"/>
                    <w:right w:val="single" w:color="auto" w:sz="4" w:space="0"/>
                  </w:tcBorders>
                  <w:vAlign w:val="center"/>
                </w:tcPr>
                <w:p>
                  <w:pPr>
                    <w:pStyle w:val="41"/>
                  </w:pPr>
                  <w:r>
                    <w:t>1.6</w:t>
                  </w:r>
                </w:p>
              </w:tc>
              <w:tc>
                <w:tcPr>
                  <w:tcW w:w="108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外购广东，汽车运输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26" w:type="pct"/>
                  <w:tcBorders>
                    <w:top w:val="single" w:color="auto" w:sz="4" w:space="0"/>
                    <w:left w:val="single" w:color="auto" w:sz="4" w:space="0"/>
                    <w:bottom w:val="single" w:color="auto" w:sz="4" w:space="0"/>
                    <w:right w:val="single" w:color="auto" w:sz="4" w:space="0"/>
                  </w:tcBorders>
                  <w:vAlign w:val="center"/>
                </w:tcPr>
                <w:p>
                  <w:pPr>
                    <w:pStyle w:val="41"/>
                  </w:pPr>
                  <w:r>
                    <w:t>3</w:t>
                  </w:r>
                </w:p>
              </w:tc>
              <w:tc>
                <w:tcPr>
                  <w:tcW w:w="174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德龙圣泽</w:t>
                  </w:r>
                  <w:r>
                    <w:t>DL-303</w:t>
                  </w:r>
                  <w:r>
                    <w:rPr>
                      <w:rFonts w:hint="eastAsia"/>
                    </w:rPr>
                    <w:t>型通用稀释剂</w:t>
                  </w:r>
                </w:p>
              </w:tc>
              <w:tc>
                <w:tcPr>
                  <w:tcW w:w="745" w:type="pct"/>
                  <w:tcBorders>
                    <w:top w:val="single" w:color="auto" w:sz="4" w:space="0"/>
                    <w:left w:val="single" w:color="auto" w:sz="4" w:space="0"/>
                    <w:bottom w:val="single" w:color="auto" w:sz="4" w:space="0"/>
                    <w:right w:val="single" w:color="auto" w:sz="4" w:space="0"/>
                  </w:tcBorders>
                  <w:vAlign w:val="center"/>
                </w:tcPr>
                <w:p>
                  <w:pPr>
                    <w:pStyle w:val="41"/>
                  </w:pPr>
                  <w:r>
                    <w:t>t/a</w:t>
                  </w:r>
                </w:p>
              </w:tc>
              <w:tc>
                <w:tcPr>
                  <w:tcW w:w="902" w:type="pct"/>
                  <w:tcBorders>
                    <w:top w:val="single" w:color="auto" w:sz="4" w:space="0"/>
                    <w:left w:val="single" w:color="auto" w:sz="4" w:space="0"/>
                    <w:bottom w:val="single" w:color="auto" w:sz="4" w:space="0"/>
                    <w:right w:val="single" w:color="auto" w:sz="4" w:space="0"/>
                  </w:tcBorders>
                  <w:vAlign w:val="center"/>
                </w:tcPr>
                <w:p>
                  <w:pPr>
                    <w:pStyle w:val="41"/>
                  </w:pPr>
                  <w:r>
                    <w:t>1.2</w:t>
                  </w:r>
                </w:p>
              </w:tc>
              <w:tc>
                <w:tcPr>
                  <w:tcW w:w="108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省内购置，汽车运输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26" w:type="pct"/>
                  <w:tcBorders>
                    <w:top w:val="single" w:color="auto" w:sz="4" w:space="0"/>
                    <w:left w:val="single" w:color="auto" w:sz="4" w:space="0"/>
                    <w:bottom w:val="single" w:color="auto" w:sz="4" w:space="0"/>
                    <w:right w:val="single" w:color="auto" w:sz="4" w:space="0"/>
                  </w:tcBorders>
                  <w:vAlign w:val="center"/>
                </w:tcPr>
                <w:p>
                  <w:pPr>
                    <w:pStyle w:val="41"/>
                  </w:pPr>
                  <w:r>
                    <w:t>4</w:t>
                  </w:r>
                </w:p>
              </w:tc>
              <w:tc>
                <w:tcPr>
                  <w:tcW w:w="174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家具五金配件</w:t>
                  </w:r>
                </w:p>
              </w:tc>
              <w:tc>
                <w:tcPr>
                  <w:tcW w:w="745" w:type="pct"/>
                  <w:tcBorders>
                    <w:top w:val="single" w:color="auto" w:sz="4" w:space="0"/>
                    <w:left w:val="single" w:color="auto" w:sz="4" w:space="0"/>
                    <w:bottom w:val="single" w:color="auto" w:sz="4" w:space="0"/>
                    <w:right w:val="single" w:color="auto" w:sz="4" w:space="0"/>
                  </w:tcBorders>
                  <w:vAlign w:val="center"/>
                </w:tcPr>
                <w:p>
                  <w:pPr>
                    <w:pStyle w:val="41"/>
                  </w:pPr>
                  <w:r>
                    <w:t>t/a</w:t>
                  </w:r>
                </w:p>
              </w:tc>
              <w:tc>
                <w:tcPr>
                  <w:tcW w:w="902" w:type="pct"/>
                  <w:tcBorders>
                    <w:top w:val="single" w:color="auto" w:sz="4" w:space="0"/>
                    <w:left w:val="single" w:color="auto" w:sz="4" w:space="0"/>
                    <w:bottom w:val="single" w:color="auto" w:sz="4" w:space="0"/>
                    <w:right w:val="single" w:color="auto" w:sz="4" w:space="0"/>
                  </w:tcBorders>
                  <w:vAlign w:val="center"/>
                </w:tcPr>
                <w:p>
                  <w:pPr>
                    <w:pStyle w:val="41"/>
                  </w:pPr>
                  <w:r>
                    <w:t>0.01</w:t>
                  </w:r>
                </w:p>
              </w:tc>
              <w:tc>
                <w:tcPr>
                  <w:tcW w:w="108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省内购置，汽车运输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6" w:type="pct"/>
                  <w:tcBorders>
                    <w:top w:val="single" w:color="auto" w:sz="4" w:space="0"/>
                    <w:left w:val="single" w:color="auto" w:sz="4" w:space="0"/>
                    <w:bottom w:val="single" w:color="auto" w:sz="4" w:space="0"/>
                    <w:right w:val="single" w:color="auto" w:sz="4" w:space="0"/>
                  </w:tcBorders>
                  <w:vAlign w:val="center"/>
                </w:tcPr>
                <w:p>
                  <w:pPr>
                    <w:pStyle w:val="41"/>
                  </w:pPr>
                  <w:r>
                    <w:t>5</w:t>
                  </w:r>
                </w:p>
              </w:tc>
              <w:tc>
                <w:tcPr>
                  <w:tcW w:w="174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家具塑料配件</w:t>
                  </w:r>
                </w:p>
              </w:tc>
              <w:tc>
                <w:tcPr>
                  <w:tcW w:w="745" w:type="pct"/>
                  <w:tcBorders>
                    <w:top w:val="single" w:color="auto" w:sz="4" w:space="0"/>
                    <w:left w:val="single" w:color="auto" w:sz="4" w:space="0"/>
                    <w:bottom w:val="single" w:color="auto" w:sz="4" w:space="0"/>
                    <w:right w:val="single" w:color="auto" w:sz="4" w:space="0"/>
                  </w:tcBorders>
                  <w:vAlign w:val="center"/>
                </w:tcPr>
                <w:p>
                  <w:pPr>
                    <w:pStyle w:val="41"/>
                  </w:pPr>
                  <w:r>
                    <w:t>t/a</w:t>
                  </w:r>
                </w:p>
              </w:tc>
              <w:tc>
                <w:tcPr>
                  <w:tcW w:w="902" w:type="pct"/>
                  <w:tcBorders>
                    <w:top w:val="single" w:color="auto" w:sz="4" w:space="0"/>
                    <w:left w:val="single" w:color="auto" w:sz="4" w:space="0"/>
                    <w:bottom w:val="single" w:color="auto" w:sz="4" w:space="0"/>
                    <w:right w:val="single" w:color="auto" w:sz="4" w:space="0"/>
                  </w:tcBorders>
                  <w:vAlign w:val="center"/>
                </w:tcPr>
                <w:p>
                  <w:pPr>
                    <w:pStyle w:val="41"/>
                  </w:pPr>
                  <w:r>
                    <w:t>0.005</w:t>
                  </w:r>
                </w:p>
              </w:tc>
              <w:tc>
                <w:tcPr>
                  <w:tcW w:w="108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省内购置，汽车运输</w:t>
                  </w:r>
                </w:p>
              </w:tc>
            </w:tr>
          </w:tbl>
          <w:p>
            <w:pPr>
              <w:pStyle w:val="47"/>
              <w:ind w:firstLine="480"/>
              <w:rPr>
                <w:snapToGrid w:val="0"/>
              </w:rPr>
            </w:pPr>
          </w:p>
          <w:p>
            <w:pPr>
              <w:pStyle w:val="47"/>
              <w:ind w:firstLine="480"/>
              <w:rPr>
                <w:snapToGrid w:val="0"/>
              </w:rPr>
            </w:pPr>
            <w:r>
              <w:rPr>
                <w:rFonts w:hint="eastAsia"/>
                <w:snapToGrid w:val="0"/>
              </w:rPr>
              <w:t>表</w:t>
            </w:r>
            <w:r>
              <w:rPr>
                <w:snapToGrid w:val="0"/>
              </w:rPr>
              <w:t xml:space="preserve">1-5 </w:t>
            </w:r>
            <w:r>
              <w:rPr>
                <w:rFonts w:hint="eastAsia"/>
                <w:snapToGrid w:val="0"/>
              </w:rPr>
              <w:t>项目能源消耗一览表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932"/>
              <w:gridCol w:w="1674"/>
              <w:gridCol w:w="1674"/>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序号</w:t>
                  </w:r>
                </w:p>
              </w:tc>
              <w:tc>
                <w:tcPr>
                  <w:tcW w:w="156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名称</w:t>
                  </w:r>
                </w:p>
              </w:tc>
              <w:tc>
                <w:tcPr>
                  <w:tcW w:w="896"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单位</w:t>
                  </w:r>
                </w:p>
              </w:tc>
              <w:tc>
                <w:tcPr>
                  <w:tcW w:w="896"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年用量</w:t>
                  </w:r>
                </w:p>
              </w:tc>
              <w:tc>
                <w:tcPr>
                  <w:tcW w:w="111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20" w:type="pct"/>
                  <w:tcBorders>
                    <w:top w:val="single" w:color="auto" w:sz="4" w:space="0"/>
                    <w:left w:val="single" w:color="auto" w:sz="4" w:space="0"/>
                    <w:bottom w:val="single" w:color="auto" w:sz="4" w:space="0"/>
                    <w:right w:val="single" w:color="auto" w:sz="4" w:space="0"/>
                  </w:tcBorders>
                  <w:vAlign w:val="center"/>
                </w:tcPr>
                <w:p>
                  <w:pPr>
                    <w:pStyle w:val="41"/>
                  </w:pPr>
                  <w:r>
                    <w:t>1</w:t>
                  </w:r>
                </w:p>
              </w:tc>
              <w:tc>
                <w:tcPr>
                  <w:tcW w:w="156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井水</w:t>
                  </w:r>
                </w:p>
              </w:tc>
              <w:tc>
                <w:tcPr>
                  <w:tcW w:w="896" w:type="pct"/>
                  <w:tcBorders>
                    <w:top w:val="single" w:color="auto" w:sz="4" w:space="0"/>
                    <w:left w:val="single" w:color="auto" w:sz="4" w:space="0"/>
                    <w:bottom w:val="single" w:color="auto" w:sz="4" w:space="0"/>
                    <w:right w:val="single" w:color="auto" w:sz="4" w:space="0"/>
                  </w:tcBorders>
                  <w:vAlign w:val="center"/>
                </w:tcPr>
                <w:p>
                  <w:pPr>
                    <w:pStyle w:val="41"/>
                  </w:pPr>
                  <w:r>
                    <w:t>m</w:t>
                  </w:r>
                  <w:r>
                    <w:rPr>
                      <w:vertAlign w:val="superscript"/>
                    </w:rPr>
                    <w:t>3</w:t>
                  </w:r>
                  <w:r>
                    <w:t>/a</w:t>
                  </w:r>
                </w:p>
              </w:tc>
              <w:tc>
                <w:tcPr>
                  <w:tcW w:w="896" w:type="pct"/>
                  <w:tcBorders>
                    <w:top w:val="single" w:color="auto" w:sz="4" w:space="0"/>
                    <w:left w:val="single" w:color="auto" w:sz="4" w:space="0"/>
                    <w:bottom w:val="single" w:color="auto" w:sz="4" w:space="0"/>
                    <w:right w:val="single" w:color="auto" w:sz="4" w:space="0"/>
                  </w:tcBorders>
                  <w:vAlign w:val="center"/>
                </w:tcPr>
                <w:p>
                  <w:pPr>
                    <w:pStyle w:val="41"/>
                  </w:pPr>
                  <w:r>
                    <w:t>93</w:t>
                  </w:r>
                </w:p>
              </w:tc>
              <w:tc>
                <w:tcPr>
                  <w:tcW w:w="111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20" w:type="pct"/>
                  <w:tcBorders>
                    <w:top w:val="single" w:color="auto" w:sz="4" w:space="0"/>
                    <w:left w:val="single" w:color="auto" w:sz="4" w:space="0"/>
                    <w:bottom w:val="single" w:color="auto" w:sz="4" w:space="0"/>
                    <w:right w:val="single" w:color="auto" w:sz="4" w:space="0"/>
                  </w:tcBorders>
                  <w:vAlign w:val="center"/>
                </w:tcPr>
                <w:p>
                  <w:pPr>
                    <w:pStyle w:val="41"/>
                  </w:pPr>
                  <w:r>
                    <w:t>2</w:t>
                  </w:r>
                </w:p>
              </w:tc>
              <w:tc>
                <w:tcPr>
                  <w:tcW w:w="156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电</w:t>
                  </w:r>
                </w:p>
              </w:tc>
              <w:tc>
                <w:tcPr>
                  <w:tcW w:w="896" w:type="pct"/>
                  <w:tcBorders>
                    <w:top w:val="single" w:color="auto" w:sz="4" w:space="0"/>
                    <w:left w:val="single" w:color="auto" w:sz="4" w:space="0"/>
                    <w:bottom w:val="single" w:color="auto" w:sz="4" w:space="0"/>
                    <w:right w:val="single" w:color="auto" w:sz="4" w:space="0"/>
                  </w:tcBorders>
                  <w:vAlign w:val="center"/>
                </w:tcPr>
                <w:p>
                  <w:pPr>
                    <w:pStyle w:val="41"/>
                  </w:pPr>
                  <w:r>
                    <w:t>kw·h</w:t>
                  </w:r>
                </w:p>
              </w:tc>
              <w:tc>
                <w:tcPr>
                  <w:tcW w:w="896" w:type="pct"/>
                  <w:tcBorders>
                    <w:top w:val="single" w:color="auto" w:sz="4" w:space="0"/>
                    <w:left w:val="single" w:color="auto" w:sz="4" w:space="0"/>
                    <w:bottom w:val="single" w:color="auto" w:sz="4" w:space="0"/>
                    <w:right w:val="single" w:color="auto" w:sz="4" w:space="0"/>
                  </w:tcBorders>
                  <w:vAlign w:val="center"/>
                </w:tcPr>
                <w:p>
                  <w:pPr>
                    <w:pStyle w:val="41"/>
                  </w:pPr>
                  <w:r>
                    <w:t>1560</w:t>
                  </w:r>
                </w:p>
              </w:tc>
              <w:tc>
                <w:tcPr>
                  <w:tcW w:w="111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芒市市政电网</w:t>
                  </w:r>
                </w:p>
              </w:tc>
            </w:tr>
          </w:tbl>
          <w:p>
            <w:pPr>
              <w:shd w:val="clear" w:color="auto" w:fill="FFFFFF"/>
              <w:ind w:firstLine="31680"/>
            </w:pPr>
          </w:p>
          <w:p>
            <w:pPr>
              <w:shd w:val="clear" w:color="auto" w:fill="FFFFFF"/>
              <w:ind w:firstLine="31680"/>
            </w:pPr>
            <w:r>
              <w:rPr>
                <w:rFonts w:hint="eastAsia"/>
              </w:rPr>
              <w:t>本项目选用夫田专业家具漆和德龙圣泽</w:t>
            </w:r>
            <w:r>
              <w:t>DL-303</w:t>
            </w:r>
            <w:r>
              <w:rPr>
                <w:rFonts w:hint="eastAsia"/>
              </w:rPr>
              <w:t>型通用稀释剂。其中含量最多的为甲苯和二甲苯。</w:t>
            </w:r>
            <w:r>
              <w:fldChar w:fldCharType="begin"/>
            </w:r>
            <w:r>
              <w:instrText xml:space="preserve"> HYPERLINK "http://baike.baidu.com/view/106454.htm" \t "_blank" </w:instrText>
            </w:r>
            <w:r>
              <w:fldChar w:fldCharType="separate"/>
            </w:r>
            <w:r>
              <w:rPr>
                <w:rFonts w:hint="eastAsia"/>
              </w:rPr>
              <w:t>甲苯</w:t>
            </w:r>
            <w:r>
              <w:rPr>
                <w:rFonts w:hint="eastAsia"/>
              </w:rPr>
              <w:fldChar w:fldCharType="end"/>
            </w:r>
            <w:r>
              <w:rPr>
                <w:rFonts w:hint="eastAsia"/>
              </w:rPr>
              <w:t>、</w:t>
            </w:r>
            <w:r>
              <w:fldChar w:fldCharType="begin"/>
            </w:r>
            <w:r>
              <w:instrText xml:space="preserve"> HYPERLINK "http://baike.baidu.com/view/33791.htm" \t "_blank" </w:instrText>
            </w:r>
            <w:r>
              <w:fldChar w:fldCharType="separate"/>
            </w:r>
            <w:r>
              <w:rPr>
                <w:rFonts w:hint="eastAsia"/>
              </w:rPr>
              <w:t>二甲苯</w:t>
            </w:r>
            <w:r>
              <w:rPr>
                <w:rFonts w:hint="eastAsia"/>
              </w:rPr>
              <w:fldChar w:fldCharType="end"/>
            </w:r>
            <w:r>
              <w:rPr>
                <w:rFonts w:hint="eastAsia"/>
              </w:rPr>
              <w:t>属于易燃性、低毒物质，吸入一定量苯、甲苯、二甲苯会引起中毒，甚至会破坏造血系统、神经系统。各组分含量详见表</w:t>
            </w:r>
            <w:r>
              <w:t>1-6</w:t>
            </w:r>
            <w:r>
              <w:rPr>
                <w:rFonts w:hint="eastAsia"/>
              </w:rPr>
              <w:t>、</w:t>
            </w:r>
            <w:r>
              <w:t>1-7</w:t>
            </w:r>
            <w:r>
              <w:rPr>
                <w:rFonts w:hint="eastAsia"/>
              </w:rPr>
              <w:t>。</w:t>
            </w:r>
          </w:p>
          <w:p>
            <w:pPr>
              <w:pStyle w:val="47"/>
              <w:ind w:firstLine="480"/>
              <w:rPr>
                <w:snapToGrid w:val="0"/>
              </w:rPr>
            </w:pPr>
            <w:r>
              <w:rPr>
                <w:rFonts w:hint="eastAsia"/>
                <w:snapToGrid w:val="0"/>
              </w:rPr>
              <w:t>表</w:t>
            </w:r>
            <w:r>
              <w:rPr>
                <w:snapToGrid w:val="0"/>
              </w:rPr>
              <w:t xml:space="preserve">1-6 </w:t>
            </w:r>
            <w:r>
              <w:rPr>
                <w:rFonts w:hint="eastAsia"/>
              </w:rPr>
              <w:t>夫田专业家具漆</w:t>
            </w:r>
            <w:r>
              <w:rPr>
                <w:rFonts w:hint="eastAsia"/>
                <w:snapToGrid w:val="0"/>
              </w:rPr>
              <w:t>各组分含量表</w:t>
            </w:r>
          </w:p>
          <w:tbl>
            <w:tblPr>
              <w:tblStyle w:val="2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8"/>
              <w:gridCol w:w="2306"/>
              <w:gridCol w:w="1583"/>
              <w:gridCol w:w="1048"/>
              <w:gridCol w:w="796"/>
              <w:gridCol w:w="2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57"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名称</w:t>
                  </w:r>
                </w:p>
              </w:tc>
              <w:tc>
                <w:tcPr>
                  <w:tcW w:w="1234"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含固量</w:t>
                  </w:r>
                </w:p>
              </w:tc>
              <w:tc>
                <w:tcPr>
                  <w:tcW w:w="1834" w:type="pct"/>
                  <w:gridSpan w:val="3"/>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溶剂</w:t>
                  </w:r>
                </w:p>
              </w:tc>
              <w:tc>
                <w:tcPr>
                  <w:tcW w:w="1275"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57" w:type="pct"/>
                  <w:vMerge w:val="restar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含量</w:t>
                  </w:r>
                  <w:r>
                    <w:t>%</w:t>
                  </w:r>
                </w:p>
              </w:tc>
              <w:tc>
                <w:tcPr>
                  <w:tcW w:w="1234" w:type="pct"/>
                  <w:vMerge w:val="restart"/>
                  <w:tcBorders>
                    <w:top w:val="single" w:color="000000" w:sz="4" w:space="0"/>
                    <w:left w:val="single" w:color="000000" w:sz="4" w:space="0"/>
                    <w:bottom w:val="single" w:color="000000" w:sz="4" w:space="0"/>
                    <w:right w:val="single" w:color="000000" w:sz="4" w:space="0"/>
                  </w:tcBorders>
                  <w:vAlign w:val="center"/>
                </w:tcPr>
                <w:p>
                  <w:pPr>
                    <w:pStyle w:val="41"/>
                  </w:pPr>
                  <w:r>
                    <w:t>80</w:t>
                  </w:r>
                </w:p>
              </w:tc>
              <w:tc>
                <w:tcPr>
                  <w:tcW w:w="847"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乙酸丁脂</w:t>
                  </w:r>
                </w:p>
              </w:tc>
              <w:tc>
                <w:tcPr>
                  <w:tcW w:w="56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环己酮</w:t>
                  </w:r>
                </w:p>
              </w:tc>
              <w:tc>
                <w:tcPr>
                  <w:tcW w:w="426"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甲苯</w:t>
                  </w:r>
                </w:p>
              </w:tc>
              <w:tc>
                <w:tcPr>
                  <w:tcW w:w="1275" w:type="pct"/>
                  <w:vMerge w:val="restart"/>
                  <w:tcBorders>
                    <w:top w:val="single" w:color="000000" w:sz="4" w:space="0"/>
                    <w:left w:val="single" w:color="000000" w:sz="4" w:space="0"/>
                    <w:bottom w:val="single" w:color="000000" w:sz="4" w:space="0"/>
                    <w:right w:val="single" w:color="000000" w:sz="4" w:space="0"/>
                  </w:tcBorders>
                  <w:vAlign w:val="center"/>
                </w:tcPr>
                <w:p>
                  <w:pPr>
                    <w:pStyle w:val="41"/>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57" w:type="pct"/>
                  <w:vMerge w:val="continue"/>
                  <w:tcBorders>
                    <w:top w:val="single" w:color="000000" w:sz="4" w:space="0"/>
                    <w:left w:val="single" w:color="000000" w:sz="4" w:space="0"/>
                    <w:bottom w:val="single" w:color="000000" w:sz="4" w:space="0"/>
                    <w:right w:val="single" w:color="000000" w:sz="4" w:space="0"/>
                  </w:tcBorders>
                  <w:vAlign w:val="center"/>
                </w:tcPr>
                <w:p>
                  <w:pPr>
                    <w:pStyle w:val="41"/>
                  </w:pPr>
                </w:p>
              </w:tc>
              <w:tc>
                <w:tcPr>
                  <w:tcW w:w="1234" w:type="pct"/>
                  <w:vMerge w:val="continue"/>
                  <w:tcBorders>
                    <w:top w:val="single" w:color="000000" w:sz="4" w:space="0"/>
                    <w:left w:val="single" w:color="000000" w:sz="4" w:space="0"/>
                    <w:bottom w:val="single" w:color="000000" w:sz="4" w:space="0"/>
                    <w:right w:val="single" w:color="000000" w:sz="4" w:space="0"/>
                  </w:tcBorders>
                  <w:vAlign w:val="center"/>
                </w:tcPr>
                <w:p>
                  <w:pPr>
                    <w:pStyle w:val="41"/>
                  </w:pPr>
                </w:p>
              </w:tc>
              <w:tc>
                <w:tcPr>
                  <w:tcW w:w="847" w:type="pct"/>
                  <w:tcBorders>
                    <w:top w:val="single" w:color="000000" w:sz="4" w:space="0"/>
                    <w:left w:val="single" w:color="000000" w:sz="4" w:space="0"/>
                    <w:bottom w:val="single" w:color="000000" w:sz="4" w:space="0"/>
                    <w:right w:val="single" w:color="000000" w:sz="4" w:space="0"/>
                  </w:tcBorders>
                  <w:vAlign w:val="center"/>
                </w:tcPr>
                <w:p>
                  <w:pPr>
                    <w:pStyle w:val="41"/>
                  </w:pPr>
                  <w:r>
                    <w:t>14</w:t>
                  </w:r>
                </w:p>
              </w:tc>
              <w:tc>
                <w:tcPr>
                  <w:tcW w:w="561" w:type="pct"/>
                  <w:tcBorders>
                    <w:top w:val="single" w:color="000000" w:sz="4" w:space="0"/>
                    <w:left w:val="single" w:color="000000" w:sz="4" w:space="0"/>
                    <w:bottom w:val="single" w:color="000000" w:sz="4" w:space="0"/>
                    <w:right w:val="single" w:color="000000" w:sz="4" w:space="0"/>
                  </w:tcBorders>
                  <w:vAlign w:val="center"/>
                </w:tcPr>
                <w:p>
                  <w:pPr>
                    <w:pStyle w:val="41"/>
                  </w:pPr>
                  <w:r>
                    <w:t>3</w:t>
                  </w:r>
                </w:p>
              </w:tc>
              <w:tc>
                <w:tcPr>
                  <w:tcW w:w="426" w:type="pct"/>
                  <w:tcBorders>
                    <w:top w:val="single" w:color="000000" w:sz="4" w:space="0"/>
                    <w:left w:val="single" w:color="000000" w:sz="4" w:space="0"/>
                    <w:bottom w:val="single" w:color="000000" w:sz="4" w:space="0"/>
                    <w:right w:val="single" w:color="000000" w:sz="4" w:space="0"/>
                  </w:tcBorders>
                  <w:vAlign w:val="center"/>
                </w:tcPr>
                <w:p>
                  <w:pPr>
                    <w:pStyle w:val="41"/>
                  </w:pPr>
                  <w:r>
                    <w:t>3</w:t>
                  </w:r>
                </w:p>
              </w:tc>
              <w:tc>
                <w:tcPr>
                  <w:tcW w:w="1275" w:type="pct"/>
                  <w:vMerge w:val="continue"/>
                  <w:tcBorders>
                    <w:top w:val="single" w:color="000000" w:sz="4" w:space="0"/>
                    <w:left w:val="single" w:color="000000" w:sz="4" w:space="0"/>
                    <w:bottom w:val="single" w:color="000000" w:sz="4" w:space="0"/>
                    <w:right w:val="single" w:color="000000" w:sz="4" w:space="0"/>
                  </w:tcBorders>
                  <w:vAlign w:val="center"/>
                </w:tcPr>
                <w:p>
                  <w:pPr>
                    <w:pStyle w:val="41"/>
                  </w:pPr>
                </w:p>
              </w:tc>
            </w:tr>
          </w:tbl>
          <w:p>
            <w:pPr>
              <w:pStyle w:val="47"/>
              <w:ind w:firstLine="480"/>
              <w:rPr>
                <w:snapToGrid w:val="0"/>
              </w:rPr>
            </w:pPr>
          </w:p>
          <w:p>
            <w:pPr>
              <w:pStyle w:val="47"/>
              <w:ind w:firstLine="480"/>
              <w:rPr>
                <w:snapToGrid w:val="0"/>
              </w:rPr>
            </w:pPr>
            <w:r>
              <w:rPr>
                <w:rFonts w:hint="eastAsia"/>
                <w:snapToGrid w:val="0"/>
              </w:rPr>
              <w:t>表</w:t>
            </w:r>
            <w:r>
              <w:rPr>
                <w:snapToGrid w:val="0"/>
              </w:rPr>
              <w:t xml:space="preserve">1-7 </w:t>
            </w:r>
            <w:r>
              <w:rPr>
                <w:rFonts w:hint="eastAsia"/>
                <w:snapToGrid w:val="0"/>
              </w:rPr>
              <w:t>德龙圣泽</w:t>
            </w:r>
            <w:r>
              <w:rPr>
                <w:snapToGrid w:val="0"/>
              </w:rPr>
              <w:t>DL-303</w:t>
            </w:r>
            <w:r>
              <w:rPr>
                <w:rFonts w:hint="eastAsia"/>
                <w:snapToGrid w:val="0"/>
              </w:rPr>
              <w:t>型通用稀释剂各组分含量表</w:t>
            </w: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6"/>
              <w:gridCol w:w="1405"/>
              <w:gridCol w:w="1406"/>
              <w:gridCol w:w="1406"/>
              <w:gridCol w:w="1406"/>
              <w:gridCol w:w="1406"/>
              <w:gridCol w:w="1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19"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名称</w:t>
                  </w:r>
                </w:p>
              </w:tc>
              <w:tc>
                <w:tcPr>
                  <w:tcW w:w="752"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异丁醇</w:t>
                  </w:r>
                </w:p>
              </w:tc>
              <w:tc>
                <w:tcPr>
                  <w:tcW w:w="752"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环己酮</w:t>
                  </w:r>
                </w:p>
              </w:tc>
              <w:tc>
                <w:tcPr>
                  <w:tcW w:w="752"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二丙酮醇</w:t>
                  </w:r>
                </w:p>
              </w:tc>
              <w:tc>
                <w:tcPr>
                  <w:tcW w:w="752"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甲苯</w:t>
                  </w:r>
                </w:p>
              </w:tc>
              <w:tc>
                <w:tcPr>
                  <w:tcW w:w="752"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二甲苯</w:t>
                  </w:r>
                </w:p>
              </w:tc>
              <w:tc>
                <w:tcPr>
                  <w:tcW w:w="620"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19"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含量</w:t>
                  </w:r>
                  <w:r>
                    <w:t>%</w:t>
                  </w:r>
                </w:p>
              </w:tc>
              <w:tc>
                <w:tcPr>
                  <w:tcW w:w="752" w:type="pct"/>
                  <w:tcBorders>
                    <w:top w:val="single" w:color="000000" w:sz="4" w:space="0"/>
                    <w:left w:val="single" w:color="000000" w:sz="4" w:space="0"/>
                    <w:bottom w:val="single" w:color="000000" w:sz="4" w:space="0"/>
                    <w:right w:val="single" w:color="000000" w:sz="4" w:space="0"/>
                  </w:tcBorders>
                  <w:vAlign w:val="center"/>
                </w:tcPr>
                <w:p>
                  <w:pPr>
                    <w:pStyle w:val="41"/>
                  </w:pPr>
                  <w:r>
                    <w:t>1</w:t>
                  </w:r>
                </w:p>
              </w:tc>
              <w:tc>
                <w:tcPr>
                  <w:tcW w:w="752" w:type="pct"/>
                  <w:tcBorders>
                    <w:top w:val="single" w:color="000000" w:sz="4" w:space="0"/>
                    <w:left w:val="single" w:color="000000" w:sz="4" w:space="0"/>
                    <w:bottom w:val="single" w:color="000000" w:sz="4" w:space="0"/>
                    <w:right w:val="single" w:color="000000" w:sz="4" w:space="0"/>
                  </w:tcBorders>
                  <w:vAlign w:val="center"/>
                </w:tcPr>
                <w:p>
                  <w:pPr>
                    <w:pStyle w:val="41"/>
                  </w:pPr>
                  <w:r>
                    <w:t>15</w:t>
                  </w:r>
                </w:p>
              </w:tc>
              <w:tc>
                <w:tcPr>
                  <w:tcW w:w="752" w:type="pct"/>
                  <w:tcBorders>
                    <w:top w:val="single" w:color="000000" w:sz="4" w:space="0"/>
                    <w:left w:val="single" w:color="000000" w:sz="4" w:space="0"/>
                    <w:bottom w:val="single" w:color="000000" w:sz="4" w:space="0"/>
                    <w:right w:val="single" w:color="000000" w:sz="4" w:space="0"/>
                  </w:tcBorders>
                  <w:vAlign w:val="center"/>
                </w:tcPr>
                <w:p>
                  <w:pPr>
                    <w:pStyle w:val="41"/>
                  </w:pPr>
                  <w:r>
                    <w:t>1</w:t>
                  </w:r>
                </w:p>
              </w:tc>
              <w:tc>
                <w:tcPr>
                  <w:tcW w:w="752" w:type="pct"/>
                  <w:tcBorders>
                    <w:top w:val="single" w:color="000000" w:sz="4" w:space="0"/>
                    <w:left w:val="single" w:color="000000" w:sz="4" w:space="0"/>
                    <w:bottom w:val="single" w:color="000000" w:sz="4" w:space="0"/>
                    <w:right w:val="single" w:color="000000" w:sz="4" w:space="0"/>
                  </w:tcBorders>
                  <w:vAlign w:val="center"/>
                </w:tcPr>
                <w:p>
                  <w:pPr>
                    <w:pStyle w:val="41"/>
                  </w:pPr>
                  <w:r>
                    <w:t>30</w:t>
                  </w:r>
                </w:p>
              </w:tc>
              <w:tc>
                <w:tcPr>
                  <w:tcW w:w="752" w:type="pct"/>
                  <w:tcBorders>
                    <w:top w:val="single" w:color="000000" w:sz="4" w:space="0"/>
                    <w:left w:val="single" w:color="000000" w:sz="4" w:space="0"/>
                    <w:bottom w:val="single" w:color="000000" w:sz="4" w:space="0"/>
                    <w:right w:val="single" w:color="000000" w:sz="4" w:space="0"/>
                  </w:tcBorders>
                  <w:vAlign w:val="center"/>
                </w:tcPr>
                <w:p>
                  <w:pPr>
                    <w:pStyle w:val="41"/>
                  </w:pPr>
                  <w:r>
                    <w:t>30</w:t>
                  </w:r>
                </w:p>
              </w:tc>
              <w:tc>
                <w:tcPr>
                  <w:tcW w:w="620" w:type="pct"/>
                  <w:tcBorders>
                    <w:top w:val="single" w:color="000000" w:sz="4" w:space="0"/>
                    <w:left w:val="single" w:color="000000" w:sz="4" w:space="0"/>
                    <w:bottom w:val="single" w:color="000000" w:sz="4" w:space="0"/>
                    <w:right w:val="single" w:color="000000" w:sz="4" w:space="0"/>
                  </w:tcBorders>
                  <w:vAlign w:val="center"/>
                </w:tcPr>
                <w:p>
                  <w:pPr>
                    <w:pStyle w:val="41"/>
                  </w:pPr>
                  <w:r>
                    <w:t>100</w:t>
                  </w:r>
                </w:p>
              </w:tc>
            </w:tr>
          </w:tbl>
          <w:p>
            <w:pPr>
              <w:pStyle w:val="71"/>
              <w:spacing w:before="163"/>
              <w:ind w:firstLine="31680"/>
            </w:pPr>
            <w:r>
              <w:t>4</w:t>
            </w:r>
            <w:r>
              <w:rPr>
                <w:rFonts w:hint="eastAsia"/>
              </w:rPr>
              <w:t>、项目主要设备</w:t>
            </w:r>
          </w:p>
          <w:p>
            <w:pPr>
              <w:pStyle w:val="36"/>
              <w:ind w:firstLine="31680"/>
            </w:pPr>
            <w:r>
              <w:rPr>
                <w:rFonts w:hint="eastAsia"/>
              </w:rPr>
              <w:t>项目运营过程中使用的主要生产设备详见表</w:t>
            </w:r>
            <w:r>
              <w:t>1-8</w:t>
            </w:r>
            <w:r>
              <w:rPr>
                <w:rFonts w:hint="eastAsia"/>
              </w:rPr>
              <w:t>。</w:t>
            </w:r>
          </w:p>
          <w:p>
            <w:pPr>
              <w:pStyle w:val="47"/>
              <w:ind w:firstLine="480"/>
              <w:rPr>
                <w:snapToGrid w:val="0"/>
              </w:rPr>
            </w:pPr>
            <w:r>
              <w:rPr>
                <w:rFonts w:hint="eastAsia"/>
                <w:snapToGrid w:val="0"/>
              </w:rPr>
              <w:t>表</w:t>
            </w:r>
            <w:r>
              <w:rPr>
                <w:snapToGrid w:val="0"/>
              </w:rPr>
              <w:t>1-8</w:t>
            </w:r>
            <w:r>
              <w:rPr>
                <w:rFonts w:hint="eastAsia"/>
                <w:snapToGrid w:val="0"/>
              </w:rPr>
              <w:t>项目主要生产设备一览表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908"/>
              <w:gridCol w:w="2138"/>
              <w:gridCol w:w="1351"/>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序号</w:t>
                  </w:r>
                </w:p>
              </w:tc>
              <w:tc>
                <w:tcPr>
                  <w:tcW w:w="1556"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名称</w:t>
                  </w:r>
                </w:p>
              </w:tc>
              <w:tc>
                <w:tcPr>
                  <w:tcW w:w="114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规格型号</w:t>
                  </w:r>
                </w:p>
              </w:tc>
              <w:tc>
                <w:tcPr>
                  <w:tcW w:w="723"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数量</w:t>
                  </w:r>
                </w:p>
              </w:tc>
              <w:tc>
                <w:tcPr>
                  <w:tcW w:w="117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pStyle w:val="41"/>
                  </w:pPr>
                  <w:r>
                    <w:t>1</w:t>
                  </w:r>
                </w:p>
              </w:tc>
              <w:tc>
                <w:tcPr>
                  <w:tcW w:w="1556"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小型打磨机</w:t>
                  </w:r>
                </w:p>
              </w:tc>
              <w:tc>
                <w:tcPr>
                  <w:tcW w:w="1144" w:type="pct"/>
                  <w:tcBorders>
                    <w:top w:val="single" w:color="auto" w:sz="4" w:space="0"/>
                    <w:left w:val="single" w:color="auto" w:sz="4" w:space="0"/>
                    <w:bottom w:val="single" w:color="auto" w:sz="4" w:space="0"/>
                    <w:right w:val="single" w:color="auto" w:sz="4" w:space="0"/>
                  </w:tcBorders>
                  <w:vAlign w:val="center"/>
                </w:tcPr>
                <w:p>
                  <w:pPr>
                    <w:pStyle w:val="41"/>
                  </w:pPr>
                  <w:r>
                    <w:t>—</w:t>
                  </w:r>
                </w:p>
              </w:tc>
              <w:tc>
                <w:tcPr>
                  <w:tcW w:w="723" w:type="pct"/>
                  <w:tcBorders>
                    <w:top w:val="single" w:color="auto" w:sz="4" w:space="0"/>
                    <w:left w:val="single" w:color="auto" w:sz="4" w:space="0"/>
                    <w:bottom w:val="single" w:color="auto" w:sz="4" w:space="0"/>
                    <w:right w:val="single" w:color="auto" w:sz="4" w:space="0"/>
                  </w:tcBorders>
                  <w:vAlign w:val="center"/>
                </w:tcPr>
                <w:p>
                  <w:pPr>
                    <w:pStyle w:val="41"/>
                  </w:pPr>
                  <w:r>
                    <w:t>2</w:t>
                  </w:r>
                  <w:r>
                    <w:rPr>
                      <w:rFonts w:hint="eastAsia"/>
                    </w:rPr>
                    <w:t>台</w:t>
                  </w:r>
                </w:p>
              </w:tc>
              <w:tc>
                <w:tcPr>
                  <w:tcW w:w="117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原厂区搬来继续沿用</w:t>
                  </w:r>
                </w:p>
              </w:tc>
            </w:tr>
          </w:tbl>
          <w:p>
            <w:pPr>
              <w:pStyle w:val="71"/>
              <w:spacing w:before="163"/>
              <w:ind w:firstLine="31680"/>
            </w:pPr>
            <w:r>
              <w:t>5</w:t>
            </w:r>
            <w:r>
              <w:rPr>
                <w:rFonts w:hint="eastAsia"/>
              </w:rPr>
              <w:t>、总平面布置</w:t>
            </w:r>
          </w:p>
          <w:p>
            <w:pPr>
              <w:pStyle w:val="36"/>
              <w:ind w:firstLine="31680"/>
            </w:pPr>
            <w:r>
              <w:rPr>
                <w:rFonts w:hint="eastAsia"/>
              </w:rPr>
              <w:t>项目用地主要分为办公区和生产区。办公区位于场地西南地块，布置有厂区大门、办公室等，无食堂及宿舍；生产区位于场地东北侧地块，设有半成品仓库、组装打磨区、刷漆晾晒区、成品仓库、废弃木屑堆场及危废贮藏间。厂区道路设置在中部，四通八达，便于物料及产品的运输，便于管理联系，节省物料能耗，同时又能满足交通和消防要求。具体平面布局详见附图</w:t>
            </w:r>
            <w:r>
              <w:t>3</w:t>
            </w:r>
            <w:r>
              <w:rPr>
                <w:rFonts w:hint="eastAsia"/>
              </w:rPr>
              <w:t>。</w:t>
            </w:r>
          </w:p>
          <w:p>
            <w:pPr>
              <w:pStyle w:val="75"/>
              <w:ind w:firstLine="31680"/>
              <w:rPr>
                <w:color w:val="auto"/>
              </w:rPr>
            </w:pPr>
            <w:r>
              <w:rPr>
                <w:color w:val="auto"/>
              </w:rPr>
              <w:t>6</w:t>
            </w:r>
            <w:r>
              <w:rPr>
                <w:rFonts w:hint="eastAsia"/>
                <w:color w:val="auto"/>
              </w:rPr>
              <w:t>、工作制度及劳动定员</w:t>
            </w:r>
          </w:p>
          <w:p>
            <w:pPr>
              <w:pStyle w:val="36"/>
              <w:ind w:firstLine="31680"/>
              <w:rPr>
                <w:szCs w:val="24"/>
              </w:rPr>
            </w:pPr>
            <w:r>
              <w:rPr>
                <w:rFonts w:hint="eastAsia"/>
              </w:rPr>
              <w:t>本项目年运行天数</w:t>
            </w:r>
            <w:r>
              <w:t>300</w:t>
            </w:r>
            <w:r>
              <w:rPr>
                <w:rFonts w:hint="eastAsia"/>
              </w:rPr>
              <w:t>天，每天运行</w:t>
            </w:r>
            <w:r>
              <w:t>8</w:t>
            </w:r>
            <w:r>
              <w:rPr>
                <w:rFonts w:hint="eastAsia"/>
              </w:rPr>
              <w:t>小时，夜间不生产，员工总计</w:t>
            </w:r>
            <w:r>
              <w:t>5</w:t>
            </w:r>
            <w:r>
              <w:rPr>
                <w:rFonts w:hint="eastAsia"/>
              </w:rPr>
              <w:t>人。</w:t>
            </w:r>
          </w:p>
          <w:p>
            <w:pPr>
              <w:pStyle w:val="75"/>
              <w:ind w:firstLine="31680"/>
              <w:rPr>
                <w:color w:val="auto"/>
              </w:rPr>
            </w:pPr>
            <w:r>
              <w:rPr>
                <w:color w:val="auto"/>
              </w:rPr>
              <w:t>7</w:t>
            </w:r>
            <w:r>
              <w:rPr>
                <w:rFonts w:hint="eastAsia"/>
                <w:color w:val="auto"/>
              </w:rPr>
              <w:t>、公用工程</w:t>
            </w:r>
          </w:p>
          <w:p>
            <w:pPr>
              <w:pStyle w:val="36"/>
              <w:ind w:firstLine="31680"/>
            </w:pPr>
            <w:r>
              <w:rPr>
                <w:rFonts w:hint="eastAsia"/>
              </w:rPr>
              <w:t>（</w:t>
            </w:r>
            <w:r>
              <w:t>1</w:t>
            </w:r>
            <w:r>
              <w:rPr>
                <w:rFonts w:hint="eastAsia"/>
              </w:rPr>
              <w:t>）供电</w:t>
            </w:r>
          </w:p>
          <w:p>
            <w:pPr>
              <w:pStyle w:val="36"/>
              <w:ind w:firstLine="31680"/>
            </w:pPr>
            <w:r>
              <w:rPr>
                <w:rFonts w:hint="eastAsia"/>
              </w:rPr>
              <w:t>由周边市政供电管网统一供给。</w:t>
            </w:r>
          </w:p>
          <w:p>
            <w:pPr>
              <w:pStyle w:val="36"/>
              <w:ind w:firstLine="31680"/>
            </w:pPr>
            <w:r>
              <w:rPr>
                <w:rFonts w:hint="eastAsia"/>
              </w:rPr>
              <w:t>（</w:t>
            </w:r>
            <w:r>
              <w:t>2</w:t>
            </w:r>
            <w:r>
              <w:rPr>
                <w:rFonts w:hint="eastAsia"/>
              </w:rPr>
              <w:t>）给排水</w:t>
            </w:r>
          </w:p>
          <w:p>
            <w:pPr>
              <w:pStyle w:val="36"/>
              <w:ind w:firstLine="31680"/>
            </w:pPr>
            <w:r>
              <w:rPr>
                <w:rFonts w:hint="eastAsia"/>
              </w:rPr>
              <w:t>给水：本项目生产和生活用水均来自项目区地下水，合计用水</w:t>
            </w:r>
            <w:r>
              <w:t>0.2m³/a</w:t>
            </w:r>
            <w:r>
              <w:rPr>
                <w:rFonts w:hint="eastAsia"/>
              </w:rPr>
              <w:t>。</w:t>
            </w:r>
          </w:p>
          <w:p>
            <w:pPr>
              <w:pStyle w:val="36"/>
              <w:ind w:firstLine="31680"/>
            </w:pPr>
            <w:r>
              <w:rPr>
                <w:rFonts w:hint="eastAsia"/>
              </w:rPr>
              <w:t>排水系统设计：按雨、污水分流排放设计。</w:t>
            </w:r>
          </w:p>
          <w:p>
            <w:pPr>
              <w:pStyle w:val="36"/>
              <w:ind w:firstLine="31680"/>
            </w:pPr>
            <w:r>
              <w:rPr>
                <w:rFonts w:hint="eastAsia"/>
              </w:rPr>
              <w:t>项目实行雨污分流，项目区厂房四周修建排水沟，雨水通过排水沟排入项目西侧农灌沟内。</w:t>
            </w:r>
          </w:p>
          <w:p>
            <w:pPr>
              <w:pStyle w:val="36"/>
              <w:ind w:firstLine="31680"/>
            </w:pPr>
            <w:r>
              <w:rPr>
                <w:rFonts w:hint="eastAsia"/>
              </w:rPr>
              <w:t>本项目在生产过程中，废水主要为员工生活废水。废水经化粪池收集处理后，委托周边村民定期清掏，用于农灌施肥，不外排。</w:t>
            </w:r>
          </w:p>
          <w:p>
            <w:pPr>
              <w:pStyle w:val="36"/>
              <w:ind w:firstLine="31680"/>
            </w:pPr>
            <w:r>
              <w:rPr>
                <w:rFonts w:hint="eastAsia"/>
              </w:rPr>
              <w:t>（</w:t>
            </w:r>
            <w:r>
              <w:t>3</w:t>
            </w:r>
            <w:r>
              <w:rPr>
                <w:rFonts w:hint="eastAsia"/>
              </w:rPr>
              <w:t>）能源</w:t>
            </w:r>
          </w:p>
          <w:p>
            <w:pPr>
              <w:pStyle w:val="36"/>
              <w:ind w:firstLine="31680"/>
            </w:pPr>
            <w:r>
              <w:rPr>
                <w:rFonts w:hint="eastAsia"/>
              </w:rPr>
              <w:t>本项目不设锅炉，采用电做为能源。</w:t>
            </w:r>
          </w:p>
          <w:p>
            <w:pPr>
              <w:pStyle w:val="75"/>
              <w:ind w:firstLine="31680"/>
              <w:rPr>
                <w:color w:val="auto"/>
              </w:rPr>
            </w:pPr>
            <w:r>
              <w:rPr>
                <w:color w:val="auto"/>
              </w:rPr>
              <w:t>8</w:t>
            </w:r>
            <w:r>
              <w:rPr>
                <w:rFonts w:hint="eastAsia"/>
                <w:color w:val="auto"/>
              </w:rPr>
              <w:t>、环保投资情况</w:t>
            </w:r>
          </w:p>
          <w:p>
            <w:pPr>
              <w:pStyle w:val="36"/>
              <w:ind w:firstLine="31680"/>
            </w:pPr>
            <w:r>
              <w:rPr>
                <w:rFonts w:hint="eastAsia"/>
              </w:rPr>
              <w:t>本项目总投资</w:t>
            </w:r>
            <w:r>
              <w:t>6</w:t>
            </w:r>
            <w:r>
              <w:rPr>
                <w:rFonts w:hint="eastAsia"/>
              </w:rPr>
              <w:t>万，环保投资</w:t>
            </w:r>
            <w:r>
              <w:t>0.7</w:t>
            </w:r>
            <w:r>
              <w:rPr>
                <w:rFonts w:hint="eastAsia"/>
              </w:rPr>
              <w:t>万，环保投资占总投资的</w:t>
            </w:r>
            <w:r>
              <w:t>11.7%</w:t>
            </w:r>
            <w:r>
              <w:rPr>
                <w:rFonts w:hint="eastAsia"/>
              </w:rPr>
              <w:t>，环保投资明细表见表</w:t>
            </w:r>
            <w:r>
              <w:t>1-9</w:t>
            </w:r>
            <w:r>
              <w:rPr>
                <w:rFonts w:hint="eastAsia"/>
              </w:rPr>
              <w:t>。</w:t>
            </w:r>
          </w:p>
          <w:p>
            <w:pPr>
              <w:pStyle w:val="47"/>
              <w:ind w:firstLine="480"/>
            </w:pPr>
            <w:r>
              <w:rPr>
                <w:rFonts w:hint="eastAsia"/>
              </w:rPr>
              <w:t>表</w:t>
            </w:r>
            <w:r>
              <w:t xml:space="preserve">1-9 </w:t>
            </w:r>
            <w:r>
              <w:rPr>
                <w:rFonts w:hint="eastAsia"/>
              </w:rPr>
              <w:t>环保投资明细表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3962"/>
              <w:gridCol w:w="1901"/>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处理对象</w:t>
                  </w:r>
                </w:p>
              </w:tc>
              <w:tc>
                <w:tcPr>
                  <w:tcW w:w="212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环保设施</w:t>
                  </w:r>
                </w:p>
              </w:tc>
              <w:tc>
                <w:tcPr>
                  <w:tcW w:w="101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投资（万元）</w:t>
                  </w:r>
                </w:p>
              </w:tc>
              <w:tc>
                <w:tcPr>
                  <w:tcW w:w="117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占环保投资比例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废气</w:t>
                  </w:r>
                </w:p>
              </w:tc>
              <w:tc>
                <w:tcPr>
                  <w:tcW w:w="212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刷漆房通风风机</w:t>
                  </w:r>
                  <w:r>
                    <w:t>2</w:t>
                  </w:r>
                  <w:r>
                    <w:rPr>
                      <w:rFonts w:hint="eastAsia"/>
                    </w:rPr>
                    <w:t>套</w:t>
                  </w:r>
                </w:p>
              </w:tc>
              <w:tc>
                <w:tcPr>
                  <w:tcW w:w="1017" w:type="pct"/>
                  <w:tcBorders>
                    <w:top w:val="single" w:color="auto" w:sz="4" w:space="0"/>
                    <w:left w:val="single" w:color="auto" w:sz="4" w:space="0"/>
                    <w:bottom w:val="single" w:color="auto" w:sz="4" w:space="0"/>
                    <w:right w:val="single" w:color="auto" w:sz="4" w:space="0"/>
                  </w:tcBorders>
                  <w:vAlign w:val="center"/>
                </w:tcPr>
                <w:p>
                  <w:pPr>
                    <w:pStyle w:val="41"/>
                  </w:pPr>
                  <w:r>
                    <w:t>0.2</w:t>
                  </w:r>
                </w:p>
              </w:tc>
              <w:tc>
                <w:tcPr>
                  <w:tcW w:w="1175" w:type="pct"/>
                  <w:tcBorders>
                    <w:top w:val="single" w:color="auto" w:sz="4" w:space="0"/>
                    <w:left w:val="single" w:color="auto" w:sz="4" w:space="0"/>
                    <w:bottom w:val="single" w:color="auto" w:sz="4" w:space="0"/>
                    <w:right w:val="single" w:color="auto" w:sz="4" w:space="0"/>
                  </w:tcBorders>
                  <w:vAlign w:val="center"/>
                </w:tcPr>
                <w:p>
                  <w:pPr>
                    <w:pStyle w:val="41"/>
                  </w:pPr>
                  <w: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废水</w:t>
                  </w:r>
                </w:p>
              </w:tc>
              <w:tc>
                <w:tcPr>
                  <w:tcW w:w="2120" w:type="pct"/>
                  <w:tcBorders>
                    <w:top w:val="single" w:color="auto" w:sz="4" w:space="0"/>
                    <w:left w:val="single" w:color="auto" w:sz="4" w:space="0"/>
                    <w:bottom w:val="single" w:color="auto" w:sz="4" w:space="0"/>
                    <w:right w:val="single" w:color="auto" w:sz="4" w:space="0"/>
                  </w:tcBorders>
                  <w:vAlign w:val="center"/>
                </w:tcPr>
                <w:p>
                  <w:pPr>
                    <w:pStyle w:val="41"/>
                  </w:pPr>
                  <w:r>
                    <w:t>1</w:t>
                  </w:r>
                  <w:r>
                    <w:rPr>
                      <w:rFonts w:hint="eastAsia"/>
                    </w:rPr>
                    <w:t>座化粪池：容积为</w:t>
                  </w:r>
                  <w:r>
                    <w:t>1m</w:t>
                  </w:r>
                  <w:r>
                    <w:rPr>
                      <w:rFonts w:hint="eastAsia"/>
                    </w:rPr>
                    <w:t>³</w:t>
                  </w:r>
                </w:p>
              </w:tc>
              <w:tc>
                <w:tcPr>
                  <w:tcW w:w="1017" w:type="pct"/>
                  <w:tcBorders>
                    <w:top w:val="single" w:color="auto" w:sz="4" w:space="0"/>
                    <w:left w:val="single" w:color="auto" w:sz="4" w:space="0"/>
                    <w:bottom w:val="single" w:color="auto" w:sz="4" w:space="0"/>
                    <w:right w:val="single" w:color="auto" w:sz="4" w:space="0"/>
                  </w:tcBorders>
                  <w:vAlign w:val="center"/>
                </w:tcPr>
                <w:p>
                  <w:pPr>
                    <w:pStyle w:val="41"/>
                  </w:pPr>
                  <w:r>
                    <w:t>0.1</w:t>
                  </w:r>
                </w:p>
              </w:tc>
              <w:tc>
                <w:tcPr>
                  <w:tcW w:w="1175" w:type="pct"/>
                  <w:tcBorders>
                    <w:top w:val="single" w:color="auto" w:sz="4" w:space="0"/>
                    <w:left w:val="single" w:color="auto" w:sz="4" w:space="0"/>
                    <w:bottom w:val="single" w:color="auto" w:sz="4" w:space="0"/>
                    <w:right w:val="single" w:color="auto" w:sz="4" w:space="0"/>
                  </w:tcBorders>
                  <w:vAlign w:val="center"/>
                </w:tcPr>
                <w:p>
                  <w:pPr>
                    <w:pStyle w:val="41"/>
                  </w:pPr>
                  <w: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212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雨污分流管网</w:t>
                  </w:r>
                </w:p>
              </w:tc>
              <w:tc>
                <w:tcPr>
                  <w:tcW w:w="1017" w:type="pct"/>
                  <w:tcBorders>
                    <w:top w:val="single" w:color="auto" w:sz="4" w:space="0"/>
                    <w:left w:val="single" w:color="auto" w:sz="4" w:space="0"/>
                    <w:bottom w:val="single" w:color="auto" w:sz="4" w:space="0"/>
                    <w:right w:val="single" w:color="auto" w:sz="4" w:space="0"/>
                  </w:tcBorders>
                  <w:vAlign w:val="center"/>
                </w:tcPr>
                <w:p>
                  <w:pPr>
                    <w:pStyle w:val="41"/>
                  </w:pPr>
                  <w:r>
                    <w:t>0.35</w:t>
                  </w:r>
                </w:p>
              </w:tc>
              <w:tc>
                <w:tcPr>
                  <w:tcW w:w="1175" w:type="pct"/>
                  <w:tcBorders>
                    <w:top w:val="single" w:color="auto" w:sz="4" w:space="0"/>
                    <w:left w:val="single" w:color="auto" w:sz="4" w:space="0"/>
                    <w:bottom w:val="single" w:color="auto" w:sz="4" w:space="0"/>
                    <w:right w:val="single" w:color="auto" w:sz="4" w:space="0"/>
                  </w:tcBorders>
                  <w:vAlign w:val="center"/>
                </w:tcPr>
                <w:p>
                  <w:pPr>
                    <w:pStyle w:val="41"/>
                  </w:pP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固废</w:t>
                  </w:r>
                </w:p>
              </w:tc>
              <w:tc>
                <w:tcPr>
                  <w:tcW w:w="212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垃圾桶（大）</w:t>
                  </w:r>
                  <w:r>
                    <w:t>1</w:t>
                  </w:r>
                  <w:r>
                    <w:rPr>
                      <w:rFonts w:hint="eastAsia"/>
                    </w:rPr>
                    <w:t>个</w:t>
                  </w:r>
                </w:p>
              </w:tc>
              <w:tc>
                <w:tcPr>
                  <w:tcW w:w="1017" w:type="pct"/>
                  <w:tcBorders>
                    <w:top w:val="single" w:color="auto" w:sz="4" w:space="0"/>
                    <w:left w:val="single" w:color="auto" w:sz="4" w:space="0"/>
                    <w:bottom w:val="single" w:color="auto" w:sz="4" w:space="0"/>
                    <w:right w:val="single" w:color="auto" w:sz="4" w:space="0"/>
                  </w:tcBorders>
                  <w:vAlign w:val="center"/>
                </w:tcPr>
                <w:p>
                  <w:pPr>
                    <w:pStyle w:val="41"/>
                  </w:pPr>
                  <w:r>
                    <w:t>0.05</w:t>
                  </w:r>
                </w:p>
              </w:tc>
              <w:tc>
                <w:tcPr>
                  <w:tcW w:w="1175" w:type="pct"/>
                  <w:tcBorders>
                    <w:top w:val="single" w:color="auto" w:sz="4" w:space="0"/>
                    <w:left w:val="single" w:color="auto" w:sz="4" w:space="0"/>
                    <w:bottom w:val="single" w:color="auto" w:sz="4" w:space="0"/>
                    <w:right w:val="single" w:color="auto" w:sz="4" w:space="0"/>
                  </w:tcBorders>
                  <w:vAlign w:val="center"/>
                </w:tcPr>
                <w:p>
                  <w:pPr>
                    <w:pStyle w:val="41"/>
                  </w:pPr>
                  <w: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8" w:type="pct"/>
                  <w:gridSpan w:val="2"/>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合计</w:t>
                  </w:r>
                </w:p>
              </w:tc>
              <w:tc>
                <w:tcPr>
                  <w:tcW w:w="1017" w:type="pct"/>
                  <w:tcBorders>
                    <w:top w:val="single" w:color="auto" w:sz="4" w:space="0"/>
                    <w:left w:val="single" w:color="auto" w:sz="4" w:space="0"/>
                    <w:bottom w:val="single" w:color="auto" w:sz="4" w:space="0"/>
                    <w:right w:val="single" w:color="auto" w:sz="4" w:space="0"/>
                  </w:tcBorders>
                  <w:vAlign w:val="center"/>
                </w:tcPr>
                <w:p>
                  <w:pPr>
                    <w:pStyle w:val="41"/>
                  </w:pPr>
                  <w:r>
                    <w:t>0.7</w:t>
                  </w:r>
                </w:p>
              </w:tc>
              <w:tc>
                <w:tcPr>
                  <w:tcW w:w="1175" w:type="pct"/>
                  <w:tcBorders>
                    <w:top w:val="single" w:color="auto" w:sz="4" w:space="0"/>
                    <w:left w:val="single" w:color="auto" w:sz="4" w:space="0"/>
                    <w:bottom w:val="single" w:color="auto" w:sz="4" w:space="0"/>
                    <w:right w:val="single" w:color="auto" w:sz="4" w:space="0"/>
                  </w:tcBorders>
                  <w:vAlign w:val="center"/>
                </w:tcPr>
                <w:p>
                  <w:pPr>
                    <w:pStyle w:val="41"/>
                  </w:pPr>
                  <w:r>
                    <w:t>100%</w:t>
                  </w:r>
                </w:p>
              </w:tc>
            </w:tr>
          </w:tbl>
          <w:p>
            <w:pPr>
              <w:pStyle w:val="71"/>
              <w:spacing w:before="163"/>
              <w:ind w:firstLine="31680"/>
            </w:pPr>
            <w:r>
              <w:rPr>
                <w:rFonts w:hint="eastAsia"/>
              </w:rPr>
              <w:t>与本项目有关的原有污染情况及主要环境问题</w:t>
            </w:r>
          </w:p>
          <w:p>
            <w:pPr>
              <w:pStyle w:val="36"/>
              <w:ind w:firstLine="31680"/>
            </w:pPr>
            <w:r>
              <w:rPr>
                <w:rFonts w:hint="eastAsia"/>
              </w:rPr>
              <w:t>本项目搬迁前，原所在地为芒市镇松树寨村委会芒晃村居民小组，项目总投资</w:t>
            </w:r>
            <w:r>
              <w:t>15</w:t>
            </w:r>
            <w:r>
              <w:rPr>
                <w:rFonts w:hint="eastAsia"/>
              </w:rPr>
              <w:t>万元，占地</w:t>
            </w:r>
            <w:r>
              <w:t>600</w:t>
            </w:r>
            <w:r>
              <w:rPr>
                <w:rFonts w:hint="eastAsia"/>
              </w:rPr>
              <w:t>㎡。其中，半成品仓库</w:t>
            </w:r>
            <w:r>
              <w:t>100</w:t>
            </w:r>
            <w:r>
              <w:rPr>
                <w:rFonts w:hint="eastAsia"/>
              </w:rPr>
              <w:t>㎡，组装区</w:t>
            </w:r>
            <w:r>
              <w:t>100</w:t>
            </w:r>
            <w:r>
              <w:rPr>
                <w:rFonts w:hint="eastAsia"/>
              </w:rPr>
              <w:t>㎡，打磨区</w:t>
            </w:r>
            <w:r>
              <w:t>50</w:t>
            </w:r>
            <w:r>
              <w:rPr>
                <w:rFonts w:hint="eastAsia"/>
              </w:rPr>
              <w:t>㎡，刷漆区</w:t>
            </w:r>
            <w:r>
              <w:t>50</w:t>
            </w:r>
            <w:r>
              <w:rPr>
                <w:rFonts w:hint="eastAsia"/>
              </w:rPr>
              <w:t>㎡，晾干区</w:t>
            </w:r>
            <w:r>
              <w:t>150</w:t>
            </w:r>
            <w:r>
              <w:rPr>
                <w:rFonts w:hint="eastAsia"/>
              </w:rPr>
              <w:t>㎡，成品仓库</w:t>
            </w:r>
            <w:r>
              <w:t>100</w:t>
            </w:r>
            <w:r>
              <w:rPr>
                <w:rFonts w:hint="eastAsia"/>
              </w:rPr>
              <w:t>㎡，办公区</w:t>
            </w:r>
            <w:r>
              <w:t>50</w:t>
            </w:r>
            <w:r>
              <w:rPr>
                <w:rFonts w:hint="eastAsia"/>
              </w:rPr>
              <w:t>㎡；项目区不设食堂及宿舍。原项目设计生产规模为年产小型实木家具</w:t>
            </w:r>
            <w:r>
              <w:t>1200</w:t>
            </w:r>
            <w:r>
              <w:rPr>
                <w:rFonts w:hint="eastAsia"/>
              </w:rPr>
              <w:t>件；公司共有</w:t>
            </w:r>
            <w:r>
              <w:t>5</w:t>
            </w:r>
            <w:r>
              <w:rPr>
                <w:rFonts w:hint="eastAsia"/>
              </w:rPr>
              <w:t>人，年运行天数</w:t>
            </w:r>
            <w:r>
              <w:t>300</w:t>
            </w:r>
            <w:r>
              <w:rPr>
                <w:rFonts w:hint="eastAsia"/>
              </w:rPr>
              <w:t>天，每天运行</w:t>
            </w:r>
            <w:r>
              <w:t>8</w:t>
            </w:r>
            <w:r>
              <w:rPr>
                <w:rFonts w:hint="eastAsia"/>
              </w:rPr>
              <w:t>小时，夜间不生产。</w:t>
            </w:r>
          </w:p>
          <w:p>
            <w:pPr>
              <w:pStyle w:val="36"/>
              <w:ind w:firstLine="31680"/>
            </w:pPr>
            <w:r>
              <w:rPr>
                <w:rFonts w:hint="eastAsia"/>
              </w:rPr>
              <w:t>项目搬迁前，</w:t>
            </w:r>
            <w:r>
              <w:rPr>
                <w:rFonts w:hint="eastAsia"/>
                <w:bCs/>
                <w:szCs w:val="24"/>
              </w:rPr>
              <w:t>芒市华鑫木制品厂</w:t>
            </w:r>
            <w:r>
              <w:rPr>
                <w:rFonts w:hint="eastAsia"/>
              </w:rPr>
              <w:t>组建完成后，于</w:t>
            </w:r>
            <w:r>
              <w:t>2012</w:t>
            </w:r>
            <w:r>
              <w:rPr>
                <w:rFonts w:hint="eastAsia"/>
              </w:rPr>
              <w:t>年</w:t>
            </w:r>
            <w:r>
              <w:t>3</w:t>
            </w:r>
            <w:r>
              <w:rPr>
                <w:rFonts w:hint="eastAsia"/>
              </w:rPr>
              <w:t>月向芒市环境保护局递交了建设项目环境影响登记表，并于</w:t>
            </w:r>
            <w:r>
              <w:t>2012</w:t>
            </w:r>
            <w:r>
              <w:rPr>
                <w:rFonts w:hint="eastAsia"/>
              </w:rPr>
              <w:t>年</w:t>
            </w:r>
            <w:r>
              <w:t>3</w:t>
            </w:r>
            <w:r>
              <w:rPr>
                <w:rFonts w:hint="eastAsia"/>
              </w:rPr>
              <w:t>月取得了相关批复（芒环评</w:t>
            </w:r>
            <w:r>
              <w:t>2012-113</w:t>
            </w:r>
            <w:r>
              <w:rPr>
                <w:rFonts w:hint="eastAsia"/>
              </w:rPr>
              <w:t>号）。</w:t>
            </w:r>
          </w:p>
          <w:p>
            <w:pPr>
              <w:pStyle w:val="36"/>
              <w:ind w:firstLine="31680"/>
            </w:pPr>
            <w:r>
              <w:rPr>
                <w:rFonts w:hint="eastAsia"/>
              </w:rPr>
              <w:t>搬迁前，原有项目和本项目的生产工艺完全相同，详细介绍请参照表五建设项目工程分析。</w:t>
            </w:r>
          </w:p>
          <w:p>
            <w:pPr>
              <w:pStyle w:val="36"/>
              <w:ind w:firstLine="31680"/>
            </w:pPr>
            <w:r>
              <w:rPr>
                <w:rFonts w:hint="eastAsia"/>
              </w:rPr>
              <w:t>原有项目主要污染物为木屑粉尘、油漆废气、生活废水、固体废弃物。</w:t>
            </w:r>
          </w:p>
          <w:p>
            <w:pPr>
              <w:pStyle w:val="36"/>
              <w:ind w:firstLine="31680"/>
            </w:pPr>
            <w:r>
              <w:rPr>
                <w:szCs w:val="24"/>
              </w:rPr>
              <w:fldChar w:fldCharType="begin"/>
            </w:r>
            <w:r>
              <w:rPr>
                <w:szCs w:val="24"/>
              </w:rPr>
              <w:instrText xml:space="preserve"> = 1 \* GB3 </w:instrText>
            </w:r>
            <w:r>
              <w:rPr>
                <w:szCs w:val="24"/>
              </w:rPr>
              <w:fldChar w:fldCharType="separate"/>
            </w:r>
            <w:r>
              <w:rPr>
                <w:rFonts w:hint="eastAsia" w:ascii="宋体" w:hAnsi="宋体" w:cs="宋体"/>
                <w:szCs w:val="24"/>
              </w:rPr>
              <w:t>①</w:t>
            </w:r>
            <w:r>
              <w:rPr>
                <w:szCs w:val="24"/>
              </w:rPr>
              <w:fldChar w:fldCharType="end"/>
            </w:r>
            <w:r>
              <w:rPr>
                <w:rFonts w:hint="eastAsia"/>
              </w:rPr>
              <w:t>粉尘：本项目在打磨工序中会产生少量的木屑粉尘，木屑粉尘产生量为</w:t>
            </w:r>
            <w:r>
              <w:t>0.1t/a</w:t>
            </w:r>
            <w:r>
              <w:rPr>
                <w:rFonts w:hint="eastAsia"/>
              </w:rPr>
              <w:t>，属于无组织排放，通过大气稀释，自然扩散。</w:t>
            </w:r>
          </w:p>
          <w:p>
            <w:pPr>
              <w:pStyle w:val="36"/>
              <w:ind w:firstLine="31680"/>
            </w:pPr>
            <w:r>
              <w:fldChar w:fldCharType="begin"/>
            </w:r>
            <w:r>
              <w:instrText xml:space="preserve"> = 2 \* GB3 </w:instrText>
            </w:r>
            <w:r>
              <w:fldChar w:fldCharType="separate"/>
            </w:r>
            <w:r>
              <w:rPr>
                <w:rFonts w:hint="eastAsia"/>
              </w:rPr>
              <w:t>②</w:t>
            </w:r>
            <w:r>
              <w:rPr>
                <w:rFonts w:hint="eastAsia"/>
              </w:rPr>
              <w:fldChar w:fldCharType="end"/>
            </w:r>
            <w:r>
              <w:rPr>
                <w:rFonts w:hint="eastAsia"/>
              </w:rPr>
              <w:t>油漆废气：本项目油漆废气主要为甲苯和二甲苯，年产生甲苯</w:t>
            </w:r>
            <w:r>
              <w:t>0.185t</w:t>
            </w:r>
            <w:r>
              <w:rPr>
                <w:rFonts w:hint="eastAsia"/>
              </w:rPr>
              <w:t>，二甲苯</w:t>
            </w:r>
            <w:r>
              <w:t>0.168t</w:t>
            </w:r>
            <w:r>
              <w:rPr>
                <w:rFonts w:hint="eastAsia"/>
              </w:rPr>
              <w:t>。项目采用活性炭吸附装置进行吸附，可有效吸附油漆废气，其吸附效率≧</w:t>
            </w:r>
            <w:r>
              <w:t>60%</w:t>
            </w:r>
            <w:r>
              <w:rPr>
                <w:rFonts w:hint="eastAsia"/>
              </w:rPr>
              <w:t>，后经大气稀释后，自然扩散。则项目年排放甲苯</w:t>
            </w:r>
            <w:r>
              <w:t>0.074t</w:t>
            </w:r>
            <w:r>
              <w:rPr>
                <w:rFonts w:hint="eastAsia"/>
              </w:rPr>
              <w:t>，排放二甲苯</w:t>
            </w:r>
            <w:r>
              <w:t>0.067t</w:t>
            </w:r>
            <w:r>
              <w:rPr>
                <w:rFonts w:hint="eastAsia"/>
              </w:rPr>
              <w:t>。</w:t>
            </w:r>
          </w:p>
          <w:p>
            <w:pPr>
              <w:pStyle w:val="36"/>
              <w:ind w:firstLine="31680"/>
              <w:rPr>
                <w:szCs w:val="24"/>
              </w:rPr>
            </w:pPr>
            <w:r>
              <w:fldChar w:fldCharType="begin"/>
            </w:r>
            <w:r>
              <w:instrText xml:space="preserve"> = 3 \* GB3 </w:instrText>
            </w:r>
            <w:r>
              <w:fldChar w:fldCharType="separate"/>
            </w:r>
            <w:r>
              <w:rPr>
                <w:rFonts w:hint="eastAsia"/>
              </w:rPr>
              <w:t>③</w:t>
            </w:r>
            <w:r>
              <w:rPr>
                <w:rFonts w:hint="eastAsia"/>
              </w:rPr>
              <w:fldChar w:fldCharType="end"/>
            </w:r>
            <w:r>
              <w:rPr>
                <w:rFonts w:hint="eastAsia"/>
              </w:rPr>
              <w:t>废水：主要为生活废水，生活废水产生量为</w:t>
            </w:r>
            <w:r>
              <w:t>48m</w:t>
            </w:r>
            <w:r>
              <w:rPr>
                <w:rFonts w:hint="eastAsia"/>
              </w:rPr>
              <w:t>³</w:t>
            </w:r>
            <w:r>
              <w:t>/a</w:t>
            </w:r>
            <w:r>
              <w:rPr>
                <w:rFonts w:hint="eastAsia"/>
              </w:rPr>
              <w:t>。</w:t>
            </w:r>
            <w:r>
              <w:rPr>
                <w:rFonts w:hint="eastAsia"/>
                <w:szCs w:val="24"/>
              </w:rPr>
              <w:t>生活污水收集于化粪池内，委托周边村民定期清掏，用于农灌施肥。</w:t>
            </w:r>
          </w:p>
          <w:p>
            <w:pPr>
              <w:pStyle w:val="36"/>
              <w:ind w:firstLine="31680"/>
            </w:pPr>
            <w:r>
              <w:fldChar w:fldCharType="begin"/>
            </w:r>
            <w:r>
              <w:instrText xml:space="preserve"> = 4 \* GB3 </w:instrText>
            </w:r>
            <w:r>
              <w:fldChar w:fldCharType="separate"/>
            </w:r>
            <w:r>
              <w:rPr>
                <w:rFonts w:hint="eastAsia"/>
              </w:rPr>
              <w:t>④</w:t>
            </w:r>
            <w:r>
              <w:rPr>
                <w:rFonts w:hint="eastAsia"/>
              </w:rPr>
              <w:fldChar w:fldCharType="end"/>
            </w:r>
            <w:r>
              <w:rPr>
                <w:rFonts w:hint="eastAsia"/>
              </w:rPr>
              <w:t>固体废弃物：主要包括生产过程中产生的木材边角料、木屑、废油漆桶、废弃油漆刷和生活垃圾等。项目生产过程中产生的边角料、木屑约</w:t>
            </w:r>
            <w:r>
              <w:t>0.5t/a</w:t>
            </w:r>
            <w:r>
              <w:rPr>
                <w:rFonts w:hint="eastAsia"/>
              </w:rPr>
              <w:t>，外卖周边村民作燃料，不外排。产生的废油漆桶量约为</w:t>
            </w:r>
            <w:r>
              <w:t>80</w:t>
            </w:r>
            <w:r>
              <w:rPr>
                <w:rFonts w:hint="eastAsia"/>
              </w:rPr>
              <w:t>个</w:t>
            </w:r>
            <w:r>
              <w:t>/a</w:t>
            </w:r>
            <w:r>
              <w:rPr>
                <w:rFonts w:hint="eastAsia"/>
              </w:rPr>
              <w:t>（容量</w:t>
            </w:r>
            <w:r>
              <w:t>20kg/</w:t>
            </w:r>
            <w:r>
              <w:rPr>
                <w:rFonts w:hint="eastAsia"/>
              </w:rPr>
              <w:t>桶）；废稀释剂桶量约为</w:t>
            </w:r>
            <w:r>
              <w:t>6</w:t>
            </w:r>
            <w:r>
              <w:rPr>
                <w:rFonts w:hint="eastAsia"/>
              </w:rPr>
              <w:t>个</w:t>
            </w:r>
            <w:r>
              <w:t>/a</w:t>
            </w:r>
            <w:r>
              <w:rPr>
                <w:rFonts w:hint="eastAsia"/>
              </w:rPr>
              <w:t>（容量</w:t>
            </w:r>
            <w:r>
              <w:t>200kg/</w:t>
            </w:r>
            <w:r>
              <w:rPr>
                <w:rFonts w:hint="eastAsia"/>
              </w:rPr>
              <w:t>桶），废弃的油漆刷子及粘有油漆的抹布产生量约为</w:t>
            </w:r>
            <w:r>
              <w:t>0.1 t/a</w:t>
            </w:r>
            <w:r>
              <w:rPr>
                <w:rFonts w:hint="eastAsia"/>
              </w:rPr>
              <w:t>，，存放于危废暂存间内，并交给具有危险废物处置资质的单位回收处理。运营期职工产生的生活垃圾约为</w:t>
            </w:r>
            <w:r>
              <w:t>0.75t/a</w:t>
            </w:r>
            <w:r>
              <w:rPr>
                <w:rFonts w:hint="eastAsia"/>
              </w:rPr>
              <w:t>。产生的生活垃圾经垃圾桶统一收集后，运输至就近垃圾收集点，由环卫部门定期清运。</w:t>
            </w:r>
          </w:p>
          <w:p>
            <w:pPr>
              <w:pStyle w:val="36"/>
              <w:ind w:firstLine="31680"/>
            </w:pPr>
            <w:r>
              <w:fldChar w:fldCharType="begin"/>
            </w:r>
            <w:r>
              <w:instrText xml:space="preserve"> = 5 \* GB3 </w:instrText>
            </w:r>
            <w:r>
              <w:fldChar w:fldCharType="separate"/>
            </w:r>
            <w:r>
              <w:rPr>
                <w:rFonts w:hint="eastAsia"/>
              </w:rPr>
              <w:t>⑤</w:t>
            </w:r>
            <w:r>
              <w:rPr>
                <w:rFonts w:hint="eastAsia"/>
              </w:rPr>
              <w:fldChar w:fldCharType="end"/>
            </w:r>
            <w:r>
              <w:rPr>
                <w:rFonts w:hint="eastAsia"/>
              </w:rPr>
              <w:t>噪声：项目生产过程主要噪声源为打磨机和组装家具时的木槌敲打噪声，噪声源强在</w:t>
            </w:r>
            <w:r>
              <w:t>60~70dB</w:t>
            </w:r>
            <w:r>
              <w:rPr>
                <w:rFonts w:hint="eastAsia"/>
              </w:rPr>
              <w:t>（</w:t>
            </w:r>
            <w:r>
              <w:t>A</w:t>
            </w:r>
            <w:r>
              <w:rPr>
                <w:rFonts w:hint="eastAsia"/>
              </w:rPr>
              <w:t>），通过距离衰减，墙体阻隔等削减，可达标排放。</w:t>
            </w:r>
          </w:p>
          <w:p>
            <w:pPr>
              <w:pStyle w:val="36"/>
              <w:ind w:firstLine="31680"/>
            </w:pPr>
            <w:r>
              <w:rPr>
                <w:rFonts w:hint="eastAsia"/>
              </w:rPr>
              <w:t>原有项目主要污染物产生量及处理措施详见表</w:t>
            </w:r>
            <w:r>
              <w:t>1-10</w:t>
            </w:r>
            <w:r>
              <w:rPr>
                <w:rFonts w:hint="eastAsia"/>
              </w:rPr>
              <w:t>。</w:t>
            </w:r>
          </w:p>
          <w:p>
            <w:pPr>
              <w:pStyle w:val="47"/>
              <w:ind w:firstLine="480"/>
            </w:pPr>
            <w:r>
              <w:rPr>
                <w:rFonts w:hint="eastAsia"/>
              </w:rPr>
              <w:t>表</w:t>
            </w:r>
            <w:r>
              <w:t xml:space="preserve">1-10 </w:t>
            </w:r>
            <w:r>
              <w:rPr>
                <w:rFonts w:hint="eastAsia"/>
              </w:rPr>
              <w:t>原有项目主要污染物产生量及处理措施</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318"/>
              <w:gridCol w:w="6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污染物名称</w:t>
                  </w:r>
                </w:p>
              </w:tc>
              <w:tc>
                <w:tcPr>
                  <w:tcW w:w="70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产生量</w:t>
                  </w:r>
                </w:p>
              </w:tc>
              <w:tc>
                <w:tcPr>
                  <w:tcW w:w="331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木屑粉尘</w:t>
                  </w:r>
                </w:p>
              </w:tc>
              <w:tc>
                <w:tcPr>
                  <w:tcW w:w="705" w:type="pct"/>
                  <w:tcBorders>
                    <w:top w:val="single" w:color="auto" w:sz="4" w:space="0"/>
                    <w:left w:val="single" w:color="auto" w:sz="4" w:space="0"/>
                    <w:bottom w:val="single" w:color="auto" w:sz="4" w:space="0"/>
                    <w:right w:val="single" w:color="auto" w:sz="4" w:space="0"/>
                  </w:tcBorders>
                  <w:vAlign w:val="center"/>
                </w:tcPr>
                <w:p>
                  <w:pPr>
                    <w:pStyle w:val="41"/>
                  </w:pPr>
                  <w:r>
                    <w:t>0.1t/a</w:t>
                  </w:r>
                </w:p>
              </w:tc>
              <w:tc>
                <w:tcPr>
                  <w:tcW w:w="331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开窗通风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甲苯</w:t>
                  </w:r>
                </w:p>
              </w:tc>
              <w:tc>
                <w:tcPr>
                  <w:tcW w:w="705" w:type="pct"/>
                  <w:tcBorders>
                    <w:top w:val="single" w:color="auto" w:sz="4" w:space="0"/>
                    <w:left w:val="single" w:color="auto" w:sz="4" w:space="0"/>
                    <w:bottom w:val="single" w:color="auto" w:sz="4" w:space="0"/>
                    <w:right w:val="single" w:color="auto" w:sz="4" w:space="0"/>
                  </w:tcBorders>
                  <w:vAlign w:val="center"/>
                </w:tcPr>
                <w:p>
                  <w:pPr>
                    <w:pStyle w:val="41"/>
                  </w:pPr>
                  <w:r>
                    <w:t>0.074t/a</w:t>
                  </w:r>
                </w:p>
              </w:tc>
              <w:tc>
                <w:tcPr>
                  <w:tcW w:w="3311"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采用活性炭吸附装置进行吸附，其吸附效率≧</w:t>
                  </w:r>
                  <w:r>
                    <w:t>60%</w:t>
                  </w:r>
                  <w:r>
                    <w:rPr>
                      <w:rFonts w:hint="eastAsia"/>
                    </w:rPr>
                    <w:t>，后经大气稀释后，自然扩散。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二甲苯</w:t>
                  </w:r>
                </w:p>
              </w:tc>
              <w:tc>
                <w:tcPr>
                  <w:tcW w:w="705" w:type="pct"/>
                  <w:tcBorders>
                    <w:top w:val="single" w:color="auto" w:sz="4" w:space="0"/>
                    <w:left w:val="single" w:color="auto" w:sz="4" w:space="0"/>
                    <w:bottom w:val="single" w:color="auto" w:sz="4" w:space="0"/>
                    <w:right w:val="single" w:color="auto" w:sz="4" w:space="0"/>
                  </w:tcBorders>
                  <w:vAlign w:val="center"/>
                </w:tcPr>
                <w:p>
                  <w:pPr>
                    <w:pStyle w:val="41"/>
                  </w:pPr>
                  <w:r>
                    <w:t>0.067t/a</w:t>
                  </w:r>
                </w:p>
              </w:tc>
              <w:tc>
                <w:tcPr>
                  <w:tcW w:w="3311"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生活废水</w:t>
                  </w:r>
                </w:p>
              </w:tc>
              <w:tc>
                <w:tcPr>
                  <w:tcW w:w="705" w:type="pct"/>
                  <w:tcBorders>
                    <w:top w:val="single" w:color="auto" w:sz="4" w:space="0"/>
                    <w:left w:val="single" w:color="auto" w:sz="4" w:space="0"/>
                    <w:bottom w:val="single" w:color="auto" w:sz="4" w:space="0"/>
                    <w:right w:val="single" w:color="auto" w:sz="4" w:space="0"/>
                  </w:tcBorders>
                  <w:vAlign w:val="center"/>
                </w:tcPr>
                <w:p>
                  <w:pPr>
                    <w:pStyle w:val="41"/>
                  </w:pPr>
                  <w:r>
                    <w:t>74.4m</w:t>
                  </w:r>
                  <w:r>
                    <w:rPr>
                      <w:rFonts w:hint="eastAsia"/>
                    </w:rPr>
                    <w:t>³</w:t>
                  </w:r>
                  <w:r>
                    <w:t>/a</w:t>
                  </w:r>
                </w:p>
              </w:tc>
              <w:tc>
                <w:tcPr>
                  <w:tcW w:w="331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收集于化粪池内，委托周边村民定期清掏，用于农灌施肥。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边角料、木屑</w:t>
                  </w:r>
                </w:p>
              </w:tc>
              <w:tc>
                <w:tcPr>
                  <w:tcW w:w="705" w:type="pct"/>
                  <w:tcBorders>
                    <w:top w:val="single" w:color="auto" w:sz="4" w:space="0"/>
                    <w:left w:val="single" w:color="auto" w:sz="4" w:space="0"/>
                    <w:bottom w:val="single" w:color="auto" w:sz="4" w:space="0"/>
                    <w:right w:val="single" w:color="auto" w:sz="4" w:space="0"/>
                  </w:tcBorders>
                  <w:vAlign w:val="center"/>
                </w:tcPr>
                <w:p>
                  <w:pPr>
                    <w:pStyle w:val="41"/>
                  </w:pPr>
                  <w:r>
                    <w:t>0.5t/a</w:t>
                  </w:r>
                </w:p>
              </w:tc>
              <w:tc>
                <w:tcPr>
                  <w:tcW w:w="331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外卖周边农户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废油漆桶</w:t>
                  </w:r>
                </w:p>
              </w:tc>
              <w:tc>
                <w:tcPr>
                  <w:tcW w:w="705" w:type="pct"/>
                  <w:tcBorders>
                    <w:top w:val="single" w:color="auto" w:sz="4" w:space="0"/>
                    <w:left w:val="single" w:color="auto" w:sz="4" w:space="0"/>
                    <w:bottom w:val="single" w:color="auto" w:sz="4" w:space="0"/>
                    <w:right w:val="single" w:color="auto" w:sz="4" w:space="0"/>
                  </w:tcBorders>
                  <w:vAlign w:val="center"/>
                </w:tcPr>
                <w:p>
                  <w:pPr>
                    <w:pStyle w:val="41"/>
                  </w:pPr>
                  <w:r>
                    <w:t>80</w:t>
                  </w:r>
                  <w:r>
                    <w:rPr>
                      <w:rFonts w:hint="eastAsia"/>
                    </w:rPr>
                    <w:t>个</w:t>
                  </w:r>
                  <w:r>
                    <w:t>/a</w:t>
                  </w:r>
                </w:p>
              </w:tc>
              <w:tc>
                <w:tcPr>
                  <w:tcW w:w="3311"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委托有资质单位进行处理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废弃稀释剂桶</w:t>
                  </w:r>
                </w:p>
              </w:tc>
              <w:tc>
                <w:tcPr>
                  <w:tcW w:w="705" w:type="pct"/>
                  <w:tcBorders>
                    <w:top w:val="single" w:color="auto" w:sz="4" w:space="0"/>
                    <w:left w:val="single" w:color="auto" w:sz="4" w:space="0"/>
                    <w:bottom w:val="single" w:color="auto" w:sz="4" w:space="0"/>
                    <w:right w:val="single" w:color="auto" w:sz="4" w:space="0"/>
                  </w:tcBorders>
                  <w:vAlign w:val="center"/>
                </w:tcPr>
                <w:p>
                  <w:pPr>
                    <w:pStyle w:val="41"/>
                  </w:pPr>
                  <w:r>
                    <w:t>6</w:t>
                  </w:r>
                  <w:r>
                    <w:rPr>
                      <w:rFonts w:hint="eastAsia"/>
                    </w:rPr>
                    <w:t>个</w:t>
                  </w:r>
                  <w:r>
                    <w:t>/a</w:t>
                  </w:r>
                </w:p>
              </w:tc>
              <w:tc>
                <w:tcPr>
                  <w:tcW w:w="3311"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废弃油漆刷、抹布</w:t>
                  </w:r>
                </w:p>
              </w:tc>
              <w:tc>
                <w:tcPr>
                  <w:tcW w:w="705" w:type="pct"/>
                  <w:tcBorders>
                    <w:top w:val="single" w:color="auto" w:sz="4" w:space="0"/>
                    <w:left w:val="single" w:color="auto" w:sz="4" w:space="0"/>
                    <w:bottom w:val="single" w:color="auto" w:sz="4" w:space="0"/>
                    <w:right w:val="single" w:color="auto" w:sz="4" w:space="0"/>
                  </w:tcBorders>
                  <w:vAlign w:val="center"/>
                </w:tcPr>
                <w:p>
                  <w:pPr>
                    <w:pStyle w:val="41"/>
                  </w:pPr>
                  <w:r>
                    <w:t>0.1 t/a</w:t>
                  </w:r>
                </w:p>
              </w:tc>
              <w:tc>
                <w:tcPr>
                  <w:tcW w:w="3311"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生活垃圾</w:t>
                  </w:r>
                </w:p>
              </w:tc>
              <w:tc>
                <w:tcPr>
                  <w:tcW w:w="705" w:type="pct"/>
                  <w:tcBorders>
                    <w:top w:val="single" w:color="auto" w:sz="4" w:space="0"/>
                    <w:left w:val="single" w:color="auto" w:sz="4" w:space="0"/>
                    <w:bottom w:val="single" w:color="auto" w:sz="4" w:space="0"/>
                    <w:right w:val="single" w:color="auto" w:sz="4" w:space="0"/>
                  </w:tcBorders>
                  <w:vAlign w:val="center"/>
                </w:tcPr>
                <w:p>
                  <w:pPr>
                    <w:pStyle w:val="41"/>
                  </w:pPr>
                  <w:r>
                    <w:t>0.75t/a</w:t>
                  </w:r>
                </w:p>
              </w:tc>
              <w:tc>
                <w:tcPr>
                  <w:tcW w:w="331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由环卫站清运处理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噪声</w:t>
                  </w:r>
                </w:p>
              </w:tc>
              <w:tc>
                <w:tcPr>
                  <w:tcW w:w="705" w:type="pct"/>
                  <w:tcBorders>
                    <w:top w:val="single" w:color="auto" w:sz="4" w:space="0"/>
                    <w:left w:val="single" w:color="auto" w:sz="4" w:space="0"/>
                    <w:bottom w:val="single" w:color="auto" w:sz="4" w:space="0"/>
                    <w:right w:val="single" w:color="auto" w:sz="4" w:space="0"/>
                  </w:tcBorders>
                  <w:vAlign w:val="center"/>
                </w:tcPr>
                <w:p>
                  <w:pPr>
                    <w:pStyle w:val="41"/>
                  </w:pPr>
                  <w:r>
                    <w:t>60~70dB</w:t>
                  </w:r>
                  <w:r>
                    <w:rPr>
                      <w:rFonts w:hint="eastAsia"/>
                    </w:rPr>
                    <w:t>（</w:t>
                  </w:r>
                  <w:r>
                    <w:t>A</w:t>
                  </w:r>
                  <w:r>
                    <w:rPr>
                      <w:rFonts w:hint="eastAsia"/>
                    </w:rPr>
                    <w:t>）</w:t>
                  </w:r>
                </w:p>
              </w:tc>
              <w:tc>
                <w:tcPr>
                  <w:tcW w:w="331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通过距离衰减，墙体阻隔等削减</w:t>
                  </w:r>
                </w:p>
              </w:tc>
            </w:tr>
          </w:tbl>
          <w:p>
            <w:pPr>
              <w:pStyle w:val="75"/>
              <w:ind w:firstLine="31680"/>
              <w:rPr>
                <w:color w:val="auto"/>
              </w:rPr>
            </w:pPr>
            <w:r>
              <w:rPr>
                <w:rFonts w:hint="eastAsia"/>
                <w:color w:val="auto"/>
              </w:rPr>
              <w:t>存在的问题及解决措施要求：</w:t>
            </w:r>
          </w:p>
          <w:p>
            <w:pPr>
              <w:pStyle w:val="36"/>
              <w:ind w:firstLine="31680"/>
            </w:pPr>
            <w:r>
              <w:rPr>
                <w:rFonts w:hint="eastAsia"/>
              </w:rPr>
              <w:t>根据实地调查，发现项目区的生产垃圾存在收集不及时，废油漆桶乱堆放，建议加强环境管理。</w:t>
            </w:r>
          </w:p>
          <w:p>
            <w:pPr>
              <w:ind w:firstLine="31680"/>
            </w:pPr>
          </w:p>
          <w:p>
            <w:pPr>
              <w:ind w:firstLine="0" w:firstLineChars="0"/>
            </w:pPr>
          </w:p>
          <w:p>
            <w:pPr>
              <w:ind w:firstLine="0" w:firstLineChars="0"/>
            </w:pPr>
          </w:p>
        </w:tc>
      </w:tr>
    </w:tbl>
    <w:p>
      <w:pPr>
        <w:pStyle w:val="2"/>
      </w:pPr>
      <w:r>
        <w:rPr>
          <w:rFonts w:hint="eastAsia"/>
        </w:rPr>
        <w:t>表二、建设项目所在地自然环境社会环境简况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70" w:type="dxa"/>
          </w:tcPr>
          <w:p>
            <w:pPr>
              <w:pStyle w:val="75"/>
              <w:ind w:firstLine="0" w:firstLineChars="0"/>
              <w:rPr>
                <w:color w:val="auto"/>
              </w:rPr>
            </w:pPr>
            <w:r>
              <w:rPr>
                <w:rFonts w:hint="eastAsia"/>
                <w:color w:val="auto"/>
                <w:sz w:val="28"/>
              </w:rPr>
              <w:t>自然环境简况（地形、地貌、地质、气候、水文、植被、生物多样性等）</w:t>
            </w:r>
            <w:r>
              <w:rPr>
                <w:rFonts w:hint="eastAsia"/>
                <w:color w:val="auto"/>
              </w:rPr>
              <w:t>：</w:t>
            </w:r>
          </w:p>
          <w:p>
            <w:pPr>
              <w:pStyle w:val="75"/>
              <w:ind w:firstLine="31680"/>
              <w:rPr>
                <w:color w:val="auto"/>
              </w:rPr>
            </w:pPr>
            <w:r>
              <w:rPr>
                <w:color w:val="auto"/>
              </w:rPr>
              <w:t>1</w:t>
            </w:r>
            <w:r>
              <w:rPr>
                <w:rFonts w:hint="eastAsia"/>
                <w:color w:val="auto"/>
              </w:rPr>
              <w:t>、地理位置及周边关系</w:t>
            </w:r>
          </w:p>
          <w:p>
            <w:pPr>
              <w:pStyle w:val="36"/>
              <w:ind w:firstLine="31680"/>
            </w:pPr>
            <w:r>
              <w:rPr>
                <w:rFonts w:hint="eastAsia"/>
              </w:rPr>
              <w:t>芒市为德宏州州府所在地，地处云南省西部，德宏州东南部，距昆明</w:t>
            </w:r>
            <w:r>
              <w:t>679km</w:t>
            </w:r>
            <w:r>
              <w:rPr>
                <w:rFonts w:hint="eastAsia"/>
              </w:rPr>
              <w:t>，位于东经</w:t>
            </w:r>
            <w:r>
              <w:t>98°01′~98°44′</w:t>
            </w:r>
            <w:r>
              <w:rPr>
                <w:rFonts w:hint="eastAsia"/>
              </w:rPr>
              <w:t>，北纬</w:t>
            </w:r>
            <w:r>
              <w:t>24°05′~24°39′</w:t>
            </w:r>
            <w:r>
              <w:rPr>
                <w:rFonts w:hint="eastAsia"/>
              </w:rPr>
              <w:t>区间。芒市是</w:t>
            </w:r>
            <w:r>
              <w:fldChar w:fldCharType="begin"/>
            </w:r>
            <w:r>
              <w:instrText xml:space="preserve"> HYPERLINK "http://baike.baidu.com/view/7242.htm" \t "_blank" </w:instrText>
            </w:r>
            <w:r>
              <w:fldChar w:fldCharType="separate"/>
            </w:r>
            <w:r>
              <w:rPr>
                <w:rFonts w:hint="eastAsia"/>
              </w:rPr>
              <w:t>云南</w:t>
            </w:r>
            <w:r>
              <w:rPr>
                <w:rFonts w:hint="eastAsia"/>
              </w:rPr>
              <w:fldChar w:fldCharType="end"/>
            </w:r>
            <w:r>
              <w:rPr>
                <w:rFonts w:hint="eastAsia"/>
              </w:rPr>
              <w:t>西边的窗口以及中缅文化交流的窗口和中缅经济效益的门户，是通往</w:t>
            </w:r>
            <w:r>
              <w:fldChar w:fldCharType="begin"/>
            </w:r>
            <w:r>
              <w:instrText xml:space="preserve"> HYPERLINK "http://baike.baidu.com/view/55927.htm" \t "_blank" </w:instrText>
            </w:r>
            <w:r>
              <w:fldChar w:fldCharType="separate"/>
            </w:r>
            <w:r>
              <w:rPr>
                <w:rFonts w:hint="eastAsia"/>
              </w:rPr>
              <w:t>瑞丽</w:t>
            </w:r>
            <w:r>
              <w:rPr>
                <w:rFonts w:hint="eastAsia"/>
              </w:rPr>
              <w:fldChar w:fldCharType="end"/>
            </w:r>
            <w:r>
              <w:rPr>
                <w:rFonts w:hint="eastAsia"/>
              </w:rPr>
              <w:t>、</w:t>
            </w:r>
            <w:r>
              <w:fldChar w:fldCharType="begin"/>
            </w:r>
            <w:r>
              <w:instrText xml:space="preserve"> HYPERLINK "http://baike.baidu.com/view/705346.htm" \t "_blank" </w:instrText>
            </w:r>
            <w:r>
              <w:fldChar w:fldCharType="separate"/>
            </w:r>
            <w:r>
              <w:rPr>
                <w:rFonts w:hint="eastAsia"/>
              </w:rPr>
              <w:t>陇川</w:t>
            </w:r>
            <w:r>
              <w:rPr>
                <w:rFonts w:hint="eastAsia"/>
              </w:rPr>
              <w:fldChar w:fldCharType="end"/>
            </w:r>
            <w:r>
              <w:rPr>
                <w:rFonts w:hint="eastAsia"/>
              </w:rPr>
              <w:t>、盈江、梁河，直到</w:t>
            </w:r>
            <w:r>
              <w:fldChar w:fldCharType="begin"/>
            </w:r>
            <w:r>
              <w:instrText xml:space="preserve"> HYPERLINK "http://baike.baidu.com/view/7227.htm" \t "_blank" </w:instrText>
            </w:r>
            <w:r>
              <w:fldChar w:fldCharType="separate"/>
            </w:r>
            <w:r>
              <w:rPr>
                <w:rFonts w:hint="eastAsia"/>
              </w:rPr>
              <w:t>缅甸</w:t>
            </w:r>
            <w:r>
              <w:rPr>
                <w:rFonts w:hint="eastAsia"/>
              </w:rPr>
              <w:fldChar w:fldCharType="end"/>
            </w:r>
            <w:r>
              <w:rPr>
                <w:rFonts w:hint="eastAsia"/>
              </w:rPr>
              <w:t>的交通枢纽和商贸物资集散地及边境口岸，东侧及东北侧接保山市龙陵县，西南连瑞丽市、畹町经济开发区，西侧及西北侧与梁河县、陇川县隔陇川江相望，南与缅甸交界，国境线长</w:t>
            </w:r>
            <w:r>
              <w:t>68.3km</w:t>
            </w:r>
            <w:r>
              <w:rPr>
                <w:rFonts w:hint="eastAsia"/>
              </w:rPr>
              <w:t>。境内</w:t>
            </w:r>
            <w:r>
              <w:t>320</w:t>
            </w:r>
            <w:r>
              <w:rPr>
                <w:rFonts w:hint="eastAsia"/>
              </w:rPr>
              <w:t>国道贯穿南北，有芒市至象滚塘，芒市至回贤等乡村道路，交通网络发达。</w:t>
            </w:r>
          </w:p>
          <w:p>
            <w:pPr>
              <w:pStyle w:val="36"/>
              <w:ind w:firstLine="31680"/>
            </w:pPr>
            <w:r>
              <w:rPr>
                <w:rFonts w:hint="eastAsia"/>
              </w:rPr>
              <w:t>本项目位于芒市镇大湾村，地处北纬</w:t>
            </w:r>
            <w:r>
              <w:t>24°29'19.88"</w:t>
            </w:r>
            <w:r>
              <w:rPr>
                <w:rFonts w:hint="eastAsia"/>
              </w:rPr>
              <w:t>，东经</w:t>
            </w:r>
            <w:r>
              <w:t>98°36'10"</w:t>
            </w:r>
            <w:r>
              <w:rPr>
                <w:rFonts w:hint="eastAsia"/>
              </w:rPr>
              <w:t>，距芒市城区约</w:t>
            </w:r>
            <w:r>
              <w:t>4km</w:t>
            </w:r>
            <w:r>
              <w:rPr>
                <w:rFonts w:hint="eastAsia"/>
              </w:rPr>
              <w:t>，项目地理位置见附图</w:t>
            </w:r>
            <w:r>
              <w:t>1</w:t>
            </w:r>
            <w:r>
              <w:rPr>
                <w:rFonts w:hint="eastAsia"/>
              </w:rPr>
              <w:t>，项目区周边关系详见附图</w:t>
            </w:r>
            <w:r>
              <w:t>2</w:t>
            </w:r>
            <w:r>
              <w:rPr>
                <w:rFonts w:hint="eastAsia"/>
              </w:rPr>
              <w:t>。</w:t>
            </w:r>
          </w:p>
          <w:p>
            <w:pPr>
              <w:pStyle w:val="75"/>
              <w:ind w:firstLine="31680"/>
              <w:rPr>
                <w:color w:val="auto"/>
              </w:rPr>
            </w:pPr>
            <w:r>
              <w:rPr>
                <w:color w:val="auto"/>
              </w:rPr>
              <w:t>2</w:t>
            </w:r>
            <w:r>
              <w:rPr>
                <w:rFonts w:hint="eastAsia"/>
                <w:color w:val="auto"/>
              </w:rPr>
              <w:t>、地形、地貌、地质</w:t>
            </w:r>
          </w:p>
          <w:p>
            <w:pPr>
              <w:pStyle w:val="36"/>
              <w:ind w:firstLine="31680"/>
            </w:pPr>
            <w:r>
              <w:rPr>
                <w:rFonts w:hint="eastAsia"/>
              </w:rPr>
              <w:t>芒市全境是以中、低山山地为主的低纬山原地区，最高</w:t>
            </w:r>
            <w:r>
              <w:fldChar w:fldCharType="begin"/>
            </w:r>
            <w:r>
              <w:instrText xml:space="preserve"> HYPERLINK "http://baike.baidu.com/view/36833.htm" \t "_blank" </w:instrText>
            </w:r>
            <w:r>
              <w:fldChar w:fldCharType="separate"/>
            </w:r>
            <w:r>
              <w:rPr>
                <w:rFonts w:hint="eastAsia"/>
              </w:rPr>
              <w:t>海拔</w:t>
            </w:r>
            <w:r>
              <w:rPr>
                <w:rFonts w:hint="eastAsia"/>
              </w:rPr>
              <w:fldChar w:fldCharType="end"/>
            </w:r>
            <w:r>
              <w:t>2377</w:t>
            </w:r>
            <w:r>
              <w:rPr>
                <w:rFonts w:hint="eastAsia"/>
              </w:rPr>
              <w:t>米（</w:t>
            </w:r>
            <w:r>
              <w:fldChar w:fldCharType="begin"/>
            </w:r>
            <w:r>
              <w:instrText xml:space="preserve"> HYPERLINK "http://baike.baidu.com/view/4132547.htm" \t "_blank" </w:instrText>
            </w:r>
            <w:r>
              <w:fldChar w:fldCharType="separate"/>
            </w:r>
            <w:r>
              <w:rPr>
                <w:rFonts w:hint="eastAsia"/>
              </w:rPr>
              <w:t>背阴山</w:t>
            </w:r>
            <w:r>
              <w:rPr>
                <w:rFonts w:hint="eastAsia"/>
              </w:rPr>
              <w:fldChar w:fldCharType="end"/>
            </w:r>
            <w:r>
              <w:rPr>
                <w:rFonts w:hint="eastAsia"/>
              </w:rPr>
              <w:t>主峰），最低海拔</w:t>
            </w:r>
            <w:r>
              <w:t>807</w:t>
            </w:r>
            <w:r>
              <w:rPr>
                <w:rFonts w:hint="eastAsia"/>
              </w:rPr>
              <w:t>米（广母村）。山地面积占</w:t>
            </w:r>
            <w:r>
              <w:t>89%</w:t>
            </w:r>
            <w:r>
              <w:rPr>
                <w:rFonts w:hint="eastAsia"/>
              </w:rPr>
              <w:t>，盆坝平地河谷占</w:t>
            </w:r>
            <w:r>
              <w:t>11%</w:t>
            </w:r>
            <w:r>
              <w:rPr>
                <w:rFonts w:hint="eastAsia"/>
              </w:rPr>
              <w:t>，海拔</w:t>
            </w:r>
            <w:r>
              <w:t>210.0</w:t>
            </w:r>
            <w:r>
              <w:rPr>
                <w:rFonts w:hint="eastAsia"/>
              </w:rPr>
              <w:t>米至</w:t>
            </w:r>
            <w:r>
              <w:t>3404.6</w:t>
            </w:r>
            <w:r>
              <w:rPr>
                <w:rFonts w:hint="eastAsia"/>
              </w:rPr>
              <w:t>米，山脊线多在海拔</w:t>
            </w:r>
            <w:r>
              <w:t>2000</w:t>
            </w:r>
            <w:r>
              <w:rPr>
                <w:rFonts w:hint="eastAsia"/>
              </w:rPr>
              <w:t>米上下，山体多为东北至西南走向，东北高而峻峭，西南低而宽缓，向西南倾斜展布，河谷与断裂带走向一致，甚至发育在断裂带上。</w:t>
            </w:r>
          </w:p>
          <w:p>
            <w:pPr>
              <w:pStyle w:val="36"/>
              <w:ind w:firstLine="31680"/>
            </w:pPr>
            <w:r>
              <w:rPr>
                <w:rFonts w:hint="eastAsia"/>
              </w:rPr>
              <w:t>芒市海拔高差悬殊很大，山谷、河流、盆谷走向一致，并呈相间平行排列势态，展现了两山夹一峡谷、一条河、一个盆坝的地貌特征。以溶蚀槽谷、溶蚀洼地、漏斗、溶洞、落水洞、溶牙、溶峰等地貌较为显著。</w:t>
            </w:r>
          </w:p>
          <w:p>
            <w:pPr>
              <w:pStyle w:val="36"/>
              <w:ind w:firstLine="31680"/>
            </w:pPr>
            <w:r>
              <w:rPr>
                <w:rFonts w:hint="eastAsia"/>
              </w:rPr>
              <w:t>本项目位于芒市镇大湾村，根据现场勘查，所在地块地势较为平坦。</w:t>
            </w:r>
          </w:p>
          <w:p>
            <w:pPr>
              <w:pStyle w:val="75"/>
              <w:ind w:firstLine="31680"/>
              <w:rPr>
                <w:color w:val="auto"/>
              </w:rPr>
            </w:pPr>
            <w:r>
              <w:rPr>
                <w:color w:val="auto"/>
              </w:rPr>
              <w:t>3</w:t>
            </w:r>
            <w:r>
              <w:rPr>
                <w:rFonts w:hint="eastAsia"/>
                <w:color w:val="auto"/>
              </w:rPr>
              <w:t>、气候、气象</w:t>
            </w:r>
          </w:p>
          <w:p>
            <w:pPr>
              <w:pStyle w:val="36"/>
              <w:ind w:firstLine="31680"/>
            </w:pPr>
            <w:r>
              <w:rPr>
                <w:rFonts w:hint="eastAsia"/>
              </w:rPr>
              <w:t>芒市地处低纬高原，热量丰富，</w:t>
            </w:r>
            <w:r>
              <w:rPr>
                <w:rFonts w:hint="eastAsia"/>
                <w:lang w:eastAsia="zh-CN"/>
              </w:rPr>
              <w:t>气候</w:t>
            </w:r>
            <w:r>
              <w:rPr>
                <w:rFonts w:hint="eastAsia"/>
              </w:rPr>
              <w:t>温和，属南亚热带季风气候，具有夏长冬短、干湿分明、冬无严寒、夏无酷暑，日照时间长、雨量充沛、冬季多雾等特点。年平均气温</w:t>
            </w:r>
            <w:r>
              <w:t>19.6</w:t>
            </w:r>
            <w:r>
              <w:rPr>
                <w:rFonts w:hint="eastAsia" w:cs="宋体"/>
              </w:rPr>
              <w:t>℃</w:t>
            </w:r>
            <w:r>
              <w:rPr>
                <w:rFonts w:hint="eastAsia"/>
              </w:rPr>
              <w:t>，最热月（</w:t>
            </w:r>
            <w:r>
              <w:t>6</w:t>
            </w:r>
            <w:r>
              <w:rPr>
                <w:rFonts w:hint="eastAsia"/>
              </w:rPr>
              <w:t>月）平均气温</w:t>
            </w:r>
            <w:r>
              <w:t>24.1</w:t>
            </w:r>
            <w:r>
              <w:rPr>
                <w:rFonts w:hint="eastAsia" w:cs="宋体"/>
              </w:rPr>
              <w:t>℃</w:t>
            </w:r>
            <w:r>
              <w:rPr>
                <w:rFonts w:hint="eastAsia"/>
              </w:rPr>
              <w:t>，最冷月（</w:t>
            </w:r>
            <w:r>
              <w:t>1</w:t>
            </w:r>
            <w:r>
              <w:rPr>
                <w:rFonts w:hint="eastAsia"/>
              </w:rPr>
              <w:t>月）平均气温</w:t>
            </w:r>
            <w:r>
              <w:t>12.3</w:t>
            </w:r>
            <w:r>
              <w:rPr>
                <w:rFonts w:hint="eastAsia" w:cs="宋体"/>
              </w:rPr>
              <w:t>℃</w:t>
            </w:r>
            <w:r>
              <w:rPr>
                <w:rFonts w:hint="eastAsia"/>
              </w:rPr>
              <w:t>，极端最高气温</w:t>
            </w:r>
            <w:r>
              <w:t>36.2</w:t>
            </w:r>
            <w:r>
              <w:rPr>
                <w:rFonts w:hint="eastAsia" w:cs="宋体"/>
              </w:rPr>
              <w:t>℃</w:t>
            </w:r>
            <w:r>
              <w:rPr>
                <w:rFonts w:hint="eastAsia"/>
              </w:rPr>
              <w:t>，极端最低气温</w:t>
            </w:r>
            <w:r>
              <w:t>-0.6</w:t>
            </w:r>
            <w:r>
              <w:rPr>
                <w:rFonts w:hint="eastAsia" w:cs="宋体"/>
              </w:rPr>
              <w:t>℃</w:t>
            </w:r>
            <w:r>
              <w:rPr>
                <w:rFonts w:hint="eastAsia"/>
              </w:rPr>
              <w:t>（</w:t>
            </w:r>
            <w:r>
              <w:t>1963</w:t>
            </w:r>
            <w:r>
              <w:rPr>
                <w:rFonts w:hint="eastAsia"/>
              </w:rPr>
              <w:t>年</w:t>
            </w:r>
            <w:r>
              <w:t>1</w:t>
            </w:r>
            <w:r>
              <w:rPr>
                <w:rFonts w:hint="eastAsia"/>
              </w:rPr>
              <w:t>月</w:t>
            </w:r>
            <w:r>
              <w:t>5</w:t>
            </w:r>
            <w:r>
              <w:rPr>
                <w:rFonts w:hint="eastAsia"/>
              </w:rPr>
              <w:t>日），年积温</w:t>
            </w:r>
            <w:r>
              <w:t>7170</w:t>
            </w:r>
            <w:r>
              <w:rPr>
                <w:rFonts w:hint="eastAsia" w:cs="宋体"/>
              </w:rPr>
              <w:t>℃</w:t>
            </w:r>
            <w:r>
              <w:rPr>
                <w:rFonts w:hint="eastAsia"/>
              </w:rPr>
              <w:t>。年平均降水量</w:t>
            </w:r>
            <w:r>
              <w:t>1654.6</w:t>
            </w:r>
            <w:r>
              <w:rPr>
                <w:rFonts w:hint="eastAsia"/>
              </w:rPr>
              <w:t>㎜，年最多降水量</w:t>
            </w:r>
            <w:r>
              <w:t>2294.4mm</w:t>
            </w:r>
            <w:r>
              <w:rPr>
                <w:rFonts w:hint="eastAsia"/>
              </w:rPr>
              <w:t>，年最少降水量</w:t>
            </w:r>
            <w:r>
              <w:t>1177.3mm</w:t>
            </w:r>
            <w:r>
              <w:rPr>
                <w:rFonts w:hint="eastAsia"/>
              </w:rPr>
              <w:t>（</w:t>
            </w:r>
            <w:r>
              <w:t>2006</w:t>
            </w:r>
            <w:r>
              <w:rPr>
                <w:rFonts w:hint="eastAsia"/>
              </w:rPr>
              <w:t>年），雨季（</w:t>
            </w:r>
            <w:r>
              <w:t>5</w:t>
            </w:r>
            <w:r>
              <w:rPr>
                <w:rFonts w:hint="eastAsia"/>
              </w:rPr>
              <w:t>～</w:t>
            </w:r>
            <w:r>
              <w:t>10</w:t>
            </w:r>
            <w:r>
              <w:rPr>
                <w:rFonts w:hint="eastAsia"/>
              </w:rPr>
              <w:t>月）降水量占全年降水量的</w:t>
            </w:r>
            <w:r>
              <w:t>89%</w:t>
            </w:r>
            <w:r>
              <w:rPr>
                <w:rFonts w:hint="eastAsia"/>
              </w:rPr>
              <w:t>，年平均降雨日数</w:t>
            </w:r>
            <w:r>
              <w:t>170</w:t>
            </w:r>
            <w:r>
              <w:rPr>
                <w:rFonts w:hint="eastAsia"/>
              </w:rPr>
              <w:t>天，一日最大降水量</w:t>
            </w:r>
            <w:r>
              <w:t>158.3mm</w:t>
            </w:r>
            <w:r>
              <w:rPr>
                <w:rFonts w:hint="eastAsia"/>
              </w:rPr>
              <w:t>。日照时数</w:t>
            </w:r>
            <w:r>
              <w:t>2252.9</w:t>
            </w:r>
            <w:r>
              <w:rPr>
                <w:rFonts w:hint="eastAsia"/>
              </w:rPr>
              <w:t>小时，蒸发量</w:t>
            </w:r>
            <w:r>
              <w:t>1723.6mm</w:t>
            </w:r>
            <w:r>
              <w:rPr>
                <w:rFonts w:hint="eastAsia"/>
              </w:rPr>
              <w:t>，无霜期</w:t>
            </w:r>
            <w:r>
              <w:t>315</w:t>
            </w:r>
            <w:r>
              <w:rPr>
                <w:rFonts w:hint="eastAsia"/>
              </w:rPr>
              <w:t>天，主导风向为西南风，年平均风速为</w:t>
            </w:r>
            <w:r>
              <w:t>0.9m/s</w:t>
            </w:r>
            <w:r>
              <w:rPr>
                <w:rFonts w:hint="eastAsia"/>
              </w:rPr>
              <w:t>。</w:t>
            </w:r>
          </w:p>
          <w:p>
            <w:pPr>
              <w:pStyle w:val="75"/>
              <w:ind w:firstLine="31680"/>
              <w:rPr>
                <w:color w:val="auto"/>
              </w:rPr>
            </w:pPr>
            <w:r>
              <w:rPr>
                <w:color w:val="auto"/>
              </w:rPr>
              <w:t>4</w:t>
            </w:r>
            <w:r>
              <w:rPr>
                <w:rFonts w:hint="eastAsia"/>
                <w:color w:val="auto"/>
              </w:rPr>
              <w:t>、水文、水系</w:t>
            </w:r>
          </w:p>
          <w:p>
            <w:pPr>
              <w:pStyle w:val="36"/>
              <w:ind w:firstLine="31680"/>
            </w:pPr>
            <w:r>
              <w:rPr>
                <w:rFonts w:hint="eastAsia"/>
              </w:rPr>
              <w:t>芒市年平均总产水量</w:t>
            </w:r>
            <w:r>
              <w:t>31.8</w:t>
            </w:r>
            <w:r>
              <w:rPr>
                <w:rFonts w:hint="eastAsia"/>
              </w:rPr>
              <w:t>亿立方米，其中地表水</w:t>
            </w:r>
            <w:r>
              <w:t>23.11</w:t>
            </w:r>
            <w:r>
              <w:rPr>
                <w:rFonts w:hint="eastAsia"/>
              </w:rPr>
              <w:t>亿立方米，地下水</w:t>
            </w:r>
            <w:r>
              <w:t>8.69</w:t>
            </w:r>
            <w:r>
              <w:rPr>
                <w:rFonts w:hint="eastAsia"/>
              </w:rPr>
              <w:t>亿立方米。根据现场勘查，本项目属于芒市大河汇水范围，芒市大河位于本项目西侧</w:t>
            </w:r>
            <w:r>
              <w:t>80m</w:t>
            </w:r>
            <w:r>
              <w:rPr>
                <w:rFonts w:hint="eastAsia"/>
              </w:rPr>
              <w:t>处。芒市大河为瑞丽江一支流，属伊洛瓦底江水系，发源于龙陵县金竹村北部诸山溪，从大山田进入潞西市境内，入境海拔</w:t>
            </w:r>
            <w:r>
              <w:t>1300</w:t>
            </w:r>
            <w:r>
              <w:rPr>
                <w:rFonts w:hint="eastAsia"/>
              </w:rPr>
              <w:t>米，之帕连进入芒市盆底首部，沿北东至南西流经遮告、芒黑、弄相、风平、芒波、帕底、允门，纵穿芒市坝，而后进入三台山峡谷，至遮放镇芒里寨出谷进入遮放盆底，纵贯盆地内的团结、户信、芒瓦、东相、至南蚌西注入龙江，汇口海拔</w:t>
            </w:r>
            <w:r>
              <w:t>783</w:t>
            </w:r>
            <w:r>
              <w:rPr>
                <w:rFonts w:hint="eastAsia"/>
              </w:rPr>
              <w:t>米。芒市河径流面积</w:t>
            </w:r>
            <w:r>
              <w:t>1830.5</w:t>
            </w:r>
            <w:r>
              <w:rPr>
                <w:rFonts w:hint="eastAsia"/>
              </w:rPr>
              <w:t>平方公里，主河长</w:t>
            </w:r>
            <w:r>
              <w:t>102.1</w:t>
            </w:r>
            <w:r>
              <w:rPr>
                <w:rFonts w:hint="eastAsia"/>
              </w:rPr>
              <w:t>千米，河道平均坡度</w:t>
            </w:r>
            <w:r>
              <w:t>11‰</w:t>
            </w:r>
            <w:r>
              <w:rPr>
                <w:rFonts w:hint="eastAsia"/>
              </w:rPr>
              <w:t>，多年平均径流量</w:t>
            </w:r>
            <w:r>
              <w:t>20.6</w:t>
            </w:r>
            <w:r>
              <w:rPr>
                <w:rFonts w:hint="eastAsia"/>
              </w:rPr>
              <w:t>亿立方米，水能理论蕴藏量</w:t>
            </w:r>
            <w:r>
              <w:t>35.34</w:t>
            </w:r>
            <w:r>
              <w:rPr>
                <w:rFonts w:hint="eastAsia"/>
              </w:rPr>
              <w:t>万千瓦。</w:t>
            </w:r>
          </w:p>
          <w:p>
            <w:pPr>
              <w:pStyle w:val="36"/>
              <w:ind w:firstLine="31680"/>
            </w:pPr>
            <w:r>
              <w:rPr>
                <w:rFonts w:hint="eastAsia"/>
              </w:rPr>
              <w:t>项目区水系详见附图</w:t>
            </w:r>
            <w:r>
              <w:t>4</w:t>
            </w:r>
            <w:r>
              <w:rPr>
                <w:rFonts w:hint="eastAsia"/>
              </w:rPr>
              <w:t>。</w:t>
            </w:r>
          </w:p>
          <w:p>
            <w:pPr>
              <w:pStyle w:val="75"/>
              <w:ind w:firstLine="31680"/>
              <w:rPr>
                <w:color w:val="auto"/>
              </w:rPr>
            </w:pPr>
            <w:r>
              <w:rPr>
                <w:color w:val="auto"/>
              </w:rPr>
              <w:t>5</w:t>
            </w:r>
            <w:r>
              <w:rPr>
                <w:rFonts w:hint="eastAsia"/>
                <w:color w:val="auto"/>
              </w:rPr>
              <w:t>、植被、生物多样性</w:t>
            </w:r>
          </w:p>
          <w:p>
            <w:pPr>
              <w:pStyle w:val="36"/>
              <w:ind w:firstLine="31680"/>
            </w:pPr>
            <w:r>
              <w:rPr>
                <w:rFonts w:hint="eastAsia"/>
              </w:rPr>
              <w:t>芒市植被类型为南亚热带雨林、季雨林植被类型，主要树种有高山榕、对叶榕、楹树、木乃果、酸枣、铁刀木、大叶藤黄、窄叶、红椿、羊蹄甲、攀枝花、木荷、桦木、椿木等。</w:t>
            </w:r>
          </w:p>
          <w:p>
            <w:pPr>
              <w:pStyle w:val="36"/>
              <w:ind w:firstLine="31680"/>
            </w:pPr>
            <w:r>
              <w:rPr>
                <w:rFonts w:hint="eastAsia"/>
              </w:rPr>
              <w:t>芒市野生动物主要为当地常见种，缺乏大型兽类及鸟类，以小型哺乳动物、常见鸟类为主，小型哺乳动物主要为啮齿类动物，如松鼠、家鼠、草兔等，鸟类主要有麻雀、乌鸦、燕子、斑鸠等。</w:t>
            </w:r>
          </w:p>
          <w:p>
            <w:pPr>
              <w:ind w:firstLine="0" w:firstLineChars="0"/>
            </w:pPr>
            <w:r>
              <w:rPr>
                <w:rFonts w:hint="eastAsia"/>
              </w:rPr>
              <w:t>项目所在地受人类活动影响，原生植被已经不复存在，以杂草、人工植被为主，动物主要为家鼠等，项目区范围内未发现珍稀濒危保护动物和地方特有种。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9570" w:type="dxa"/>
          </w:tcPr>
          <w:p>
            <w:pPr>
              <w:ind w:firstLine="0" w:firstLineChars="0"/>
              <w:jc w:val="left"/>
              <w:rPr>
                <w:b/>
                <w:bCs/>
                <w:sz w:val="28"/>
              </w:rPr>
            </w:pPr>
            <w:r>
              <w:rPr>
                <w:rFonts w:hint="eastAsia"/>
                <w:b/>
                <w:bCs/>
                <w:sz w:val="28"/>
              </w:rPr>
              <w:t>社会环境简况</w:t>
            </w:r>
            <w:r>
              <w:rPr>
                <w:b/>
                <w:bCs/>
                <w:sz w:val="28"/>
              </w:rPr>
              <w:t>(</w:t>
            </w:r>
            <w:r>
              <w:rPr>
                <w:rFonts w:hint="eastAsia"/>
                <w:b/>
                <w:bCs/>
                <w:sz w:val="28"/>
              </w:rPr>
              <w:t>社会经济结构、教育、文化、文物保护等</w:t>
            </w:r>
            <w:r>
              <w:rPr>
                <w:b/>
                <w:bCs/>
                <w:sz w:val="28"/>
              </w:rPr>
              <w:t>)</w:t>
            </w:r>
            <w:r>
              <w:rPr>
                <w:rFonts w:hint="eastAsia"/>
                <w:b/>
                <w:bCs/>
                <w:sz w:val="28"/>
              </w:rPr>
              <w:t>：</w:t>
            </w:r>
          </w:p>
          <w:p>
            <w:pPr>
              <w:pStyle w:val="75"/>
              <w:ind w:firstLine="31680"/>
              <w:rPr>
                <w:color w:val="auto"/>
              </w:rPr>
            </w:pPr>
            <w:r>
              <w:rPr>
                <w:color w:val="auto"/>
              </w:rPr>
              <w:t>1</w:t>
            </w:r>
            <w:r>
              <w:rPr>
                <w:rFonts w:hint="eastAsia"/>
                <w:color w:val="auto"/>
              </w:rPr>
              <w:t>、行政区划</w:t>
            </w:r>
          </w:p>
          <w:p>
            <w:pPr>
              <w:pStyle w:val="36"/>
              <w:ind w:firstLine="31680"/>
            </w:pPr>
            <w:r>
              <w:rPr>
                <w:rFonts w:hint="eastAsia"/>
              </w:rPr>
              <w:t>芒市辖勐焕街道，芒市镇、遮放镇、勐戛镇、芒海镇、风平镇；轩岗乡、江东乡、西山乡、中山乡、五岔路乡和三台山德昂族乡。共</w:t>
            </w:r>
            <w:r>
              <w:t>80</w:t>
            </w:r>
            <w:r>
              <w:rPr>
                <w:rFonts w:hint="eastAsia"/>
              </w:rPr>
              <w:t>个村民委员会，</w:t>
            </w:r>
            <w:r>
              <w:t>13</w:t>
            </w:r>
            <w:r>
              <w:rPr>
                <w:rFonts w:hint="eastAsia"/>
              </w:rPr>
              <w:t>个社区居民会，</w:t>
            </w:r>
            <w:r>
              <w:t>719</w:t>
            </w:r>
            <w:r>
              <w:rPr>
                <w:rFonts w:hint="eastAsia"/>
              </w:rPr>
              <w:t>个自然村，</w:t>
            </w:r>
            <w:r>
              <w:t>1008</w:t>
            </w:r>
            <w:r>
              <w:rPr>
                <w:rFonts w:hint="eastAsia"/>
              </w:rPr>
              <w:t>个村（居）民小组。</w:t>
            </w:r>
          </w:p>
          <w:p>
            <w:pPr>
              <w:pStyle w:val="36"/>
              <w:ind w:firstLine="31680"/>
            </w:pPr>
            <w:r>
              <w:rPr>
                <w:rFonts w:hint="eastAsia"/>
              </w:rPr>
              <w:t>芒市镇辖区总面积</w:t>
            </w:r>
            <w:r>
              <w:t>359</w:t>
            </w:r>
            <w:r>
              <w:rPr>
                <w:rFonts w:hint="eastAsia"/>
              </w:rPr>
              <w:t>平方公里，属山坝、城乡结合乡镇，辖</w:t>
            </w:r>
            <w:r>
              <w:t>10</w:t>
            </w:r>
            <w:r>
              <w:rPr>
                <w:rFonts w:hint="eastAsia"/>
              </w:rPr>
              <w:t>个村民委员会（</w:t>
            </w:r>
            <w:r>
              <w:t>4</w:t>
            </w:r>
            <w:r>
              <w:rPr>
                <w:rFonts w:hint="eastAsia"/>
              </w:rPr>
              <w:t>个坝区村委会：大湾、拉怀、芒核、松树寨，</w:t>
            </w:r>
            <w:r>
              <w:t>6</w:t>
            </w:r>
            <w:r>
              <w:rPr>
                <w:rFonts w:hint="eastAsia"/>
              </w:rPr>
              <w:t>个山区村委会：回贤、中东、下东、云茂、河心场、象滚塘），</w:t>
            </w:r>
            <w:r>
              <w:t>133</w:t>
            </w:r>
            <w:r>
              <w:rPr>
                <w:rFonts w:hint="eastAsia"/>
              </w:rPr>
              <w:t>个自然村，</w:t>
            </w:r>
            <w:r>
              <w:t>181</w:t>
            </w:r>
            <w:r>
              <w:rPr>
                <w:rFonts w:hint="eastAsia"/>
              </w:rPr>
              <w:t>个村民小组。</w:t>
            </w:r>
          </w:p>
          <w:p>
            <w:pPr>
              <w:pStyle w:val="36"/>
              <w:ind w:firstLine="31680"/>
            </w:pPr>
            <w:r>
              <w:rPr>
                <w:rFonts w:hint="eastAsia"/>
              </w:rPr>
              <w:t>项目所在地为芒市镇大湾村。</w:t>
            </w:r>
          </w:p>
          <w:p>
            <w:pPr>
              <w:pStyle w:val="75"/>
              <w:ind w:firstLine="31680"/>
              <w:rPr>
                <w:color w:val="auto"/>
              </w:rPr>
            </w:pPr>
            <w:r>
              <w:rPr>
                <w:color w:val="auto"/>
              </w:rPr>
              <w:t>2</w:t>
            </w:r>
            <w:r>
              <w:rPr>
                <w:rFonts w:hint="eastAsia"/>
                <w:color w:val="auto"/>
              </w:rPr>
              <w:t>、经济概况</w:t>
            </w:r>
          </w:p>
          <w:p>
            <w:pPr>
              <w:pStyle w:val="36"/>
              <w:ind w:firstLine="31680"/>
            </w:pPr>
            <w:r>
              <w:rPr>
                <w:rFonts w:hint="eastAsia"/>
              </w:rPr>
              <w:t>芒市</w:t>
            </w:r>
            <w:r>
              <w:t>2014</w:t>
            </w:r>
            <w:r>
              <w:rPr>
                <w:rFonts w:hint="eastAsia"/>
              </w:rPr>
              <w:t>年全市实现生产总值</w:t>
            </w:r>
            <w:r>
              <w:t>72.7</w:t>
            </w:r>
            <w:r>
              <w:rPr>
                <w:rFonts w:hint="eastAsia"/>
              </w:rPr>
              <w:t>亿元，同比增长</w:t>
            </w:r>
            <w:r>
              <w:t>12%</w:t>
            </w:r>
            <w:r>
              <w:rPr>
                <w:rFonts w:hint="eastAsia"/>
              </w:rPr>
              <w:t>，财政总收入</w:t>
            </w:r>
            <w:r>
              <w:t>11.5</w:t>
            </w:r>
            <w:r>
              <w:rPr>
                <w:rFonts w:hint="eastAsia"/>
              </w:rPr>
              <w:t>亿元，增长</w:t>
            </w:r>
            <w:r>
              <w:t>13.6%</w:t>
            </w:r>
            <w:r>
              <w:rPr>
                <w:rFonts w:hint="eastAsia"/>
              </w:rPr>
              <w:t>，其中公共财政预算收入</w:t>
            </w:r>
            <w:r>
              <w:t>7</w:t>
            </w:r>
            <w:r>
              <w:rPr>
                <w:rFonts w:hint="eastAsia"/>
              </w:rPr>
              <w:t>亿元，增长</w:t>
            </w:r>
            <w:r>
              <w:t>24.1%</w:t>
            </w:r>
            <w:r>
              <w:rPr>
                <w:rFonts w:hint="eastAsia"/>
              </w:rPr>
              <w:t>；全社会固定资产投资</w:t>
            </w:r>
            <w:r>
              <w:t>82.2</w:t>
            </w:r>
            <w:r>
              <w:rPr>
                <w:rFonts w:hint="eastAsia"/>
              </w:rPr>
              <w:t>亿元，增长</w:t>
            </w:r>
            <w:r>
              <w:t>39.2%</w:t>
            </w:r>
            <w:r>
              <w:rPr>
                <w:rFonts w:hint="eastAsia"/>
              </w:rPr>
              <w:t>；社会消费品零售总额</w:t>
            </w:r>
            <w:r>
              <w:t>31</w:t>
            </w:r>
            <w:r>
              <w:rPr>
                <w:rFonts w:hint="eastAsia"/>
              </w:rPr>
              <w:t>亿元，增长</w:t>
            </w:r>
            <w:r>
              <w:t>17%</w:t>
            </w:r>
            <w:r>
              <w:rPr>
                <w:rFonts w:hint="eastAsia"/>
              </w:rPr>
              <w:t>；外贸进出口总额</w:t>
            </w:r>
            <w:r>
              <w:t>30.4</w:t>
            </w:r>
            <w:r>
              <w:rPr>
                <w:rFonts w:hint="eastAsia"/>
              </w:rPr>
              <w:t>亿元，增长</w:t>
            </w:r>
            <w:r>
              <w:t>40.1%</w:t>
            </w:r>
            <w:r>
              <w:rPr>
                <w:rFonts w:hint="eastAsia"/>
              </w:rPr>
              <w:t>；城镇居民人均可支配收入</w:t>
            </w:r>
            <w:r>
              <w:t>20057</w:t>
            </w:r>
            <w:r>
              <w:rPr>
                <w:rFonts w:hint="eastAsia"/>
              </w:rPr>
              <w:t>元，增长</w:t>
            </w:r>
            <w:r>
              <w:t>11%</w:t>
            </w:r>
            <w:r>
              <w:rPr>
                <w:rFonts w:hint="eastAsia"/>
              </w:rPr>
              <w:t>；农村居民人均纯收入</w:t>
            </w:r>
            <w:r>
              <w:t>5755</w:t>
            </w:r>
            <w:r>
              <w:rPr>
                <w:rFonts w:hint="eastAsia"/>
              </w:rPr>
              <w:t>元，增长</w:t>
            </w:r>
            <w:r>
              <w:t>18%</w:t>
            </w:r>
            <w:r>
              <w:rPr>
                <w:rFonts w:hint="eastAsia"/>
              </w:rPr>
              <w:t>；万元生产总值能耗下降</w:t>
            </w:r>
            <w:r>
              <w:t>2.3%</w:t>
            </w:r>
            <w:r>
              <w:rPr>
                <w:rFonts w:hint="eastAsia"/>
              </w:rPr>
              <w:t>。</w:t>
            </w:r>
          </w:p>
          <w:p>
            <w:pPr>
              <w:pStyle w:val="36"/>
              <w:ind w:firstLine="31680"/>
            </w:pPr>
            <w:r>
              <w:rPr>
                <w:rFonts w:hint="eastAsia"/>
              </w:rPr>
              <w:t>芒市镇</w:t>
            </w:r>
            <w:r>
              <w:t>2014</w:t>
            </w:r>
            <w:r>
              <w:rPr>
                <w:rFonts w:hint="eastAsia"/>
              </w:rPr>
              <w:t>年完成公共财政预算收入</w:t>
            </w:r>
            <w:r>
              <w:t>4935.51</w:t>
            </w:r>
            <w:r>
              <w:rPr>
                <w:rFonts w:hint="eastAsia"/>
              </w:rPr>
              <w:t>万元，同比增长</w:t>
            </w:r>
            <w:r>
              <w:t>31.55%</w:t>
            </w:r>
            <w:r>
              <w:rPr>
                <w:rFonts w:hint="eastAsia"/>
              </w:rPr>
              <w:t>；实现农村经济总收入</w:t>
            </w:r>
            <w:r>
              <w:t>91658</w:t>
            </w:r>
            <w:r>
              <w:rPr>
                <w:rFonts w:hint="eastAsia"/>
              </w:rPr>
              <w:t>万元，同比增长</w:t>
            </w:r>
            <w:r>
              <w:t>29%</w:t>
            </w:r>
            <w:r>
              <w:rPr>
                <w:rFonts w:hint="eastAsia"/>
              </w:rPr>
              <w:t>；农民人均纯收入</w:t>
            </w:r>
            <w:r>
              <w:t>6980</w:t>
            </w:r>
            <w:r>
              <w:rPr>
                <w:rFonts w:hint="eastAsia"/>
              </w:rPr>
              <w:t>元，同比增长</w:t>
            </w:r>
            <w:r>
              <w:t>17.4%</w:t>
            </w:r>
            <w:r>
              <w:rPr>
                <w:rFonts w:hint="eastAsia"/>
              </w:rPr>
              <w:t>。</w:t>
            </w:r>
          </w:p>
          <w:p>
            <w:pPr>
              <w:pStyle w:val="75"/>
              <w:ind w:firstLine="31680"/>
              <w:rPr>
                <w:color w:val="auto"/>
              </w:rPr>
            </w:pPr>
            <w:r>
              <w:rPr>
                <w:color w:val="auto"/>
              </w:rPr>
              <w:t>3</w:t>
            </w:r>
            <w:r>
              <w:rPr>
                <w:rFonts w:hint="eastAsia"/>
                <w:color w:val="auto"/>
              </w:rPr>
              <w:t>、教育、文化</w:t>
            </w:r>
          </w:p>
          <w:p>
            <w:pPr>
              <w:pStyle w:val="36"/>
              <w:ind w:firstLine="31680"/>
            </w:pPr>
            <w:r>
              <w:t>2014</w:t>
            </w:r>
            <w:r>
              <w:rPr>
                <w:rFonts w:hint="eastAsia"/>
              </w:rPr>
              <w:t>年，芒市共有各级各类学校</w:t>
            </w:r>
            <w:r>
              <w:t>141</w:t>
            </w:r>
            <w:r>
              <w:rPr>
                <w:rFonts w:hint="eastAsia"/>
              </w:rPr>
              <w:t>所，其中幼儿园</w:t>
            </w:r>
            <w:r>
              <w:t>22</w:t>
            </w:r>
            <w:r>
              <w:rPr>
                <w:rFonts w:hint="eastAsia"/>
              </w:rPr>
              <w:t>所（含私立</w:t>
            </w:r>
            <w:r>
              <w:t>6</w:t>
            </w:r>
            <w:r>
              <w:rPr>
                <w:rFonts w:hint="eastAsia"/>
              </w:rPr>
              <w:t>所）；小学</w:t>
            </w:r>
            <w:r>
              <w:t>100</w:t>
            </w:r>
            <w:r>
              <w:rPr>
                <w:rFonts w:hint="eastAsia"/>
              </w:rPr>
              <w:t>所，其中</w:t>
            </w:r>
            <w:r>
              <w:t>69</w:t>
            </w:r>
            <w:r>
              <w:rPr>
                <w:rFonts w:hint="eastAsia"/>
              </w:rPr>
              <w:t>所完小，</w:t>
            </w:r>
            <w:r>
              <w:t>31</w:t>
            </w:r>
            <w:r>
              <w:rPr>
                <w:rFonts w:hint="eastAsia"/>
              </w:rPr>
              <w:t>个教学点；普通中学</w:t>
            </w:r>
            <w:r>
              <w:t>15</w:t>
            </w:r>
            <w:r>
              <w:rPr>
                <w:rFonts w:hint="eastAsia"/>
              </w:rPr>
              <w:t>所，其中高级中学</w:t>
            </w:r>
            <w:r>
              <w:t>1</w:t>
            </w:r>
            <w:r>
              <w:rPr>
                <w:rFonts w:hint="eastAsia"/>
              </w:rPr>
              <w:t>所，初级中学</w:t>
            </w:r>
            <w:r>
              <w:t>12</w:t>
            </w:r>
            <w:r>
              <w:rPr>
                <w:rFonts w:hint="eastAsia"/>
              </w:rPr>
              <w:t>所，九年制学校初中部</w:t>
            </w:r>
            <w:r>
              <w:t>2</w:t>
            </w:r>
            <w:r>
              <w:rPr>
                <w:rFonts w:hint="eastAsia"/>
              </w:rPr>
              <w:t>所；职业高中</w:t>
            </w:r>
            <w:r>
              <w:t>1</w:t>
            </w:r>
            <w:r>
              <w:rPr>
                <w:rFonts w:hint="eastAsia"/>
              </w:rPr>
              <w:t>所；教育科研中心</w:t>
            </w:r>
            <w:r>
              <w:t>1</w:t>
            </w:r>
            <w:r>
              <w:rPr>
                <w:rFonts w:hint="eastAsia"/>
              </w:rPr>
              <w:t>所，独立建制的成人文化技术学校</w:t>
            </w:r>
            <w:r>
              <w:t>1</w:t>
            </w:r>
            <w:r>
              <w:rPr>
                <w:rFonts w:hint="eastAsia"/>
              </w:rPr>
              <w:t>所；青少年活动中心</w:t>
            </w:r>
            <w:r>
              <w:t>1</w:t>
            </w:r>
            <w:r>
              <w:rPr>
                <w:rFonts w:hint="eastAsia"/>
              </w:rPr>
              <w:t>个。全市现有教职工</w:t>
            </w:r>
            <w:r>
              <w:t>3909</w:t>
            </w:r>
            <w:r>
              <w:rPr>
                <w:rFonts w:hint="eastAsia"/>
              </w:rPr>
              <w:t>人；在校生</w:t>
            </w:r>
            <w:r>
              <w:t>64432</w:t>
            </w:r>
            <w:r>
              <w:rPr>
                <w:rFonts w:hint="eastAsia"/>
              </w:rPr>
              <w:t>人；其中：幼儿园（班）</w:t>
            </w:r>
            <w:r>
              <w:t>10779</w:t>
            </w:r>
            <w:r>
              <w:rPr>
                <w:rFonts w:hint="eastAsia"/>
              </w:rPr>
              <w:t>人，小学在校生</w:t>
            </w:r>
            <w:r>
              <w:t>32199</w:t>
            </w:r>
            <w:r>
              <w:rPr>
                <w:rFonts w:hint="eastAsia"/>
              </w:rPr>
              <w:t>人，初中在校生</w:t>
            </w:r>
            <w:r>
              <w:t>16002</w:t>
            </w:r>
            <w:r>
              <w:rPr>
                <w:rFonts w:hint="eastAsia"/>
              </w:rPr>
              <w:t>人，普通高中在校生</w:t>
            </w:r>
            <w:r>
              <w:t>2269</w:t>
            </w:r>
            <w:r>
              <w:rPr>
                <w:rFonts w:hint="eastAsia"/>
              </w:rPr>
              <w:t>人，职业高中在校生</w:t>
            </w:r>
            <w:r>
              <w:t>3183</w:t>
            </w:r>
            <w:r>
              <w:rPr>
                <w:rFonts w:hint="eastAsia"/>
              </w:rPr>
              <w:t>人。小学适龄儿童入学率达</w:t>
            </w:r>
            <w:r>
              <w:t>99.78%</w:t>
            </w:r>
            <w:r>
              <w:rPr>
                <w:rFonts w:hint="eastAsia"/>
              </w:rPr>
              <w:t>，小学辍学率控制在</w:t>
            </w:r>
            <w:r>
              <w:t>0.11%</w:t>
            </w:r>
            <w:r>
              <w:rPr>
                <w:rFonts w:hint="eastAsia"/>
              </w:rPr>
              <w:t>，初中阶段毛入学率达</w:t>
            </w:r>
            <w:r>
              <w:t>104.92%</w:t>
            </w:r>
            <w:r>
              <w:rPr>
                <w:rFonts w:hint="eastAsia"/>
              </w:rPr>
              <w:t>，初中辍学率控制在</w:t>
            </w:r>
            <w:r>
              <w:t>0.92%</w:t>
            </w:r>
            <w:r>
              <w:rPr>
                <w:rFonts w:hint="eastAsia"/>
              </w:rPr>
              <w:t>。</w:t>
            </w:r>
          </w:p>
          <w:p>
            <w:pPr>
              <w:pStyle w:val="36"/>
              <w:ind w:firstLine="31680"/>
            </w:pPr>
            <w:r>
              <w:rPr>
                <w:rFonts w:hint="eastAsia"/>
              </w:rPr>
              <w:t>芒市镇共有</w:t>
            </w:r>
            <w:r>
              <w:t>45</w:t>
            </w:r>
            <w:r>
              <w:rPr>
                <w:rFonts w:hint="eastAsia"/>
              </w:rPr>
              <w:t>所学校，其中完小</w:t>
            </w:r>
            <w:r>
              <w:t>23</w:t>
            </w:r>
            <w:r>
              <w:rPr>
                <w:rFonts w:hint="eastAsia"/>
              </w:rPr>
              <w:t>所，中学</w:t>
            </w:r>
            <w:r>
              <w:t>5</w:t>
            </w:r>
            <w:r>
              <w:rPr>
                <w:rFonts w:hint="eastAsia"/>
              </w:rPr>
              <w:t>所，教学点</w:t>
            </w:r>
            <w:r>
              <w:t>10</w:t>
            </w:r>
            <w:r>
              <w:rPr>
                <w:rFonts w:hint="eastAsia"/>
              </w:rPr>
              <w:t>个，在校学生</w:t>
            </w:r>
            <w:r>
              <w:t>5320</w:t>
            </w:r>
            <w:r>
              <w:rPr>
                <w:rFonts w:hint="eastAsia"/>
              </w:rPr>
              <w:t>人，</w:t>
            </w:r>
            <w:r>
              <w:t>177</w:t>
            </w:r>
            <w:r>
              <w:rPr>
                <w:rFonts w:hint="eastAsia"/>
              </w:rPr>
              <w:t>个教学班；学前班学生</w:t>
            </w:r>
            <w:r>
              <w:t>674</w:t>
            </w:r>
            <w:r>
              <w:rPr>
                <w:rFonts w:hint="eastAsia"/>
              </w:rPr>
              <w:t>人，</w:t>
            </w:r>
            <w:r>
              <w:t>21</w:t>
            </w:r>
            <w:r>
              <w:rPr>
                <w:rFonts w:hint="eastAsia"/>
              </w:rPr>
              <w:t>个班；有幼儿园两所，在园幼儿</w:t>
            </w:r>
            <w:r>
              <w:t>317</w:t>
            </w:r>
            <w:r>
              <w:rPr>
                <w:rFonts w:hint="eastAsia"/>
              </w:rPr>
              <w:t>人，</w:t>
            </w:r>
            <w:r>
              <w:t>10</w:t>
            </w:r>
            <w:r>
              <w:rPr>
                <w:rFonts w:hint="eastAsia"/>
              </w:rPr>
              <w:t>个班；有初级中学两所，在校学生</w:t>
            </w:r>
            <w:r>
              <w:t>2245</w:t>
            </w:r>
            <w:r>
              <w:rPr>
                <w:rFonts w:hint="eastAsia"/>
              </w:rPr>
              <w:t>人，</w:t>
            </w:r>
            <w:r>
              <w:t>44</w:t>
            </w:r>
            <w:r>
              <w:rPr>
                <w:rFonts w:hint="eastAsia"/>
              </w:rPr>
              <w:t>个教学班。</w:t>
            </w:r>
          </w:p>
          <w:p>
            <w:pPr>
              <w:pStyle w:val="75"/>
              <w:ind w:firstLine="31680"/>
              <w:rPr>
                <w:color w:val="auto"/>
              </w:rPr>
            </w:pPr>
            <w:r>
              <w:rPr>
                <w:color w:val="auto"/>
              </w:rPr>
              <w:t>4</w:t>
            </w:r>
            <w:r>
              <w:rPr>
                <w:rFonts w:hint="eastAsia"/>
                <w:color w:val="auto"/>
              </w:rPr>
              <w:t>、文物保护</w:t>
            </w:r>
          </w:p>
          <w:p>
            <w:pPr>
              <w:pStyle w:val="36"/>
              <w:ind w:firstLine="31680"/>
            </w:pPr>
            <w:r>
              <w:rPr>
                <w:rFonts w:hint="eastAsia"/>
              </w:rPr>
              <w:t>芒市文物单位主要为芒市小礼堂、遮放毛主席请示牌、邦外佛爷墓群、滇缅公路南天门段等单位。</w:t>
            </w:r>
          </w:p>
          <w:p>
            <w:pPr>
              <w:pStyle w:val="36"/>
              <w:ind w:firstLine="31680"/>
            </w:pPr>
            <w:r>
              <w:rPr>
                <w:rFonts w:hint="eastAsia"/>
              </w:rPr>
              <w:t>本项目位于芒市镇大湾村，经现场调查项目区内未发现文物，且项目占地不涉及国务院、国家有关部门、省（自治区、直辖市）人民政府、市（州）人民政府、县（区、市）人民政府规定的生态保护区、自然保护区、风景名胜区、文化遗产保护区、水源保护区，项目区周围</w:t>
            </w:r>
            <w:r>
              <w:t>200m</w:t>
            </w:r>
            <w:r>
              <w:rPr>
                <w:rFonts w:hint="eastAsia"/>
              </w:rPr>
              <w:t>的范围区内无国家规定的保护动植物。</w:t>
            </w:r>
          </w:p>
        </w:tc>
      </w:tr>
    </w:tbl>
    <w:p>
      <w:pPr>
        <w:pStyle w:val="2"/>
      </w:pPr>
      <w:r>
        <w:rPr>
          <w:rFonts w:hint="eastAsia"/>
        </w:rPr>
        <w:t>表三、环境质量状况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pPr>
              <w:ind w:firstLine="0" w:firstLineChars="0"/>
              <w:rPr>
                <w:b/>
                <w:bCs/>
                <w:sz w:val="28"/>
              </w:rPr>
            </w:pPr>
            <w:r>
              <w:rPr>
                <w:rFonts w:hint="eastAsia"/>
                <w:b/>
                <w:bCs/>
                <w:sz w:val="28"/>
              </w:rPr>
              <w:t>建设项目所在区域环境质量现状及主要环境问题（环境空气、地表水、地下水、声环境、生态环境等）：</w:t>
            </w:r>
          </w:p>
          <w:p>
            <w:pPr>
              <w:pStyle w:val="75"/>
              <w:ind w:firstLine="31680"/>
              <w:rPr>
                <w:color w:val="auto"/>
              </w:rPr>
            </w:pPr>
            <w:r>
              <w:rPr>
                <w:color w:val="auto"/>
              </w:rPr>
              <w:t>1</w:t>
            </w:r>
            <w:r>
              <w:rPr>
                <w:rFonts w:hint="eastAsia"/>
                <w:color w:val="auto"/>
              </w:rPr>
              <w:t>、环境空气质量现状</w:t>
            </w:r>
          </w:p>
          <w:p>
            <w:pPr>
              <w:pStyle w:val="36"/>
              <w:ind w:firstLine="31680"/>
            </w:pPr>
            <w:r>
              <w:rPr>
                <w:rFonts w:hint="eastAsia"/>
              </w:rPr>
              <w:t>本项目位于芒市镇大湾村，项目所在地无重大污染源，环境空气质量功能区划为二类区，执行《环境空气质量标准》（</w:t>
            </w:r>
            <w:r>
              <w:t>GB3095-2012</w:t>
            </w:r>
            <w:r>
              <w:rPr>
                <w:rFonts w:hint="eastAsia"/>
              </w:rPr>
              <w:t>）二级标准。</w:t>
            </w:r>
          </w:p>
          <w:p>
            <w:pPr>
              <w:pStyle w:val="36"/>
              <w:ind w:firstLine="31680"/>
            </w:pPr>
            <w:r>
              <w:rPr>
                <w:rFonts w:hint="eastAsia"/>
              </w:rPr>
              <w:t>根据《德宏州</w:t>
            </w:r>
            <w:r>
              <w:t>2014</w:t>
            </w:r>
            <w:r>
              <w:rPr>
                <w:rFonts w:hint="eastAsia"/>
              </w:rPr>
              <w:t>年环境质量公报》，芒市采用自动监测系统进行监测，空气质量监测有效天数</w:t>
            </w:r>
            <w:r>
              <w:t>357</w:t>
            </w:r>
            <w:r>
              <w:rPr>
                <w:rFonts w:hint="eastAsia"/>
              </w:rPr>
              <w:t>天，空气质量为优的天数</w:t>
            </w:r>
            <w:r>
              <w:t>187</w:t>
            </w:r>
            <w:r>
              <w:rPr>
                <w:rFonts w:hint="eastAsia"/>
              </w:rPr>
              <w:t>天，比上年多</w:t>
            </w:r>
            <w:r>
              <w:t>32</w:t>
            </w:r>
            <w:r>
              <w:rPr>
                <w:rFonts w:hint="eastAsia"/>
              </w:rPr>
              <w:t>天；环境空气质量为良的天数</w:t>
            </w:r>
            <w:r>
              <w:t>166</w:t>
            </w:r>
            <w:r>
              <w:rPr>
                <w:rFonts w:hint="eastAsia"/>
              </w:rPr>
              <w:t>天，比上年少</w:t>
            </w:r>
            <w:r>
              <w:t>28</w:t>
            </w:r>
            <w:r>
              <w:rPr>
                <w:rFonts w:hint="eastAsia"/>
              </w:rPr>
              <w:t>天；轻微污染天数为</w:t>
            </w:r>
            <w:r>
              <w:t>4</w:t>
            </w:r>
            <w:r>
              <w:rPr>
                <w:rFonts w:hint="eastAsia"/>
              </w:rPr>
              <w:t>天，比上年多</w:t>
            </w:r>
            <w:r>
              <w:t>3</w:t>
            </w:r>
            <w:r>
              <w:rPr>
                <w:rFonts w:hint="eastAsia"/>
              </w:rPr>
              <w:t>天，无轻度污染和重度污染天数。环境空气质量优良率为</w:t>
            </w:r>
            <w:r>
              <w:t>98.9%</w:t>
            </w:r>
            <w:r>
              <w:rPr>
                <w:rFonts w:hint="eastAsia"/>
              </w:rPr>
              <w:t>，比上年下降了</w:t>
            </w:r>
            <w:r>
              <w:t>0.8%</w:t>
            </w:r>
            <w:r>
              <w:rPr>
                <w:rFonts w:hint="eastAsia"/>
              </w:rPr>
              <w:t>，影响空气质量的主要污染物为可吸入颗粒物。芒市城区空气质量年均浓度值符合《环境空气质量标准》</w:t>
            </w:r>
            <w:r>
              <w:t>(GB3095-1996)</w:t>
            </w:r>
            <w:r>
              <w:rPr>
                <w:rFonts w:hint="eastAsia"/>
              </w:rPr>
              <w:t>二级标准，其中二氧化硫和二氧化氮年均浓度值达一级标准。</w:t>
            </w:r>
          </w:p>
          <w:p>
            <w:pPr>
              <w:ind w:firstLine="31680"/>
              <w:rPr>
                <w:b/>
                <w:bCs/>
              </w:rPr>
            </w:pPr>
            <w:r>
              <w:rPr>
                <w:b/>
                <w:bCs/>
              </w:rPr>
              <w:t>2</w:t>
            </w:r>
            <w:r>
              <w:rPr>
                <w:rFonts w:hint="eastAsia"/>
                <w:b/>
                <w:bCs/>
              </w:rPr>
              <w:t>、地表水质量现状</w:t>
            </w:r>
          </w:p>
          <w:p>
            <w:pPr>
              <w:pStyle w:val="36"/>
              <w:ind w:firstLine="31680"/>
            </w:pPr>
            <w:r>
              <w:rPr>
                <w:rFonts w:hint="eastAsia"/>
                <w:bCs/>
              </w:rPr>
              <w:t>本项目属于芒市大河汇水范围，</w:t>
            </w:r>
            <w:r>
              <w:rPr>
                <w:rFonts w:hint="eastAsia"/>
              </w:rPr>
              <w:t>芒市大河位于本项目西侧</w:t>
            </w:r>
            <w:r>
              <w:t>80m</w:t>
            </w:r>
            <w:r>
              <w:rPr>
                <w:rFonts w:hint="eastAsia"/>
              </w:rPr>
              <w:t>处</w:t>
            </w:r>
            <w:r>
              <w:rPr>
                <w:rFonts w:hint="eastAsia"/>
                <w:bCs/>
              </w:rPr>
              <w:t>。</w:t>
            </w:r>
            <w:r>
              <w:rPr>
                <w:rFonts w:hint="eastAsia"/>
              </w:rPr>
              <w:t>根据《云南省地表水水环境功能区划（</w:t>
            </w:r>
            <w:r>
              <w:t>2010~2020</w:t>
            </w:r>
            <w:r>
              <w:rPr>
                <w:rFonts w:hint="eastAsia"/>
              </w:rPr>
              <w:t>）》，芒市大河</w:t>
            </w:r>
            <w:r>
              <w:t>“</w:t>
            </w:r>
            <w:r>
              <w:rPr>
                <w:rFonts w:hint="eastAsia"/>
              </w:rPr>
              <w:t>木康断面</w:t>
            </w:r>
            <w:r>
              <w:t>——</w:t>
            </w:r>
            <w:r>
              <w:rPr>
                <w:rFonts w:hint="eastAsia"/>
              </w:rPr>
              <w:t>入瑞丽江口</w:t>
            </w:r>
            <w:r>
              <w:t>”</w:t>
            </w:r>
            <w:r>
              <w:rPr>
                <w:rFonts w:hint="eastAsia"/>
              </w:rPr>
              <w:t>水环境功能为农业用水、工业用水，水质类别为</w:t>
            </w:r>
            <w:r>
              <w:rPr>
                <w:rFonts w:hint="eastAsia" w:ascii="宋体" w:hAnsi="宋体" w:cs="宋体"/>
              </w:rPr>
              <w:t>Ⅲ</w:t>
            </w:r>
            <w:r>
              <w:rPr>
                <w:rFonts w:hint="eastAsia"/>
              </w:rPr>
              <w:t>类，地表水环境执行</w:t>
            </w:r>
            <w:r>
              <w:t>GB3838-2002</w:t>
            </w:r>
            <w:r>
              <w:rPr>
                <w:rFonts w:hint="eastAsia"/>
              </w:rPr>
              <w:t>《地表水环境质量标准》</w:t>
            </w:r>
            <w:r>
              <w:rPr>
                <w:rFonts w:hint="eastAsia" w:ascii="宋体" w:hAnsi="宋体" w:cs="宋体"/>
              </w:rPr>
              <w:t>Ⅲ</w:t>
            </w:r>
            <w:r>
              <w:rPr>
                <w:rFonts w:hint="eastAsia"/>
              </w:rPr>
              <w:t>类要求。</w:t>
            </w:r>
          </w:p>
          <w:p>
            <w:pPr>
              <w:pStyle w:val="36"/>
              <w:ind w:firstLine="31680"/>
            </w:pPr>
            <w:r>
              <w:rPr>
                <w:rFonts w:hint="eastAsia"/>
              </w:rPr>
              <w:t>根据《德宏州</w:t>
            </w:r>
            <w:r>
              <w:t>2014</w:t>
            </w:r>
            <w:r>
              <w:rPr>
                <w:rFonts w:hint="eastAsia"/>
              </w:rPr>
              <w:t>年环境质量公报》，</w:t>
            </w:r>
            <w:r>
              <w:t>2014</w:t>
            </w:r>
            <w:r>
              <w:rPr>
                <w:rFonts w:hint="eastAsia"/>
              </w:rPr>
              <w:t>年德宏州湖库水质类别均满足区划要求，河流监测断面中芒市大河风平断面未满足区划要求，其余河流断面均满足。芒市大河风平断面</w:t>
            </w:r>
            <w:r>
              <w:t>2014</w:t>
            </w:r>
            <w:r>
              <w:rPr>
                <w:rFonts w:hint="eastAsia"/>
              </w:rPr>
              <w:t>年平均水质类别为</w:t>
            </w:r>
            <w:r>
              <w:t>IV</w:t>
            </w:r>
            <w:r>
              <w:rPr>
                <w:rFonts w:hint="eastAsia"/>
              </w:rPr>
              <w:t>类水质，水质状况为轻度污染，不能满足《地表水环境质量标准》（</w:t>
            </w:r>
            <w:r>
              <w:t>GB3838</w:t>
            </w:r>
            <w:r>
              <w:rPr>
                <w:rFonts w:hint="eastAsia"/>
              </w:rPr>
              <w:t>－</w:t>
            </w:r>
            <w:r>
              <w:t>2002</w:t>
            </w:r>
            <w:r>
              <w:rPr>
                <w:rFonts w:hint="eastAsia"/>
              </w:rPr>
              <w:t>）Ⅲ类标准要求。芒市大河木康断面由</w:t>
            </w:r>
            <w:r>
              <w:t>2013</w:t>
            </w:r>
            <w:r>
              <w:rPr>
                <w:rFonts w:hint="eastAsia"/>
              </w:rPr>
              <w:t>年的Ⅲ类水质良好转变为Ⅱ类水质，满足《地表水环境质量标准》（</w:t>
            </w:r>
            <w:r>
              <w:t>GB3838</w:t>
            </w:r>
            <w:r>
              <w:rPr>
                <w:rFonts w:hint="eastAsia"/>
              </w:rPr>
              <w:t>－</w:t>
            </w:r>
            <w:r>
              <w:t>2002</w:t>
            </w:r>
            <w:r>
              <w:rPr>
                <w:rFonts w:hint="eastAsia"/>
              </w:rPr>
              <w:t>）Ⅲ类标准要求。</w:t>
            </w:r>
          </w:p>
          <w:p>
            <w:pPr>
              <w:pStyle w:val="47"/>
              <w:ind w:firstLine="482"/>
            </w:pPr>
            <w:r>
              <w:rPr>
                <w:rFonts w:hint="eastAsia"/>
              </w:rPr>
              <w:t>表</w:t>
            </w:r>
            <w:r>
              <w:t xml:space="preserve">3-1 </w:t>
            </w:r>
            <w:r>
              <w:rPr>
                <w:rFonts w:hint="eastAsia"/>
              </w:rPr>
              <w:t>德宏州环境监测站</w:t>
            </w:r>
            <w:r>
              <w:t>2014</w:t>
            </w:r>
            <w:r>
              <w:rPr>
                <w:rFonts w:hint="eastAsia"/>
              </w:rPr>
              <w:t>年风平断面水质监测数据</w:t>
            </w:r>
          </w:p>
          <w:tbl>
            <w:tblPr>
              <w:tblStyle w:val="2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6"/>
              <w:gridCol w:w="2712"/>
              <w:gridCol w:w="1424"/>
              <w:gridCol w:w="2800"/>
              <w:gridCol w:w="1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2"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序号</w:t>
                  </w:r>
                </w:p>
              </w:tc>
              <w:tc>
                <w:tcPr>
                  <w:tcW w:w="145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项目</w:t>
                  </w:r>
                </w:p>
              </w:tc>
              <w:tc>
                <w:tcPr>
                  <w:tcW w:w="762"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监测值</w:t>
                  </w:r>
                </w:p>
              </w:tc>
              <w:tc>
                <w:tcPr>
                  <w:tcW w:w="1498" w:type="pct"/>
                  <w:tcBorders>
                    <w:top w:val="single" w:color="000000" w:sz="4" w:space="0"/>
                    <w:left w:val="single" w:color="000000" w:sz="4" w:space="0"/>
                    <w:bottom w:val="single" w:color="000000" w:sz="4" w:space="0"/>
                    <w:right w:val="single" w:color="000000" w:sz="4" w:space="0"/>
                  </w:tcBorders>
                  <w:vAlign w:val="center"/>
                </w:tcPr>
                <w:p>
                  <w:pPr>
                    <w:pStyle w:val="41"/>
                  </w:pPr>
                  <w:r>
                    <w:t>GB3838</w:t>
                  </w:r>
                  <w:r>
                    <w:rPr>
                      <w:rFonts w:hint="eastAsia"/>
                    </w:rPr>
                    <w:t>－</w:t>
                  </w:r>
                  <w:r>
                    <w:t>2002</w:t>
                  </w:r>
                  <w:r>
                    <w:rPr>
                      <w:rFonts w:hint="eastAsia"/>
                    </w:rPr>
                    <w:t>Ⅲ类标准</w:t>
                  </w:r>
                </w:p>
              </w:tc>
              <w:tc>
                <w:tcPr>
                  <w:tcW w:w="846"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达标情况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2" w:type="pct"/>
                  <w:tcBorders>
                    <w:top w:val="single" w:color="000000" w:sz="4" w:space="0"/>
                    <w:left w:val="single" w:color="000000" w:sz="4" w:space="0"/>
                    <w:bottom w:val="single" w:color="000000" w:sz="4" w:space="0"/>
                    <w:right w:val="single" w:color="000000" w:sz="4" w:space="0"/>
                  </w:tcBorders>
                  <w:vAlign w:val="center"/>
                </w:tcPr>
                <w:p>
                  <w:pPr>
                    <w:pStyle w:val="41"/>
                  </w:pPr>
                  <w:r>
                    <w:t>1</w:t>
                  </w:r>
                </w:p>
              </w:tc>
              <w:tc>
                <w:tcPr>
                  <w:tcW w:w="1451" w:type="pct"/>
                  <w:tcBorders>
                    <w:top w:val="single" w:color="000000" w:sz="4" w:space="0"/>
                    <w:left w:val="single" w:color="000000" w:sz="4" w:space="0"/>
                    <w:bottom w:val="single" w:color="000000" w:sz="4" w:space="0"/>
                    <w:right w:val="single" w:color="000000" w:sz="4" w:space="0"/>
                  </w:tcBorders>
                  <w:vAlign w:val="center"/>
                </w:tcPr>
                <w:p>
                  <w:pPr>
                    <w:pStyle w:val="41"/>
                  </w:pPr>
                  <w:r>
                    <w:t>COD</w:t>
                  </w:r>
                  <w:r>
                    <w:rPr>
                      <w:rFonts w:hint="eastAsia"/>
                    </w:rPr>
                    <w:t>（</w:t>
                  </w:r>
                  <w:r>
                    <w:t>mg/L</w:t>
                  </w:r>
                  <w:r>
                    <w:rPr>
                      <w:rFonts w:hint="eastAsia"/>
                    </w:rPr>
                    <w:t>）</w:t>
                  </w:r>
                </w:p>
              </w:tc>
              <w:tc>
                <w:tcPr>
                  <w:tcW w:w="762" w:type="pct"/>
                  <w:tcBorders>
                    <w:top w:val="single" w:color="000000" w:sz="4" w:space="0"/>
                    <w:left w:val="single" w:color="000000" w:sz="4" w:space="0"/>
                    <w:bottom w:val="single" w:color="000000" w:sz="4" w:space="0"/>
                    <w:right w:val="single" w:color="000000" w:sz="4" w:space="0"/>
                  </w:tcBorders>
                  <w:vAlign w:val="center"/>
                </w:tcPr>
                <w:p>
                  <w:pPr>
                    <w:pStyle w:val="41"/>
                  </w:pPr>
                  <w:r>
                    <w:t>14</w:t>
                  </w:r>
                </w:p>
              </w:tc>
              <w:tc>
                <w:tcPr>
                  <w:tcW w:w="1498" w:type="pct"/>
                  <w:tcBorders>
                    <w:top w:val="single" w:color="000000" w:sz="4" w:space="0"/>
                    <w:left w:val="single" w:color="000000" w:sz="4" w:space="0"/>
                    <w:bottom w:val="single" w:color="000000" w:sz="4" w:space="0"/>
                    <w:right w:val="single" w:color="000000" w:sz="4" w:space="0"/>
                  </w:tcBorders>
                  <w:vAlign w:val="center"/>
                </w:tcPr>
                <w:p>
                  <w:pPr>
                    <w:pStyle w:val="41"/>
                  </w:pPr>
                  <w:r>
                    <w:t>20</w:t>
                  </w:r>
                </w:p>
              </w:tc>
              <w:tc>
                <w:tcPr>
                  <w:tcW w:w="846"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2" w:type="pct"/>
                  <w:tcBorders>
                    <w:top w:val="single" w:color="000000" w:sz="4" w:space="0"/>
                    <w:left w:val="single" w:color="000000" w:sz="4" w:space="0"/>
                    <w:bottom w:val="single" w:color="000000" w:sz="4" w:space="0"/>
                    <w:right w:val="single" w:color="000000" w:sz="4" w:space="0"/>
                  </w:tcBorders>
                  <w:vAlign w:val="center"/>
                </w:tcPr>
                <w:p>
                  <w:pPr>
                    <w:pStyle w:val="41"/>
                  </w:pPr>
                  <w:r>
                    <w:t>2</w:t>
                  </w:r>
                </w:p>
              </w:tc>
              <w:tc>
                <w:tcPr>
                  <w:tcW w:w="1451" w:type="pct"/>
                  <w:tcBorders>
                    <w:top w:val="single" w:color="000000" w:sz="4" w:space="0"/>
                    <w:left w:val="single" w:color="000000" w:sz="4" w:space="0"/>
                    <w:bottom w:val="single" w:color="000000" w:sz="4" w:space="0"/>
                    <w:right w:val="single" w:color="000000" w:sz="4" w:space="0"/>
                  </w:tcBorders>
                  <w:vAlign w:val="center"/>
                </w:tcPr>
                <w:p>
                  <w:pPr>
                    <w:pStyle w:val="41"/>
                  </w:pPr>
                  <w:r>
                    <w:t>BOD5</w:t>
                  </w:r>
                  <w:r>
                    <w:rPr>
                      <w:rFonts w:hint="eastAsia"/>
                    </w:rPr>
                    <w:t>（</w:t>
                  </w:r>
                  <w:r>
                    <w:t>mg/L</w:t>
                  </w:r>
                  <w:r>
                    <w:rPr>
                      <w:rFonts w:hint="eastAsia"/>
                    </w:rPr>
                    <w:t>）</w:t>
                  </w:r>
                </w:p>
              </w:tc>
              <w:tc>
                <w:tcPr>
                  <w:tcW w:w="762" w:type="pct"/>
                  <w:tcBorders>
                    <w:top w:val="single" w:color="000000" w:sz="4" w:space="0"/>
                    <w:left w:val="single" w:color="000000" w:sz="4" w:space="0"/>
                    <w:bottom w:val="single" w:color="000000" w:sz="4" w:space="0"/>
                    <w:right w:val="single" w:color="000000" w:sz="4" w:space="0"/>
                  </w:tcBorders>
                  <w:vAlign w:val="center"/>
                </w:tcPr>
                <w:p>
                  <w:pPr>
                    <w:pStyle w:val="41"/>
                  </w:pPr>
                  <w:r>
                    <w:t>3</w:t>
                  </w:r>
                </w:p>
              </w:tc>
              <w:tc>
                <w:tcPr>
                  <w:tcW w:w="1498" w:type="pct"/>
                  <w:tcBorders>
                    <w:top w:val="single" w:color="000000" w:sz="4" w:space="0"/>
                    <w:left w:val="single" w:color="000000" w:sz="4" w:space="0"/>
                    <w:bottom w:val="single" w:color="000000" w:sz="4" w:space="0"/>
                    <w:right w:val="single" w:color="000000" w:sz="4" w:space="0"/>
                  </w:tcBorders>
                  <w:vAlign w:val="center"/>
                </w:tcPr>
                <w:p>
                  <w:pPr>
                    <w:pStyle w:val="41"/>
                  </w:pPr>
                  <w:r>
                    <w:t>4</w:t>
                  </w:r>
                </w:p>
              </w:tc>
              <w:tc>
                <w:tcPr>
                  <w:tcW w:w="846"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2" w:type="pct"/>
                  <w:tcBorders>
                    <w:top w:val="single" w:color="000000" w:sz="4" w:space="0"/>
                    <w:left w:val="single" w:color="000000" w:sz="4" w:space="0"/>
                    <w:bottom w:val="single" w:color="000000" w:sz="4" w:space="0"/>
                    <w:right w:val="single" w:color="000000" w:sz="4" w:space="0"/>
                  </w:tcBorders>
                  <w:vAlign w:val="center"/>
                </w:tcPr>
                <w:p>
                  <w:pPr>
                    <w:pStyle w:val="41"/>
                  </w:pPr>
                  <w:r>
                    <w:t>3</w:t>
                  </w:r>
                </w:p>
              </w:tc>
              <w:tc>
                <w:tcPr>
                  <w:tcW w:w="1451" w:type="pct"/>
                  <w:tcBorders>
                    <w:top w:val="single" w:color="000000" w:sz="4" w:space="0"/>
                    <w:left w:val="single" w:color="000000" w:sz="4" w:space="0"/>
                    <w:bottom w:val="single" w:color="000000" w:sz="4" w:space="0"/>
                    <w:right w:val="single" w:color="000000" w:sz="4" w:space="0"/>
                  </w:tcBorders>
                  <w:vAlign w:val="center"/>
                </w:tcPr>
                <w:p>
                  <w:pPr>
                    <w:pStyle w:val="41"/>
                  </w:pPr>
                  <w:r>
                    <w:t>NH3-N</w:t>
                  </w:r>
                  <w:r>
                    <w:rPr>
                      <w:rFonts w:hint="eastAsia"/>
                    </w:rPr>
                    <w:t>（</w:t>
                  </w:r>
                  <w:r>
                    <w:t>mg/L</w:t>
                  </w:r>
                  <w:r>
                    <w:rPr>
                      <w:rFonts w:hint="eastAsia"/>
                    </w:rPr>
                    <w:t>）</w:t>
                  </w:r>
                </w:p>
              </w:tc>
              <w:tc>
                <w:tcPr>
                  <w:tcW w:w="762" w:type="pct"/>
                  <w:tcBorders>
                    <w:top w:val="single" w:color="000000" w:sz="4" w:space="0"/>
                    <w:left w:val="single" w:color="000000" w:sz="4" w:space="0"/>
                    <w:bottom w:val="single" w:color="000000" w:sz="4" w:space="0"/>
                    <w:right w:val="single" w:color="000000" w:sz="4" w:space="0"/>
                  </w:tcBorders>
                  <w:vAlign w:val="center"/>
                </w:tcPr>
                <w:p>
                  <w:pPr>
                    <w:pStyle w:val="41"/>
                  </w:pPr>
                  <w:r>
                    <w:t>0.553</w:t>
                  </w:r>
                </w:p>
              </w:tc>
              <w:tc>
                <w:tcPr>
                  <w:tcW w:w="1498" w:type="pct"/>
                  <w:tcBorders>
                    <w:top w:val="single" w:color="000000" w:sz="4" w:space="0"/>
                    <w:left w:val="single" w:color="000000" w:sz="4" w:space="0"/>
                    <w:bottom w:val="single" w:color="000000" w:sz="4" w:space="0"/>
                    <w:right w:val="single" w:color="000000" w:sz="4" w:space="0"/>
                  </w:tcBorders>
                  <w:vAlign w:val="center"/>
                </w:tcPr>
                <w:p>
                  <w:pPr>
                    <w:pStyle w:val="41"/>
                  </w:pPr>
                  <w:r>
                    <w:t>1.0</w:t>
                  </w:r>
                </w:p>
              </w:tc>
              <w:tc>
                <w:tcPr>
                  <w:tcW w:w="846"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442" w:type="pct"/>
                  <w:tcBorders>
                    <w:top w:val="single" w:color="000000" w:sz="4" w:space="0"/>
                    <w:left w:val="single" w:color="000000" w:sz="4" w:space="0"/>
                    <w:bottom w:val="single" w:color="000000" w:sz="4" w:space="0"/>
                    <w:right w:val="single" w:color="000000" w:sz="4" w:space="0"/>
                  </w:tcBorders>
                  <w:vAlign w:val="center"/>
                </w:tcPr>
                <w:p>
                  <w:pPr>
                    <w:pStyle w:val="41"/>
                  </w:pPr>
                  <w:r>
                    <w:t>4</w:t>
                  </w:r>
                </w:p>
              </w:tc>
              <w:tc>
                <w:tcPr>
                  <w:tcW w:w="145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总磷（</w:t>
                  </w:r>
                  <w:r>
                    <w:t>mg/L</w:t>
                  </w:r>
                  <w:r>
                    <w:rPr>
                      <w:rFonts w:hint="eastAsia"/>
                    </w:rPr>
                    <w:t>）</w:t>
                  </w:r>
                </w:p>
              </w:tc>
              <w:tc>
                <w:tcPr>
                  <w:tcW w:w="762" w:type="pct"/>
                  <w:tcBorders>
                    <w:top w:val="single" w:color="000000" w:sz="4" w:space="0"/>
                    <w:left w:val="single" w:color="000000" w:sz="4" w:space="0"/>
                    <w:bottom w:val="single" w:color="000000" w:sz="4" w:space="0"/>
                    <w:right w:val="single" w:color="000000" w:sz="4" w:space="0"/>
                  </w:tcBorders>
                  <w:vAlign w:val="center"/>
                </w:tcPr>
                <w:p>
                  <w:pPr>
                    <w:pStyle w:val="41"/>
                  </w:pPr>
                  <w:r>
                    <w:t>0.13</w:t>
                  </w:r>
                </w:p>
              </w:tc>
              <w:tc>
                <w:tcPr>
                  <w:tcW w:w="1498" w:type="pct"/>
                  <w:tcBorders>
                    <w:top w:val="single" w:color="000000" w:sz="4" w:space="0"/>
                    <w:left w:val="single" w:color="000000" w:sz="4" w:space="0"/>
                    <w:bottom w:val="single" w:color="000000" w:sz="4" w:space="0"/>
                    <w:right w:val="single" w:color="000000" w:sz="4" w:space="0"/>
                  </w:tcBorders>
                  <w:vAlign w:val="center"/>
                </w:tcPr>
                <w:p>
                  <w:pPr>
                    <w:pStyle w:val="41"/>
                  </w:pPr>
                  <w:r>
                    <w:t>0.2</w:t>
                  </w:r>
                </w:p>
              </w:tc>
              <w:tc>
                <w:tcPr>
                  <w:tcW w:w="846"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442" w:type="pct"/>
                  <w:tcBorders>
                    <w:top w:val="single" w:color="000000" w:sz="4" w:space="0"/>
                    <w:left w:val="single" w:color="000000" w:sz="4" w:space="0"/>
                    <w:bottom w:val="single" w:color="000000" w:sz="4" w:space="0"/>
                    <w:right w:val="single" w:color="000000" w:sz="4" w:space="0"/>
                  </w:tcBorders>
                  <w:vAlign w:val="center"/>
                </w:tcPr>
                <w:p>
                  <w:pPr>
                    <w:pStyle w:val="41"/>
                  </w:pPr>
                  <w:r>
                    <w:t>5</w:t>
                  </w:r>
                </w:p>
              </w:tc>
              <w:tc>
                <w:tcPr>
                  <w:tcW w:w="1451"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粪大肠菌群（个</w:t>
                  </w:r>
                  <w:r>
                    <w:t>/L</w:t>
                  </w:r>
                  <w:r>
                    <w:rPr>
                      <w:rFonts w:hint="eastAsia"/>
                    </w:rPr>
                    <w:t>）</w:t>
                  </w:r>
                </w:p>
              </w:tc>
              <w:tc>
                <w:tcPr>
                  <w:tcW w:w="762" w:type="pct"/>
                  <w:tcBorders>
                    <w:top w:val="single" w:color="000000" w:sz="4" w:space="0"/>
                    <w:left w:val="single" w:color="000000" w:sz="4" w:space="0"/>
                    <w:bottom w:val="single" w:color="000000" w:sz="4" w:space="0"/>
                    <w:right w:val="single" w:color="000000" w:sz="4" w:space="0"/>
                  </w:tcBorders>
                  <w:vAlign w:val="center"/>
                </w:tcPr>
                <w:p>
                  <w:pPr>
                    <w:pStyle w:val="41"/>
                  </w:pPr>
                  <w:r>
                    <w:t>48933</w:t>
                  </w:r>
                </w:p>
              </w:tc>
              <w:tc>
                <w:tcPr>
                  <w:tcW w:w="1498" w:type="pct"/>
                  <w:tcBorders>
                    <w:top w:val="single" w:color="000000" w:sz="4" w:space="0"/>
                    <w:left w:val="single" w:color="000000" w:sz="4" w:space="0"/>
                    <w:bottom w:val="single" w:color="000000" w:sz="4" w:space="0"/>
                    <w:right w:val="single" w:color="000000" w:sz="4" w:space="0"/>
                  </w:tcBorders>
                  <w:vAlign w:val="center"/>
                </w:tcPr>
                <w:p>
                  <w:pPr>
                    <w:pStyle w:val="41"/>
                  </w:pPr>
                  <w:r>
                    <w:t>10000</w:t>
                  </w:r>
                </w:p>
              </w:tc>
              <w:tc>
                <w:tcPr>
                  <w:tcW w:w="846" w:type="pct"/>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超标</w:t>
                  </w:r>
                  <w:r>
                    <w:t>4.9</w:t>
                  </w:r>
                  <w:r>
                    <w:rPr>
                      <w:rFonts w:hint="eastAsia"/>
                    </w:rPr>
                    <w:t>倍</w:t>
                  </w:r>
                </w:p>
              </w:tc>
            </w:tr>
          </w:tbl>
          <w:p>
            <w:pPr>
              <w:pStyle w:val="71"/>
              <w:spacing w:before="163"/>
              <w:ind w:firstLine="31680"/>
            </w:pPr>
            <w:r>
              <w:t>3</w:t>
            </w:r>
            <w:r>
              <w:rPr>
                <w:rFonts w:hint="eastAsia"/>
              </w:rPr>
              <w:t>、声环境质量现状</w:t>
            </w:r>
          </w:p>
          <w:p>
            <w:pPr>
              <w:pStyle w:val="36"/>
              <w:ind w:firstLine="31680"/>
            </w:pPr>
            <w:r>
              <w:rPr>
                <w:rFonts w:hint="eastAsia"/>
              </w:rPr>
              <w:t>项目所在区域属于芒市城郊，属</w:t>
            </w:r>
            <w:r>
              <w:t>2</w:t>
            </w:r>
            <w:r>
              <w:rPr>
                <w:rFonts w:hint="eastAsia"/>
              </w:rPr>
              <w:t>类声环境功能区，声环境执行《声环境质量标准》（</w:t>
            </w:r>
            <w:r>
              <w:t>GB3096-2008</w:t>
            </w:r>
            <w:r>
              <w:rPr>
                <w:rFonts w:hint="eastAsia"/>
              </w:rPr>
              <w:t>）</w:t>
            </w:r>
            <w:r>
              <w:t>2</w:t>
            </w:r>
            <w:r>
              <w:rPr>
                <w:rFonts w:hint="eastAsia"/>
              </w:rPr>
              <w:t>类标准，根据《德宏州</w:t>
            </w:r>
            <w:r>
              <w:t>2014</w:t>
            </w:r>
            <w:r>
              <w:rPr>
                <w:rFonts w:hint="eastAsia"/>
              </w:rPr>
              <w:t>年度环境质量公报》，芒市城区区域环境噪声昼间年平均等效声级为</w:t>
            </w:r>
            <w:r>
              <w:t>51.6</w:t>
            </w:r>
            <w:r>
              <w:rPr>
                <w:rFonts w:hint="eastAsia"/>
              </w:rPr>
              <w:t>分贝，夜间值未测。</w:t>
            </w:r>
          </w:p>
          <w:p>
            <w:pPr>
              <w:pStyle w:val="36"/>
              <w:ind w:firstLine="31680"/>
            </w:pPr>
            <w:r>
              <w:rPr>
                <w:rFonts w:hint="eastAsia"/>
              </w:rPr>
              <w:t>根据现场踏勘，项目区域以居住、工业混杂为主要功能，主要噪声为交通噪声，声环境现状一般，基本可达</w:t>
            </w:r>
            <w:r>
              <w:t>GB3096-2008</w:t>
            </w:r>
            <w:r>
              <w:rPr>
                <w:rFonts w:hint="eastAsia"/>
              </w:rPr>
              <w:t>《声环境质量标准》</w:t>
            </w:r>
            <w:r>
              <w:t>2</w:t>
            </w:r>
            <w:r>
              <w:rPr>
                <w:rFonts w:hint="eastAsia"/>
              </w:rPr>
              <w:t>类区标准。</w:t>
            </w:r>
          </w:p>
          <w:p>
            <w:pPr>
              <w:pStyle w:val="75"/>
              <w:ind w:firstLine="31680"/>
              <w:rPr>
                <w:color w:val="auto"/>
              </w:rPr>
            </w:pPr>
            <w:r>
              <w:rPr>
                <w:color w:val="auto"/>
              </w:rPr>
              <w:t>4</w:t>
            </w:r>
            <w:r>
              <w:rPr>
                <w:rFonts w:hint="eastAsia"/>
                <w:color w:val="auto"/>
              </w:rPr>
              <w:t>、生态环境现状</w:t>
            </w:r>
          </w:p>
          <w:p>
            <w:pPr>
              <w:pStyle w:val="36"/>
              <w:ind w:firstLine="31680"/>
            </w:pPr>
            <w:r>
              <w:rPr>
                <w:rFonts w:hint="eastAsia"/>
              </w:rPr>
              <w:t>本项目位于芒市镇大湾村，经过现场踏勘，项目区北面、西面及东北面均为水田，原生植被几乎没有，整个区域生态环境主要受人类影响，自我调节能力一般。</w:t>
            </w:r>
          </w:p>
          <w:p>
            <w:pPr>
              <w:pStyle w:val="3"/>
              <w:spacing w:before="0"/>
              <w:ind w:firstLine="31680"/>
              <w:rPr>
                <w:bCs w:val="0"/>
                <w:color w:val="auto"/>
                <w:kern w:val="2"/>
                <w:sz w:val="28"/>
              </w:rPr>
            </w:pPr>
            <w:r>
              <w:rPr>
                <w:rFonts w:hint="eastAsia"/>
                <w:bCs w:val="0"/>
                <w:color w:val="auto"/>
                <w:kern w:val="2"/>
                <w:sz w:val="28"/>
              </w:rPr>
              <w:t>主要环境保护目标（列出名单及保护级别）：</w:t>
            </w:r>
          </w:p>
          <w:p>
            <w:pPr>
              <w:pStyle w:val="36"/>
              <w:ind w:firstLine="31680"/>
            </w:pPr>
            <w:r>
              <w:rPr>
                <w:rFonts w:hint="eastAsia"/>
              </w:rPr>
              <w:t>项目评价范围内无自然保护区、风景旅游点、文物古迹等需要特殊保护的环境敏感对象。结合以上的描述及项目周边环境的关系，项目的环境保护目标为：</w:t>
            </w:r>
          </w:p>
          <w:p>
            <w:pPr>
              <w:pStyle w:val="47"/>
              <w:ind w:firstLine="482"/>
            </w:pPr>
            <w:r>
              <w:rPr>
                <w:rFonts w:hint="eastAsia"/>
              </w:rPr>
              <w:t>表</w:t>
            </w:r>
            <w:r>
              <w:t xml:space="preserve">3-2 </w:t>
            </w:r>
            <w:r>
              <w:rPr>
                <w:rFonts w:hint="eastAsia"/>
              </w:rPr>
              <w:t>主要环境保护目标及保护级别一览表</w:t>
            </w:r>
          </w:p>
          <w:tbl>
            <w:tblPr>
              <w:tblStyle w:val="21"/>
              <w:tblW w:w="5000" w:type="pct"/>
              <w:tblInd w:w="0" w:type="dxa"/>
              <w:tblLayout w:type="autofit"/>
              <w:tblCellMar>
                <w:top w:w="0" w:type="dxa"/>
                <w:left w:w="108" w:type="dxa"/>
                <w:bottom w:w="0" w:type="dxa"/>
                <w:right w:w="108" w:type="dxa"/>
              </w:tblCellMar>
            </w:tblPr>
            <w:tblGrid>
              <w:gridCol w:w="759"/>
              <w:gridCol w:w="1160"/>
              <w:gridCol w:w="728"/>
              <w:gridCol w:w="1160"/>
              <w:gridCol w:w="1452"/>
              <w:gridCol w:w="4095"/>
            </w:tblGrid>
            <w:tr>
              <w:tblPrEx>
                <w:tblCellMar>
                  <w:top w:w="0" w:type="dxa"/>
                  <w:left w:w="108" w:type="dxa"/>
                  <w:bottom w:w="0" w:type="dxa"/>
                  <w:right w:w="108" w:type="dxa"/>
                </w:tblCellMar>
              </w:tblPrEx>
              <w:trPr>
                <w:trHeight w:val="340" w:hRule="atLeast"/>
              </w:trPr>
              <w:tc>
                <w:tcPr>
                  <w:tcW w:w="406"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序号</w:t>
                  </w:r>
                </w:p>
              </w:tc>
              <w:tc>
                <w:tcPr>
                  <w:tcW w:w="620" w:type="pct"/>
                  <w:tcBorders>
                    <w:top w:val="single" w:color="auto" w:sz="4" w:space="0"/>
                    <w:left w:val="single" w:color="auto" w:sz="4" w:space="0"/>
                    <w:bottom w:val="single" w:color="auto" w:sz="4" w:space="0"/>
                    <w:right w:val="single" w:color="auto" w:sz="4" w:space="0"/>
                  </w:tcBorders>
                  <w:noWrap/>
                  <w:vAlign w:val="center"/>
                </w:tcPr>
                <w:p>
                  <w:pPr>
                    <w:pStyle w:val="41"/>
                  </w:pPr>
                  <w:r>
                    <w:rPr>
                      <w:rFonts w:hint="eastAsia"/>
                    </w:rPr>
                    <w:t>保护目标</w:t>
                  </w:r>
                </w:p>
              </w:tc>
              <w:tc>
                <w:tcPr>
                  <w:tcW w:w="389" w:type="pct"/>
                  <w:tcBorders>
                    <w:top w:val="single" w:color="auto" w:sz="4" w:space="0"/>
                    <w:left w:val="nil"/>
                    <w:bottom w:val="single" w:color="auto" w:sz="4" w:space="0"/>
                    <w:right w:val="single" w:color="auto" w:sz="4" w:space="0"/>
                  </w:tcBorders>
                  <w:noWrap/>
                  <w:vAlign w:val="center"/>
                </w:tcPr>
                <w:p>
                  <w:pPr>
                    <w:pStyle w:val="41"/>
                  </w:pPr>
                  <w:r>
                    <w:rPr>
                      <w:rFonts w:hint="eastAsia"/>
                    </w:rPr>
                    <w:t>方位</w:t>
                  </w:r>
                </w:p>
              </w:tc>
              <w:tc>
                <w:tcPr>
                  <w:tcW w:w="620" w:type="pct"/>
                  <w:tcBorders>
                    <w:top w:val="single" w:color="auto" w:sz="4" w:space="0"/>
                    <w:left w:val="nil"/>
                    <w:bottom w:val="single" w:color="auto" w:sz="4" w:space="0"/>
                    <w:right w:val="single" w:color="auto" w:sz="4" w:space="0"/>
                  </w:tcBorders>
                  <w:vAlign w:val="center"/>
                </w:tcPr>
                <w:p>
                  <w:pPr>
                    <w:pStyle w:val="41"/>
                  </w:pPr>
                  <w:r>
                    <w:rPr>
                      <w:rFonts w:hint="eastAsia"/>
                    </w:rPr>
                    <w:t>距离（</w:t>
                  </w:r>
                  <w:r>
                    <w:t>m</w:t>
                  </w:r>
                  <w:r>
                    <w:rPr>
                      <w:rFonts w:hint="eastAsia"/>
                    </w:rPr>
                    <w:t>）</w:t>
                  </w:r>
                </w:p>
              </w:tc>
              <w:tc>
                <w:tcPr>
                  <w:tcW w:w="776" w:type="pct"/>
                  <w:tcBorders>
                    <w:top w:val="single" w:color="auto" w:sz="4" w:space="0"/>
                    <w:left w:val="nil"/>
                    <w:bottom w:val="single" w:color="auto" w:sz="4" w:space="0"/>
                    <w:right w:val="single" w:color="auto" w:sz="4" w:space="0"/>
                  </w:tcBorders>
                  <w:vAlign w:val="center"/>
                </w:tcPr>
                <w:p>
                  <w:pPr>
                    <w:pStyle w:val="41"/>
                  </w:pPr>
                  <w:r>
                    <w:rPr>
                      <w:rFonts w:hint="eastAsia"/>
                    </w:rPr>
                    <w:t>保护类别</w:t>
                  </w:r>
                </w:p>
              </w:tc>
              <w:tc>
                <w:tcPr>
                  <w:tcW w:w="218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保护级别</w:t>
                  </w:r>
                </w:p>
              </w:tc>
            </w:tr>
            <w:tr>
              <w:tblPrEx>
                <w:tblCellMar>
                  <w:top w:w="0" w:type="dxa"/>
                  <w:left w:w="108" w:type="dxa"/>
                  <w:bottom w:w="0" w:type="dxa"/>
                  <w:right w:w="108" w:type="dxa"/>
                </w:tblCellMar>
              </w:tblPrEx>
              <w:trPr>
                <w:trHeight w:val="340" w:hRule="atLeast"/>
              </w:trPr>
              <w:tc>
                <w:tcPr>
                  <w:tcW w:w="406" w:type="pct"/>
                  <w:tcBorders>
                    <w:top w:val="single" w:color="auto" w:sz="4" w:space="0"/>
                    <w:left w:val="single" w:color="auto" w:sz="4" w:space="0"/>
                    <w:bottom w:val="single" w:color="auto" w:sz="4" w:space="0"/>
                    <w:right w:val="single" w:color="auto" w:sz="4" w:space="0"/>
                  </w:tcBorders>
                  <w:vAlign w:val="center"/>
                </w:tcPr>
                <w:p>
                  <w:pPr>
                    <w:pStyle w:val="41"/>
                  </w:pPr>
                  <w:r>
                    <w:t>1</w:t>
                  </w:r>
                </w:p>
              </w:tc>
              <w:tc>
                <w:tcPr>
                  <w:tcW w:w="620" w:type="pct"/>
                  <w:tcBorders>
                    <w:top w:val="single" w:color="auto" w:sz="4" w:space="0"/>
                    <w:left w:val="single" w:color="auto" w:sz="4" w:space="0"/>
                    <w:bottom w:val="single" w:color="auto" w:sz="4" w:space="0"/>
                    <w:right w:val="single" w:color="auto" w:sz="4" w:space="0"/>
                  </w:tcBorders>
                  <w:noWrap/>
                  <w:vAlign w:val="center"/>
                </w:tcPr>
                <w:p>
                  <w:pPr>
                    <w:pStyle w:val="41"/>
                  </w:pPr>
                  <w:r>
                    <w:rPr>
                      <w:rFonts w:hint="eastAsia"/>
                    </w:rPr>
                    <w:t>大湾村</w:t>
                  </w:r>
                </w:p>
              </w:tc>
              <w:tc>
                <w:tcPr>
                  <w:tcW w:w="389" w:type="pct"/>
                  <w:tcBorders>
                    <w:top w:val="single" w:color="auto" w:sz="4" w:space="0"/>
                    <w:left w:val="nil"/>
                    <w:bottom w:val="single" w:color="auto" w:sz="4" w:space="0"/>
                    <w:right w:val="single" w:color="auto" w:sz="4" w:space="0"/>
                  </w:tcBorders>
                  <w:noWrap/>
                  <w:vAlign w:val="center"/>
                </w:tcPr>
                <w:p>
                  <w:pPr>
                    <w:pStyle w:val="41"/>
                  </w:pPr>
                  <w:r>
                    <w:rPr>
                      <w:rFonts w:hint="eastAsia"/>
                    </w:rPr>
                    <w:t>东侧</w:t>
                  </w:r>
                </w:p>
              </w:tc>
              <w:tc>
                <w:tcPr>
                  <w:tcW w:w="620" w:type="pct"/>
                  <w:tcBorders>
                    <w:top w:val="single" w:color="auto" w:sz="4" w:space="0"/>
                    <w:left w:val="nil"/>
                    <w:bottom w:val="single" w:color="auto" w:sz="4" w:space="0"/>
                    <w:right w:val="single" w:color="auto" w:sz="4" w:space="0"/>
                  </w:tcBorders>
                  <w:noWrap/>
                  <w:vAlign w:val="center"/>
                </w:tcPr>
                <w:p>
                  <w:pPr>
                    <w:pStyle w:val="41"/>
                  </w:pPr>
                  <w:r>
                    <w:t>200</w:t>
                  </w:r>
                </w:p>
              </w:tc>
              <w:tc>
                <w:tcPr>
                  <w:tcW w:w="776" w:type="pct"/>
                  <w:tcBorders>
                    <w:top w:val="single" w:color="auto" w:sz="4" w:space="0"/>
                    <w:left w:val="nil"/>
                    <w:bottom w:val="single" w:color="auto" w:sz="4" w:space="0"/>
                    <w:right w:val="single" w:color="auto" w:sz="4" w:space="0"/>
                  </w:tcBorders>
                  <w:vAlign w:val="center"/>
                </w:tcPr>
                <w:p>
                  <w:pPr>
                    <w:pStyle w:val="41"/>
                  </w:pPr>
                  <w:r>
                    <w:rPr>
                      <w:rFonts w:hint="eastAsia"/>
                    </w:rPr>
                    <w:t>噪声</w:t>
                  </w:r>
                </w:p>
              </w:tc>
              <w:tc>
                <w:tcPr>
                  <w:tcW w:w="2189" w:type="pct"/>
                  <w:tcBorders>
                    <w:top w:val="single" w:color="auto" w:sz="4" w:space="0"/>
                    <w:left w:val="single" w:color="auto" w:sz="4" w:space="0"/>
                    <w:bottom w:val="single" w:color="auto" w:sz="4" w:space="0"/>
                    <w:right w:val="single" w:color="auto" w:sz="4" w:space="0"/>
                  </w:tcBorders>
                  <w:vAlign w:val="center"/>
                </w:tcPr>
                <w:p>
                  <w:pPr>
                    <w:pStyle w:val="41"/>
                  </w:pPr>
                  <w:r>
                    <w:t>GB3096-2008</w:t>
                  </w:r>
                  <w:r>
                    <w:rPr>
                      <w:rFonts w:hint="eastAsia"/>
                    </w:rPr>
                    <w:t>《声环境质量标准》</w:t>
                  </w:r>
                  <w:r>
                    <w:t>2</w:t>
                  </w:r>
                  <w:r>
                    <w:rPr>
                      <w:rFonts w:hint="eastAsia"/>
                    </w:rPr>
                    <w:t>类标准</w:t>
                  </w:r>
                </w:p>
              </w:tc>
            </w:tr>
            <w:tr>
              <w:tblPrEx>
                <w:tblCellMar>
                  <w:top w:w="0" w:type="dxa"/>
                  <w:left w:w="108" w:type="dxa"/>
                  <w:bottom w:w="0" w:type="dxa"/>
                  <w:right w:w="108" w:type="dxa"/>
                </w:tblCellMar>
              </w:tblPrEx>
              <w:trPr>
                <w:trHeight w:val="340" w:hRule="atLeast"/>
              </w:trPr>
              <w:tc>
                <w:tcPr>
                  <w:tcW w:w="406" w:type="pct"/>
                  <w:tcBorders>
                    <w:top w:val="single" w:color="auto" w:sz="4" w:space="0"/>
                    <w:left w:val="single" w:color="auto" w:sz="4" w:space="0"/>
                    <w:bottom w:val="single" w:color="auto" w:sz="4" w:space="0"/>
                    <w:right w:val="single" w:color="auto" w:sz="4" w:space="0"/>
                  </w:tcBorders>
                  <w:vAlign w:val="center"/>
                </w:tcPr>
                <w:p>
                  <w:pPr>
                    <w:pStyle w:val="41"/>
                  </w:pPr>
                  <w:r>
                    <w:t>2</w:t>
                  </w:r>
                </w:p>
              </w:tc>
              <w:tc>
                <w:tcPr>
                  <w:tcW w:w="62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大湾村</w:t>
                  </w:r>
                </w:p>
              </w:tc>
              <w:tc>
                <w:tcPr>
                  <w:tcW w:w="389" w:type="pct"/>
                  <w:tcBorders>
                    <w:top w:val="single" w:color="auto" w:sz="4" w:space="0"/>
                    <w:left w:val="nil"/>
                    <w:bottom w:val="single" w:color="auto" w:sz="4" w:space="0"/>
                    <w:right w:val="single" w:color="auto" w:sz="4" w:space="0"/>
                  </w:tcBorders>
                  <w:noWrap/>
                  <w:vAlign w:val="center"/>
                </w:tcPr>
                <w:p>
                  <w:pPr>
                    <w:pStyle w:val="41"/>
                  </w:pPr>
                  <w:r>
                    <w:rPr>
                      <w:rFonts w:hint="eastAsia"/>
                    </w:rPr>
                    <w:t>东侧</w:t>
                  </w:r>
                </w:p>
              </w:tc>
              <w:tc>
                <w:tcPr>
                  <w:tcW w:w="620" w:type="pct"/>
                  <w:tcBorders>
                    <w:top w:val="single" w:color="auto" w:sz="4" w:space="0"/>
                    <w:left w:val="nil"/>
                    <w:bottom w:val="single" w:color="auto" w:sz="4" w:space="0"/>
                    <w:right w:val="single" w:color="auto" w:sz="4" w:space="0"/>
                  </w:tcBorders>
                  <w:noWrap/>
                  <w:vAlign w:val="center"/>
                </w:tcPr>
                <w:p>
                  <w:pPr>
                    <w:pStyle w:val="41"/>
                  </w:pPr>
                  <w:r>
                    <w:t>200</w:t>
                  </w:r>
                </w:p>
              </w:tc>
              <w:tc>
                <w:tcPr>
                  <w:tcW w:w="776" w:type="pct"/>
                  <w:tcBorders>
                    <w:top w:val="single" w:color="auto" w:sz="4" w:space="0"/>
                    <w:left w:val="nil"/>
                    <w:bottom w:val="single" w:color="auto" w:sz="4" w:space="0"/>
                    <w:right w:val="single" w:color="auto" w:sz="4" w:space="0"/>
                  </w:tcBorders>
                  <w:vAlign w:val="center"/>
                </w:tcPr>
                <w:p>
                  <w:pPr>
                    <w:pStyle w:val="41"/>
                  </w:pPr>
                  <w:r>
                    <w:rPr>
                      <w:rFonts w:hint="eastAsia"/>
                    </w:rPr>
                    <w:t>大气</w:t>
                  </w:r>
                </w:p>
              </w:tc>
              <w:tc>
                <w:tcPr>
                  <w:tcW w:w="2189" w:type="pct"/>
                  <w:tcBorders>
                    <w:top w:val="single" w:color="auto" w:sz="4" w:space="0"/>
                    <w:left w:val="single" w:color="auto" w:sz="4" w:space="0"/>
                    <w:bottom w:val="single" w:color="auto" w:sz="4" w:space="0"/>
                    <w:right w:val="single" w:color="auto" w:sz="4" w:space="0"/>
                  </w:tcBorders>
                  <w:vAlign w:val="center"/>
                </w:tcPr>
                <w:p>
                  <w:pPr>
                    <w:pStyle w:val="41"/>
                  </w:pPr>
                  <w:r>
                    <w:t>GB3095-2012</w:t>
                  </w:r>
                  <w:r>
                    <w:rPr>
                      <w:rFonts w:hint="eastAsia"/>
                    </w:rPr>
                    <w:t>《环境空气质量标准》二级标准</w:t>
                  </w:r>
                </w:p>
              </w:tc>
            </w:tr>
            <w:tr>
              <w:tblPrEx>
                <w:tblCellMar>
                  <w:top w:w="0" w:type="dxa"/>
                  <w:left w:w="108" w:type="dxa"/>
                  <w:bottom w:w="0" w:type="dxa"/>
                  <w:right w:w="108" w:type="dxa"/>
                </w:tblCellMar>
              </w:tblPrEx>
              <w:trPr>
                <w:trHeight w:val="340" w:hRule="atLeast"/>
              </w:trPr>
              <w:tc>
                <w:tcPr>
                  <w:tcW w:w="406" w:type="pct"/>
                  <w:tcBorders>
                    <w:top w:val="single" w:color="auto" w:sz="4" w:space="0"/>
                    <w:left w:val="single" w:color="auto" w:sz="4" w:space="0"/>
                    <w:bottom w:val="single" w:color="auto" w:sz="4" w:space="0"/>
                    <w:right w:val="single" w:color="auto" w:sz="4" w:space="0"/>
                  </w:tcBorders>
                  <w:vAlign w:val="center"/>
                </w:tcPr>
                <w:p>
                  <w:pPr>
                    <w:pStyle w:val="41"/>
                  </w:pPr>
                  <w:r>
                    <w:t>3</w:t>
                  </w:r>
                </w:p>
              </w:tc>
              <w:tc>
                <w:tcPr>
                  <w:tcW w:w="620" w:type="pct"/>
                  <w:tcBorders>
                    <w:top w:val="single" w:color="auto" w:sz="4" w:space="0"/>
                    <w:left w:val="single" w:color="auto" w:sz="4" w:space="0"/>
                    <w:bottom w:val="single" w:color="auto" w:sz="4" w:space="0"/>
                    <w:right w:val="single" w:color="auto" w:sz="4" w:space="0"/>
                  </w:tcBorders>
                  <w:noWrap/>
                  <w:vAlign w:val="center"/>
                </w:tcPr>
                <w:p>
                  <w:pPr>
                    <w:pStyle w:val="41"/>
                  </w:pPr>
                  <w:r>
                    <w:rPr>
                      <w:rFonts w:hint="eastAsia"/>
                    </w:rPr>
                    <w:t>芒市大河</w:t>
                  </w:r>
                </w:p>
              </w:tc>
              <w:tc>
                <w:tcPr>
                  <w:tcW w:w="389" w:type="pct"/>
                  <w:tcBorders>
                    <w:top w:val="single" w:color="auto" w:sz="4" w:space="0"/>
                    <w:left w:val="nil"/>
                    <w:bottom w:val="single" w:color="auto" w:sz="4" w:space="0"/>
                    <w:right w:val="single" w:color="auto" w:sz="4" w:space="0"/>
                  </w:tcBorders>
                  <w:noWrap/>
                  <w:vAlign w:val="center"/>
                </w:tcPr>
                <w:p>
                  <w:pPr>
                    <w:pStyle w:val="41"/>
                  </w:pPr>
                  <w:r>
                    <w:rPr>
                      <w:rFonts w:hint="eastAsia"/>
                    </w:rPr>
                    <w:t>西侧</w:t>
                  </w:r>
                </w:p>
              </w:tc>
              <w:tc>
                <w:tcPr>
                  <w:tcW w:w="620" w:type="pct"/>
                  <w:tcBorders>
                    <w:top w:val="single" w:color="auto" w:sz="4" w:space="0"/>
                    <w:left w:val="nil"/>
                    <w:bottom w:val="single" w:color="auto" w:sz="4" w:space="0"/>
                    <w:right w:val="single" w:color="auto" w:sz="4" w:space="0"/>
                  </w:tcBorders>
                  <w:noWrap/>
                  <w:vAlign w:val="center"/>
                </w:tcPr>
                <w:p>
                  <w:pPr>
                    <w:pStyle w:val="41"/>
                  </w:pPr>
                  <w:r>
                    <w:t>80</w:t>
                  </w:r>
                </w:p>
              </w:tc>
              <w:tc>
                <w:tcPr>
                  <w:tcW w:w="776" w:type="pct"/>
                  <w:tcBorders>
                    <w:top w:val="single" w:color="auto" w:sz="4" w:space="0"/>
                    <w:left w:val="nil"/>
                    <w:bottom w:val="single" w:color="auto" w:sz="4" w:space="0"/>
                    <w:right w:val="single" w:color="auto" w:sz="4" w:space="0"/>
                  </w:tcBorders>
                  <w:vAlign w:val="center"/>
                </w:tcPr>
                <w:p>
                  <w:pPr>
                    <w:pStyle w:val="41"/>
                  </w:pPr>
                  <w:r>
                    <w:rPr>
                      <w:rFonts w:hint="eastAsia"/>
                    </w:rPr>
                    <w:t>Ⅲ类水体</w:t>
                  </w:r>
                </w:p>
              </w:tc>
              <w:tc>
                <w:tcPr>
                  <w:tcW w:w="2189" w:type="pct"/>
                  <w:tcBorders>
                    <w:top w:val="single" w:color="auto" w:sz="4" w:space="0"/>
                    <w:left w:val="single" w:color="auto" w:sz="4" w:space="0"/>
                    <w:bottom w:val="single" w:color="auto" w:sz="4" w:space="0"/>
                    <w:right w:val="single" w:color="auto" w:sz="4" w:space="0"/>
                  </w:tcBorders>
                  <w:vAlign w:val="center"/>
                </w:tcPr>
                <w:p>
                  <w:pPr>
                    <w:pStyle w:val="41"/>
                  </w:pPr>
                  <w:r>
                    <w:t>GB3838-2002</w:t>
                  </w:r>
                  <w:r>
                    <w:rPr>
                      <w:rFonts w:hint="eastAsia"/>
                    </w:rPr>
                    <w:t>《地表水环境质量标准》的Ⅲ类标准</w:t>
                  </w:r>
                </w:p>
              </w:tc>
            </w:tr>
            <w:tr>
              <w:tblPrEx>
                <w:tblCellMar>
                  <w:top w:w="0" w:type="dxa"/>
                  <w:left w:w="108" w:type="dxa"/>
                  <w:bottom w:w="0" w:type="dxa"/>
                  <w:right w:w="108" w:type="dxa"/>
                </w:tblCellMar>
              </w:tblPrEx>
              <w:trPr>
                <w:trHeight w:val="340" w:hRule="atLeast"/>
              </w:trPr>
              <w:tc>
                <w:tcPr>
                  <w:tcW w:w="406" w:type="pct"/>
                  <w:tcBorders>
                    <w:top w:val="single" w:color="auto" w:sz="4" w:space="0"/>
                    <w:left w:val="single" w:color="auto" w:sz="4" w:space="0"/>
                    <w:bottom w:val="single" w:color="auto" w:sz="4" w:space="0"/>
                    <w:right w:val="single" w:color="auto" w:sz="4" w:space="0"/>
                  </w:tcBorders>
                  <w:vAlign w:val="center"/>
                </w:tcPr>
                <w:p>
                  <w:pPr>
                    <w:pStyle w:val="41"/>
                  </w:pPr>
                  <w:r>
                    <w:t>4</w:t>
                  </w:r>
                </w:p>
              </w:tc>
              <w:tc>
                <w:tcPr>
                  <w:tcW w:w="620" w:type="pct"/>
                  <w:tcBorders>
                    <w:top w:val="single" w:color="auto" w:sz="4" w:space="0"/>
                    <w:left w:val="single" w:color="auto" w:sz="4" w:space="0"/>
                    <w:bottom w:val="single" w:color="auto" w:sz="4" w:space="0"/>
                    <w:right w:val="single" w:color="auto" w:sz="4" w:space="0"/>
                  </w:tcBorders>
                  <w:noWrap/>
                  <w:vAlign w:val="center"/>
                </w:tcPr>
                <w:p>
                  <w:pPr>
                    <w:pStyle w:val="41"/>
                  </w:pPr>
                  <w:r>
                    <w:rPr>
                      <w:rFonts w:hint="eastAsia"/>
                    </w:rPr>
                    <w:t>农灌沟</w:t>
                  </w:r>
                </w:p>
              </w:tc>
              <w:tc>
                <w:tcPr>
                  <w:tcW w:w="389" w:type="pct"/>
                  <w:tcBorders>
                    <w:top w:val="single" w:color="auto" w:sz="4" w:space="0"/>
                    <w:left w:val="nil"/>
                    <w:bottom w:val="single" w:color="auto" w:sz="4" w:space="0"/>
                    <w:right w:val="single" w:color="auto" w:sz="4" w:space="0"/>
                  </w:tcBorders>
                  <w:noWrap/>
                  <w:vAlign w:val="center"/>
                </w:tcPr>
                <w:p>
                  <w:pPr>
                    <w:pStyle w:val="41"/>
                  </w:pPr>
                  <w:r>
                    <w:rPr>
                      <w:rFonts w:hint="eastAsia"/>
                    </w:rPr>
                    <w:t>西侧</w:t>
                  </w:r>
                </w:p>
              </w:tc>
              <w:tc>
                <w:tcPr>
                  <w:tcW w:w="620" w:type="pct"/>
                  <w:tcBorders>
                    <w:top w:val="single" w:color="auto" w:sz="4" w:space="0"/>
                    <w:left w:val="nil"/>
                    <w:bottom w:val="single" w:color="auto" w:sz="4" w:space="0"/>
                    <w:right w:val="single" w:color="auto" w:sz="4" w:space="0"/>
                  </w:tcBorders>
                  <w:noWrap/>
                  <w:vAlign w:val="center"/>
                </w:tcPr>
                <w:p>
                  <w:pPr>
                    <w:pStyle w:val="41"/>
                  </w:pPr>
                  <w:r>
                    <w:rPr>
                      <w:rFonts w:hint="eastAsia"/>
                    </w:rPr>
                    <w:t>紧邻</w:t>
                  </w:r>
                </w:p>
              </w:tc>
              <w:tc>
                <w:tcPr>
                  <w:tcW w:w="776" w:type="pct"/>
                  <w:tcBorders>
                    <w:top w:val="single" w:color="auto" w:sz="4" w:space="0"/>
                    <w:left w:val="nil"/>
                    <w:bottom w:val="single" w:color="auto" w:sz="4" w:space="0"/>
                    <w:right w:val="single" w:color="auto" w:sz="4" w:space="0"/>
                  </w:tcBorders>
                  <w:vAlign w:val="center"/>
                </w:tcPr>
                <w:p>
                  <w:pPr>
                    <w:pStyle w:val="41"/>
                  </w:pPr>
                  <w:r>
                    <w:rPr>
                      <w:rFonts w:hint="eastAsia"/>
                    </w:rPr>
                    <w:t>Ⅲ类水体</w:t>
                  </w:r>
                </w:p>
              </w:tc>
              <w:tc>
                <w:tcPr>
                  <w:tcW w:w="2189" w:type="pct"/>
                  <w:tcBorders>
                    <w:top w:val="single" w:color="auto" w:sz="4" w:space="0"/>
                    <w:left w:val="single" w:color="auto" w:sz="4" w:space="0"/>
                    <w:bottom w:val="single" w:color="auto" w:sz="4" w:space="0"/>
                    <w:right w:val="single" w:color="auto" w:sz="4" w:space="0"/>
                  </w:tcBorders>
                  <w:vAlign w:val="center"/>
                </w:tcPr>
                <w:p>
                  <w:pPr>
                    <w:pStyle w:val="41"/>
                  </w:pPr>
                  <w:r>
                    <w:t>GB5084-92</w:t>
                  </w:r>
                  <w:r>
                    <w:rPr>
                      <w:rFonts w:hint="eastAsia"/>
                    </w:rPr>
                    <w:t>《农田灌溉水质标准》</w:t>
                  </w:r>
                </w:p>
              </w:tc>
            </w:tr>
          </w:tbl>
          <w:p>
            <w:pPr>
              <w:ind w:firstLine="31680"/>
              <w:rPr>
                <w:b/>
                <w:sz w:val="30"/>
                <w:szCs w:val="30"/>
              </w:rPr>
            </w:pPr>
          </w:p>
          <w:p>
            <w:pPr>
              <w:ind w:firstLine="31680"/>
              <w:rPr>
                <w:b/>
                <w:sz w:val="30"/>
                <w:szCs w:val="30"/>
              </w:rPr>
            </w:pPr>
          </w:p>
          <w:p>
            <w:pPr>
              <w:ind w:firstLine="31680"/>
              <w:rPr>
                <w:b/>
                <w:sz w:val="30"/>
                <w:szCs w:val="30"/>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tc>
      </w:tr>
    </w:tbl>
    <w:p>
      <w:pPr>
        <w:pStyle w:val="2"/>
      </w:pPr>
      <w:r>
        <w:rPr>
          <w:rFonts w:hint="eastAsia"/>
        </w:rPr>
        <w:t>表四、评价适用标准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6" w:type="dxa"/>
            <w:vAlign w:val="center"/>
          </w:tcPr>
          <w:p>
            <w:pPr>
              <w:ind w:firstLine="0" w:firstLineChars="0"/>
              <w:jc w:val="center"/>
            </w:pPr>
            <w:r>
              <w:rPr>
                <w:rFonts w:hint="eastAsia"/>
              </w:rPr>
              <w:t>环环境质量标准</w:t>
            </w:r>
          </w:p>
        </w:tc>
        <w:tc>
          <w:tcPr>
            <w:tcW w:w="8892" w:type="dxa"/>
          </w:tcPr>
          <w:p>
            <w:pPr>
              <w:pStyle w:val="75"/>
              <w:ind w:firstLine="31680"/>
              <w:rPr>
                <w:color w:val="auto"/>
              </w:rPr>
            </w:pPr>
            <w:r>
              <w:rPr>
                <w:color w:val="auto"/>
              </w:rPr>
              <w:t>1</w:t>
            </w:r>
            <w:r>
              <w:rPr>
                <w:rFonts w:hint="eastAsia"/>
                <w:color w:val="auto"/>
              </w:rPr>
              <w:t>、环境空气质量</w:t>
            </w:r>
          </w:p>
          <w:p>
            <w:pPr>
              <w:pStyle w:val="36"/>
              <w:ind w:firstLine="31680"/>
            </w:pPr>
            <w:r>
              <w:rPr>
                <w:rFonts w:hint="eastAsia"/>
              </w:rPr>
              <w:t>项目位于芒市镇大湾村，属于环境空气二类区，环境空气质量执行</w:t>
            </w:r>
            <w:r>
              <w:t>GB3095-2012</w:t>
            </w:r>
            <w:r>
              <w:rPr>
                <w:rFonts w:hint="eastAsia"/>
              </w:rPr>
              <w:t>《环境空气质量标准》二级标准，标准值详见表</w:t>
            </w:r>
            <w:r>
              <w:t>4-1</w:t>
            </w:r>
            <w:r>
              <w:rPr>
                <w:rFonts w:hint="eastAsia"/>
              </w:rPr>
              <w:t>。</w:t>
            </w:r>
          </w:p>
          <w:p>
            <w:pPr>
              <w:pStyle w:val="47"/>
              <w:ind w:firstLine="482"/>
            </w:pPr>
            <w:r>
              <w:rPr>
                <w:rFonts w:hint="eastAsia"/>
              </w:rPr>
              <w:t>表</w:t>
            </w:r>
            <w:r>
              <w:t xml:space="preserve">4-1 </w:t>
            </w:r>
            <w:r>
              <w:rPr>
                <w:rFonts w:hint="eastAsia"/>
              </w:rPr>
              <w:t>环境空气质量标准限值</w:t>
            </w:r>
            <w:r>
              <w:t xml:space="preserve">  </w:t>
            </w:r>
            <w:r>
              <w:rPr>
                <w:rFonts w:hint="eastAsia"/>
              </w:rPr>
              <w:t>单位</w:t>
            </w:r>
            <w:r>
              <w:t>μg/m</w:t>
            </w:r>
            <w:r>
              <w:rPr>
                <w:vertAlign w:val="superscript"/>
              </w:rPr>
              <w:t>3</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1640"/>
              <w:gridCol w:w="1640"/>
              <w:gridCol w:w="1305"/>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6"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污染因子</w:t>
                  </w:r>
                </w:p>
              </w:tc>
              <w:tc>
                <w:tcPr>
                  <w:tcW w:w="2645" w:type="pct"/>
                  <w:gridSpan w:val="3"/>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标准限值</w:t>
                  </w:r>
                </w:p>
              </w:tc>
              <w:tc>
                <w:tcPr>
                  <w:tcW w:w="1409"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6"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946" w:type="pct"/>
                  <w:tcBorders>
                    <w:top w:val="single" w:color="auto" w:sz="4" w:space="0"/>
                    <w:left w:val="single" w:color="auto" w:sz="4" w:space="0"/>
                    <w:bottom w:val="single" w:color="auto" w:sz="4" w:space="0"/>
                    <w:right w:val="single" w:color="auto" w:sz="4" w:space="0"/>
                  </w:tcBorders>
                  <w:vAlign w:val="center"/>
                </w:tcPr>
                <w:p>
                  <w:pPr>
                    <w:pStyle w:val="41"/>
                  </w:pPr>
                  <w:r>
                    <w:t>1</w:t>
                  </w:r>
                  <w:r>
                    <w:rPr>
                      <w:rFonts w:hint="eastAsia"/>
                    </w:rPr>
                    <w:t>小时平均</w:t>
                  </w:r>
                </w:p>
              </w:tc>
              <w:tc>
                <w:tcPr>
                  <w:tcW w:w="946" w:type="pct"/>
                  <w:tcBorders>
                    <w:top w:val="single" w:color="auto" w:sz="4" w:space="0"/>
                    <w:left w:val="single" w:color="auto" w:sz="4" w:space="0"/>
                    <w:bottom w:val="single" w:color="auto" w:sz="4" w:space="0"/>
                    <w:right w:val="single" w:color="auto" w:sz="4" w:space="0"/>
                  </w:tcBorders>
                  <w:vAlign w:val="center"/>
                </w:tcPr>
                <w:p>
                  <w:pPr>
                    <w:pStyle w:val="41"/>
                  </w:pPr>
                  <w:r>
                    <w:t>24</w:t>
                  </w:r>
                  <w:r>
                    <w:rPr>
                      <w:rFonts w:hint="eastAsia"/>
                    </w:rPr>
                    <w:t>小时平均</w:t>
                  </w:r>
                </w:p>
              </w:tc>
              <w:tc>
                <w:tcPr>
                  <w:tcW w:w="753"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年平均</w:t>
                  </w:r>
                </w:p>
              </w:tc>
              <w:tc>
                <w:tcPr>
                  <w:tcW w:w="1409"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6" w:type="pct"/>
                  <w:tcBorders>
                    <w:top w:val="single" w:color="auto" w:sz="4" w:space="0"/>
                    <w:left w:val="single" w:color="auto" w:sz="4" w:space="0"/>
                    <w:bottom w:val="single" w:color="auto" w:sz="4" w:space="0"/>
                    <w:right w:val="single" w:color="auto" w:sz="4" w:space="0"/>
                  </w:tcBorders>
                  <w:vAlign w:val="center"/>
                </w:tcPr>
                <w:p>
                  <w:pPr>
                    <w:pStyle w:val="41"/>
                  </w:pPr>
                  <w:r>
                    <w:t>SO</w:t>
                  </w:r>
                  <w:r>
                    <w:rPr>
                      <w:vertAlign w:val="subscript"/>
                    </w:rPr>
                    <w:t>2</w:t>
                  </w:r>
                </w:p>
              </w:tc>
              <w:tc>
                <w:tcPr>
                  <w:tcW w:w="946" w:type="pct"/>
                  <w:tcBorders>
                    <w:top w:val="single" w:color="auto" w:sz="4" w:space="0"/>
                    <w:left w:val="single" w:color="auto" w:sz="4" w:space="0"/>
                    <w:bottom w:val="single" w:color="auto" w:sz="4" w:space="0"/>
                    <w:right w:val="single" w:color="auto" w:sz="4" w:space="0"/>
                  </w:tcBorders>
                  <w:vAlign w:val="center"/>
                </w:tcPr>
                <w:p>
                  <w:pPr>
                    <w:pStyle w:val="41"/>
                  </w:pPr>
                  <w:r>
                    <w:t>500</w:t>
                  </w:r>
                </w:p>
              </w:tc>
              <w:tc>
                <w:tcPr>
                  <w:tcW w:w="946" w:type="pct"/>
                  <w:tcBorders>
                    <w:top w:val="single" w:color="auto" w:sz="4" w:space="0"/>
                    <w:left w:val="single" w:color="auto" w:sz="4" w:space="0"/>
                    <w:bottom w:val="single" w:color="auto" w:sz="4" w:space="0"/>
                    <w:right w:val="single" w:color="auto" w:sz="4" w:space="0"/>
                  </w:tcBorders>
                  <w:vAlign w:val="center"/>
                </w:tcPr>
                <w:p>
                  <w:pPr>
                    <w:pStyle w:val="41"/>
                  </w:pPr>
                  <w:r>
                    <w:t>150</w:t>
                  </w:r>
                </w:p>
              </w:tc>
              <w:tc>
                <w:tcPr>
                  <w:tcW w:w="753" w:type="pct"/>
                  <w:tcBorders>
                    <w:top w:val="single" w:color="auto" w:sz="4" w:space="0"/>
                    <w:left w:val="single" w:color="auto" w:sz="4" w:space="0"/>
                    <w:bottom w:val="single" w:color="auto" w:sz="4" w:space="0"/>
                    <w:right w:val="single" w:color="auto" w:sz="4" w:space="0"/>
                  </w:tcBorders>
                  <w:vAlign w:val="center"/>
                </w:tcPr>
                <w:p>
                  <w:pPr>
                    <w:pStyle w:val="41"/>
                  </w:pPr>
                  <w:r>
                    <w:t>60</w:t>
                  </w:r>
                </w:p>
              </w:tc>
              <w:tc>
                <w:tcPr>
                  <w:tcW w:w="1409"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《环境空气质量标准》</w:t>
                  </w:r>
                  <w:r>
                    <w:t>(GB3095-2012)</w:t>
                  </w:r>
                  <w:r>
                    <w:rPr>
                      <w:rFonts w:hint="eastAsia"/>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6" w:type="pct"/>
                  <w:tcBorders>
                    <w:top w:val="single" w:color="auto" w:sz="4" w:space="0"/>
                    <w:left w:val="single" w:color="auto" w:sz="4" w:space="0"/>
                    <w:bottom w:val="single" w:color="auto" w:sz="4" w:space="0"/>
                    <w:right w:val="single" w:color="auto" w:sz="4" w:space="0"/>
                  </w:tcBorders>
                  <w:vAlign w:val="center"/>
                </w:tcPr>
                <w:p>
                  <w:pPr>
                    <w:pStyle w:val="41"/>
                  </w:pPr>
                  <w:r>
                    <w:t>NO</w:t>
                  </w:r>
                  <w:r>
                    <w:rPr>
                      <w:vertAlign w:val="subscript"/>
                    </w:rPr>
                    <w:t>2</w:t>
                  </w:r>
                </w:p>
              </w:tc>
              <w:tc>
                <w:tcPr>
                  <w:tcW w:w="946" w:type="pct"/>
                  <w:tcBorders>
                    <w:top w:val="single" w:color="auto" w:sz="4" w:space="0"/>
                    <w:left w:val="single" w:color="auto" w:sz="4" w:space="0"/>
                    <w:bottom w:val="single" w:color="auto" w:sz="4" w:space="0"/>
                    <w:right w:val="single" w:color="auto" w:sz="4" w:space="0"/>
                  </w:tcBorders>
                  <w:vAlign w:val="center"/>
                </w:tcPr>
                <w:p>
                  <w:pPr>
                    <w:pStyle w:val="41"/>
                  </w:pPr>
                  <w:r>
                    <w:t>200</w:t>
                  </w:r>
                </w:p>
              </w:tc>
              <w:tc>
                <w:tcPr>
                  <w:tcW w:w="946" w:type="pct"/>
                  <w:tcBorders>
                    <w:top w:val="single" w:color="auto" w:sz="4" w:space="0"/>
                    <w:left w:val="single" w:color="auto" w:sz="4" w:space="0"/>
                    <w:bottom w:val="single" w:color="auto" w:sz="4" w:space="0"/>
                    <w:right w:val="single" w:color="auto" w:sz="4" w:space="0"/>
                  </w:tcBorders>
                  <w:vAlign w:val="center"/>
                </w:tcPr>
                <w:p>
                  <w:pPr>
                    <w:pStyle w:val="41"/>
                  </w:pPr>
                  <w:r>
                    <w:t>80</w:t>
                  </w:r>
                </w:p>
              </w:tc>
              <w:tc>
                <w:tcPr>
                  <w:tcW w:w="753" w:type="pct"/>
                  <w:tcBorders>
                    <w:top w:val="single" w:color="auto" w:sz="4" w:space="0"/>
                    <w:left w:val="single" w:color="auto" w:sz="4" w:space="0"/>
                    <w:bottom w:val="single" w:color="auto" w:sz="4" w:space="0"/>
                    <w:right w:val="single" w:color="auto" w:sz="4" w:space="0"/>
                  </w:tcBorders>
                  <w:vAlign w:val="center"/>
                </w:tcPr>
                <w:p>
                  <w:pPr>
                    <w:pStyle w:val="41"/>
                  </w:pPr>
                  <w:r>
                    <w:t>40</w:t>
                  </w:r>
                </w:p>
              </w:tc>
              <w:tc>
                <w:tcPr>
                  <w:tcW w:w="1409"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6" w:type="pct"/>
                  <w:tcBorders>
                    <w:top w:val="single" w:color="auto" w:sz="4" w:space="0"/>
                    <w:left w:val="single" w:color="auto" w:sz="4" w:space="0"/>
                    <w:bottom w:val="single" w:color="auto" w:sz="4" w:space="0"/>
                    <w:right w:val="single" w:color="auto" w:sz="4" w:space="0"/>
                  </w:tcBorders>
                  <w:vAlign w:val="center"/>
                </w:tcPr>
                <w:p>
                  <w:pPr>
                    <w:pStyle w:val="41"/>
                  </w:pPr>
                  <w:r>
                    <w:t>TSP</w:t>
                  </w:r>
                </w:p>
              </w:tc>
              <w:tc>
                <w:tcPr>
                  <w:tcW w:w="946" w:type="pct"/>
                  <w:tcBorders>
                    <w:top w:val="single" w:color="auto" w:sz="4" w:space="0"/>
                    <w:left w:val="single" w:color="auto" w:sz="4" w:space="0"/>
                    <w:bottom w:val="single" w:color="auto" w:sz="4" w:space="0"/>
                    <w:right w:val="single" w:color="auto" w:sz="4" w:space="0"/>
                  </w:tcBorders>
                  <w:vAlign w:val="center"/>
                </w:tcPr>
                <w:p>
                  <w:pPr>
                    <w:pStyle w:val="41"/>
                  </w:pPr>
                  <w:r>
                    <w:t>/</w:t>
                  </w:r>
                </w:p>
              </w:tc>
              <w:tc>
                <w:tcPr>
                  <w:tcW w:w="946" w:type="pct"/>
                  <w:tcBorders>
                    <w:top w:val="single" w:color="auto" w:sz="4" w:space="0"/>
                    <w:left w:val="single" w:color="auto" w:sz="4" w:space="0"/>
                    <w:bottom w:val="single" w:color="auto" w:sz="4" w:space="0"/>
                    <w:right w:val="single" w:color="auto" w:sz="4" w:space="0"/>
                  </w:tcBorders>
                  <w:vAlign w:val="center"/>
                </w:tcPr>
                <w:p>
                  <w:pPr>
                    <w:pStyle w:val="41"/>
                  </w:pPr>
                  <w:r>
                    <w:t>300</w:t>
                  </w:r>
                </w:p>
              </w:tc>
              <w:tc>
                <w:tcPr>
                  <w:tcW w:w="753" w:type="pct"/>
                  <w:tcBorders>
                    <w:top w:val="single" w:color="auto" w:sz="4" w:space="0"/>
                    <w:left w:val="single" w:color="auto" w:sz="4" w:space="0"/>
                    <w:bottom w:val="single" w:color="auto" w:sz="4" w:space="0"/>
                    <w:right w:val="single" w:color="auto" w:sz="4" w:space="0"/>
                  </w:tcBorders>
                  <w:vAlign w:val="center"/>
                </w:tcPr>
                <w:p>
                  <w:pPr>
                    <w:pStyle w:val="41"/>
                  </w:pPr>
                  <w:r>
                    <w:t>200</w:t>
                  </w:r>
                </w:p>
              </w:tc>
              <w:tc>
                <w:tcPr>
                  <w:tcW w:w="1409"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6" w:type="pct"/>
                  <w:tcBorders>
                    <w:top w:val="single" w:color="auto" w:sz="4" w:space="0"/>
                    <w:left w:val="single" w:color="auto" w:sz="4" w:space="0"/>
                    <w:bottom w:val="single" w:color="auto" w:sz="4" w:space="0"/>
                    <w:right w:val="single" w:color="auto" w:sz="4" w:space="0"/>
                  </w:tcBorders>
                  <w:vAlign w:val="center"/>
                </w:tcPr>
                <w:p>
                  <w:pPr>
                    <w:pStyle w:val="41"/>
                  </w:pPr>
                  <w:r>
                    <w:t>PM</w:t>
                  </w:r>
                  <w:r>
                    <w:rPr>
                      <w:vertAlign w:val="subscript"/>
                    </w:rPr>
                    <w:t>10</w:t>
                  </w:r>
                </w:p>
              </w:tc>
              <w:tc>
                <w:tcPr>
                  <w:tcW w:w="946" w:type="pct"/>
                  <w:tcBorders>
                    <w:top w:val="single" w:color="auto" w:sz="4" w:space="0"/>
                    <w:left w:val="single" w:color="auto" w:sz="4" w:space="0"/>
                    <w:bottom w:val="single" w:color="auto" w:sz="4" w:space="0"/>
                    <w:right w:val="single" w:color="auto" w:sz="4" w:space="0"/>
                  </w:tcBorders>
                  <w:vAlign w:val="center"/>
                </w:tcPr>
                <w:p>
                  <w:pPr>
                    <w:pStyle w:val="41"/>
                  </w:pPr>
                  <w:r>
                    <w:t>/</w:t>
                  </w:r>
                </w:p>
              </w:tc>
              <w:tc>
                <w:tcPr>
                  <w:tcW w:w="946" w:type="pct"/>
                  <w:tcBorders>
                    <w:top w:val="single" w:color="auto" w:sz="4" w:space="0"/>
                    <w:left w:val="single" w:color="auto" w:sz="4" w:space="0"/>
                    <w:bottom w:val="single" w:color="auto" w:sz="4" w:space="0"/>
                    <w:right w:val="single" w:color="auto" w:sz="4" w:space="0"/>
                  </w:tcBorders>
                  <w:vAlign w:val="center"/>
                </w:tcPr>
                <w:p>
                  <w:pPr>
                    <w:pStyle w:val="41"/>
                  </w:pPr>
                  <w:r>
                    <w:t>150</w:t>
                  </w:r>
                </w:p>
              </w:tc>
              <w:tc>
                <w:tcPr>
                  <w:tcW w:w="753" w:type="pct"/>
                  <w:tcBorders>
                    <w:top w:val="single" w:color="auto" w:sz="4" w:space="0"/>
                    <w:left w:val="single" w:color="auto" w:sz="4" w:space="0"/>
                    <w:bottom w:val="single" w:color="auto" w:sz="4" w:space="0"/>
                    <w:right w:val="single" w:color="auto" w:sz="4" w:space="0"/>
                  </w:tcBorders>
                  <w:vAlign w:val="center"/>
                </w:tcPr>
                <w:p>
                  <w:pPr>
                    <w:pStyle w:val="41"/>
                  </w:pPr>
                  <w:r>
                    <w:t>70</w:t>
                  </w:r>
                </w:p>
              </w:tc>
              <w:tc>
                <w:tcPr>
                  <w:tcW w:w="1409"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6" w:type="pct"/>
                  <w:tcBorders>
                    <w:top w:val="single" w:color="auto" w:sz="4" w:space="0"/>
                    <w:left w:val="single" w:color="auto" w:sz="4" w:space="0"/>
                    <w:bottom w:val="single" w:color="auto" w:sz="4" w:space="0"/>
                    <w:right w:val="single" w:color="auto" w:sz="4" w:space="0"/>
                  </w:tcBorders>
                  <w:vAlign w:val="center"/>
                </w:tcPr>
                <w:p>
                  <w:pPr>
                    <w:pStyle w:val="41"/>
                  </w:pPr>
                  <w:r>
                    <w:t>PM</w:t>
                  </w:r>
                  <w:r>
                    <w:rPr>
                      <w:vertAlign w:val="subscript"/>
                    </w:rPr>
                    <w:t>2.5</w:t>
                  </w:r>
                </w:p>
              </w:tc>
              <w:tc>
                <w:tcPr>
                  <w:tcW w:w="946" w:type="pct"/>
                  <w:tcBorders>
                    <w:top w:val="single" w:color="auto" w:sz="4" w:space="0"/>
                    <w:left w:val="single" w:color="auto" w:sz="4" w:space="0"/>
                    <w:bottom w:val="single" w:color="auto" w:sz="4" w:space="0"/>
                    <w:right w:val="single" w:color="auto" w:sz="4" w:space="0"/>
                  </w:tcBorders>
                  <w:vAlign w:val="center"/>
                </w:tcPr>
                <w:p>
                  <w:pPr>
                    <w:pStyle w:val="41"/>
                  </w:pPr>
                  <w:r>
                    <w:t>/</w:t>
                  </w:r>
                </w:p>
              </w:tc>
              <w:tc>
                <w:tcPr>
                  <w:tcW w:w="946" w:type="pct"/>
                  <w:tcBorders>
                    <w:top w:val="single" w:color="auto" w:sz="4" w:space="0"/>
                    <w:left w:val="single" w:color="auto" w:sz="4" w:space="0"/>
                    <w:bottom w:val="single" w:color="auto" w:sz="4" w:space="0"/>
                    <w:right w:val="single" w:color="auto" w:sz="4" w:space="0"/>
                  </w:tcBorders>
                  <w:vAlign w:val="center"/>
                </w:tcPr>
                <w:p>
                  <w:pPr>
                    <w:pStyle w:val="41"/>
                  </w:pPr>
                  <w:r>
                    <w:t>75</w:t>
                  </w:r>
                </w:p>
              </w:tc>
              <w:tc>
                <w:tcPr>
                  <w:tcW w:w="753" w:type="pct"/>
                  <w:tcBorders>
                    <w:top w:val="single" w:color="auto" w:sz="4" w:space="0"/>
                    <w:left w:val="single" w:color="auto" w:sz="4" w:space="0"/>
                    <w:bottom w:val="single" w:color="auto" w:sz="4" w:space="0"/>
                    <w:right w:val="single" w:color="auto" w:sz="4" w:space="0"/>
                  </w:tcBorders>
                  <w:vAlign w:val="center"/>
                </w:tcPr>
                <w:p>
                  <w:pPr>
                    <w:pStyle w:val="41"/>
                  </w:pPr>
                  <w:r>
                    <w:t>35</w:t>
                  </w:r>
                </w:p>
              </w:tc>
              <w:tc>
                <w:tcPr>
                  <w:tcW w:w="1409"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bl>
          <w:p>
            <w:pPr>
              <w:pStyle w:val="71"/>
              <w:spacing w:before="163"/>
              <w:ind w:firstLine="31680"/>
            </w:pPr>
            <w:r>
              <w:t>2</w:t>
            </w:r>
            <w:r>
              <w:rPr>
                <w:rFonts w:hint="eastAsia"/>
              </w:rPr>
              <w:t>、地表水环境质量</w:t>
            </w:r>
          </w:p>
          <w:p>
            <w:pPr>
              <w:pStyle w:val="36"/>
              <w:ind w:firstLine="31680"/>
            </w:pPr>
            <w:r>
              <w:rPr>
                <w:rFonts w:hint="eastAsia"/>
              </w:rPr>
              <w:t>本项目属于芒市大河汇水范围，芒市大河位于本项目西侧</w:t>
            </w:r>
            <w:r>
              <w:t>80m</w:t>
            </w:r>
            <w:r>
              <w:rPr>
                <w:rFonts w:hint="eastAsia"/>
              </w:rPr>
              <w:t>处。根据《云南省地表水水环境功能区划》（</w:t>
            </w:r>
            <w:r>
              <w:t>2010-2020</w:t>
            </w:r>
            <w:r>
              <w:rPr>
                <w:rFonts w:hint="eastAsia"/>
              </w:rPr>
              <w:t>年），芒市大河木康断面</w:t>
            </w:r>
            <w:r>
              <w:t>——</w:t>
            </w:r>
            <w:r>
              <w:rPr>
                <w:rFonts w:hint="eastAsia"/>
              </w:rPr>
              <w:t>入瑞丽江口，功能为农业用水、工业用水，执行《地表水环境质量标准》（</w:t>
            </w:r>
            <w:r>
              <w:t>GB3838-2002</w:t>
            </w:r>
            <w:r>
              <w:rPr>
                <w:rFonts w:hint="eastAsia"/>
              </w:rPr>
              <w:t>）中的</w:t>
            </w:r>
            <w:r>
              <w:rPr>
                <w:rFonts w:hint="eastAsia" w:cs="宋体"/>
              </w:rPr>
              <w:t>Ⅲ</w:t>
            </w:r>
            <w:r>
              <w:rPr>
                <w:rFonts w:hint="eastAsia"/>
              </w:rPr>
              <w:t>类标准，标准值见表</w:t>
            </w:r>
            <w:r>
              <w:t>4-2</w:t>
            </w:r>
            <w:r>
              <w:rPr>
                <w:rFonts w:hint="eastAsia"/>
              </w:rPr>
              <w:t>。</w:t>
            </w:r>
          </w:p>
          <w:p>
            <w:pPr>
              <w:pStyle w:val="47"/>
              <w:ind w:firstLine="480"/>
            </w:pPr>
            <w:r>
              <w:rPr>
                <w:rFonts w:hint="eastAsia"/>
              </w:rPr>
              <w:t>表</w:t>
            </w:r>
            <w:r>
              <w:t xml:space="preserve">4-2 </w:t>
            </w:r>
            <w:r>
              <w:rPr>
                <w:rFonts w:hint="eastAsia"/>
              </w:rPr>
              <w:t>地表水环境质量标准</w:t>
            </w:r>
            <w:r>
              <w:t xml:space="preserve">  </w:t>
            </w:r>
            <w:r>
              <w:rPr>
                <w:rFonts w:hint="eastAsia"/>
              </w:rPr>
              <w:t>单位：</w:t>
            </w:r>
            <w:r>
              <w:t>mg/L</w:t>
            </w:r>
          </w:p>
          <w:tbl>
            <w:tblPr>
              <w:tblStyle w:val="2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11"/>
              <w:gridCol w:w="1015"/>
              <w:gridCol w:w="1008"/>
              <w:gridCol w:w="1090"/>
              <w:gridCol w:w="1034"/>
              <w:gridCol w:w="1034"/>
              <w:gridCol w:w="1034"/>
              <w:gridCol w:w="13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1"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项目</w:t>
                  </w:r>
                </w:p>
              </w:tc>
              <w:tc>
                <w:tcPr>
                  <w:tcW w:w="586" w:type="pct"/>
                  <w:tcBorders>
                    <w:top w:val="single" w:color="auto" w:sz="6" w:space="0"/>
                    <w:left w:val="single" w:color="auto" w:sz="6" w:space="0"/>
                    <w:bottom w:val="single" w:color="auto" w:sz="6" w:space="0"/>
                    <w:right w:val="single" w:color="auto" w:sz="6" w:space="0"/>
                  </w:tcBorders>
                  <w:vAlign w:val="center"/>
                </w:tcPr>
                <w:p>
                  <w:pPr>
                    <w:pStyle w:val="41"/>
                  </w:pPr>
                  <w:r>
                    <w:t>PH</w:t>
                  </w:r>
                </w:p>
              </w:tc>
              <w:tc>
                <w:tcPr>
                  <w:tcW w:w="582" w:type="pct"/>
                  <w:tcBorders>
                    <w:top w:val="single" w:color="auto" w:sz="6" w:space="0"/>
                    <w:left w:val="single" w:color="auto" w:sz="6" w:space="0"/>
                    <w:bottom w:val="single" w:color="auto" w:sz="6" w:space="0"/>
                    <w:right w:val="single" w:color="auto" w:sz="6" w:space="0"/>
                  </w:tcBorders>
                  <w:vAlign w:val="center"/>
                </w:tcPr>
                <w:p>
                  <w:pPr>
                    <w:pStyle w:val="41"/>
                  </w:pPr>
                  <w:r>
                    <w:t>COD</w:t>
                  </w:r>
                </w:p>
              </w:tc>
              <w:tc>
                <w:tcPr>
                  <w:tcW w:w="629" w:type="pct"/>
                  <w:tcBorders>
                    <w:top w:val="single" w:color="auto" w:sz="6" w:space="0"/>
                    <w:left w:val="single" w:color="auto" w:sz="6" w:space="0"/>
                    <w:bottom w:val="single" w:color="auto" w:sz="6" w:space="0"/>
                    <w:right w:val="single" w:color="auto" w:sz="6" w:space="0"/>
                  </w:tcBorders>
                  <w:vAlign w:val="center"/>
                </w:tcPr>
                <w:p>
                  <w:pPr>
                    <w:pStyle w:val="41"/>
                  </w:pPr>
                  <w:r>
                    <w:t>BOD</w:t>
                  </w:r>
                  <w:r>
                    <w:rPr>
                      <w:vertAlign w:val="subscript"/>
                    </w:rPr>
                    <w:t>5</w:t>
                  </w:r>
                </w:p>
              </w:tc>
              <w:tc>
                <w:tcPr>
                  <w:tcW w:w="597"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氨氮</w:t>
                  </w:r>
                </w:p>
              </w:tc>
              <w:tc>
                <w:tcPr>
                  <w:tcW w:w="597"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总氮</w:t>
                  </w:r>
                </w:p>
              </w:tc>
              <w:tc>
                <w:tcPr>
                  <w:tcW w:w="597"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总磷</w:t>
                  </w:r>
                </w:p>
              </w:tc>
              <w:tc>
                <w:tcPr>
                  <w:tcW w:w="770"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石油类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1"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Ⅲ类标准</w:t>
                  </w:r>
                </w:p>
              </w:tc>
              <w:tc>
                <w:tcPr>
                  <w:tcW w:w="586" w:type="pct"/>
                  <w:tcBorders>
                    <w:top w:val="single" w:color="auto" w:sz="6" w:space="0"/>
                    <w:left w:val="single" w:color="auto" w:sz="6" w:space="0"/>
                    <w:bottom w:val="single" w:color="auto" w:sz="6" w:space="0"/>
                    <w:right w:val="single" w:color="auto" w:sz="6" w:space="0"/>
                  </w:tcBorders>
                  <w:vAlign w:val="center"/>
                </w:tcPr>
                <w:p>
                  <w:pPr>
                    <w:pStyle w:val="41"/>
                  </w:pPr>
                  <w:r>
                    <w:t>6-9</w:t>
                  </w:r>
                </w:p>
              </w:tc>
              <w:tc>
                <w:tcPr>
                  <w:tcW w:w="582"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w:t>
                  </w:r>
                  <w:r>
                    <w:t>20</w:t>
                  </w:r>
                </w:p>
              </w:tc>
              <w:tc>
                <w:tcPr>
                  <w:tcW w:w="629"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w:t>
                  </w:r>
                  <w:r>
                    <w:t>4</w:t>
                  </w:r>
                </w:p>
              </w:tc>
              <w:tc>
                <w:tcPr>
                  <w:tcW w:w="597"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w:t>
                  </w:r>
                  <w:r>
                    <w:t>1.0</w:t>
                  </w:r>
                </w:p>
              </w:tc>
              <w:tc>
                <w:tcPr>
                  <w:tcW w:w="597"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w:t>
                  </w:r>
                  <w:r>
                    <w:t>1.0</w:t>
                  </w:r>
                </w:p>
              </w:tc>
              <w:tc>
                <w:tcPr>
                  <w:tcW w:w="597"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w:t>
                  </w:r>
                  <w:r>
                    <w:t>0.2</w:t>
                  </w:r>
                </w:p>
              </w:tc>
              <w:tc>
                <w:tcPr>
                  <w:tcW w:w="770"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w:t>
                  </w:r>
                  <w:r>
                    <w:t>0.05</w:t>
                  </w:r>
                </w:p>
              </w:tc>
            </w:tr>
          </w:tbl>
          <w:p>
            <w:pPr>
              <w:pStyle w:val="71"/>
              <w:spacing w:before="163"/>
              <w:ind w:firstLine="31680"/>
            </w:pPr>
            <w:r>
              <w:t>3</w:t>
            </w:r>
            <w:r>
              <w:rPr>
                <w:rFonts w:hint="eastAsia"/>
              </w:rPr>
              <w:t>、声环境质量</w:t>
            </w:r>
          </w:p>
          <w:p>
            <w:pPr>
              <w:pStyle w:val="36"/>
              <w:ind w:firstLine="31680"/>
            </w:pPr>
            <w:r>
              <w:rPr>
                <w:rFonts w:hint="eastAsia"/>
              </w:rPr>
              <w:t>本项目所在区域以居住、工业混杂为主要功能，执行《声环境质量标准》（</w:t>
            </w:r>
            <w:r>
              <w:t>GB3096-2008</w:t>
            </w:r>
            <w:r>
              <w:rPr>
                <w:rFonts w:hint="eastAsia"/>
              </w:rPr>
              <w:t>）</w:t>
            </w:r>
            <w:r>
              <w:t>2</w:t>
            </w:r>
            <w:r>
              <w:rPr>
                <w:rFonts w:hint="eastAsia"/>
              </w:rPr>
              <w:t>类区标准，标准限值见表</w:t>
            </w:r>
            <w:r>
              <w:t>4-3</w:t>
            </w:r>
            <w:r>
              <w:rPr>
                <w:rFonts w:hint="eastAsia"/>
              </w:rPr>
              <w:t>。</w:t>
            </w:r>
          </w:p>
          <w:p>
            <w:pPr>
              <w:pStyle w:val="47"/>
              <w:ind w:firstLine="482"/>
            </w:pPr>
            <w:r>
              <w:rPr>
                <w:rFonts w:hint="eastAsia"/>
              </w:rPr>
              <w:t>表</w:t>
            </w:r>
            <w:r>
              <w:t xml:space="preserve">4-3 </w:t>
            </w:r>
            <w:r>
              <w:rPr>
                <w:rFonts w:hint="eastAsia"/>
              </w:rPr>
              <w:t>声环境质量标准限值</w:t>
            </w:r>
            <w:r>
              <w:t xml:space="preserve">  </w:t>
            </w:r>
            <w:r>
              <w:rPr>
                <w:rFonts w:hint="eastAsia"/>
              </w:rPr>
              <w:t>单位：</w:t>
            </w:r>
            <w:r>
              <w:t>dB(A)</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17"/>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8"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声环境功能区类</w:t>
                  </w:r>
                </w:p>
              </w:tc>
              <w:tc>
                <w:tcPr>
                  <w:tcW w:w="3292" w:type="pct"/>
                  <w:gridSpan w:val="2"/>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8"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683"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昼间</w:t>
                  </w:r>
                </w:p>
              </w:tc>
              <w:tc>
                <w:tcPr>
                  <w:tcW w:w="160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8" w:type="pct"/>
                  <w:tcBorders>
                    <w:top w:val="single" w:color="auto" w:sz="4" w:space="0"/>
                    <w:left w:val="single" w:color="auto" w:sz="4" w:space="0"/>
                    <w:bottom w:val="single" w:color="auto" w:sz="4" w:space="0"/>
                    <w:right w:val="single" w:color="auto" w:sz="4" w:space="0"/>
                  </w:tcBorders>
                  <w:vAlign w:val="center"/>
                </w:tcPr>
                <w:p>
                  <w:pPr>
                    <w:pStyle w:val="41"/>
                  </w:pPr>
                  <w:r>
                    <w:t>2</w:t>
                  </w:r>
                  <w:r>
                    <w:rPr>
                      <w:rFonts w:hint="eastAsia"/>
                    </w:rPr>
                    <w:t>类</w:t>
                  </w:r>
                </w:p>
              </w:tc>
              <w:tc>
                <w:tcPr>
                  <w:tcW w:w="1683" w:type="pct"/>
                  <w:tcBorders>
                    <w:top w:val="single" w:color="auto" w:sz="4" w:space="0"/>
                    <w:left w:val="single" w:color="auto" w:sz="4" w:space="0"/>
                    <w:bottom w:val="single" w:color="auto" w:sz="4" w:space="0"/>
                    <w:right w:val="single" w:color="auto" w:sz="4" w:space="0"/>
                  </w:tcBorders>
                  <w:vAlign w:val="center"/>
                </w:tcPr>
                <w:p>
                  <w:pPr>
                    <w:pStyle w:val="41"/>
                  </w:pPr>
                  <w:r>
                    <w:t>60</w:t>
                  </w:r>
                </w:p>
              </w:tc>
              <w:tc>
                <w:tcPr>
                  <w:tcW w:w="1609" w:type="pct"/>
                  <w:tcBorders>
                    <w:top w:val="single" w:color="auto" w:sz="4" w:space="0"/>
                    <w:left w:val="single" w:color="auto" w:sz="4" w:space="0"/>
                    <w:bottom w:val="single" w:color="auto" w:sz="4" w:space="0"/>
                    <w:right w:val="single" w:color="auto" w:sz="4" w:space="0"/>
                  </w:tcBorders>
                  <w:vAlign w:val="center"/>
                </w:tcPr>
                <w:p>
                  <w:pPr>
                    <w:pStyle w:val="41"/>
                  </w:pPr>
                  <w:r>
                    <w:t>50</w:t>
                  </w:r>
                </w:p>
              </w:tc>
            </w:tr>
          </w:tbl>
          <w:p>
            <w:pPr>
              <w:ind w:firstLine="0" w:firstLineChars="0"/>
            </w:pPr>
          </w:p>
          <w:p>
            <w:pPr>
              <w:ind w:firstLine="0" w:firstLineChars="0"/>
            </w:pPr>
          </w:p>
          <w:p>
            <w:pPr>
              <w:ind w:firstLine="0" w:firstLineChars="0"/>
            </w:pPr>
          </w:p>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ind w:firstLine="0" w:firstLineChars="0"/>
              <w:jc w:val="center"/>
            </w:pPr>
            <w:r>
              <w:rPr>
                <w:rFonts w:hint="eastAsia"/>
              </w:rPr>
              <w:t>染物排放标准</w:t>
            </w:r>
          </w:p>
        </w:tc>
        <w:tc>
          <w:tcPr>
            <w:tcW w:w="8892" w:type="dxa"/>
          </w:tcPr>
          <w:p>
            <w:pPr>
              <w:pStyle w:val="75"/>
              <w:ind w:firstLine="31680"/>
              <w:rPr>
                <w:color w:val="auto"/>
              </w:rPr>
            </w:pPr>
            <w:r>
              <w:rPr>
                <w:color w:val="auto"/>
              </w:rPr>
              <w:t>1</w:t>
            </w:r>
            <w:r>
              <w:rPr>
                <w:rFonts w:hint="eastAsia"/>
                <w:color w:val="auto"/>
              </w:rPr>
              <w:t>、废气</w:t>
            </w:r>
          </w:p>
          <w:p>
            <w:pPr>
              <w:pStyle w:val="36"/>
              <w:ind w:firstLine="31680"/>
            </w:pPr>
            <w:r>
              <w:rPr>
                <w:rFonts w:hint="eastAsia"/>
              </w:rPr>
              <w:t>（</w:t>
            </w:r>
            <w:r>
              <w:t>1</w:t>
            </w:r>
            <w:r>
              <w:rPr>
                <w:rFonts w:hint="eastAsia"/>
              </w:rPr>
              <w:t>）施工期</w:t>
            </w:r>
          </w:p>
          <w:p>
            <w:pPr>
              <w:pStyle w:val="36"/>
              <w:ind w:firstLine="31680"/>
            </w:pPr>
            <w:r>
              <w:rPr>
                <w:rFonts w:hint="eastAsia"/>
              </w:rPr>
              <w:t>项目施工期产生的主要大气污染物为施工扬尘，扬尘执行</w:t>
            </w:r>
            <w:r>
              <w:t>GB16297-1996</w:t>
            </w:r>
            <w:r>
              <w:rPr>
                <w:rFonts w:hint="eastAsia"/>
              </w:rPr>
              <w:t>《大气污染物综合排放标准》无组织排放浓度限值，标准值见表</w:t>
            </w:r>
            <w:r>
              <w:t>4-4</w:t>
            </w:r>
            <w:r>
              <w:rPr>
                <w:rFonts w:hint="eastAsia"/>
              </w:rPr>
              <w:t>。</w:t>
            </w:r>
          </w:p>
          <w:p>
            <w:pPr>
              <w:pStyle w:val="47"/>
              <w:ind w:firstLine="480"/>
              <w:rPr>
                <w:bCs/>
              </w:rPr>
            </w:pPr>
            <w:r>
              <w:rPr>
                <w:rFonts w:hint="eastAsia"/>
                <w:bCs/>
              </w:rPr>
              <w:t>表</w:t>
            </w:r>
            <w:r>
              <w:rPr>
                <w:bCs/>
              </w:rPr>
              <w:t xml:space="preserve">4-4 </w:t>
            </w:r>
            <w:r>
              <w:rPr>
                <w:rFonts w:hint="eastAsia"/>
              </w:rPr>
              <w:t>大气污染物综合排放标准</w:t>
            </w:r>
            <w:r>
              <w:t xml:space="preserve">  </w:t>
            </w:r>
            <w:r>
              <w:rPr>
                <w:rFonts w:hint="eastAsia"/>
              </w:rPr>
              <w:t>单位：</w:t>
            </w:r>
            <w:r>
              <w:t>mg/m</w:t>
            </w:r>
            <w:r>
              <w:rPr>
                <w:vertAlign w:val="superscript"/>
              </w:rPr>
              <w:t>3</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50"/>
              <w:gridCol w:w="3050"/>
              <w:gridCol w:w="25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764" w:type="pct"/>
                  <w:vMerge w:val="restar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污染物</w:t>
                  </w:r>
                </w:p>
              </w:tc>
              <w:tc>
                <w:tcPr>
                  <w:tcW w:w="3236" w:type="pct"/>
                  <w:gridSpan w:val="2"/>
                  <w:tcBorders>
                    <w:top w:val="single" w:color="auto" w:sz="6" w:space="0"/>
                    <w:left w:val="single" w:color="auto" w:sz="6" w:space="0"/>
                    <w:bottom w:val="single" w:color="auto" w:sz="6" w:space="0"/>
                    <w:right w:val="single" w:color="auto" w:sz="6" w:space="0"/>
                  </w:tcBorders>
                  <w:vAlign w:val="center"/>
                </w:tcPr>
                <w:p>
                  <w:pPr>
                    <w:pStyle w:val="41"/>
                  </w:pPr>
                  <w:r>
                    <w:rPr>
                      <w:rFonts w:hint="eastAsia"/>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764" w:type="pct"/>
                  <w:vMerge w:val="continue"/>
                  <w:tcBorders>
                    <w:top w:val="single" w:color="auto" w:sz="6" w:space="0"/>
                    <w:left w:val="single" w:color="auto" w:sz="6" w:space="0"/>
                    <w:bottom w:val="single" w:color="auto" w:sz="6" w:space="0"/>
                    <w:right w:val="single" w:color="auto" w:sz="6" w:space="0"/>
                  </w:tcBorders>
                  <w:vAlign w:val="center"/>
                </w:tcPr>
                <w:p>
                  <w:pPr>
                    <w:pStyle w:val="41"/>
                  </w:pPr>
                </w:p>
              </w:tc>
              <w:tc>
                <w:tcPr>
                  <w:tcW w:w="1764"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浓度</w:t>
                  </w:r>
                </w:p>
              </w:tc>
              <w:tc>
                <w:tcPr>
                  <w:tcW w:w="1472"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监控点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764" w:type="pct"/>
                  <w:tcBorders>
                    <w:top w:val="single" w:color="auto" w:sz="6" w:space="0"/>
                    <w:left w:val="single" w:color="auto" w:sz="6" w:space="0"/>
                    <w:bottom w:val="single" w:color="auto" w:sz="6" w:space="0"/>
                    <w:right w:val="single" w:color="auto" w:sz="4" w:space="0"/>
                  </w:tcBorders>
                  <w:vAlign w:val="center"/>
                </w:tcPr>
                <w:p>
                  <w:pPr>
                    <w:pStyle w:val="41"/>
                  </w:pPr>
                  <w:r>
                    <w:rPr>
                      <w:rFonts w:hint="eastAsia"/>
                    </w:rPr>
                    <w:t>颗粒物</w:t>
                  </w:r>
                </w:p>
              </w:tc>
              <w:tc>
                <w:tcPr>
                  <w:tcW w:w="1764" w:type="pct"/>
                  <w:tcBorders>
                    <w:top w:val="single" w:color="auto" w:sz="6" w:space="0"/>
                    <w:left w:val="single" w:color="auto" w:sz="6" w:space="0"/>
                    <w:bottom w:val="single" w:color="auto" w:sz="6" w:space="0"/>
                    <w:right w:val="single" w:color="auto" w:sz="4" w:space="0"/>
                  </w:tcBorders>
                  <w:vAlign w:val="center"/>
                </w:tcPr>
                <w:p>
                  <w:pPr>
                    <w:pStyle w:val="41"/>
                  </w:pPr>
                  <w:r>
                    <w:t>1.0</w:t>
                  </w:r>
                </w:p>
              </w:tc>
              <w:tc>
                <w:tcPr>
                  <w:tcW w:w="1472" w:type="pct"/>
                  <w:tcBorders>
                    <w:top w:val="single" w:color="auto" w:sz="6" w:space="0"/>
                    <w:left w:val="single" w:color="auto" w:sz="4" w:space="0"/>
                    <w:bottom w:val="single" w:color="auto" w:sz="6" w:space="0"/>
                    <w:right w:val="single" w:color="auto" w:sz="6" w:space="0"/>
                  </w:tcBorders>
                  <w:vAlign w:val="center"/>
                </w:tcPr>
                <w:p>
                  <w:pPr>
                    <w:pStyle w:val="41"/>
                  </w:pPr>
                  <w:r>
                    <w:rPr>
                      <w:rFonts w:hint="eastAsia"/>
                    </w:rPr>
                    <w:t>周界外浓度最高点</w:t>
                  </w:r>
                </w:p>
              </w:tc>
            </w:tr>
          </w:tbl>
          <w:p>
            <w:pPr>
              <w:pStyle w:val="36"/>
              <w:ind w:firstLine="31680"/>
            </w:pPr>
            <w:r>
              <w:rPr>
                <w:rFonts w:hint="eastAsia"/>
              </w:rPr>
              <w:t>（</w:t>
            </w:r>
            <w:r>
              <w:t>2</w:t>
            </w:r>
            <w:r>
              <w:rPr>
                <w:rFonts w:hint="eastAsia"/>
              </w:rPr>
              <w:t>）运营期</w:t>
            </w:r>
          </w:p>
          <w:p>
            <w:pPr>
              <w:pStyle w:val="36"/>
              <w:ind w:firstLine="31680"/>
            </w:pPr>
            <w:r>
              <w:rPr>
                <w:rFonts w:hint="eastAsia"/>
              </w:rPr>
              <w:t>项目运营期生产过程中产生的无组织排放污染物主要为木屑粉尘和油漆废气，油漆废气主要为甲苯、二甲苯废气。木屑粉尘和甲苯、二甲苯废气均执行</w:t>
            </w:r>
            <w:r>
              <w:t>GB16297-1996</w:t>
            </w:r>
            <w:r>
              <w:rPr>
                <w:rFonts w:hint="eastAsia"/>
              </w:rPr>
              <w:t>《大气污染物综合排放标准》表</w:t>
            </w:r>
            <w:r>
              <w:t>2</w:t>
            </w:r>
            <w:r>
              <w:rPr>
                <w:rFonts w:hint="eastAsia"/>
              </w:rPr>
              <w:t>中新污染源大气污染物排放限值无组织排放浓度，标准值见表</w:t>
            </w:r>
            <w:r>
              <w:t>4-5</w:t>
            </w:r>
            <w:r>
              <w:rPr>
                <w:rFonts w:hint="eastAsia"/>
              </w:rPr>
              <w:t>。</w:t>
            </w:r>
          </w:p>
          <w:p>
            <w:pPr>
              <w:pStyle w:val="47"/>
              <w:ind w:firstLine="482"/>
            </w:pPr>
            <w:r>
              <w:rPr>
                <w:rFonts w:hint="eastAsia"/>
              </w:rPr>
              <w:t>表</w:t>
            </w:r>
            <w:r>
              <w:t xml:space="preserve">4-5 </w:t>
            </w:r>
            <w:r>
              <w:rPr>
                <w:rFonts w:hint="eastAsia"/>
              </w:rPr>
              <w:t>大气污染物综合排放标准</w:t>
            </w:r>
          </w:p>
          <w:tbl>
            <w:tblPr>
              <w:tblStyle w:val="2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330"/>
              <w:gridCol w:w="43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00"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项目</w:t>
                  </w:r>
                </w:p>
              </w:tc>
              <w:tc>
                <w:tcPr>
                  <w:tcW w:w="2500"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无组织排放监控浓度限制（</w:t>
                  </w:r>
                  <w:r>
                    <w:t>mg/m3</w:t>
                  </w:r>
                  <w:r>
                    <w:rPr>
                      <w:rFonts w:hint="eastAsi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00"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颗粒物</w:t>
                  </w:r>
                </w:p>
              </w:tc>
              <w:tc>
                <w:tcPr>
                  <w:tcW w:w="2500" w:type="pct"/>
                  <w:tcBorders>
                    <w:top w:val="single" w:color="auto" w:sz="6" w:space="0"/>
                    <w:left w:val="single" w:color="auto" w:sz="6" w:space="0"/>
                    <w:bottom w:val="single" w:color="auto" w:sz="6" w:space="0"/>
                    <w:right w:val="single" w:color="auto" w:sz="6" w:space="0"/>
                  </w:tcBorders>
                  <w:vAlign w:val="center"/>
                </w:tcPr>
                <w:p>
                  <w:pPr>
                    <w:pStyle w:val="41"/>
                  </w:pPr>
                  <w: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00"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甲苯</w:t>
                  </w:r>
                </w:p>
              </w:tc>
              <w:tc>
                <w:tcPr>
                  <w:tcW w:w="2500" w:type="pct"/>
                  <w:tcBorders>
                    <w:top w:val="single" w:color="auto" w:sz="6" w:space="0"/>
                    <w:left w:val="single" w:color="auto" w:sz="6" w:space="0"/>
                    <w:bottom w:val="single" w:color="auto" w:sz="6" w:space="0"/>
                    <w:right w:val="single" w:color="auto" w:sz="6" w:space="0"/>
                  </w:tcBorders>
                  <w:vAlign w:val="center"/>
                </w:tcPr>
                <w:p>
                  <w:pPr>
                    <w:pStyle w:val="41"/>
                  </w:pPr>
                  <w:r>
                    <w:t>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00" w:type="pct"/>
                  <w:tcBorders>
                    <w:top w:val="single" w:color="auto" w:sz="6" w:space="0"/>
                    <w:left w:val="single" w:color="auto" w:sz="6" w:space="0"/>
                    <w:bottom w:val="single" w:color="auto" w:sz="6" w:space="0"/>
                    <w:right w:val="single" w:color="auto" w:sz="6" w:space="0"/>
                  </w:tcBorders>
                  <w:vAlign w:val="center"/>
                </w:tcPr>
                <w:p>
                  <w:pPr>
                    <w:pStyle w:val="41"/>
                  </w:pPr>
                  <w:r>
                    <w:rPr>
                      <w:rFonts w:hint="eastAsia"/>
                    </w:rPr>
                    <w:t>二甲苯</w:t>
                  </w:r>
                </w:p>
              </w:tc>
              <w:tc>
                <w:tcPr>
                  <w:tcW w:w="2500" w:type="pct"/>
                  <w:tcBorders>
                    <w:top w:val="single" w:color="auto" w:sz="6" w:space="0"/>
                    <w:left w:val="single" w:color="auto" w:sz="6" w:space="0"/>
                    <w:bottom w:val="single" w:color="auto" w:sz="6" w:space="0"/>
                    <w:right w:val="single" w:color="auto" w:sz="6" w:space="0"/>
                  </w:tcBorders>
                  <w:vAlign w:val="center"/>
                </w:tcPr>
                <w:p>
                  <w:pPr>
                    <w:pStyle w:val="41"/>
                  </w:pPr>
                  <w:r>
                    <w:t>1.2</w:t>
                  </w:r>
                </w:p>
              </w:tc>
            </w:tr>
          </w:tbl>
          <w:p>
            <w:pPr>
              <w:pStyle w:val="71"/>
              <w:spacing w:before="163"/>
              <w:ind w:firstLine="31680"/>
            </w:pPr>
            <w:r>
              <w:t>2</w:t>
            </w:r>
            <w:r>
              <w:rPr>
                <w:rFonts w:hint="eastAsia"/>
              </w:rPr>
              <w:t>、废水</w:t>
            </w:r>
          </w:p>
          <w:p>
            <w:pPr>
              <w:pStyle w:val="36"/>
              <w:ind w:firstLine="31680"/>
              <w:rPr>
                <w:b/>
              </w:rPr>
            </w:pPr>
            <w:r>
              <w:rPr>
                <w:rFonts w:hint="eastAsia"/>
              </w:rPr>
              <w:t>本项目施工期废水合理利用，且项目运营期无生产废水产生，废水主要是生活废水，经化粪池处理后，委托附近村民定期清掏，用于农灌施肥，不外排。固本项目无废水排放，不设排放标准。</w:t>
            </w:r>
          </w:p>
          <w:p>
            <w:pPr>
              <w:pStyle w:val="75"/>
              <w:ind w:firstLine="31680"/>
              <w:rPr>
                <w:color w:val="auto"/>
              </w:rPr>
            </w:pPr>
            <w:r>
              <w:rPr>
                <w:color w:val="auto"/>
              </w:rPr>
              <w:t>3</w:t>
            </w:r>
            <w:r>
              <w:rPr>
                <w:rFonts w:hint="eastAsia"/>
                <w:color w:val="auto"/>
              </w:rPr>
              <w:t>、噪声</w:t>
            </w:r>
          </w:p>
          <w:p>
            <w:pPr>
              <w:pStyle w:val="36"/>
              <w:ind w:firstLine="31680"/>
            </w:pPr>
            <w:r>
              <w:rPr>
                <w:rFonts w:hint="eastAsia"/>
              </w:rPr>
              <w:t>（</w:t>
            </w:r>
            <w:r>
              <w:t>1</w:t>
            </w:r>
            <w:r>
              <w:rPr>
                <w:rFonts w:hint="eastAsia"/>
              </w:rPr>
              <w:t>）施工期</w:t>
            </w:r>
          </w:p>
          <w:p>
            <w:pPr>
              <w:pStyle w:val="36"/>
              <w:ind w:firstLine="31680"/>
            </w:pPr>
            <w:r>
              <w:rPr>
                <w:rFonts w:hint="eastAsia"/>
              </w:rPr>
              <w:t>项目施工期噪声排放执行</w:t>
            </w:r>
            <w:r>
              <w:t>GB12523-2011</w:t>
            </w:r>
            <w:r>
              <w:rPr>
                <w:rFonts w:hint="eastAsia"/>
              </w:rPr>
              <w:t>《建筑施工场界环境噪声排放标准》。标准值见表</w:t>
            </w:r>
            <w:r>
              <w:t>4-6</w:t>
            </w:r>
            <w:r>
              <w:rPr>
                <w:rFonts w:hint="eastAsia"/>
              </w:rPr>
              <w:t>。</w:t>
            </w:r>
          </w:p>
          <w:p>
            <w:pPr>
              <w:pStyle w:val="47"/>
              <w:ind w:firstLine="480"/>
            </w:pPr>
            <w:r>
              <w:rPr>
                <w:rFonts w:hint="eastAsia"/>
              </w:rPr>
              <w:t>表</w:t>
            </w:r>
            <w:r>
              <w:t xml:space="preserve">4-6 </w:t>
            </w:r>
            <w:r>
              <w:rPr>
                <w:rFonts w:hint="eastAsia"/>
              </w:rPr>
              <w:t>建筑施工场界环境噪声排放标准单位：</w:t>
            </w:r>
            <w:r>
              <w:t>dB(A)</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4"/>
              <w:gridCol w:w="4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483"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昼间</w:t>
                  </w:r>
                </w:p>
              </w:tc>
              <w:tc>
                <w:tcPr>
                  <w:tcW w:w="251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3" w:type="pct"/>
                  <w:tcBorders>
                    <w:top w:val="single" w:color="auto" w:sz="4" w:space="0"/>
                    <w:left w:val="single" w:color="auto" w:sz="4" w:space="0"/>
                    <w:bottom w:val="single" w:color="auto" w:sz="4" w:space="0"/>
                    <w:right w:val="single" w:color="auto" w:sz="4" w:space="0"/>
                  </w:tcBorders>
                  <w:vAlign w:val="center"/>
                </w:tcPr>
                <w:p>
                  <w:pPr>
                    <w:pStyle w:val="41"/>
                  </w:pPr>
                  <w:r>
                    <w:t>70</w:t>
                  </w:r>
                </w:p>
              </w:tc>
              <w:tc>
                <w:tcPr>
                  <w:tcW w:w="2517" w:type="pct"/>
                  <w:tcBorders>
                    <w:top w:val="single" w:color="auto" w:sz="4" w:space="0"/>
                    <w:left w:val="single" w:color="auto" w:sz="4" w:space="0"/>
                    <w:bottom w:val="single" w:color="auto" w:sz="4" w:space="0"/>
                    <w:right w:val="single" w:color="auto" w:sz="4" w:space="0"/>
                  </w:tcBorders>
                  <w:vAlign w:val="center"/>
                </w:tcPr>
                <w:p>
                  <w:pPr>
                    <w:pStyle w:val="41"/>
                  </w:pPr>
                  <w:r>
                    <w:t>55</w:t>
                  </w:r>
                </w:p>
              </w:tc>
            </w:tr>
          </w:tbl>
          <w:p>
            <w:pPr>
              <w:pStyle w:val="57"/>
              <w:ind w:firstLine="480"/>
            </w:pPr>
          </w:p>
          <w:p>
            <w:pPr>
              <w:pStyle w:val="57"/>
              <w:ind w:firstLine="480"/>
            </w:pPr>
          </w:p>
          <w:p>
            <w:pPr>
              <w:pStyle w:val="57"/>
              <w:ind w:firstLine="480"/>
            </w:pPr>
          </w:p>
          <w:p>
            <w:pPr>
              <w:pStyle w:val="36"/>
              <w:ind w:firstLine="31680"/>
            </w:pPr>
            <w:r>
              <w:rPr>
                <w:rFonts w:hint="eastAsia"/>
              </w:rPr>
              <w:t>（</w:t>
            </w:r>
            <w:r>
              <w:t>2</w:t>
            </w:r>
            <w:r>
              <w:rPr>
                <w:rFonts w:hint="eastAsia"/>
              </w:rPr>
              <w:t>）运营期</w:t>
            </w:r>
          </w:p>
          <w:p>
            <w:pPr>
              <w:pStyle w:val="36"/>
              <w:ind w:firstLine="31680"/>
            </w:pPr>
            <w:r>
              <w:rPr>
                <w:rFonts w:hint="eastAsia"/>
              </w:rPr>
              <w:t>项目所在区域为居住、商业混杂，运营期间噪声排放执行《工业企业厂界环境噪声排放标准》（</w:t>
            </w:r>
            <w:r>
              <w:t>GB12348-2008</w:t>
            </w:r>
            <w:r>
              <w:rPr>
                <w:rFonts w:hint="eastAsia"/>
              </w:rPr>
              <w:t>）。标准值见表</w:t>
            </w:r>
            <w:r>
              <w:t>4-7</w:t>
            </w:r>
            <w:r>
              <w:rPr>
                <w:rFonts w:hint="eastAsia"/>
              </w:rPr>
              <w:t>。</w:t>
            </w:r>
          </w:p>
          <w:p>
            <w:pPr>
              <w:pStyle w:val="47"/>
              <w:ind w:firstLine="480"/>
            </w:pPr>
            <w:r>
              <w:rPr>
                <w:rFonts w:hint="eastAsia"/>
              </w:rPr>
              <w:t>表</w:t>
            </w:r>
            <w:r>
              <w:t xml:space="preserve">4-7 </w:t>
            </w:r>
            <w:r>
              <w:rPr>
                <w:rFonts w:hint="eastAsia"/>
              </w:rPr>
              <w:t>工业企业厂界环境噪声排放标准</w:t>
            </w:r>
            <w:r>
              <w:rPr>
                <w:rFonts w:hint="eastAsia"/>
                <w:kern w:val="0"/>
              </w:rPr>
              <w:t>限值</w:t>
            </w:r>
            <w:r>
              <w:rPr>
                <w:kern w:val="0"/>
              </w:rPr>
              <w:t xml:space="preserve">  </w:t>
            </w:r>
            <w:r>
              <w:rPr>
                <w:rFonts w:hint="eastAsia"/>
              </w:rPr>
              <w:t>单位：</w:t>
            </w:r>
            <w:r>
              <w:t>dB(A)</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4"/>
              <w:gridCol w:w="1742"/>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99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厂界外声环境功能区类别</w:t>
                  </w:r>
                </w:p>
              </w:tc>
              <w:tc>
                <w:tcPr>
                  <w:tcW w:w="100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昼间</w:t>
                  </w:r>
                </w:p>
              </w:tc>
              <w:tc>
                <w:tcPr>
                  <w:tcW w:w="100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991" w:type="pct"/>
                  <w:tcBorders>
                    <w:top w:val="single" w:color="auto" w:sz="4" w:space="0"/>
                    <w:left w:val="single" w:color="auto" w:sz="4" w:space="0"/>
                    <w:bottom w:val="single" w:color="auto" w:sz="4" w:space="0"/>
                    <w:right w:val="single" w:color="auto" w:sz="4" w:space="0"/>
                  </w:tcBorders>
                  <w:vAlign w:val="center"/>
                </w:tcPr>
                <w:p>
                  <w:pPr>
                    <w:pStyle w:val="41"/>
                  </w:pPr>
                  <w:r>
                    <w:t>2</w:t>
                  </w:r>
                  <w:r>
                    <w:rPr>
                      <w:rFonts w:hint="eastAsia"/>
                    </w:rPr>
                    <w:t>类</w:t>
                  </w:r>
                </w:p>
              </w:tc>
              <w:tc>
                <w:tcPr>
                  <w:tcW w:w="1005" w:type="pct"/>
                  <w:tcBorders>
                    <w:top w:val="single" w:color="auto" w:sz="4" w:space="0"/>
                    <w:left w:val="single" w:color="auto" w:sz="4" w:space="0"/>
                    <w:bottom w:val="single" w:color="auto" w:sz="4" w:space="0"/>
                    <w:right w:val="single" w:color="auto" w:sz="4" w:space="0"/>
                  </w:tcBorders>
                  <w:vAlign w:val="center"/>
                </w:tcPr>
                <w:p>
                  <w:pPr>
                    <w:pStyle w:val="41"/>
                  </w:pPr>
                  <w:r>
                    <w:t>60</w:t>
                  </w:r>
                </w:p>
              </w:tc>
              <w:tc>
                <w:tcPr>
                  <w:tcW w:w="1004" w:type="pct"/>
                  <w:tcBorders>
                    <w:top w:val="single" w:color="auto" w:sz="4" w:space="0"/>
                    <w:left w:val="single" w:color="auto" w:sz="4" w:space="0"/>
                    <w:bottom w:val="single" w:color="auto" w:sz="4" w:space="0"/>
                    <w:right w:val="single" w:color="auto" w:sz="4" w:space="0"/>
                  </w:tcBorders>
                  <w:vAlign w:val="center"/>
                </w:tcPr>
                <w:p>
                  <w:pPr>
                    <w:pStyle w:val="41"/>
                  </w:pPr>
                  <w:r>
                    <w:t>50</w:t>
                  </w:r>
                </w:p>
              </w:tc>
            </w:tr>
          </w:tbl>
          <w:p>
            <w:pPr>
              <w:pStyle w:val="75"/>
              <w:ind w:firstLine="31680"/>
              <w:rPr>
                <w:color w:val="auto"/>
              </w:rPr>
            </w:pPr>
            <w:r>
              <w:rPr>
                <w:color w:val="auto"/>
              </w:rPr>
              <w:t>4</w:t>
            </w:r>
            <w:r>
              <w:rPr>
                <w:rFonts w:hint="eastAsia"/>
                <w:color w:val="auto"/>
              </w:rPr>
              <w:t>、固体废弃物</w:t>
            </w:r>
          </w:p>
          <w:p>
            <w:pPr>
              <w:pStyle w:val="36"/>
              <w:ind w:firstLine="31680"/>
            </w:pPr>
            <w:r>
              <w:rPr>
                <w:rFonts w:hint="eastAsia"/>
              </w:rPr>
              <w:t>项目运营期间产生的固体废弃物处置执行《一般工业固体废物贮存、处置场污染控制标准》（</w:t>
            </w:r>
            <w:r>
              <w:t>GB18599-2001</w:t>
            </w:r>
            <w:r>
              <w:rPr>
                <w:rFonts w:hint="eastAsia"/>
              </w:rPr>
              <w:t>）。</w:t>
            </w:r>
          </w:p>
          <w:p>
            <w:pPr>
              <w:pStyle w:val="36"/>
              <w:ind w:firstLine="31680"/>
            </w:pPr>
            <w:r>
              <w:rPr>
                <w:rFonts w:hint="eastAsia"/>
              </w:rPr>
              <w:t>废弃油漆桶属危险废弃物，执行《危险废物贮存污染控制标准》（</w:t>
            </w:r>
            <w:r>
              <w:t>GB18597-2001</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ind w:firstLine="0" w:firstLineChars="0"/>
              <w:jc w:val="center"/>
            </w:pPr>
            <w:r>
              <w:rPr>
                <w:rFonts w:hint="eastAsia"/>
              </w:rPr>
              <w:t>总量控制标准</w:t>
            </w:r>
          </w:p>
        </w:tc>
        <w:tc>
          <w:tcPr>
            <w:tcW w:w="8892" w:type="dxa"/>
          </w:tcPr>
          <w:p>
            <w:pPr>
              <w:pStyle w:val="36"/>
              <w:ind w:firstLine="31680"/>
            </w:pPr>
            <w:r>
              <w:rPr>
                <w:rFonts w:hint="eastAsia"/>
              </w:rPr>
              <w:t>根据《</w:t>
            </w:r>
            <w:r>
              <w:t>“</w:t>
            </w:r>
            <w:r>
              <w:rPr>
                <w:rFonts w:hint="eastAsia"/>
              </w:rPr>
              <w:t>十二五</w:t>
            </w:r>
            <w:r>
              <w:t>”</w:t>
            </w:r>
            <w:r>
              <w:rPr>
                <w:rFonts w:hint="eastAsia"/>
              </w:rPr>
              <w:t>主要污染物总量控制规划编制指南》（环办</w:t>
            </w:r>
            <w:r>
              <w:t>[2010]97</w:t>
            </w:r>
            <w:r>
              <w:rPr>
                <w:rFonts w:hint="eastAsia"/>
              </w:rPr>
              <w:t>号），结合本项目污染物排放情况和国家污染物排放总量控制原则，列出本项目建议执行的总量控制指标如下。项目总量控制建议指标及来源分析如下：</w:t>
            </w:r>
          </w:p>
          <w:p>
            <w:pPr>
              <w:pStyle w:val="75"/>
              <w:ind w:firstLine="31680"/>
              <w:rPr>
                <w:color w:val="auto"/>
              </w:rPr>
            </w:pPr>
            <w:r>
              <w:rPr>
                <w:color w:val="auto"/>
              </w:rPr>
              <w:t>1</w:t>
            </w:r>
            <w:r>
              <w:rPr>
                <w:rFonts w:hint="eastAsia"/>
                <w:color w:val="auto"/>
              </w:rPr>
              <w:t>、废气</w:t>
            </w:r>
          </w:p>
          <w:p>
            <w:pPr>
              <w:pStyle w:val="36"/>
              <w:ind w:firstLine="31680"/>
              <w:rPr>
                <w:bCs/>
              </w:rPr>
            </w:pPr>
            <w:r>
              <w:rPr>
                <w:rFonts w:hint="eastAsia"/>
                <w:bCs/>
              </w:rPr>
              <w:t>本项目废气主要为</w:t>
            </w:r>
            <w:r>
              <w:rPr>
                <w:rFonts w:hint="eastAsia"/>
              </w:rPr>
              <w:t>木屑粉尘和油漆废气，属于无组织排放，废气不设总量控制指标。</w:t>
            </w:r>
          </w:p>
          <w:p>
            <w:pPr>
              <w:pStyle w:val="75"/>
              <w:ind w:firstLine="31680"/>
              <w:rPr>
                <w:color w:val="auto"/>
              </w:rPr>
            </w:pPr>
            <w:r>
              <w:rPr>
                <w:color w:val="auto"/>
              </w:rPr>
              <w:t>2</w:t>
            </w:r>
            <w:r>
              <w:rPr>
                <w:rFonts w:hint="eastAsia"/>
                <w:color w:val="auto"/>
              </w:rPr>
              <w:t>、废水</w:t>
            </w:r>
          </w:p>
          <w:p>
            <w:pPr>
              <w:pStyle w:val="36"/>
              <w:ind w:firstLine="31680"/>
            </w:pPr>
            <w:r>
              <w:rPr>
                <w:rFonts w:hint="eastAsia"/>
              </w:rPr>
              <w:t>本项目废水主要为职工生活污水，项目区员工共</w:t>
            </w:r>
            <w:r>
              <w:t>5</w:t>
            </w:r>
            <w:r>
              <w:rPr>
                <w:rFonts w:hint="eastAsia"/>
              </w:rPr>
              <w:t>人，生活用水量为</w:t>
            </w:r>
            <w:r>
              <w:t>0.2m</w:t>
            </w:r>
            <w:r>
              <w:rPr>
                <w:vertAlign w:val="superscript"/>
              </w:rPr>
              <w:t>3</w:t>
            </w:r>
            <w:r>
              <w:t>/d</w:t>
            </w:r>
            <w:r>
              <w:rPr>
                <w:rFonts w:hint="eastAsia"/>
              </w:rPr>
              <w:t>，污水产生量为</w:t>
            </w:r>
            <w:r>
              <w:t>0.16m</w:t>
            </w:r>
            <w:r>
              <w:rPr>
                <w:vertAlign w:val="superscript"/>
              </w:rPr>
              <w:t>3</w:t>
            </w:r>
            <w:r>
              <w:t>/d</w:t>
            </w:r>
            <w:r>
              <w:rPr>
                <w:rFonts w:hint="eastAsia"/>
              </w:rPr>
              <w:t>，污水总量为</w:t>
            </w:r>
            <w:r>
              <w:t>48m</w:t>
            </w:r>
            <w:r>
              <w:rPr>
                <w:vertAlign w:val="superscript"/>
              </w:rPr>
              <w:t>3</w:t>
            </w:r>
            <w:r>
              <w:t>/a</w:t>
            </w:r>
            <w:r>
              <w:rPr>
                <w:rFonts w:hint="eastAsia"/>
              </w:rPr>
              <w:t>。生活污水经化粪池收集处理后，委托周边村民定期清掏，用于农灌施肥，不外排。因此，废水不设总量控制指标。</w:t>
            </w:r>
          </w:p>
          <w:p>
            <w:pPr>
              <w:pStyle w:val="75"/>
              <w:ind w:firstLine="31680"/>
              <w:rPr>
                <w:color w:val="auto"/>
              </w:rPr>
            </w:pPr>
            <w:r>
              <w:rPr>
                <w:color w:val="auto"/>
              </w:rPr>
              <w:t>3</w:t>
            </w:r>
            <w:r>
              <w:rPr>
                <w:rFonts w:hint="eastAsia"/>
                <w:color w:val="auto"/>
              </w:rPr>
              <w:t>、固废</w:t>
            </w:r>
          </w:p>
          <w:p>
            <w:pPr>
              <w:pStyle w:val="36"/>
              <w:ind w:firstLine="31680"/>
            </w:pPr>
            <w:r>
              <w:rPr>
                <w:rFonts w:hint="eastAsia"/>
              </w:rPr>
              <w:t>固废处置率为</w:t>
            </w:r>
            <w:r>
              <w:t>100%</w:t>
            </w:r>
            <w:r>
              <w:rPr>
                <w:rFonts w:hint="eastAsia"/>
              </w:rPr>
              <w:t>。</w:t>
            </w:r>
          </w:p>
          <w:p>
            <w:pPr>
              <w:ind w:firstLine="31680"/>
              <w:rPr>
                <w:bCs/>
              </w:rPr>
            </w:pPr>
          </w:p>
          <w:p>
            <w:pPr>
              <w:ind w:firstLine="31680"/>
              <w:rPr>
                <w:bCs/>
              </w:rPr>
            </w:pPr>
          </w:p>
          <w:p>
            <w:pPr>
              <w:ind w:firstLine="31680"/>
              <w:rPr>
                <w:bCs/>
              </w:rPr>
            </w:pPr>
          </w:p>
          <w:p>
            <w:pPr>
              <w:ind w:firstLine="31680"/>
              <w:rPr>
                <w:bCs/>
              </w:rPr>
            </w:pPr>
          </w:p>
          <w:p>
            <w:pPr>
              <w:ind w:firstLine="0" w:firstLineChars="0"/>
              <w:rPr>
                <w:bCs/>
              </w:rPr>
            </w:pPr>
          </w:p>
          <w:p>
            <w:pPr>
              <w:ind w:firstLine="0" w:firstLineChars="0"/>
            </w:pPr>
          </w:p>
        </w:tc>
      </w:tr>
    </w:tbl>
    <w:p>
      <w:pPr>
        <w:pStyle w:val="2"/>
      </w:pPr>
      <w:r>
        <w:rPr>
          <w:rFonts w:hint="eastAsia"/>
        </w:rPr>
        <w:t>表五、建设项目工程分析</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pPr>
              <w:pStyle w:val="75"/>
              <w:ind w:firstLine="31680"/>
              <w:rPr>
                <w:color w:val="auto"/>
                <w:sz w:val="28"/>
              </w:rPr>
            </w:pPr>
            <w:r>
              <w:rPr>
                <w:rFonts w:hint="eastAsia"/>
                <w:color w:val="auto"/>
                <w:sz w:val="28"/>
              </w:rPr>
              <w:t>一、工艺流程简述</w:t>
            </w:r>
          </w:p>
          <w:p>
            <w:pPr>
              <w:pStyle w:val="75"/>
              <w:ind w:firstLine="31680"/>
              <w:rPr>
                <w:color w:val="auto"/>
              </w:rPr>
            </w:pPr>
            <w:r>
              <w:rPr>
                <w:color w:val="auto"/>
              </w:rPr>
              <w:t>1</w:t>
            </w:r>
            <w:r>
              <w:rPr>
                <w:rFonts w:hint="eastAsia"/>
                <w:color w:val="auto"/>
              </w:rPr>
              <w:t>、施工期施工流程及产污节点</w:t>
            </w:r>
          </w:p>
          <w:p>
            <w:pPr>
              <w:pStyle w:val="36"/>
              <w:ind w:firstLine="31680"/>
            </w:pPr>
            <w:r>
              <w:rPr>
                <w:rFonts w:hint="eastAsia"/>
              </w:rPr>
              <w:t>本项目租用芒市大湾水电有限公司的厂房及空地，在空地上还需新建</w:t>
            </w:r>
            <w:r>
              <w:t>500m</w:t>
            </w:r>
            <w:r>
              <w:rPr>
                <w:vertAlign w:val="superscript"/>
              </w:rPr>
              <w:t>2</w:t>
            </w:r>
            <w:r>
              <w:rPr>
                <w:rFonts w:hint="eastAsia"/>
              </w:rPr>
              <w:t>彩钢瓦厂房，施工过程中会产生废气、污水、噪声和固体废物。项目具体工艺流程及产污环节点见图</w:t>
            </w:r>
            <w:r>
              <w:t>5-1</w:t>
            </w:r>
            <w:r>
              <w:rPr>
                <w:rFonts w:hint="eastAsia"/>
              </w:rPr>
              <w:t>。</w:t>
            </w:r>
          </w:p>
          <w:p>
            <w:pPr>
              <w:ind w:firstLine="0" w:firstLineChars="0"/>
              <w:jc w:val="center"/>
            </w:pPr>
            <w:r>
              <w:pict>
                <v:group id="画布 69" o:spid="_x0000_s1026" o:spt="203" style="height:150.55pt;width:469.5pt;" coordsize="59626,19119" editas="canvas">
                  <o:lock v:ext="edit"/>
                  <v:shape id="画布 69" o:spid="_x0000_s1027" o:spt="75" type="#_x0000_t75" style="position:absolute;left:0;top:0;height:19119;width:59626;" filled="f" o:preferrelative="t" stroked="f" coordsize="21600,21600">
                    <v:path/>
                    <v:fill on="f" focussize="0,0"/>
                    <v:stroke on="f" joinstyle="miter"/>
                    <v:imagedata o:title=""/>
                    <o:lock v:ext="edit" aspectratio="t"/>
                  </v:shape>
                  <v:rect id="Rectangle 29" o:spid="_x0000_s1028" o:spt="1" style="position:absolute;left:2592;top:5423;height:2708;width:7486;" fillcolor="#000000" filled="f" stroked="f" coordsize="21600,21600">
                    <v:path/>
                    <v:fill on="f" focussize="0,0"/>
                    <v:stroke on="f"/>
                    <v:imagedata o:title=""/>
                    <o:lock v:ext="edit"/>
                    <v:textbox>
                      <w:txbxContent>
                        <w:p>
                          <w:pPr>
                            <w:spacing w:line="240" w:lineRule="auto"/>
                            <w:ind w:firstLine="0" w:firstLineChars="0"/>
                            <w:rPr>
                              <w:sz w:val="21"/>
                              <w:szCs w:val="21"/>
                            </w:rPr>
                          </w:pPr>
                          <w:r>
                            <w:rPr>
                              <w:rFonts w:hint="eastAsia"/>
                              <w:sz w:val="21"/>
                              <w:szCs w:val="21"/>
                            </w:rPr>
                            <w:t>施工准备</w:t>
                          </w:r>
                        </w:p>
                      </w:txbxContent>
                    </v:textbox>
                  </v:rect>
                  <v:rect id="Rectangle 30" o:spid="_x0000_s1029" o:spt="1" style="position:absolute;left:12612;top:5564;height:2849;width:7950;" coordsize="21600,21600">
                    <v:path/>
                    <v:fill focussize="0,0"/>
                    <v:stroke/>
                    <v:imagedata o:title=""/>
                    <o:lock v:ext="edit"/>
                    <v:textbox>
                      <w:txbxContent>
                        <w:p>
                          <w:pPr>
                            <w:spacing w:line="240" w:lineRule="auto"/>
                            <w:ind w:firstLine="0" w:firstLineChars="0"/>
                            <w:rPr>
                              <w:sz w:val="21"/>
                              <w:szCs w:val="21"/>
                            </w:rPr>
                          </w:pPr>
                          <w:r>
                            <w:rPr>
                              <w:rFonts w:hint="eastAsia"/>
                              <w:sz w:val="21"/>
                              <w:szCs w:val="21"/>
                            </w:rPr>
                            <w:t>土建施工</w:t>
                          </w:r>
                        </w:p>
                      </w:txbxContent>
                    </v:textbox>
                  </v:rect>
                  <v:rect id="Rectangle 31" o:spid="_x0000_s1030" o:spt="1" style="position:absolute;left:23701;top:5423;height:2849;width:13350;" coordsize="21600,21600">
                    <v:path/>
                    <v:fill focussize="0,0"/>
                    <v:stroke/>
                    <v:imagedata o:title=""/>
                    <o:lock v:ext="edit"/>
                    <v:textbox>
                      <w:txbxContent>
                        <w:p>
                          <w:pPr>
                            <w:spacing w:line="240" w:lineRule="auto"/>
                            <w:ind w:firstLine="0" w:firstLineChars="0"/>
                            <w:rPr>
                              <w:sz w:val="21"/>
                              <w:szCs w:val="21"/>
                            </w:rPr>
                          </w:pPr>
                          <w:r>
                            <w:rPr>
                              <w:rFonts w:hint="eastAsia"/>
                              <w:color w:val="000000"/>
                              <w:sz w:val="21"/>
                              <w:szCs w:val="21"/>
                            </w:rPr>
                            <w:t>彩钢瓦厂房的建设</w:t>
                          </w:r>
                        </w:p>
                      </w:txbxContent>
                    </v:textbox>
                  </v:rect>
                  <v:rect id="Rectangle 32" o:spid="_x0000_s1031" o:spt="1" style="position:absolute;left:40960;top:5564;height:2857;width:10103;" coordsize="21600,21600">
                    <v:path/>
                    <v:fill focussize="0,0"/>
                    <v:stroke/>
                    <v:imagedata o:title=""/>
                    <o:lock v:ext="edit"/>
                    <v:textbox>
                      <w:txbxContent>
                        <w:p>
                          <w:pPr>
                            <w:spacing w:line="240" w:lineRule="auto"/>
                            <w:ind w:firstLine="0" w:firstLineChars="0"/>
                            <w:rPr>
                              <w:sz w:val="21"/>
                              <w:szCs w:val="21"/>
                            </w:rPr>
                          </w:pPr>
                          <w:r>
                            <w:rPr>
                              <w:rFonts w:hint="eastAsia"/>
                              <w:sz w:val="21"/>
                              <w:szCs w:val="21"/>
                            </w:rPr>
                            <w:t>厂房内部改造</w:t>
                          </w:r>
                        </w:p>
                      </w:txbxContent>
                    </v:textbox>
                  </v:rect>
                  <v:rect id="Rectangle 33" o:spid="_x0000_s1032" o:spt="1" style="position:absolute;left:40156;top:14068;height:2857;width:4787;" coordsize="21600,21600">
                    <v:path/>
                    <v:fill focussize="0,0"/>
                    <v:stroke/>
                    <v:imagedata o:title=""/>
                    <o:lock v:ext="edit"/>
                    <v:textbox>
                      <w:txbxContent>
                        <w:p>
                          <w:pPr>
                            <w:spacing w:line="240" w:lineRule="auto"/>
                            <w:ind w:firstLine="0" w:firstLineChars="0"/>
                            <w:rPr>
                              <w:sz w:val="21"/>
                              <w:szCs w:val="21"/>
                            </w:rPr>
                          </w:pPr>
                          <w:r>
                            <w:rPr>
                              <w:rFonts w:hint="eastAsia"/>
                              <w:sz w:val="21"/>
                              <w:szCs w:val="21"/>
                            </w:rPr>
                            <w:t>验收</w:t>
                          </w:r>
                        </w:p>
                      </w:txbxContent>
                    </v:textbox>
                  </v:rect>
                  <v:rect id="Rectangle 34" o:spid="_x0000_s1033" o:spt="1" style="position:absolute;left:29573;top:13896;height:2700;width:7486;" fillcolor="#000000" filled="f" stroked="f" coordsize="21600,21600">
                    <v:path/>
                    <v:fill on="f" focussize="0,0"/>
                    <v:stroke on="f"/>
                    <v:imagedata o:title=""/>
                    <o:lock v:ext="edit"/>
                    <v:textbox>
                      <w:txbxContent>
                        <w:p>
                          <w:pPr>
                            <w:spacing w:line="240" w:lineRule="auto"/>
                            <w:ind w:firstLine="0" w:firstLineChars="0"/>
                            <w:rPr>
                              <w:sz w:val="21"/>
                              <w:szCs w:val="21"/>
                            </w:rPr>
                          </w:pPr>
                          <w:r>
                            <w:rPr>
                              <w:rFonts w:hint="eastAsia"/>
                              <w:sz w:val="21"/>
                              <w:szCs w:val="21"/>
                            </w:rPr>
                            <w:t>投入运营</w:t>
                          </w:r>
                        </w:p>
                      </w:txbxContent>
                    </v:textbox>
                  </v:rect>
                  <v:shape id="AutoShape 35" o:spid="_x0000_s1034" o:spt="32" type="#_x0000_t32" style="position:absolute;left:9465;top:6848;height:8;width:3147;" o:connectortype="straight" filled="f" coordsize="21600,21600">
                    <v:path arrowok="t"/>
                    <v:fill on="f" focussize="0,0"/>
                    <v:stroke endarrow="block"/>
                    <v:imagedata o:title=""/>
                    <o:lock v:ext="edit"/>
                  </v:shape>
                  <v:shape id="AutoShape 36" o:spid="_x0000_s1035" o:spt="32" type="#_x0000_t32" style="position:absolute;left:20562;top:6839;height:9;width:3139;" o:connectortype="straight" filled="f" coordsize="21600,21600">
                    <v:path arrowok="t"/>
                    <v:fill on="f" focussize="0,0"/>
                    <v:stroke endarrow="block"/>
                    <v:imagedata o:title=""/>
                    <o:lock v:ext="edit"/>
                  </v:shape>
                  <v:shape id="AutoShape 37" o:spid="_x0000_s1036" o:spt="32" type="#_x0000_t32" style="position:absolute;left:37051;top:6848;height:0;width:3909;" o:connectortype="straight" filled="f" coordsize="21600,21600">
                    <v:path arrowok="t"/>
                    <v:fill on="f" focussize="0,0"/>
                    <v:stroke endarrow="block"/>
                    <v:imagedata o:title=""/>
                    <o:lock v:ext="edit"/>
                  </v:shape>
                  <v:shape id="AutoShape 38" o:spid="_x0000_s1037" o:spt="34" type="#_x0000_t34" style="position:absolute;left:44943;top:6992;flip:x;height:8505;width:6120;" o:connectortype="elbow" filled="f" coordsize="21600,21600" adj="-8068">
                    <v:path arrowok="t"/>
                    <v:fill on="f" focussize="0,0"/>
                    <v:stroke endarrow="block"/>
                    <v:imagedata o:title=""/>
                    <o:lock v:ext="edit"/>
                  </v:shape>
                  <v:shape id="AutoShape 39" o:spid="_x0000_s1038" o:spt="32" type="#_x0000_t32" style="position:absolute;left:37051;top:15368;flip:x;height:17;width:3105;" o:connectortype="straight" filled="f" coordsize="21600,21600">
                    <v:path arrowok="t"/>
                    <v:fill on="f" focussize="0,0"/>
                    <v:stroke endarrow="block"/>
                    <v:imagedata o:title=""/>
                    <o:lock v:ext="edit"/>
                  </v:shape>
                  <v:shape id="AutoShape 40" o:spid="_x0000_s1039" o:spt="32" type="#_x0000_t32" style="position:absolute;left:16024;top:8421;height:2857;width:17;" o:connectortype="straight" filled="f" coordsize="21600,21600">
                    <v:path arrowok="t"/>
                    <v:fill on="f" focussize="0,0"/>
                    <v:stroke dashstyle="longDash" endarrow="block"/>
                    <v:imagedata o:title=""/>
                    <o:lock v:ext="edit"/>
                  </v:shape>
                  <v:shape id="AutoShape 41" o:spid="_x0000_s1040" o:spt="32" type="#_x0000_t32" style="position:absolute;left:16041;top:2724;flip:y;height:2699;width:8;" o:connectortype="straight" filled="f" coordsize="21600,21600">
                    <v:path arrowok="t"/>
                    <v:fill on="f" focussize="0,0"/>
                    <v:stroke dashstyle="longDash" endarrow="block"/>
                    <v:imagedata o:title=""/>
                    <o:lock v:ext="edit"/>
                  </v:shape>
                  <v:rect id="Rectangle 42" o:spid="_x0000_s1041" o:spt="1" style="position:absolute;left:10078;top:480;height:2708;width:10029;" fillcolor="#000000" filled="f" stroked="f" coordsize="21600,21600">
                    <v:path/>
                    <v:fill on="f" focussize="0,0"/>
                    <v:stroke on="f"/>
                    <v:imagedata o:title=""/>
                    <o:lock v:ext="edit"/>
                    <v:textbox>
                      <w:txbxContent>
                        <w:p>
                          <w:pPr>
                            <w:spacing w:line="240" w:lineRule="auto"/>
                            <w:ind w:firstLine="0" w:firstLineChars="0"/>
                            <w:rPr>
                              <w:sz w:val="21"/>
                              <w:szCs w:val="21"/>
                            </w:rPr>
                          </w:pPr>
                          <w:r>
                            <w:rPr>
                              <w:rFonts w:hint="eastAsia"/>
                              <w:sz w:val="21"/>
                              <w:szCs w:val="21"/>
                            </w:rPr>
                            <w:t>扬尘、噪声</w:t>
                          </w:r>
                        </w:p>
                      </w:txbxContent>
                    </v:textbox>
                  </v:rect>
                  <v:rect id="Rectangle 43" o:spid="_x0000_s1042" o:spt="1" style="position:absolute;left:12612;top:11286;height:2708;width:6600;" fillcolor="#000000" filled="f" stroked="f" coordsize="21600,21600">
                    <v:path/>
                    <v:fill on="f" focussize="0,0"/>
                    <v:stroke on="f"/>
                    <v:imagedata o:title=""/>
                    <o:lock v:ext="edit"/>
                    <v:textbox>
                      <w:txbxContent>
                        <w:p>
                          <w:pPr>
                            <w:spacing w:line="240" w:lineRule="auto"/>
                            <w:ind w:firstLine="0" w:firstLineChars="0"/>
                            <w:rPr>
                              <w:sz w:val="21"/>
                              <w:szCs w:val="21"/>
                            </w:rPr>
                          </w:pPr>
                          <w:r>
                            <w:rPr>
                              <w:rFonts w:hint="eastAsia"/>
                              <w:sz w:val="21"/>
                              <w:szCs w:val="21"/>
                            </w:rPr>
                            <w:t>土石方</w:t>
                          </w:r>
                        </w:p>
                      </w:txbxContent>
                    </v:textbox>
                  </v:rect>
                  <v:rect id="Rectangle 44" o:spid="_x0000_s1043" o:spt="1" style="position:absolute;left:23701;top:149;height:2716;width:15180;" fillcolor="#000000" filled="f" stroked="f" coordsize="21600,21600">
                    <v:path/>
                    <v:fill on="f" focussize="0,0"/>
                    <v:stroke on="f"/>
                    <v:imagedata o:title=""/>
                    <o:lock v:ext="edit"/>
                    <v:textbox>
                      <w:txbxContent>
                        <w:p>
                          <w:pPr>
                            <w:spacing w:line="240" w:lineRule="auto"/>
                            <w:ind w:firstLine="0" w:firstLineChars="0"/>
                            <w:rPr>
                              <w:sz w:val="21"/>
                              <w:szCs w:val="21"/>
                            </w:rPr>
                          </w:pPr>
                          <w:r>
                            <w:rPr>
                              <w:rFonts w:hint="eastAsia"/>
                              <w:sz w:val="21"/>
                              <w:szCs w:val="21"/>
                            </w:rPr>
                            <w:t>焊接废气、噪声</w:t>
                          </w:r>
                        </w:p>
                      </w:txbxContent>
                    </v:textbox>
                  </v:rect>
                  <v:rect id="Rectangle 45" o:spid="_x0000_s1044" o:spt="1" style="position:absolute;left:25371;top:11185;height:2716;width:8342;" fillcolor="#000000" filled="f" stroked="f" coordsize="21600,21600">
                    <v:path/>
                    <v:fill on="f" focussize="0,0"/>
                    <v:stroke on="f"/>
                    <v:imagedata o:title=""/>
                    <o:lock v:ext="edit"/>
                    <v:textbox>
                      <w:txbxContent>
                        <w:p>
                          <w:pPr>
                            <w:spacing w:line="240" w:lineRule="auto"/>
                            <w:ind w:firstLine="0" w:firstLineChars="0"/>
                            <w:rPr>
                              <w:sz w:val="21"/>
                              <w:szCs w:val="21"/>
                            </w:rPr>
                          </w:pPr>
                          <w:r>
                            <w:rPr>
                              <w:rFonts w:hint="eastAsia"/>
                              <w:sz w:val="21"/>
                              <w:szCs w:val="21"/>
                            </w:rPr>
                            <w:t>建筑废料</w:t>
                          </w:r>
                        </w:p>
                      </w:txbxContent>
                    </v:textbox>
                  </v:rect>
                  <v:shape id="AutoShape 46" o:spid="_x0000_s1045" o:spt="32" type="#_x0000_t32" style="position:absolute;left:29556;top:8504;height:2856;width:8;" o:connectortype="straight" filled="f" coordsize="21600,21600">
                    <v:path arrowok="t"/>
                    <v:fill on="f" focussize="0,0"/>
                    <v:stroke dashstyle="longDash" endarrow="block"/>
                    <v:imagedata o:title=""/>
                    <o:lock v:ext="edit"/>
                  </v:shape>
                  <v:shape id="AutoShape 47" o:spid="_x0000_s1046" o:spt="32" type="#_x0000_t32" style="position:absolute;left:48405;top:8611;height:2857;width:16;" o:connectortype="straight" filled="f" coordsize="21600,21600">
                    <v:path arrowok="t"/>
                    <v:fill on="f" focussize="0,0"/>
                    <v:stroke dashstyle="longDash" endarrow="block"/>
                    <v:imagedata o:title=""/>
                    <o:lock v:ext="edit"/>
                  </v:shape>
                  <v:shape id="AutoShape 48" o:spid="_x0000_s1047" o:spt="32" type="#_x0000_t32" style="position:absolute;left:29564;top:2724;flip:y;height:2699;width:9;" o:connectortype="straight" filled="f" coordsize="21600,21600">
                    <v:path arrowok="t"/>
                    <v:fill on="f" focussize="0,0"/>
                    <v:stroke dashstyle="longDash" endarrow="block"/>
                    <v:imagedata o:title=""/>
                    <o:lock v:ext="edit"/>
                  </v:shape>
                  <v:shape id="AutoShape 49" o:spid="_x0000_s1048" o:spt="32" type="#_x0000_t32" style="position:absolute;left:48396;top:2865;flip:y;height:2699;width:9;" o:connectortype="straight" filled="f" coordsize="21600,21600">
                    <v:path arrowok="t"/>
                    <v:fill on="f" focussize="0,0"/>
                    <v:stroke dashstyle="longDash" endarrow="block"/>
                    <v:imagedata o:title=""/>
                    <o:lock v:ext="edit"/>
                  </v:shape>
                  <v:rect id="Rectangle 50" o:spid="_x0000_s1049" o:spt="1" style="position:absolute;left:42541;top:149;height:2716;width:12004;" fillcolor="#000000" filled="f" stroked="f" coordsize="21600,21600">
                    <v:path/>
                    <v:fill on="f" focussize="0,0"/>
                    <v:stroke on="f"/>
                    <v:imagedata o:title=""/>
                    <o:lock v:ext="edit"/>
                    <v:textbox>
                      <w:txbxContent>
                        <w:p>
                          <w:pPr>
                            <w:spacing w:line="240" w:lineRule="auto"/>
                            <w:ind w:firstLine="0" w:firstLineChars="0"/>
                            <w:rPr>
                              <w:sz w:val="21"/>
                              <w:szCs w:val="21"/>
                            </w:rPr>
                          </w:pPr>
                          <w:r>
                            <w:rPr>
                              <w:rFonts w:hint="eastAsia"/>
                              <w:sz w:val="21"/>
                              <w:szCs w:val="21"/>
                            </w:rPr>
                            <w:t>扬尘、噪声</w:t>
                          </w:r>
                        </w:p>
                      </w:txbxContent>
                    </v:textbox>
                  </v:rect>
                  <v:rect id="Rectangle 51" o:spid="_x0000_s1050" o:spt="1" style="position:absolute;left:44943;top:11195;height:2716;width:7271;" fillcolor="#000000" filled="f" stroked="f" coordsize="21600,21600">
                    <v:path/>
                    <v:fill on="f" focussize="0,0"/>
                    <v:stroke on="f"/>
                    <v:imagedata o:title=""/>
                    <o:lock v:ext="edit"/>
                    <v:textbox>
                      <w:txbxContent>
                        <w:p>
                          <w:pPr>
                            <w:spacing w:line="240" w:lineRule="auto"/>
                            <w:ind w:firstLine="0" w:firstLineChars="0"/>
                            <w:rPr>
                              <w:sz w:val="21"/>
                              <w:szCs w:val="21"/>
                            </w:rPr>
                          </w:pPr>
                          <w:r>
                            <w:rPr>
                              <w:rFonts w:hint="eastAsia"/>
                              <w:sz w:val="21"/>
                              <w:szCs w:val="21"/>
                            </w:rPr>
                            <w:t>建筑废料</w:t>
                          </w:r>
                        </w:p>
                      </w:txbxContent>
                    </v:textbox>
                  </v:rect>
                  <w10:wrap type="none"/>
                  <w10:anchorlock/>
                </v:group>
              </w:pict>
            </w:r>
            <w:r>
              <w:rPr>
                <w:rFonts w:hint="eastAsia"/>
                <w:b/>
              </w:rPr>
              <w:t>图</w:t>
            </w:r>
            <w:r>
              <w:rPr>
                <w:b/>
              </w:rPr>
              <w:t>5-1</w:t>
            </w:r>
            <w:r>
              <w:rPr>
                <w:rFonts w:hint="eastAsia"/>
                <w:b/>
              </w:rPr>
              <w:t>项目施工期工艺流程及产污环节图</w:t>
            </w:r>
          </w:p>
          <w:p>
            <w:pPr>
              <w:pStyle w:val="36"/>
              <w:ind w:firstLine="31680"/>
            </w:pPr>
            <w:r>
              <w:rPr>
                <w:rFonts w:hint="eastAsia"/>
              </w:rPr>
              <w:t>流程简述</w:t>
            </w:r>
          </w:p>
          <w:p>
            <w:pPr>
              <w:pStyle w:val="36"/>
              <w:ind w:firstLine="31680"/>
            </w:pPr>
            <w:r>
              <w:rPr>
                <w:rFonts w:hint="eastAsia"/>
              </w:rPr>
              <w:t>本项目施工期主要为：土建施工、彩钢瓦厂房建设及厂房内部改造。</w:t>
            </w:r>
          </w:p>
          <w:p>
            <w:pPr>
              <w:pStyle w:val="36"/>
              <w:ind w:firstLine="31680"/>
            </w:pPr>
            <w:r>
              <w:rPr>
                <w:rFonts w:hint="eastAsia"/>
              </w:rPr>
              <w:t>（</w:t>
            </w:r>
            <w:r>
              <w:t>1</w:t>
            </w:r>
            <w:r>
              <w:rPr>
                <w:rFonts w:hint="eastAsia"/>
              </w:rPr>
              <w:t>）土建工程：包括场地平整、浇筑基础砼。该工序施工过程产生的污染物主要为施工扬尘、噪声、土石方。</w:t>
            </w:r>
          </w:p>
          <w:p>
            <w:pPr>
              <w:pStyle w:val="36"/>
              <w:ind w:firstLine="31680"/>
            </w:pPr>
            <w:r>
              <w:rPr>
                <w:rFonts w:hint="eastAsia"/>
              </w:rPr>
              <w:t>（</w:t>
            </w:r>
            <w:r>
              <w:t>2</w:t>
            </w:r>
            <w:r>
              <w:rPr>
                <w:rFonts w:hint="eastAsia"/>
              </w:rPr>
              <w:t>）彩钢瓦厂房的建设：主要为钢结构焊接。该工序施工过程产生的污染物主要为焊接废气、噪声和废弃边角料等。</w:t>
            </w:r>
          </w:p>
          <w:p>
            <w:pPr>
              <w:pStyle w:val="36"/>
              <w:ind w:firstLine="31680"/>
            </w:pPr>
            <w:r>
              <w:rPr>
                <w:rFonts w:hint="eastAsia"/>
              </w:rPr>
              <w:t>（</w:t>
            </w:r>
            <w:r>
              <w:t>3</w:t>
            </w:r>
            <w:r>
              <w:rPr>
                <w:rFonts w:hint="eastAsia"/>
              </w:rPr>
              <w:t>）厂房内部改造主要会产生扬尘、噪声、建筑废料等。</w:t>
            </w:r>
          </w:p>
          <w:p>
            <w:pPr>
              <w:pStyle w:val="75"/>
              <w:ind w:firstLine="31680"/>
              <w:rPr>
                <w:color w:val="auto"/>
              </w:rPr>
            </w:pPr>
            <w:r>
              <w:rPr>
                <w:color w:val="auto"/>
              </w:rPr>
              <w:t>2</w:t>
            </w:r>
            <w:r>
              <w:rPr>
                <w:rFonts w:hint="eastAsia"/>
                <w:color w:val="auto"/>
              </w:rPr>
              <w:t>、运营期生产流程及产污节点</w:t>
            </w:r>
          </w:p>
          <w:p>
            <w:pPr>
              <w:pStyle w:val="36"/>
              <w:ind w:firstLine="31680"/>
            </w:pPr>
            <w:r>
              <w:rPr>
                <w:rFonts w:hint="eastAsia"/>
              </w:rPr>
              <w:t>本项目主要外购半成品的小型实木家具，在厂区进行组装，外卖。项目生产工艺流程及产污环节图见图</w:t>
            </w:r>
            <w:r>
              <w:t>5-2</w:t>
            </w:r>
            <w:r>
              <w:rPr>
                <w:rFonts w:hint="eastAsia"/>
              </w:rPr>
              <w:t>。</w:t>
            </w:r>
          </w:p>
          <w:p>
            <w:pPr>
              <w:pStyle w:val="45"/>
              <w:spacing w:before="163"/>
              <w:ind w:firstLine="480"/>
              <w:jc w:val="center"/>
              <w:rPr>
                <w:sz w:val="24"/>
                <w:szCs w:val="24"/>
              </w:rPr>
            </w:pPr>
            <w:r>
              <w:rPr>
                <w:sz w:val="24"/>
                <w:szCs w:val="24"/>
              </w:rPr>
              <w:pict>
                <v:group id="画布 45" o:spid="_x0000_s1051" o:spt="203" style="height:150.55pt;width:469.5pt;" coordsize="59626,19119" editas="canvas">
                  <o:lock v:ext="edit"/>
                  <v:shape id="画布 45" o:spid="_x0000_s1052" o:spt="75" type="#_x0000_t75" style="position:absolute;left:0;top:0;height:19119;width:59626;" filled="f" o:preferrelative="t" stroked="f" coordsize="21600,21600">
                    <v:path/>
                    <v:fill on="f" focussize="0,0"/>
                    <v:stroke on="f" joinstyle="miter"/>
                    <v:imagedata o:title=""/>
                    <o:lock v:ext="edit" aspectratio="t"/>
                  </v:shape>
                  <v:rect id="Rectangle 4" o:spid="_x0000_s1053" o:spt="1" style="position:absolute;left:1482;top:5423;height:2708;width:8596;" fillcolor="#000000" filled="f" stroked="f" coordsize="21600,21600">
                    <v:path/>
                    <v:fill on="f" focussize="0,0"/>
                    <v:stroke on="f"/>
                    <v:imagedata o:title=""/>
                    <o:lock v:ext="edit"/>
                    <v:textbox>
                      <w:txbxContent>
                        <w:p>
                          <w:pPr>
                            <w:spacing w:line="240" w:lineRule="auto"/>
                            <w:ind w:firstLine="0" w:firstLineChars="0"/>
                            <w:jc w:val="center"/>
                            <w:rPr>
                              <w:sz w:val="21"/>
                              <w:szCs w:val="21"/>
                            </w:rPr>
                          </w:pPr>
                          <w:r>
                            <w:rPr>
                              <w:rFonts w:hint="eastAsia"/>
                              <w:sz w:val="21"/>
                            </w:rPr>
                            <w:t>半成品家具</w:t>
                          </w:r>
                        </w:p>
                      </w:txbxContent>
                    </v:textbox>
                  </v:rect>
                  <v:rect id="Rectangle 5" o:spid="_x0000_s1054" o:spt="1" style="position:absolute;left:12612;top:5564;height:2849;width:6418;" coordsize="21600,21600">
                    <v:path/>
                    <v:fill focussize="0,0"/>
                    <v:stroke/>
                    <v:imagedata o:title=""/>
                    <o:lock v:ext="edit"/>
                    <v:textbox>
                      <w:txbxContent>
                        <w:p>
                          <w:pPr>
                            <w:spacing w:line="240" w:lineRule="auto"/>
                            <w:ind w:firstLine="0" w:firstLineChars="0"/>
                            <w:jc w:val="center"/>
                            <w:rPr>
                              <w:sz w:val="21"/>
                              <w:szCs w:val="21"/>
                            </w:rPr>
                          </w:pPr>
                          <w:r>
                            <w:rPr>
                              <w:rFonts w:hint="eastAsia"/>
                              <w:sz w:val="21"/>
                            </w:rPr>
                            <w:t>组装</w:t>
                          </w:r>
                        </w:p>
                      </w:txbxContent>
                    </v:textbox>
                  </v:rect>
                  <v:rect id="Rectangle 6" o:spid="_x0000_s1055" o:spt="1" style="position:absolute;left:22177;top:5423;height:2849;width:5060;" coordsize="21600,21600">
                    <v:path/>
                    <v:fill focussize="0,0"/>
                    <v:stroke/>
                    <v:imagedata o:title=""/>
                    <o:lock v:ext="edit"/>
                    <v:textbox>
                      <w:txbxContent>
                        <w:p>
                          <w:pPr>
                            <w:spacing w:line="240" w:lineRule="auto"/>
                            <w:ind w:firstLine="0" w:firstLineChars="0"/>
                            <w:jc w:val="center"/>
                            <w:rPr>
                              <w:sz w:val="21"/>
                              <w:szCs w:val="21"/>
                            </w:rPr>
                          </w:pPr>
                          <w:r>
                            <w:rPr>
                              <w:rFonts w:hint="eastAsia"/>
                              <w:color w:val="000000"/>
                              <w:sz w:val="21"/>
                            </w:rPr>
                            <w:t>打磨</w:t>
                          </w:r>
                        </w:p>
                      </w:txbxContent>
                    </v:textbox>
                  </v:rect>
                  <v:rect id="Rectangle 7" o:spid="_x0000_s1056" o:spt="1" style="position:absolute;left:47510;top:12462;height:2857;width:4704;" coordsize="21600,21600">
                    <v:path/>
                    <v:fill focussize="0,0"/>
                    <v:stroke/>
                    <v:imagedata o:title=""/>
                    <o:lock v:ext="edit"/>
                    <v:textbox>
                      <w:txbxContent>
                        <w:p>
                          <w:pPr>
                            <w:spacing w:line="240" w:lineRule="auto"/>
                            <w:ind w:firstLine="0" w:firstLineChars="0"/>
                            <w:jc w:val="center"/>
                            <w:rPr>
                              <w:sz w:val="21"/>
                              <w:szCs w:val="21"/>
                            </w:rPr>
                          </w:pPr>
                          <w:r>
                            <w:rPr>
                              <w:rFonts w:hint="eastAsia"/>
                              <w:sz w:val="21"/>
                            </w:rPr>
                            <w:t>入库</w:t>
                          </w:r>
                        </w:p>
                      </w:txbxContent>
                    </v:textbox>
                  </v:rect>
                  <v:rect id="Rectangle 8" o:spid="_x0000_s1057" o:spt="1" style="position:absolute;left:39659;top:12619;height:2700;width:5052;" fillcolor="#000000" filled="f" stroked="f" coordsize="21600,21600">
                    <v:path/>
                    <v:fill on="f" focussize="0,0"/>
                    <v:stroke on="f"/>
                    <v:imagedata o:title=""/>
                    <o:lock v:ext="edit"/>
                    <v:textbox>
                      <w:txbxContent>
                        <w:p>
                          <w:pPr>
                            <w:spacing w:line="240" w:lineRule="auto"/>
                            <w:ind w:firstLine="0" w:firstLineChars="0"/>
                            <w:jc w:val="center"/>
                            <w:rPr>
                              <w:sz w:val="21"/>
                              <w:szCs w:val="21"/>
                            </w:rPr>
                          </w:pPr>
                          <w:r>
                            <w:rPr>
                              <w:rFonts w:hint="eastAsia"/>
                              <w:sz w:val="21"/>
                            </w:rPr>
                            <w:t>出售</w:t>
                          </w:r>
                        </w:p>
                      </w:txbxContent>
                    </v:textbox>
                  </v:rect>
                  <v:shape id="AutoShape 9" o:spid="_x0000_s1058" o:spt="32" type="#_x0000_t32" style="position:absolute;left:9465;top:6848;height:8;width:3147;" o:connectortype="straight" filled="f" coordsize="21600,21600">
                    <v:path arrowok="t"/>
                    <v:fill on="f" focussize="0,0"/>
                    <v:stroke endarrow="block"/>
                    <v:imagedata o:title=""/>
                    <o:lock v:ext="edit"/>
                  </v:shape>
                  <v:shape id="AutoShape 10" o:spid="_x0000_s1059" o:spt="32" type="#_x0000_t32" style="position:absolute;left:19030;top:6831;height:8;width:3147;" o:connectortype="straight" filled="f" coordsize="21600,21600">
                    <v:path arrowok="t"/>
                    <v:fill on="f" focussize="0,0"/>
                    <v:stroke endarrow="block"/>
                    <v:imagedata o:title=""/>
                    <o:lock v:ext="edit"/>
                  </v:shape>
                  <v:shape id="AutoShape 11" o:spid="_x0000_s1060" o:spt="32" type="#_x0000_t32" style="position:absolute;left:27237;top:6823;height:8;width:3131;" o:connectortype="straight" filled="f" coordsize="21600,21600">
                    <v:path arrowok="t"/>
                    <v:fill on="f" focussize="0,0"/>
                    <v:stroke endarrow="block"/>
                    <v:imagedata o:title=""/>
                    <o:lock v:ext="edit"/>
                  </v:shape>
                  <v:shape id="AutoShape 12" o:spid="_x0000_s1061" o:spt="34" type="#_x0000_t34" style="position:absolute;left:52214;top:6828;flip:x;height:7062;width:2385;" o:connectortype="elbow" filled="f" coordsize="21600,21600" adj="-20700">
                    <v:path arrowok="t"/>
                    <v:fill on="f" focussize="0,0"/>
                    <v:stroke endarrow="block"/>
                    <v:imagedata o:title=""/>
                    <o:lock v:ext="edit"/>
                  </v:shape>
                  <v:shape id="AutoShape 13" o:spid="_x0000_s1062" o:spt="32" type="#_x0000_t32" style="position:absolute;left:44057;top:14052;flip:x;height:16;width:3105;" o:connectortype="straight" filled="f" coordsize="21600,21600">
                    <v:path arrowok="t"/>
                    <v:fill on="f" focussize="0,0"/>
                    <v:stroke endarrow="block"/>
                    <v:imagedata o:title=""/>
                    <o:lock v:ext="edit"/>
                  </v:shape>
                  <v:shape id="AutoShape 14" o:spid="_x0000_s1063" o:spt="32" type="#_x0000_t32" style="position:absolute;left:15693;top:2724;flip:y;height:2699;width:8;" o:connectortype="straight" filled="f" coordsize="21600,21600">
                    <v:path arrowok="t"/>
                    <v:fill on="f" focussize="0,0"/>
                    <v:stroke dashstyle="longDash" endarrow="block"/>
                    <v:imagedata o:title=""/>
                    <o:lock v:ext="edit"/>
                  </v:shape>
                  <v:rect id="Rectangle 15" o:spid="_x0000_s1064" o:spt="1" style="position:absolute;left:8296;top:0;height:3487;width:15346;" fillcolor="#000000" filled="f" stroked="f" coordsize="21600,21600">
                    <v:path/>
                    <v:fill on="f" focussize="0,0"/>
                    <v:stroke on="f"/>
                    <v:imagedata o:title=""/>
                    <o:lock v:ext="edit"/>
                    <v:textbox>
                      <w:txbxContent>
                        <w:p>
                          <w:pPr>
                            <w:spacing w:line="240" w:lineRule="auto"/>
                            <w:ind w:firstLine="0" w:firstLineChars="0"/>
                            <w:jc w:val="center"/>
                            <w:rPr>
                              <w:sz w:val="21"/>
                              <w:szCs w:val="21"/>
                            </w:rPr>
                          </w:pPr>
                          <w:r>
                            <w:rPr>
                              <w:rFonts w:hint="eastAsia"/>
                              <w:sz w:val="21"/>
                            </w:rPr>
                            <w:t>噪声、边角料</w:t>
                          </w:r>
                        </w:p>
                      </w:txbxContent>
                    </v:textbox>
                  </v:rect>
                  <v:shape id="AutoShape 16" o:spid="_x0000_s1065" o:spt="32" type="#_x0000_t32" style="position:absolute;left:24620;top:8413;height:3444;width:9;" o:connectortype="straight" filled="f" coordsize="21600,21600">
                    <v:path arrowok="t"/>
                    <v:fill on="f" focussize="0,0"/>
                    <v:stroke dashstyle="longDash" endarrow="block"/>
                    <v:imagedata o:title=""/>
                    <o:lock v:ext="edit"/>
                  </v:shape>
                  <v:shape id="AutoShape 17" o:spid="_x0000_s1066" o:spt="32" type="#_x0000_t32" style="position:absolute;left:32686;top:2765;flip:y;height:2037;width:17;" o:connectortype="straight" filled="f" coordsize="21600,21600">
                    <v:path arrowok="t"/>
                    <v:fill on="f" focussize="0,0"/>
                    <v:stroke dashstyle="longDash" endarrow="block"/>
                    <v:imagedata o:title=""/>
                    <o:lock v:ext="edit"/>
                  </v:shape>
                  <v:rect id="Rectangle 18" o:spid="_x0000_s1067" o:spt="1" style="position:absolute;left:30368;top:4802;height:4819;width:5051;" coordsize="21600,21600">
                    <v:path/>
                    <v:fill focussize="0,0"/>
                    <v:stroke/>
                    <v:imagedata o:title=""/>
                    <o:lock v:ext="edit"/>
                    <v:textbox>
                      <w:txbxContent>
                        <w:p>
                          <w:pPr>
                            <w:spacing w:line="240" w:lineRule="auto"/>
                            <w:ind w:firstLine="0" w:firstLineChars="0"/>
                            <w:jc w:val="center"/>
                            <w:rPr>
                              <w:sz w:val="21"/>
                              <w:szCs w:val="21"/>
                            </w:rPr>
                          </w:pPr>
                          <w:r>
                            <w:rPr>
                              <w:rFonts w:hint="eastAsia"/>
                              <w:color w:val="000000"/>
                              <w:sz w:val="21"/>
                            </w:rPr>
                            <w:t>人工刷漆</w:t>
                          </w:r>
                        </w:p>
                      </w:txbxContent>
                    </v:textbox>
                  </v:rect>
                  <v:rect id="Rectangle 19" o:spid="_x0000_s1068" o:spt="1" style="position:absolute;left:38550;top:5564;height:2849;width:7867;" coordsize="21600,21600">
                    <v:path/>
                    <v:fill focussize="0,0"/>
                    <v:stroke/>
                    <v:imagedata o:title=""/>
                    <o:lock v:ext="edit"/>
                    <v:textbox>
                      <w:txbxContent>
                        <w:p>
                          <w:pPr>
                            <w:spacing w:line="240" w:lineRule="auto"/>
                            <w:ind w:firstLine="0" w:firstLineChars="0"/>
                            <w:jc w:val="center"/>
                            <w:rPr>
                              <w:sz w:val="21"/>
                              <w:szCs w:val="21"/>
                            </w:rPr>
                          </w:pPr>
                          <w:r>
                            <w:rPr>
                              <w:rFonts w:hint="eastAsia"/>
                              <w:color w:val="000000"/>
                              <w:sz w:val="21"/>
                            </w:rPr>
                            <w:t>自然</w:t>
                          </w:r>
                          <w:r>
                            <w:rPr>
                              <w:rFonts w:hint="eastAsia"/>
                              <w:color w:val="000000"/>
                              <w:sz w:val="21"/>
                              <w:szCs w:val="21"/>
                            </w:rPr>
                            <w:t>风干</w:t>
                          </w:r>
                        </w:p>
                      </w:txbxContent>
                    </v:textbox>
                  </v:rect>
                  <v:rect id="Rectangle 20" o:spid="_x0000_s1069" o:spt="1" style="position:absolute;left:49548;top:5404;height:2848;width:5051;" coordsize="21600,21600">
                    <v:path/>
                    <v:fill focussize="0,0"/>
                    <v:stroke/>
                    <v:imagedata o:title=""/>
                    <o:lock v:ext="edit"/>
                    <v:textbox>
                      <w:txbxContent>
                        <w:p>
                          <w:pPr>
                            <w:spacing w:line="240" w:lineRule="auto"/>
                            <w:ind w:firstLine="0" w:firstLineChars="0"/>
                            <w:jc w:val="center"/>
                            <w:rPr>
                              <w:sz w:val="21"/>
                              <w:szCs w:val="21"/>
                            </w:rPr>
                          </w:pPr>
                          <w:r>
                            <w:rPr>
                              <w:rFonts w:hint="eastAsia"/>
                              <w:color w:val="000000"/>
                              <w:sz w:val="21"/>
                            </w:rPr>
                            <w:t>成品</w:t>
                          </w:r>
                        </w:p>
                      </w:txbxContent>
                    </v:textbox>
                  </v:rect>
                  <v:shape id="AutoShape 21" o:spid="_x0000_s1070" o:spt="32" type="#_x0000_t32" style="position:absolute;left:35419;top:6988;height:17;width:3131;" o:connectortype="straight" filled="f" coordsize="21600,21600">
                    <v:path arrowok="t"/>
                    <v:fill on="f" focussize="0,0"/>
                    <v:stroke endarrow="block"/>
                    <v:imagedata o:title=""/>
                    <o:lock v:ext="edit"/>
                  </v:shape>
                  <v:shape id="AutoShape 22" o:spid="_x0000_s1071" o:spt="32" type="#_x0000_t32" style="position:absolute;left:46417;top:7005;height:8;width:3131;" o:connectortype="straight" filled="f" coordsize="21600,21600">
                    <v:path arrowok="t"/>
                    <v:fill on="f" focussize="0,0"/>
                    <v:stroke endarrow="block"/>
                    <v:imagedata o:title=""/>
                    <o:lock v:ext="edit"/>
                  </v:shape>
                  <v:rect id="Rectangle 23" o:spid="_x0000_s1072" o:spt="1" style="position:absolute;left:20107;top:11857;height:2708;width:9457;" fillcolor="#000000" filled="f" stroked="f" coordsize="21600,21600">
                    <v:path/>
                    <v:fill on="f" focussize="0,0"/>
                    <v:stroke on="f"/>
                    <v:imagedata o:title=""/>
                    <o:lock v:ext="edit"/>
                    <v:textbox>
                      <w:txbxContent>
                        <w:p>
                          <w:pPr>
                            <w:spacing w:line="240" w:lineRule="auto"/>
                            <w:ind w:firstLine="0" w:firstLineChars="0"/>
                            <w:jc w:val="center"/>
                            <w:rPr>
                              <w:sz w:val="21"/>
                              <w:szCs w:val="21"/>
                            </w:rPr>
                          </w:pPr>
                          <w:r>
                            <w:rPr>
                              <w:rFonts w:hint="eastAsia"/>
                              <w:sz w:val="21"/>
                            </w:rPr>
                            <w:t>粉尘、噪声</w:t>
                          </w:r>
                        </w:p>
                      </w:txbxContent>
                    </v:textbox>
                  </v:rect>
                  <v:rect id="Rectangle 24" o:spid="_x0000_s1073" o:spt="1" style="position:absolute;left:26403;top:0;height:2998;width:11445;" fillcolor="#000000" filled="f" stroked="f" coordsize="21600,21600">
                    <v:path/>
                    <v:fill on="f" focussize="0,0"/>
                    <v:stroke on="f"/>
                    <v:imagedata o:title=""/>
                    <o:lock v:ext="edit"/>
                    <v:textbox>
                      <w:txbxContent>
                        <w:p>
                          <w:pPr>
                            <w:spacing w:line="240" w:lineRule="auto"/>
                            <w:ind w:firstLine="0" w:firstLineChars="0"/>
                            <w:jc w:val="center"/>
                            <w:rPr>
                              <w:sz w:val="21"/>
                              <w:szCs w:val="21"/>
                            </w:rPr>
                          </w:pPr>
                          <w:r>
                            <w:rPr>
                              <w:rFonts w:hint="eastAsia"/>
                              <w:sz w:val="21"/>
                            </w:rPr>
                            <w:t>油漆废气、噪声</w:t>
                          </w:r>
                        </w:p>
                      </w:txbxContent>
                    </v:textbox>
                  </v:rect>
                  <v:shape id="AutoShape 25" o:spid="_x0000_s1074" o:spt="32" type="#_x0000_t32" style="position:absolute;left:42816;top:2716;flip:y;height:2699;width:17;" o:connectortype="straight" filled="f" coordsize="21600,21600">
                    <v:path arrowok="t"/>
                    <v:fill on="f" focussize="0,0"/>
                    <v:stroke dashstyle="longDash" endarrow="block"/>
                    <v:imagedata o:title=""/>
                    <o:lock v:ext="edit"/>
                  </v:shape>
                  <v:rect id="Rectangle 26" o:spid="_x0000_s1075" o:spt="1" style="position:absolute;left:37848;top:0;height:3570;width:10693;" fillcolor="#000000" filled="f" stroked="f" coordsize="21600,21600">
                    <v:path/>
                    <v:fill on="f" focussize="0,0"/>
                    <v:stroke on="f"/>
                    <v:imagedata o:title=""/>
                    <o:lock v:ext="edit"/>
                    <v:textbox>
                      <w:txbxContent>
                        <w:p>
                          <w:pPr>
                            <w:spacing w:line="240" w:lineRule="auto"/>
                            <w:ind w:firstLine="0" w:firstLineChars="0"/>
                            <w:jc w:val="center"/>
                            <w:rPr>
                              <w:sz w:val="21"/>
                              <w:szCs w:val="21"/>
                            </w:rPr>
                          </w:pPr>
                          <w:r>
                            <w:rPr>
                              <w:rFonts w:hint="eastAsia"/>
                              <w:sz w:val="21"/>
                            </w:rPr>
                            <w:t>油漆废气</w:t>
                          </w:r>
                        </w:p>
                      </w:txbxContent>
                    </v:textbox>
                  </v:rect>
                  <w10:wrap type="none"/>
                  <w10:anchorlock/>
                </v:group>
              </w:pict>
            </w:r>
          </w:p>
          <w:p>
            <w:pPr>
              <w:pStyle w:val="49"/>
              <w:rPr>
                <w:color w:val="auto"/>
              </w:rPr>
            </w:pPr>
            <w:r>
              <w:rPr>
                <w:rFonts w:hint="eastAsia"/>
                <w:color w:val="auto"/>
              </w:rPr>
              <w:t>图</w:t>
            </w:r>
            <w:r>
              <w:rPr>
                <w:color w:val="auto"/>
              </w:rPr>
              <w:t xml:space="preserve">5-2 </w:t>
            </w:r>
            <w:r>
              <w:rPr>
                <w:rFonts w:hint="eastAsia"/>
                <w:color w:val="auto"/>
              </w:rPr>
              <w:t>项目生产工艺流程及产污环节图</w:t>
            </w:r>
          </w:p>
          <w:p>
            <w:pPr>
              <w:pStyle w:val="36"/>
              <w:ind w:firstLine="31680"/>
            </w:pPr>
            <w:r>
              <w:rPr>
                <w:rFonts w:hint="eastAsia"/>
              </w:rPr>
              <w:t>工艺简述</w:t>
            </w:r>
          </w:p>
          <w:p>
            <w:pPr>
              <w:pStyle w:val="36"/>
              <w:ind w:firstLine="31680"/>
            </w:pPr>
            <w:r>
              <w:rPr>
                <w:rFonts w:hint="eastAsia"/>
              </w:rPr>
              <w:t>本项目以外购合格的半成品小型实木家具为原料，进行组装、打磨、刷漆等工序，使之成为合格的成品家具进行销售。本项目在生产过程中主要产生木屑粉尘、油漆废气、废弃边角料和噪声。</w:t>
            </w:r>
          </w:p>
          <w:p>
            <w:pPr>
              <w:pStyle w:val="36"/>
              <w:ind w:firstLine="31680"/>
            </w:pPr>
            <w:r>
              <w:rPr>
                <w:rFonts w:hint="eastAsia"/>
              </w:rPr>
              <w:t>说明：</w:t>
            </w:r>
            <w:r>
              <w:t>1</w:t>
            </w:r>
            <w:r>
              <w:rPr>
                <w:rFonts w:hint="eastAsia"/>
              </w:rPr>
              <w:t>、本项目外购加工好的零部件进行组装，项目区不进行原木加工。</w:t>
            </w:r>
          </w:p>
          <w:p>
            <w:pPr>
              <w:pStyle w:val="36"/>
              <w:ind w:left="1560" w:leftChars="500" w:hanging="360" w:hangingChars="150"/>
            </w:pPr>
            <w:r>
              <w:t>2</w:t>
            </w:r>
            <w:r>
              <w:rPr>
                <w:rFonts w:hint="eastAsia"/>
              </w:rPr>
              <w:t>、本项目生产的小型实木家具采用拼接、榫接、人工刷漆等工艺，无喷漆、涂胶等加工工序。</w:t>
            </w:r>
          </w:p>
          <w:p>
            <w:pPr>
              <w:pStyle w:val="36"/>
              <w:ind w:firstLine="1200" w:firstLineChars="500"/>
            </w:pPr>
            <w:r>
              <w:t>3</w:t>
            </w:r>
            <w:r>
              <w:rPr>
                <w:rFonts w:hint="eastAsia"/>
              </w:rPr>
              <w:t>、本项目不进行防腐作业。</w:t>
            </w:r>
          </w:p>
          <w:p>
            <w:pPr>
              <w:pStyle w:val="36"/>
              <w:ind w:firstLine="31680"/>
            </w:pPr>
            <w:r>
              <w:rPr>
                <w:rFonts w:hint="eastAsia"/>
              </w:rPr>
              <w:t>（</w:t>
            </w:r>
            <w:r>
              <w:t>1</w:t>
            </w:r>
            <w:r>
              <w:rPr>
                <w:rFonts w:hint="eastAsia"/>
              </w:rPr>
              <w:t>）组装</w:t>
            </w:r>
          </w:p>
          <w:p>
            <w:pPr>
              <w:pStyle w:val="36"/>
              <w:ind w:firstLine="31680"/>
            </w:pPr>
            <w:r>
              <w:rPr>
                <w:rFonts w:hint="eastAsia"/>
              </w:rPr>
              <w:t>按家具的结构装配图及其制作要求，将加工好的零件组合成为部件或将零部件结合成为制品的加工过程。本工序主要产生噪声和废弃边角料。</w:t>
            </w:r>
          </w:p>
          <w:p>
            <w:pPr>
              <w:pStyle w:val="36"/>
              <w:ind w:firstLine="31680"/>
            </w:pPr>
            <w:r>
              <w:rPr>
                <w:rFonts w:hint="eastAsia"/>
              </w:rPr>
              <w:t>（</w:t>
            </w:r>
            <w:r>
              <w:t>2</w:t>
            </w:r>
            <w:r>
              <w:rPr>
                <w:rFonts w:hint="eastAsia"/>
              </w:rPr>
              <w:t>）打磨</w:t>
            </w:r>
          </w:p>
          <w:p>
            <w:pPr>
              <w:pStyle w:val="36"/>
              <w:ind w:firstLine="31680"/>
            </w:pPr>
            <w:r>
              <w:rPr>
                <w:rFonts w:hint="eastAsia"/>
              </w:rPr>
              <w:t>打磨工艺是对家具表面进行修形、抛光，需要对装配好的家具进行打磨，磨掉加工痕迹和留在木材表面的木毛，使之到光滑硬亮。本工序主要产生粉尘和噪声。</w:t>
            </w:r>
          </w:p>
          <w:p>
            <w:pPr>
              <w:pStyle w:val="36"/>
              <w:ind w:firstLine="31680"/>
            </w:pPr>
            <w:r>
              <w:rPr>
                <w:rFonts w:hint="eastAsia"/>
              </w:rPr>
              <w:t>（</w:t>
            </w:r>
            <w:r>
              <w:t>3</w:t>
            </w:r>
            <w:r>
              <w:rPr>
                <w:rFonts w:hint="eastAsia"/>
              </w:rPr>
              <w:t>）人工刷漆</w:t>
            </w:r>
          </w:p>
          <w:p>
            <w:pPr>
              <w:pStyle w:val="36"/>
              <w:ind w:firstLine="31680"/>
            </w:pPr>
            <w:r>
              <w:rPr>
                <w:rFonts w:hint="eastAsia"/>
              </w:rPr>
              <w:t>打磨好的家具进行人工上漆，然后在厂区内自然晾干。为保证刷漆质量，避免外界灰尘的影响，本项目设有刷漆房</w:t>
            </w:r>
            <w:r>
              <w:t>1</w:t>
            </w:r>
            <w:r>
              <w:rPr>
                <w:rFonts w:hint="eastAsia"/>
              </w:rPr>
              <w:t>间，为全密闭房间，房顶设有滤网及风机，通过风机为刷漆房内空气进行交换，风机出风口设有滤网，过滤空气中的杂质。本工序主要产生油漆废气、废弃油漆桶及废弃油漆刷。</w:t>
            </w:r>
          </w:p>
          <w:p>
            <w:pPr>
              <w:pStyle w:val="36"/>
              <w:ind w:firstLine="31680"/>
            </w:pPr>
            <w:r>
              <w:rPr>
                <w:rFonts w:hint="eastAsia"/>
              </w:rPr>
              <w:t>（</w:t>
            </w:r>
            <w:r>
              <w:t>4</w:t>
            </w:r>
            <w:r>
              <w:rPr>
                <w:rFonts w:hint="eastAsia"/>
              </w:rPr>
              <w:t>）风干</w:t>
            </w:r>
          </w:p>
          <w:p>
            <w:pPr>
              <w:pStyle w:val="36"/>
              <w:ind w:firstLine="31680"/>
            </w:pPr>
            <w:r>
              <w:rPr>
                <w:rFonts w:hint="eastAsia"/>
              </w:rPr>
              <w:t>本项目上漆完成的家具通过通风方式自然晾干，无烤漆工序。</w:t>
            </w:r>
          </w:p>
          <w:p>
            <w:pPr>
              <w:pStyle w:val="75"/>
              <w:ind w:firstLine="31680"/>
              <w:rPr>
                <w:color w:val="auto"/>
                <w:sz w:val="28"/>
              </w:rPr>
            </w:pPr>
            <w:r>
              <w:rPr>
                <w:rFonts w:hint="eastAsia"/>
                <w:color w:val="auto"/>
                <w:sz w:val="28"/>
              </w:rPr>
              <w:t>二、主要污染源分析</w:t>
            </w:r>
          </w:p>
          <w:p>
            <w:pPr>
              <w:pStyle w:val="75"/>
              <w:ind w:firstLine="31680"/>
              <w:rPr>
                <w:color w:val="auto"/>
              </w:rPr>
            </w:pPr>
            <w:r>
              <w:rPr>
                <w:rStyle w:val="24"/>
                <w:rFonts w:hint="eastAsia"/>
                <w:b/>
                <w:bCs/>
                <w:sz w:val="24"/>
              </w:rPr>
              <w:t>（一）</w:t>
            </w:r>
            <w:r>
              <w:rPr>
                <w:rFonts w:hint="eastAsia"/>
                <w:color w:val="auto"/>
              </w:rPr>
              <w:t>施工期</w:t>
            </w:r>
          </w:p>
          <w:p>
            <w:pPr>
              <w:pStyle w:val="75"/>
              <w:ind w:firstLine="31680"/>
              <w:rPr>
                <w:color w:val="auto"/>
              </w:rPr>
            </w:pPr>
            <w:r>
              <w:rPr>
                <w:color w:val="auto"/>
              </w:rPr>
              <w:t>1</w:t>
            </w:r>
            <w:r>
              <w:rPr>
                <w:rFonts w:hint="eastAsia"/>
                <w:color w:val="auto"/>
              </w:rPr>
              <w:t>、废气</w:t>
            </w:r>
          </w:p>
          <w:p>
            <w:pPr>
              <w:pStyle w:val="36"/>
              <w:ind w:firstLine="31680"/>
            </w:pPr>
            <w:r>
              <w:rPr>
                <w:rFonts w:hint="eastAsia"/>
              </w:rPr>
              <w:t>本项目施工过程中的主要大气污染物是扬尘、焊接烟尘。</w:t>
            </w:r>
          </w:p>
          <w:p>
            <w:pPr>
              <w:pStyle w:val="36"/>
              <w:ind w:firstLine="31680"/>
            </w:pPr>
            <w:r>
              <w:fldChar w:fldCharType="begin"/>
            </w:r>
            <w:r>
              <w:instrText xml:space="preserve"> = 1 \* GB3 </w:instrText>
            </w:r>
            <w:r>
              <w:fldChar w:fldCharType="separate"/>
            </w:r>
            <w:r>
              <w:rPr>
                <w:rFonts w:hint="eastAsia" w:cs="宋体"/>
              </w:rPr>
              <w:t>①</w:t>
            </w:r>
            <w:r>
              <w:rPr>
                <w:rFonts w:hint="eastAsia" w:cs="宋体"/>
              </w:rPr>
              <w:fldChar w:fldCharType="end"/>
            </w:r>
            <w:r>
              <w:rPr>
                <w:rFonts w:hint="eastAsia"/>
              </w:rPr>
              <w:t>扬尘：扬尘的主要成分是</w:t>
            </w:r>
            <w:r>
              <w:t>TSP</w:t>
            </w:r>
            <w:r>
              <w:rPr>
                <w:rFonts w:hint="eastAsia"/>
              </w:rPr>
              <w:t>，扬尘为施工扬尘和道路运输扬尘。扬尘主要来自于土方开挖、施工现场物料装卸、堆放等过程中。道路运输扬尘来自于施工机械和车辆的来往过程。扬尘排放方式为间歇不定量排放，其影响范围为施工现场附近和运输道路沿途，</w:t>
            </w:r>
            <w:r>
              <w:rPr>
                <w:rFonts w:hint="eastAsia"/>
                <w:bCs/>
              </w:rPr>
              <w:t>项目施工期仅</w:t>
            </w:r>
            <w:r>
              <w:rPr>
                <w:bCs/>
              </w:rPr>
              <w:t>30</w:t>
            </w:r>
            <w:r>
              <w:rPr>
                <w:rFonts w:hint="eastAsia"/>
                <w:bCs/>
              </w:rPr>
              <w:t>天，且工程量较小，施工期扬尘的产生量很小</w:t>
            </w:r>
            <w:r>
              <w:rPr>
                <w:rFonts w:hint="eastAsia"/>
              </w:rPr>
              <w:t>。</w:t>
            </w:r>
          </w:p>
          <w:p>
            <w:pPr>
              <w:pStyle w:val="36"/>
              <w:ind w:firstLine="31680"/>
            </w:pPr>
            <w:r>
              <w:fldChar w:fldCharType="begin"/>
            </w:r>
            <w:r>
              <w:instrText xml:space="preserve"> = 2 \* GB3 </w:instrText>
            </w:r>
            <w:r>
              <w:fldChar w:fldCharType="separate"/>
            </w:r>
            <w:r>
              <w:rPr>
                <w:rFonts w:hint="eastAsia" w:cs="宋体"/>
              </w:rPr>
              <w:t>②</w:t>
            </w:r>
            <w:r>
              <w:rPr>
                <w:rFonts w:hint="eastAsia" w:cs="宋体"/>
              </w:rPr>
              <w:fldChar w:fldCharType="end"/>
            </w:r>
            <w:r>
              <w:rPr>
                <w:rFonts w:hint="eastAsia"/>
              </w:rPr>
              <w:t>焊接废气：焊接废气主要成分为烟尘，来源于安装过程中少量钢结构间的连接，采用氩弧焊焊接过程中焊丝受热分解挥发。其排放方式为特定时期间歇不定量排放，其影响范围是施工现场。根据《焊接技术手册》中有关资料，氩弧焊每公斤焊接材料的发尘量为</w:t>
            </w:r>
            <w:r>
              <w:t>2~5g</w:t>
            </w:r>
            <w:r>
              <w:rPr>
                <w:rFonts w:hint="eastAsia"/>
              </w:rPr>
              <w:t>。根据业主提供资料，项目氩弧焊丝用量不足</w:t>
            </w:r>
            <w:r>
              <w:t>0.01t</w:t>
            </w:r>
            <w:r>
              <w:rPr>
                <w:rFonts w:hint="eastAsia"/>
              </w:rPr>
              <w:t>，焊接烟尘产生量以发尘量最大值计，可得施工过程中焊接废弃烟尘产生量约为</w:t>
            </w:r>
            <w:r>
              <w:t>0.05kg</w:t>
            </w:r>
            <w:r>
              <w:rPr>
                <w:rFonts w:hint="eastAsia"/>
              </w:rPr>
              <w:t>。</w:t>
            </w:r>
          </w:p>
          <w:p>
            <w:pPr>
              <w:pStyle w:val="75"/>
              <w:ind w:firstLine="31680"/>
              <w:rPr>
                <w:color w:val="auto"/>
              </w:rPr>
            </w:pPr>
            <w:r>
              <w:rPr>
                <w:color w:val="auto"/>
              </w:rPr>
              <w:t>2</w:t>
            </w:r>
            <w:r>
              <w:rPr>
                <w:rFonts w:hint="eastAsia"/>
                <w:color w:val="auto"/>
              </w:rPr>
              <w:t>、噪声</w:t>
            </w:r>
          </w:p>
          <w:p>
            <w:pPr>
              <w:pStyle w:val="36"/>
              <w:ind w:firstLine="31680"/>
            </w:pPr>
            <w:r>
              <w:rPr>
                <w:rFonts w:hint="eastAsia"/>
              </w:rPr>
              <w:t>施工期间，项目厂房的建设和内部改造过程会产生施工噪声，施工噪声的特点是突发性和间歇性，持续时间短，其噪声源强在</w:t>
            </w:r>
            <w:r>
              <w:t>80~90dB</w:t>
            </w:r>
            <w:r>
              <w:rPr>
                <w:rFonts w:hint="eastAsia"/>
              </w:rPr>
              <w:t>（</w:t>
            </w:r>
            <w:r>
              <w:t>A</w:t>
            </w:r>
            <w:r>
              <w:rPr>
                <w:rFonts w:hint="eastAsia"/>
              </w:rPr>
              <w:t>）。噪声源强详见表</w:t>
            </w:r>
            <w:r>
              <w:t>5-1</w:t>
            </w:r>
            <w:r>
              <w:rPr>
                <w:rFonts w:hint="eastAsia"/>
              </w:rPr>
              <w:t>。</w:t>
            </w:r>
          </w:p>
          <w:p>
            <w:pPr>
              <w:pStyle w:val="47"/>
            </w:pPr>
            <w:r>
              <w:rPr>
                <w:rFonts w:hint="eastAsia"/>
              </w:rPr>
              <w:t>表</w:t>
            </w:r>
            <w:r>
              <w:t xml:space="preserve">5-1 </w:t>
            </w:r>
            <w:r>
              <w:rPr>
                <w:rFonts w:hint="eastAsia"/>
              </w:rPr>
              <w:t>类比部分施工机械噪声声级</w:t>
            </w:r>
          </w:p>
          <w:tbl>
            <w:tblPr>
              <w:tblStyle w:val="21"/>
              <w:tblW w:w="5000"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4673"/>
              <w:gridCol w:w="4676"/>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9" w:type="pct"/>
                  <w:tcBorders>
                    <w:top w:val="single" w:color="auto" w:sz="2" w:space="0"/>
                    <w:left w:val="single" w:color="auto" w:sz="2" w:space="0"/>
                    <w:bottom w:val="single" w:color="auto" w:sz="6" w:space="0"/>
                    <w:right w:val="single" w:color="auto" w:sz="6" w:space="0"/>
                  </w:tcBorders>
                  <w:vAlign w:val="center"/>
                </w:tcPr>
                <w:p>
                  <w:pPr>
                    <w:pStyle w:val="41"/>
                  </w:pPr>
                  <w:r>
                    <w:rPr>
                      <w:rFonts w:hint="eastAsia"/>
                    </w:rPr>
                    <w:t>声源</w:t>
                  </w:r>
                </w:p>
              </w:tc>
              <w:tc>
                <w:tcPr>
                  <w:tcW w:w="2501" w:type="pct"/>
                  <w:tcBorders>
                    <w:top w:val="single" w:color="auto" w:sz="2" w:space="0"/>
                    <w:left w:val="single" w:color="auto" w:sz="6" w:space="0"/>
                    <w:bottom w:val="single" w:color="auto" w:sz="6" w:space="0"/>
                    <w:right w:val="single" w:color="auto" w:sz="2" w:space="0"/>
                  </w:tcBorders>
                  <w:vAlign w:val="center"/>
                </w:tcPr>
                <w:p>
                  <w:pPr>
                    <w:pStyle w:val="41"/>
                  </w:pPr>
                  <w:r>
                    <w:rPr>
                      <w:rFonts w:hint="eastAsia"/>
                    </w:rPr>
                    <w:t>声级</w:t>
                  </w:r>
                  <w:r>
                    <w:t>dB(A)</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9" w:type="pct"/>
                  <w:tcBorders>
                    <w:top w:val="single" w:color="auto" w:sz="6" w:space="0"/>
                    <w:left w:val="single" w:color="auto" w:sz="2" w:space="0"/>
                    <w:bottom w:val="single" w:color="auto" w:sz="6" w:space="0"/>
                    <w:right w:val="single" w:color="auto" w:sz="6" w:space="0"/>
                  </w:tcBorders>
                  <w:vAlign w:val="center"/>
                </w:tcPr>
                <w:p>
                  <w:pPr>
                    <w:pStyle w:val="41"/>
                  </w:pPr>
                  <w:r>
                    <w:rPr>
                      <w:rFonts w:hint="eastAsia"/>
                    </w:rPr>
                    <w:t>装载机</w:t>
                  </w:r>
                </w:p>
              </w:tc>
              <w:tc>
                <w:tcPr>
                  <w:tcW w:w="2501" w:type="pct"/>
                  <w:tcBorders>
                    <w:top w:val="single" w:color="auto" w:sz="6" w:space="0"/>
                    <w:left w:val="single" w:color="auto" w:sz="6" w:space="0"/>
                    <w:bottom w:val="single" w:color="auto" w:sz="6" w:space="0"/>
                    <w:right w:val="single" w:color="auto" w:sz="2" w:space="0"/>
                  </w:tcBorders>
                  <w:vAlign w:val="center"/>
                </w:tcPr>
                <w:p>
                  <w:pPr>
                    <w:pStyle w:val="41"/>
                  </w:pPr>
                  <w:r>
                    <w:t>90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9" w:type="pct"/>
                  <w:tcBorders>
                    <w:top w:val="single" w:color="auto" w:sz="6" w:space="0"/>
                    <w:left w:val="single" w:color="auto" w:sz="2" w:space="0"/>
                    <w:bottom w:val="single" w:color="auto" w:sz="6" w:space="0"/>
                    <w:right w:val="single" w:color="auto" w:sz="6" w:space="0"/>
                  </w:tcBorders>
                  <w:vAlign w:val="center"/>
                </w:tcPr>
                <w:p>
                  <w:pPr>
                    <w:pStyle w:val="41"/>
                  </w:pPr>
                  <w:r>
                    <w:rPr>
                      <w:rFonts w:hint="eastAsia"/>
                    </w:rPr>
                    <w:t>吊装机</w:t>
                  </w:r>
                </w:p>
              </w:tc>
              <w:tc>
                <w:tcPr>
                  <w:tcW w:w="2501" w:type="pct"/>
                  <w:tcBorders>
                    <w:top w:val="single" w:color="auto" w:sz="6" w:space="0"/>
                    <w:left w:val="single" w:color="auto" w:sz="6" w:space="0"/>
                    <w:bottom w:val="single" w:color="auto" w:sz="6" w:space="0"/>
                    <w:right w:val="single" w:color="auto" w:sz="2" w:space="0"/>
                  </w:tcBorders>
                  <w:vAlign w:val="center"/>
                </w:tcPr>
                <w:p>
                  <w:pPr>
                    <w:pStyle w:val="41"/>
                  </w:pPr>
                  <w:r>
                    <w:t>85</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9" w:type="pct"/>
                  <w:tcBorders>
                    <w:top w:val="single" w:color="auto" w:sz="6" w:space="0"/>
                    <w:left w:val="single" w:color="auto" w:sz="2" w:space="0"/>
                    <w:bottom w:val="single" w:color="auto" w:sz="6" w:space="0"/>
                    <w:right w:val="single" w:color="auto" w:sz="6" w:space="0"/>
                  </w:tcBorders>
                  <w:vAlign w:val="center"/>
                </w:tcPr>
                <w:p>
                  <w:pPr>
                    <w:pStyle w:val="41"/>
                  </w:pPr>
                  <w:r>
                    <w:rPr>
                      <w:rFonts w:hint="eastAsia"/>
                    </w:rPr>
                    <w:t>电焊机</w:t>
                  </w:r>
                </w:p>
              </w:tc>
              <w:tc>
                <w:tcPr>
                  <w:tcW w:w="2501" w:type="pct"/>
                  <w:tcBorders>
                    <w:top w:val="single" w:color="auto" w:sz="6" w:space="0"/>
                    <w:left w:val="single" w:color="auto" w:sz="6" w:space="0"/>
                    <w:bottom w:val="single" w:color="auto" w:sz="6" w:space="0"/>
                    <w:right w:val="single" w:color="auto" w:sz="2" w:space="0"/>
                  </w:tcBorders>
                  <w:vAlign w:val="center"/>
                </w:tcPr>
                <w:p>
                  <w:pPr>
                    <w:pStyle w:val="41"/>
                  </w:pPr>
                  <w:r>
                    <w:t>80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9" w:type="pct"/>
                  <w:tcBorders>
                    <w:top w:val="single" w:color="auto" w:sz="6" w:space="0"/>
                    <w:left w:val="single" w:color="auto" w:sz="2" w:space="0"/>
                    <w:bottom w:val="single" w:color="auto" w:sz="2" w:space="0"/>
                    <w:right w:val="single" w:color="auto" w:sz="6" w:space="0"/>
                  </w:tcBorders>
                  <w:vAlign w:val="center"/>
                </w:tcPr>
                <w:p>
                  <w:pPr>
                    <w:pStyle w:val="41"/>
                  </w:pPr>
                  <w:r>
                    <w:rPr>
                      <w:rFonts w:hint="eastAsia"/>
                    </w:rPr>
                    <w:t>卡车</w:t>
                  </w:r>
                </w:p>
              </w:tc>
              <w:tc>
                <w:tcPr>
                  <w:tcW w:w="2501" w:type="pct"/>
                  <w:tcBorders>
                    <w:top w:val="single" w:color="auto" w:sz="6" w:space="0"/>
                    <w:left w:val="single" w:color="auto" w:sz="6" w:space="0"/>
                    <w:bottom w:val="single" w:color="auto" w:sz="2" w:space="0"/>
                    <w:right w:val="single" w:color="auto" w:sz="2" w:space="0"/>
                  </w:tcBorders>
                  <w:vAlign w:val="center"/>
                </w:tcPr>
                <w:p>
                  <w:pPr>
                    <w:pStyle w:val="41"/>
                  </w:pPr>
                  <w:r>
                    <w:t>85</w:t>
                  </w:r>
                </w:p>
              </w:tc>
            </w:tr>
          </w:tbl>
          <w:p>
            <w:pPr>
              <w:pStyle w:val="71"/>
              <w:spacing w:before="163"/>
              <w:ind w:firstLine="31680"/>
            </w:pPr>
            <w:r>
              <w:t>3</w:t>
            </w:r>
            <w:r>
              <w:rPr>
                <w:rFonts w:hint="eastAsia"/>
              </w:rPr>
              <w:t>、废水</w:t>
            </w:r>
          </w:p>
          <w:p>
            <w:pPr>
              <w:pStyle w:val="36"/>
              <w:ind w:firstLine="31680"/>
            </w:pPr>
            <w:r>
              <w:rPr>
                <w:rFonts w:hint="eastAsia"/>
              </w:rPr>
              <w:t>项目施工期施工人员不在项目区内食宿，施工人员使用周边公共卫生间，生活废水经化粪池收集处理后，委托周边村民定期清掏，用于农灌施肥。项目主体工程为钢架构，土建施工较少，且施工面积较小，工程量较少，因此施工废水量较小，施工废水在与水泥砂浆等建材的拌合使用的过程中消耗，无外排施工废水。</w:t>
            </w:r>
          </w:p>
          <w:p>
            <w:pPr>
              <w:pStyle w:val="75"/>
              <w:ind w:firstLine="31680"/>
              <w:rPr>
                <w:color w:val="auto"/>
              </w:rPr>
            </w:pPr>
            <w:r>
              <w:rPr>
                <w:color w:val="auto"/>
              </w:rPr>
              <w:t>4</w:t>
            </w:r>
            <w:r>
              <w:rPr>
                <w:rFonts w:hint="eastAsia"/>
                <w:color w:val="auto"/>
              </w:rPr>
              <w:t>、固体废弃物</w:t>
            </w:r>
          </w:p>
          <w:p>
            <w:pPr>
              <w:pStyle w:val="36"/>
              <w:ind w:firstLine="31680"/>
            </w:pPr>
            <w:r>
              <w:rPr>
                <w:rFonts w:hint="eastAsia"/>
              </w:rPr>
              <w:t>施工期产生的固体废物主要为建筑垃圾、土石方和施工人员产生的生活垃圾。</w:t>
            </w:r>
          </w:p>
          <w:p>
            <w:pPr>
              <w:pStyle w:val="36"/>
              <w:ind w:firstLine="31680"/>
            </w:pPr>
            <w:r>
              <w:rPr>
                <w:rFonts w:hint="eastAsia"/>
              </w:rPr>
              <w:t>（</w:t>
            </w:r>
            <w:r>
              <w:t>1</w:t>
            </w:r>
            <w:r>
              <w:rPr>
                <w:rFonts w:hint="eastAsia"/>
              </w:rPr>
              <w:t>）建筑垃圾</w:t>
            </w:r>
          </w:p>
          <w:p>
            <w:pPr>
              <w:pStyle w:val="36"/>
              <w:ind w:firstLine="31680"/>
            </w:pPr>
            <w:r>
              <w:rPr>
                <w:rFonts w:hint="eastAsia"/>
              </w:rPr>
              <w:t>本项目需新建</w:t>
            </w:r>
            <w:r>
              <w:t>500m</w:t>
            </w:r>
            <w:r>
              <w:rPr>
                <w:vertAlign w:val="superscript"/>
              </w:rPr>
              <w:t>2</w:t>
            </w:r>
            <w:r>
              <w:rPr>
                <w:rFonts w:hint="eastAsia"/>
              </w:rPr>
              <w:t>厂房，并进行装修，施工期约为</w:t>
            </w:r>
            <w:r>
              <w:t>1</w:t>
            </w:r>
            <w:r>
              <w:rPr>
                <w:rFonts w:hint="eastAsia"/>
              </w:rPr>
              <w:t>个月。根据类比同类型项目，本项目施工时产生的建筑垃圾量为</w:t>
            </w:r>
            <w:r>
              <w:t>1.0t</w:t>
            </w:r>
            <w:r>
              <w:rPr>
                <w:rFonts w:hint="eastAsia"/>
              </w:rPr>
              <w:t>，建筑垃圾由施工单位清运至环卫部门指定的地点堆放。</w:t>
            </w:r>
          </w:p>
          <w:p>
            <w:pPr>
              <w:pStyle w:val="36"/>
              <w:ind w:firstLine="31680"/>
            </w:pPr>
            <w:r>
              <w:rPr>
                <w:rFonts w:hint="eastAsia"/>
              </w:rPr>
              <w:t>（</w:t>
            </w:r>
            <w:r>
              <w:t>2</w:t>
            </w:r>
            <w:r>
              <w:rPr>
                <w:rFonts w:hint="eastAsia"/>
              </w:rPr>
              <w:t>）施工人员生活垃圾</w:t>
            </w:r>
          </w:p>
          <w:p>
            <w:pPr>
              <w:pStyle w:val="36"/>
              <w:ind w:firstLine="31680"/>
            </w:pPr>
            <w:r>
              <w:rPr>
                <w:rFonts w:hint="eastAsia"/>
              </w:rPr>
              <w:t>施工人员不在项目区食宿，产生的生活垃圾很少。项目区每天的最大施工人员约为</w:t>
            </w:r>
            <w:r>
              <w:t>10</w:t>
            </w:r>
            <w:r>
              <w:rPr>
                <w:rFonts w:hint="eastAsia"/>
              </w:rPr>
              <w:t>人，施工人员产生的生活垃圾按每人每天产生</w:t>
            </w:r>
            <w:r>
              <w:t>0.2kg</w:t>
            </w:r>
            <w:r>
              <w:rPr>
                <w:rFonts w:hint="eastAsia"/>
              </w:rPr>
              <w:t>，则施工期产生的生活垃圾量为</w:t>
            </w:r>
            <w:r>
              <w:t>2kg/d</w:t>
            </w:r>
            <w:r>
              <w:rPr>
                <w:rFonts w:hint="eastAsia"/>
              </w:rPr>
              <w:t>。施工期生活垃圾集中收集至项目区附近垃圾收集点，由环卫部门负责清运处置。</w:t>
            </w:r>
          </w:p>
          <w:p>
            <w:pPr>
              <w:pStyle w:val="36"/>
              <w:ind w:firstLine="31680"/>
            </w:pPr>
            <w:r>
              <w:rPr>
                <w:rFonts w:hint="eastAsia"/>
              </w:rPr>
              <w:t>（</w:t>
            </w:r>
            <w:r>
              <w:t>3</w:t>
            </w:r>
            <w:r>
              <w:rPr>
                <w:rFonts w:hint="eastAsia"/>
              </w:rPr>
              <w:t>）土石方</w:t>
            </w:r>
          </w:p>
          <w:p>
            <w:pPr>
              <w:pStyle w:val="36"/>
              <w:ind w:firstLine="31680"/>
            </w:pPr>
            <w:r>
              <w:rPr>
                <w:rFonts w:hint="eastAsia"/>
              </w:rPr>
              <w:t>本项目需新建</w:t>
            </w:r>
            <w:r>
              <w:t>500m</w:t>
            </w:r>
            <w:r>
              <w:rPr>
                <w:vertAlign w:val="superscript"/>
              </w:rPr>
              <w:t>2</w:t>
            </w:r>
            <w:r>
              <w:rPr>
                <w:rFonts w:hint="eastAsia"/>
              </w:rPr>
              <w:t>厂房，根据业主提供的资料及实际情况，本项目土石方开挖量约为</w:t>
            </w:r>
            <w:r>
              <w:t>15m</w:t>
            </w:r>
            <w:r>
              <w:rPr>
                <w:vertAlign w:val="superscript"/>
              </w:rPr>
              <w:t>3</w:t>
            </w:r>
            <w:r>
              <w:rPr>
                <w:rFonts w:hint="eastAsia"/>
              </w:rPr>
              <w:t>，全部用于场地平整，所以本项目无废弃土石方产生。</w:t>
            </w:r>
          </w:p>
          <w:p>
            <w:pPr>
              <w:pStyle w:val="75"/>
              <w:ind w:firstLine="31680"/>
              <w:rPr>
                <w:color w:val="auto"/>
              </w:rPr>
            </w:pPr>
            <w:r>
              <w:rPr>
                <w:rStyle w:val="24"/>
                <w:rFonts w:hint="eastAsia"/>
                <w:b/>
                <w:sz w:val="24"/>
              </w:rPr>
              <w:t>（二）运营期</w:t>
            </w:r>
          </w:p>
          <w:p>
            <w:pPr>
              <w:pStyle w:val="75"/>
              <w:ind w:firstLine="31680"/>
              <w:rPr>
                <w:color w:val="auto"/>
              </w:rPr>
            </w:pPr>
            <w:r>
              <w:rPr>
                <w:color w:val="auto"/>
              </w:rPr>
              <w:t>1</w:t>
            </w:r>
            <w:r>
              <w:rPr>
                <w:rFonts w:hint="eastAsia"/>
                <w:color w:val="auto"/>
              </w:rPr>
              <w:t>、废气</w:t>
            </w:r>
          </w:p>
          <w:p>
            <w:pPr>
              <w:pStyle w:val="36"/>
              <w:ind w:firstLine="31680"/>
            </w:pPr>
            <w:r>
              <w:rPr>
                <w:rFonts w:hint="eastAsia"/>
              </w:rPr>
              <w:t>本项目为小型实木家具组装，根据业主资料及工艺情况，本项目运营期废气主要为木屑粉尘和油漆废气，其中油漆废气主要为甲苯和二甲苯。</w:t>
            </w:r>
          </w:p>
          <w:p>
            <w:pPr>
              <w:pStyle w:val="75"/>
              <w:ind w:firstLine="31680"/>
              <w:rPr>
                <w:color w:val="auto"/>
              </w:rPr>
            </w:pPr>
            <w:r>
              <w:rPr>
                <w:rFonts w:hint="eastAsia"/>
                <w:color w:val="auto"/>
              </w:rPr>
              <w:t>（</w:t>
            </w:r>
            <w:r>
              <w:rPr>
                <w:color w:val="auto"/>
              </w:rPr>
              <w:t>1</w:t>
            </w:r>
            <w:r>
              <w:rPr>
                <w:rFonts w:hint="eastAsia"/>
                <w:color w:val="auto"/>
              </w:rPr>
              <w:t>）粉尘</w:t>
            </w:r>
          </w:p>
          <w:p>
            <w:pPr>
              <w:pStyle w:val="36"/>
              <w:ind w:firstLine="31680"/>
            </w:pPr>
            <w:r>
              <w:rPr>
                <w:rFonts w:hint="eastAsia"/>
              </w:rPr>
              <w:t>本项目不进行原木加工，只在打磨工序中会产生少量的木屑粉尘，属于无组织排放，类比同类生产项目及实际情况，粉尘产生量约为</w:t>
            </w:r>
            <w:r>
              <w:t>0.1kg/m</w:t>
            </w:r>
            <w:r>
              <w:rPr>
                <w:vertAlign w:val="superscript"/>
              </w:rPr>
              <w:t>3</w:t>
            </w:r>
            <w:r>
              <w:rPr>
                <w:rFonts w:hint="eastAsia"/>
              </w:rPr>
              <w:t>。项目每年用</w:t>
            </w:r>
            <w:r>
              <w:t>1000m</w:t>
            </w:r>
            <w:r>
              <w:rPr>
                <w:vertAlign w:val="superscript"/>
              </w:rPr>
              <w:t>3</w:t>
            </w:r>
            <w:r>
              <w:rPr>
                <w:rFonts w:hint="eastAsia"/>
              </w:rPr>
              <w:t>木材，则项目打磨工序共产生</w:t>
            </w:r>
            <w:r>
              <w:t>0.1t</w:t>
            </w:r>
            <w:r>
              <w:rPr>
                <w:rFonts w:hint="eastAsia"/>
              </w:rPr>
              <w:t>木屑粉尘。属于无组织排放，经大气稀释后，自然扩散。</w:t>
            </w:r>
          </w:p>
          <w:p>
            <w:pPr>
              <w:pStyle w:val="75"/>
              <w:ind w:firstLine="31680"/>
              <w:rPr>
                <w:color w:val="auto"/>
              </w:rPr>
            </w:pPr>
            <w:r>
              <w:rPr>
                <w:rFonts w:hint="eastAsia"/>
                <w:color w:val="auto"/>
              </w:rPr>
              <w:t>（</w:t>
            </w:r>
            <w:r>
              <w:rPr>
                <w:color w:val="auto"/>
              </w:rPr>
              <w:t>2</w:t>
            </w:r>
            <w:r>
              <w:rPr>
                <w:rFonts w:hint="eastAsia"/>
                <w:color w:val="auto"/>
              </w:rPr>
              <w:t>）油漆废气</w:t>
            </w:r>
          </w:p>
          <w:p>
            <w:pPr>
              <w:pStyle w:val="36"/>
              <w:ind w:firstLine="31680"/>
            </w:pPr>
            <w:r>
              <w:rPr>
                <w:rFonts w:hint="eastAsia"/>
              </w:rPr>
              <w:t>本项目生产的家具不进行喷漆、烤漆等工序，只对组装好的家具进行人工刷漆后自然晾干。本项目设有刷漆房</w:t>
            </w:r>
            <w:r>
              <w:t>1</w:t>
            </w:r>
            <w:r>
              <w:rPr>
                <w:rFonts w:hint="eastAsia"/>
              </w:rPr>
              <w:t>间，为全密闭房间，房顶设有滤网及风机，通过风机为刷漆房内空气进行交换，风机出风口设有滤网，过滤空气中的杂质，本项目在刷漆房出风口出设有活性炭吸附装置，项目所用油漆为夫田牌专业家具漆，年用油漆量约为</w:t>
            </w:r>
            <w:r>
              <w:t>1.6t/a</w:t>
            </w:r>
            <w:r>
              <w:rPr>
                <w:rFonts w:hint="eastAsia"/>
              </w:rPr>
              <w:t>，稀释剂用量约为</w:t>
            </w:r>
            <w:r>
              <w:t>1.2t/a</w:t>
            </w:r>
            <w:r>
              <w:rPr>
                <w:rFonts w:hint="eastAsia"/>
              </w:rPr>
              <w:t>。根据本项目所用油漆和稀释剂成分分析，油漆废气主要为甲苯和二甲苯，类比同类项目，油漆中有机气体产生量按照油漆和稀释剂总用量的</w:t>
            </w:r>
            <w:r>
              <w:t>20%</w:t>
            </w:r>
            <w:r>
              <w:rPr>
                <w:rFonts w:hint="eastAsia"/>
              </w:rPr>
              <w:t>记计，则年产生量为</w:t>
            </w:r>
            <w:r>
              <w:t>0.56t</w:t>
            </w:r>
            <w:r>
              <w:rPr>
                <w:rFonts w:hint="eastAsia"/>
              </w:rPr>
              <w:t>，甲苯占</w:t>
            </w:r>
            <w:r>
              <w:t>33%</w:t>
            </w:r>
            <w:r>
              <w:rPr>
                <w:rFonts w:hint="eastAsia"/>
              </w:rPr>
              <w:t>，二甲苯占</w:t>
            </w:r>
            <w:r>
              <w:t>30%</w:t>
            </w:r>
            <w:r>
              <w:rPr>
                <w:rFonts w:hint="eastAsia"/>
              </w:rPr>
              <w:t>，其余为脂类、丙酮等。则年产生甲苯</w:t>
            </w:r>
            <w:r>
              <w:t>0.185t</w:t>
            </w:r>
            <w:r>
              <w:rPr>
                <w:rFonts w:hint="eastAsia"/>
              </w:rPr>
              <w:t>，二甲苯</w:t>
            </w:r>
            <w:r>
              <w:t>0.168t</w:t>
            </w:r>
            <w:r>
              <w:rPr>
                <w:rFonts w:hint="eastAsia"/>
              </w:rPr>
              <w:t>。项目采用活性炭吸附装置进行吸附，可有效吸附油漆废气，其吸附效率≧</w:t>
            </w:r>
            <w:r>
              <w:t>60%</w:t>
            </w:r>
            <w:r>
              <w:rPr>
                <w:rFonts w:hint="eastAsia"/>
              </w:rPr>
              <w:t>，后经大气稀释后，自然扩散。则项目年排放甲苯</w:t>
            </w:r>
            <w:r>
              <w:t>0.074t</w:t>
            </w:r>
            <w:r>
              <w:rPr>
                <w:rFonts w:hint="eastAsia"/>
              </w:rPr>
              <w:t>，排放二甲苯</w:t>
            </w:r>
            <w:r>
              <w:t>0.067t</w:t>
            </w:r>
            <w:r>
              <w:rPr>
                <w:rFonts w:hint="eastAsia"/>
              </w:rPr>
              <w:t>。</w:t>
            </w:r>
          </w:p>
          <w:p>
            <w:pPr>
              <w:pStyle w:val="36"/>
              <w:ind w:firstLine="31680"/>
            </w:pPr>
            <w:r>
              <w:rPr>
                <w:rFonts w:hint="eastAsia"/>
              </w:rPr>
              <w:t>根据以上分析，项目运营期间无组织废气排放情况见表</w:t>
            </w:r>
            <w:r>
              <w:t>5-2</w:t>
            </w:r>
            <w:r>
              <w:rPr>
                <w:rFonts w:hint="eastAsia"/>
              </w:rPr>
              <w:t>。</w:t>
            </w:r>
          </w:p>
          <w:p>
            <w:pPr>
              <w:pStyle w:val="47"/>
            </w:pPr>
            <w:r>
              <w:rPr>
                <w:rFonts w:hint="eastAsia"/>
              </w:rPr>
              <w:t>表</w:t>
            </w:r>
            <w:r>
              <w:t xml:space="preserve">5-2 </w:t>
            </w:r>
            <w:r>
              <w:rPr>
                <w:rFonts w:hint="eastAsia"/>
              </w:rPr>
              <w:t>运营期项目无组织废气排放情况一览表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792"/>
              <w:gridCol w:w="1809"/>
              <w:gridCol w:w="4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序号</w:t>
                  </w:r>
                </w:p>
              </w:tc>
              <w:tc>
                <w:tcPr>
                  <w:tcW w:w="95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类别</w:t>
                  </w:r>
                </w:p>
              </w:tc>
              <w:tc>
                <w:tcPr>
                  <w:tcW w:w="968"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产生量</w:t>
                  </w:r>
                </w:p>
              </w:tc>
              <w:tc>
                <w:tcPr>
                  <w:tcW w:w="266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 w:type="pct"/>
                  <w:tcBorders>
                    <w:top w:val="single" w:color="auto" w:sz="4" w:space="0"/>
                    <w:left w:val="single" w:color="auto" w:sz="4" w:space="0"/>
                    <w:bottom w:val="single" w:color="auto" w:sz="4" w:space="0"/>
                    <w:right w:val="single" w:color="auto" w:sz="4" w:space="0"/>
                  </w:tcBorders>
                  <w:vAlign w:val="center"/>
                </w:tcPr>
                <w:p>
                  <w:pPr>
                    <w:pStyle w:val="41"/>
                  </w:pPr>
                  <w:r>
                    <w:t>1</w:t>
                  </w:r>
                </w:p>
              </w:tc>
              <w:tc>
                <w:tcPr>
                  <w:tcW w:w="95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粉尘</w:t>
                  </w:r>
                </w:p>
              </w:tc>
              <w:tc>
                <w:tcPr>
                  <w:tcW w:w="968" w:type="pct"/>
                  <w:tcBorders>
                    <w:top w:val="single" w:color="auto" w:sz="4" w:space="0"/>
                    <w:left w:val="single" w:color="auto" w:sz="4" w:space="0"/>
                    <w:bottom w:val="single" w:color="auto" w:sz="4" w:space="0"/>
                    <w:right w:val="single" w:color="auto" w:sz="4" w:space="0"/>
                  </w:tcBorders>
                  <w:vAlign w:val="center"/>
                </w:tcPr>
                <w:p>
                  <w:pPr>
                    <w:pStyle w:val="41"/>
                  </w:pPr>
                  <w:r>
                    <w:t>0.1t/a</w:t>
                  </w:r>
                </w:p>
              </w:tc>
              <w:tc>
                <w:tcPr>
                  <w:tcW w:w="266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自然扩散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 w:type="pct"/>
                  <w:tcBorders>
                    <w:top w:val="single" w:color="auto" w:sz="4" w:space="0"/>
                    <w:left w:val="single" w:color="auto" w:sz="4" w:space="0"/>
                    <w:bottom w:val="single" w:color="auto" w:sz="4" w:space="0"/>
                    <w:right w:val="single" w:color="auto" w:sz="4" w:space="0"/>
                  </w:tcBorders>
                  <w:vAlign w:val="center"/>
                </w:tcPr>
                <w:p>
                  <w:pPr>
                    <w:pStyle w:val="41"/>
                  </w:pPr>
                </w:p>
              </w:tc>
              <w:tc>
                <w:tcPr>
                  <w:tcW w:w="95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甲苯</w:t>
                  </w:r>
                </w:p>
              </w:tc>
              <w:tc>
                <w:tcPr>
                  <w:tcW w:w="968" w:type="pct"/>
                  <w:tcBorders>
                    <w:top w:val="single" w:color="auto" w:sz="4" w:space="0"/>
                    <w:left w:val="single" w:color="auto" w:sz="4" w:space="0"/>
                    <w:bottom w:val="single" w:color="auto" w:sz="4" w:space="0"/>
                    <w:right w:val="single" w:color="auto" w:sz="4" w:space="0"/>
                  </w:tcBorders>
                  <w:vAlign w:val="center"/>
                </w:tcPr>
                <w:p>
                  <w:pPr>
                    <w:pStyle w:val="41"/>
                  </w:pPr>
                  <w:r>
                    <w:t>0.074t/a</w:t>
                  </w:r>
                </w:p>
              </w:tc>
              <w:tc>
                <w:tcPr>
                  <w:tcW w:w="266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自然扩散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 w:type="pct"/>
                  <w:tcBorders>
                    <w:top w:val="single" w:color="auto" w:sz="4" w:space="0"/>
                    <w:left w:val="single" w:color="auto" w:sz="4" w:space="0"/>
                    <w:bottom w:val="single" w:color="auto" w:sz="4" w:space="0"/>
                    <w:right w:val="single" w:color="auto" w:sz="4" w:space="0"/>
                  </w:tcBorders>
                  <w:vAlign w:val="center"/>
                </w:tcPr>
                <w:p>
                  <w:pPr>
                    <w:pStyle w:val="41"/>
                  </w:pPr>
                  <w:r>
                    <w:t>3</w:t>
                  </w:r>
                </w:p>
              </w:tc>
              <w:tc>
                <w:tcPr>
                  <w:tcW w:w="95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二甲苯</w:t>
                  </w:r>
                </w:p>
              </w:tc>
              <w:tc>
                <w:tcPr>
                  <w:tcW w:w="968" w:type="pct"/>
                  <w:tcBorders>
                    <w:top w:val="single" w:color="auto" w:sz="4" w:space="0"/>
                    <w:left w:val="single" w:color="auto" w:sz="4" w:space="0"/>
                    <w:bottom w:val="single" w:color="auto" w:sz="4" w:space="0"/>
                    <w:right w:val="single" w:color="auto" w:sz="4" w:space="0"/>
                  </w:tcBorders>
                  <w:vAlign w:val="center"/>
                </w:tcPr>
                <w:p>
                  <w:pPr>
                    <w:pStyle w:val="41"/>
                  </w:pPr>
                  <w:r>
                    <w:t>0.067t/a</w:t>
                  </w:r>
                </w:p>
              </w:tc>
              <w:tc>
                <w:tcPr>
                  <w:tcW w:w="266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自然扩散</w:t>
                  </w:r>
                </w:p>
              </w:tc>
            </w:tr>
          </w:tbl>
          <w:p>
            <w:pPr>
              <w:pStyle w:val="75"/>
              <w:ind w:firstLine="31680"/>
              <w:rPr>
                <w:color w:val="auto"/>
              </w:rPr>
            </w:pPr>
            <w:r>
              <w:rPr>
                <w:color w:val="auto"/>
              </w:rPr>
              <w:t>2</w:t>
            </w:r>
            <w:r>
              <w:rPr>
                <w:rFonts w:hint="eastAsia"/>
                <w:color w:val="auto"/>
              </w:rPr>
              <w:t>、废水</w:t>
            </w:r>
          </w:p>
          <w:p>
            <w:pPr>
              <w:pStyle w:val="36"/>
              <w:ind w:firstLine="31680"/>
            </w:pPr>
            <w:r>
              <w:rPr>
                <w:rFonts w:hint="eastAsia"/>
              </w:rPr>
              <w:t>（</w:t>
            </w:r>
            <w:r>
              <w:t>1</w:t>
            </w:r>
            <w:r>
              <w:rPr>
                <w:rFonts w:hint="eastAsia"/>
              </w:rPr>
              <w:t>）生活废水</w:t>
            </w:r>
          </w:p>
          <w:p>
            <w:pPr>
              <w:pStyle w:val="36"/>
              <w:ind w:firstLine="31680"/>
            </w:pPr>
            <w:r>
              <w:rPr>
                <w:rFonts w:hint="eastAsia"/>
              </w:rPr>
              <w:t>项目生活污水主要来自于员工办公、洗手等，根据《云南省地方标准用水定额》（</w:t>
            </w:r>
            <w:r>
              <w:t>DB53/T168-2013</w:t>
            </w:r>
            <w:r>
              <w:rPr>
                <w:rFonts w:hint="eastAsia"/>
              </w:rPr>
              <w:t>）员工用水量按</w:t>
            </w:r>
            <w:r>
              <w:t>40L/</w:t>
            </w:r>
            <w:r>
              <w:rPr>
                <w:rFonts w:hint="eastAsia"/>
              </w:rPr>
              <w:t>（人·天）计，项目共有员工</w:t>
            </w:r>
            <w:r>
              <w:t>5</w:t>
            </w:r>
            <w:r>
              <w:rPr>
                <w:rFonts w:hint="eastAsia"/>
              </w:rPr>
              <w:t>人，用水量为</w:t>
            </w:r>
            <w:r>
              <w:t>0.2m</w:t>
            </w:r>
            <w:r>
              <w:rPr>
                <w:vertAlign w:val="superscript"/>
              </w:rPr>
              <w:t>3</w:t>
            </w:r>
            <w:r>
              <w:t>/d</w:t>
            </w:r>
            <w:r>
              <w:rPr>
                <w:rFonts w:hint="eastAsia"/>
              </w:rPr>
              <w:t>、</w:t>
            </w:r>
            <w:r>
              <w:t>60m</w:t>
            </w:r>
            <w:r>
              <w:rPr>
                <w:vertAlign w:val="superscript"/>
              </w:rPr>
              <w:t>3</w:t>
            </w:r>
            <w:r>
              <w:t>/a</w:t>
            </w:r>
            <w:r>
              <w:rPr>
                <w:rFonts w:hint="eastAsia"/>
              </w:rPr>
              <w:t>，废水产生量按用水量的</w:t>
            </w:r>
            <w:r>
              <w:t>80%</w:t>
            </w:r>
            <w:r>
              <w:rPr>
                <w:rFonts w:hint="eastAsia"/>
              </w:rPr>
              <w:t>计，则办公废水产生量为</w:t>
            </w:r>
            <w:r>
              <w:t>0.16m</w:t>
            </w:r>
            <w:r>
              <w:rPr>
                <w:vertAlign w:val="superscript"/>
              </w:rPr>
              <w:t>3</w:t>
            </w:r>
            <w:r>
              <w:t>/d</w:t>
            </w:r>
            <w:r>
              <w:rPr>
                <w:rFonts w:hint="eastAsia"/>
              </w:rPr>
              <w:t>、</w:t>
            </w:r>
            <w:r>
              <w:t>48m</w:t>
            </w:r>
            <w:r>
              <w:rPr>
                <w:vertAlign w:val="superscript"/>
              </w:rPr>
              <w:t>3</w:t>
            </w:r>
            <w:r>
              <w:t>/a</w:t>
            </w:r>
            <w:r>
              <w:rPr>
                <w:rFonts w:hint="eastAsia"/>
              </w:rPr>
              <w:t>；项目有</w:t>
            </w:r>
            <w:r>
              <w:t>1</w:t>
            </w:r>
            <w:r>
              <w:rPr>
                <w:rFonts w:hint="eastAsia"/>
              </w:rPr>
              <w:t>人留守厂房，根据《云南省地方标准用水定额》（</w:t>
            </w:r>
            <w:r>
              <w:t>DB53/T168-2013</w:t>
            </w:r>
            <w:r>
              <w:rPr>
                <w:rFonts w:hint="eastAsia"/>
              </w:rPr>
              <w:t>）留守人员用水量按</w:t>
            </w:r>
            <w:r>
              <w:t>110L/</w:t>
            </w:r>
            <w:r>
              <w:rPr>
                <w:rFonts w:hint="eastAsia"/>
              </w:rPr>
              <w:t>（人·天）计，则项目留守人员用水量为</w:t>
            </w:r>
            <w:r>
              <w:t>0.11 m</w:t>
            </w:r>
            <w:r>
              <w:rPr>
                <w:vertAlign w:val="superscript"/>
              </w:rPr>
              <w:t>3</w:t>
            </w:r>
            <w:r>
              <w:t>/d</w:t>
            </w:r>
            <w:r>
              <w:rPr>
                <w:rFonts w:hint="eastAsia"/>
              </w:rPr>
              <w:t>、</w:t>
            </w:r>
            <w:r>
              <w:t>33 m</w:t>
            </w:r>
            <w:r>
              <w:rPr>
                <w:vertAlign w:val="superscript"/>
              </w:rPr>
              <w:t>3</w:t>
            </w:r>
            <w:r>
              <w:t>/a</w:t>
            </w:r>
            <w:r>
              <w:rPr>
                <w:rFonts w:hint="eastAsia"/>
              </w:rPr>
              <w:t>，废水产生量按用水量的</w:t>
            </w:r>
            <w:r>
              <w:t>80%</w:t>
            </w:r>
            <w:r>
              <w:rPr>
                <w:rFonts w:hint="eastAsia"/>
              </w:rPr>
              <w:t>计，则留守人员废水产生量为</w:t>
            </w:r>
            <w:r>
              <w:t>0.088 m</w:t>
            </w:r>
            <w:r>
              <w:rPr>
                <w:vertAlign w:val="superscript"/>
              </w:rPr>
              <w:t>3</w:t>
            </w:r>
            <w:r>
              <w:t>/d</w:t>
            </w:r>
            <w:r>
              <w:rPr>
                <w:rFonts w:hint="eastAsia"/>
              </w:rPr>
              <w:t>、</w:t>
            </w:r>
            <w:r>
              <w:t>26.4 m</w:t>
            </w:r>
            <w:r>
              <w:rPr>
                <w:vertAlign w:val="superscript"/>
              </w:rPr>
              <w:t>3</w:t>
            </w:r>
            <w:r>
              <w:t>/a</w:t>
            </w:r>
            <w:r>
              <w:rPr>
                <w:rFonts w:hint="eastAsia"/>
              </w:rPr>
              <w:t>。则总的生活废水产生量为</w:t>
            </w:r>
            <w:r>
              <w:t>0.248 m</w:t>
            </w:r>
            <w:r>
              <w:rPr>
                <w:vertAlign w:val="superscript"/>
              </w:rPr>
              <w:t>3</w:t>
            </w:r>
            <w:r>
              <w:t>/d</w:t>
            </w:r>
            <w:r>
              <w:rPr>
                <w:rFonts w:hint="eastAsia"/>
              </w:rPr>
              <w:t>、</w:t>
            </w:r>
            <w:r>
              <w:t xml:space="preserve">   74.4 m</w:t>
            </w:r>
            <w:r>
              <w:rPr>
                <w:vertAlign w:val="superscript"/>
              </w:rPr>
              <w:t>3</w:t>
            </w:r>
            <w:r>
              <w:t>/a</w:t>
            </w:r>
          </w:p>
          <w:p>
            <w:pPr>
              <w:pStyle w:val="36"/>
              <w:ind w:firstLine="31680"/>
            </w:pPr>
            <w:r>
              <w:rPr>
                <w:rFonts w:hint="eastAsia"/>
              </w:rPr>
              <w:t>（</w:t>
            </w:r>
            <w:r>
              <w:t>2</w:t>
            </w:r>
            <w:r>
              <w:rPr>
                <w:rFonts w:hint="eastAsia"/>
              </w:rPr>
              <w:t>）绿化用水</w:t>
            </w:r>
          </w:p>
          <w:p>
            <w:pPr>
              <w:pStyle w:val="36"/>
              <w:ind w:firstLine="31680"/>
            </w:pPr>
            <w:r>
              <w:rPr>
                <w:rFonts w:hint="eastAsia"/>
              </w:rPr>
              <w:t>根据建设方资料，项目绿化面积约为</w:t>
            </w:r>
            <w:r>
              <w:t>50m</w:t>
            </w:r>
            <w:r>
              <w:rPr>
                <w:vertAlign w:val="superscript"/>
              </w:rPr>
              <w:t>2</w:t>
            </w:r>
            <w:r>
              <w:rPr>
                <w:rFonts w:hint="eastAsia"/>
              </w:rPr>
              <w:t>，根据《云南省地方标准用水定额》（</w:t>
            </w:r>
            <w:r>
              <w:t>DB53/T168-2013</w:t>
            </w:r>
            <w:r>
              <w:rPr>
                <w:rFonts w:hint="eastAsia"/>
              </w:rPr>
              <w:t>），晴天项目区绿化用水定额为</w:t>
            </w:r>
            <w:r>
              <w:t>3L/</w:t>
            </w:r>
            <w:r>
              <w:rPr>
                <w:rFonts w:hint="eastAsia"/>
              </w:rPr>
              <w:t>（</w:t>
            </w:r>
            <w:r>
              <w:t>m</w:t>
            </w:r>
            <w:r>
              <w:rPr>
                <w:vertAlign w:val="superscript"/>
              </w:rPr>
              <w:t>2</w:t>
            </w:r>
            <w:r>
              <w:rPr>
                <w:rFonts w:hint="eastAsia"/>
              </w:rPr>
              <w:t>·</w:t>
            </w:r>
            <w:r>
              <w:t>d</w:t>
            </w:r>
            <w:r>
              <w:rPr>
                <w:rFonts w:hint="eastAsia"/>
              </w:rPr>
              <w:t>），则本项目绿化用水量为</w:t>
            </w:r>
            <w:r>
              <w:t>0.15m</w:t>
            </w:r>
            <w:r>
              <w:rPr>
                <w:vertAlign w:val="superscript"/>
              </w:rPr>
              <w:t>3</w:t>
            </w:r>
            <w:r>
              <w:t>/d</w:t>
            </w:r>
            <w:r>
              <w:rPr>
                <w:rFonts w:hint="eastAsia"/>
              </w:rPr>
              <w:t>，芒市地区晴天按</w:t>
            </w:r>
            <w:r>
              <w:t>300</w:t>
            </w:r>
            <w:r>
              <w:rPr>
                <w:rFonts w:hint="eastAsia"/>
              </w:rPr>
              <w:t>天计，则绿化用水量为</w:t>
            </w:r>
            <w:r>
              <w:t>45m</w:t>
            </w:r>
            <w:r>
              <w:rPr>
                <w:vertAlign w:val="superscript"/>
              </w:rPr>
              <w:t>3</w:t>
            </w:r>
            <w:r>
              <w:t>/a</w:t>
            </w:r>
            <w:r>
              <w:rPr>
                <w:rFonts w:hint="eastAsia"/>
              </w:rPr>
              <w:t>。绿化用水全部消耗，不外排。</w:t>
            </w:r>
          </w:p>
          <w:p>
            <w:pPr>
              <w:pStyle w:val="36"/>
              <w:ind w:firstLine="31680"/>
            </w:pPr>
            <w:r>
              <w:rPr>
                <w:rFonts w:hint="eastAsia"/>
              </w:rPr>
              <w:t>根据以上计算，本项目用排水情况见表</w:t>
            </w:r>
            <w:r>
              <w:t>5-3</w:t>
            </w:r>
            <w:r>
              <w:rPr>
                <w:rFonts w:hint="eastAsia"/>
              </w:rPr>
              <w:t>，项目水平衡图见图</w:t>
            </w:r>
            <w:r>
              <w:t>5-3</w:t>
            </w:r>
            <w:r>
              <w:rPr>
                <w:rFonts w:hint="eastAsia"/>
              </w:rPr>
              <w:t>。</w:t>
            </w:r>
          </w:p>
          <w:p>
            <w:pPr>
              <w:pStyle w:val="47"/>
            </w:pPr>
            <w:r>
              <w:rPr>
                <w:rFonts w:hint="eastAsia"/>
              </w:rPr>
              <w:t>表</w:t>
            </w:r>
            <w:r>
              <w:t xml:space="preserve">5-3 </w:t>
            </w:r>
            <w:r>
              <w:rPr>
                <w:rFonts w:hint="eastAsia"/>
              </w:rPr>
              <w:t>本项目用水及排水情况</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560"/>
              <w:gridCol w:w="1701"/>
              <w:gridCol w:w="1275"/>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用水项目</w:t>
                  </w:r>
                </w:p>
              </w:tc>
              <w:tc>
                <w:tcPr>
                  <w:tcW w:w="83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总用水量</w:t>
                  </w:r>
                  <w:r>
                    <w:t>m</w:t>
                  </w:r>
                  <w:r>
                    <w:rPr>
                      <w:vertAlign w:val="superscript"/>
                    </w:rPr>
                    <w:t>3</w:t>
                  </w:r>
                  <w:r>
                    <w:t>/a</w:t>
                  </w:r>
                </w:p>
              </w:tc>
              <w:tc>
                <w:tcPr>
                  <w:tcW w:w="91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新鲜用水量</w:t>
                  </w:r>
                  <w:r>
                    <w:t>m</w:t>
                  </w:r>
                  <w:r>
                    <w:rPr>
                      <w:vertAlign w:val="superscript"/>
                    </w:rPr>
                    <w:t>3</w:t>
                  </w:r>
                  <w:r>
                    <w:t>/a</w:t>
                  </w:r>
                </w:p>
              </w:tc>
              <w:tc>
                <w:tcPr>
                  <w:tcW w:w="68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排水量</w:t>
                  </w:r>
                  <w:r>
                    <w:t>m</w:t>
                  </w:r>
                  <w:r>
                    <w:rPr>
                      <w:vertAlign w:val="superscript"/>
                    </w:rPr>
                    <w:t>3</w:t>
                  </w:r>
                  <w:r>
                    <w:t>/a</w:t>
                  </w:r>
                </w:p>
              </w:tc>
              <w:tc>
                <w:tcPr>
                  <w:tcW w:w="196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办公</w:t>
                  </w:r>
                </w:p>
              </w:tc>
              <w:tc>
                <w:tcPr>
                  <w:tcW w:w="835" w:type="pct"/>
                  <w:tcBorders>
                    <w:top w:val="single" w:color="auto" w:sz="4" w:space="0"/>
                    <w:left w:val="single" w:color="auto" w:sz="4" w:space="0"/>
                    <w:bottom w:val="single" w:color="auto" w:sz="4" w:space="0"/>
                    <w:right w:val="single" w:color="auto" w:sz="4" w:space="0"/>
                  </w:tcBorders>
                  <w:vAlign w:val="center"/>
                </w:tcPr>
                <w:p>
                  <w:pPr>
                    <w:pStyle w:val="41"/>
                  </w:pPr>
                  <w:r>
                    <w:t>93</w:t>
                  </w:r>
                </w:p>
              </w:tc>
              <w:tc>
                <w:tcPr>
                  <w:tcW w:w="910" w:type="pct"/>
                  <w:tcBorders>
                    <w:top w:val="single" w:color="auto" w:sz="4" w:space="0"/>
                    <w:left w:val="single" w:color="auto" w:sz="4" w:space="0"/>
                    <w:bottom w:val="single" w:color="auto" w:sz="4" w:space="0"/>
                    <w:right w:val="single" w:color="auto" w:sz="4" w:space="0"/>
                  </w:tcBorders>
                  <w:vAlign w:val="center"/>
                </w:tcPr>
                <w:p>
                  <w:pPr>
                    <w:pStyle w:val="41"/>
                  </w:pPr>
                  <w:r>
                    <w:t>93</w:t>
                  </w:r>
                </w:p>
              </w:tc>
              <w:tc>
                <w:tcPr>
                  <w:tcW w:w="682" w:type="pct"/>
                  <w:tcBorders>
                    <w:top w:val="single" w:color="auto" w:sz="4" w:space="0"/>
                    <w:left w:val="single" w:color="auto" w:sz="4" w:space="0"/>
                    <w:bottom w:val="single" w:color="auto" w:sz="4" w:space="0"/>
                    <w:right w:val="single" w:color="auto" w:sz="4" w:space="0"/>
                  </w:tcBorders>
                  <w:vAlign w:val="center"/>
                </w:tcPr>
                <w:p>
                  <w:pPr>
                    <w:pStyle w:val="41"/>
                  </w:pPr>
                  <w:r>
                    <w:t>74.4</w:t>
                  </w:r>
                </w:p>
              </w:tc>
              <w:tc>
                <w:tcPr>
                  <w:tcW w:w="196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化粪池处理，委托村民定期掏运，用作农灌施肥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绿化</w:t>
                  </w:r>
                </w:p>
              </w:tc>
              <w:tc>
                <w:tcPr>
                  <w:tcW w:w="835" w:type="pct"/>
                  <w:tcBorders>
                    <w:top w:val="single" w:color="auto" w:sz="4" w:space="0"/>
                    <w:left w:val="single" w:color="auto" w:sz="4" w:space="0"/>
                    <w:bottom w:val="single" w:color="auto" w:sz="4" w:space="0"/>
                    <w:right w:val="single" w:color="auto" w:sz="4" w:space="0"/>
                  </w:tcBorders>
                  <w:vAlign w:val="center"/>
                </w:tcPr>
                <w:p>
                  <w:pPr>
                    <w:pStyle w:val="41"/>
                  </w:pPr>
                  <w:r>
                    <w:t>45</w:t>
                  </w:r>
                </w:p>
              </w:tc>
              <w:tc>
                <w:tcPr>
                  <w:tcW w:w="910" w:type="pct"/>
                  <w:tcBorders>
                    <w:top w:val="single" w:color="auto" w:sz="4" w:space="0"/>
                    <w:left w:val="single" w:color="auto" w:sz="4" w:space="0"/>
                    <w:bottom w:val="single" w:color="auto" w:sz="4" w:space="0"/>
                    <w:right w:val="single" w:color="auto" w:sz="4" w:space="0"/>
                  </w:tcBorders>
                  <w:vAlign w:val="center"/>
                </w:tcPr>
                <w:p>
                  <w:pPr>
                    <w:pStyle w:val="41"/>
                  </w:pPr>
                  <w:r>
                    <w:t>45</w:t>
                  </w:r>
                </w:p>
              </w:tc>
              <w:tc>
                <w:tcPr>
                  <w:tcW w:w="682" w:type="pct"/>
                  <w:tcBorders>
                    <w:top w:val="single" w:color="auto" w:sz="4" w:space="0"/>
                    <w:left w:val="single" w:color="auto" w:sz="4" w:space="0"/>
                    <w:bottom w:val="single" w:color="auto" w:sz="4" w:space="0"/>
                    <w:right w:val="single" w:color="auto" w:sz="4" w:space="0"/>
                  </w:tcBorders>
                  <w:vAlign w:val="center"/>
                </w:tcPr>
                <w:p>
                  <w:pPr>
                    <w:pStyle w:val="41"/>
                  </w:pPr>
                  <w:r>
                    <w:t>0</w:t>
                  </w:r>
                </w:p>
              </w:tc>
              <w:tc>
                <w:tcPr>
                  <w:tcW w:w="196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蒸发损耗</w:t>
                  </w:r>
                  <w:r>
                    <w:t>45m</w:t>
                  </w:r>
                  <w:r>
                    <w:rPr>
                      <w:vertAlign w:val="superscript"/>
                    </w:rPr>
                    <w:t>3</w:t>
                  </w:r>
                  <w: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4"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合计</w:t>
                  </w:r>
                </w:p>
              </w:tc>
              <w:tc>
                <w:tcPr>
                  <w:tcW w:w="835" w:type="pct"/>
                  <w:tcBorders>
                    <w:top w:val="single" w:color="auto" w:sz="4" w:space="0"/>
                    <w:left w:val="single" w:color="auto" w:sz="4" w:space="0"/>
                    <w:bottom w:val="single" w:color="auto" w:sz="4" w:space="0"/>
                    <w:right w:val="single" w:color="auto" w:sz="4" w:space="0"/>
                  </w:tcBorders>
                  <w:vAlign w:val="center"/>
                </w:tcPr>
                <w:p>
                  <w:pPr>
                    <w:pStyle w:val="41"/>
                  </w:pPr>
                  <w:r>
                    <w:t>138</w:t>
                  </w:r>
                </w:p>
              </w:tc>
              <w:tc>
                <w:tcPr>
                  <w:tcW w:w="910" w:type="pct"/>
                  <w:tcBorders>
                    <w:top w:val="single" w:color="auto" w:sz="4" w:space="0"/>
                    <w:left w:val="single" w:color="auto" w:sz="4" w:space="0"/>
                    <w:bottom w:val="single" w:color="auto" w:sz="4" w:space="0"/>
                    <w:right w:val="single" w:color="auto" w:sz="4" w:space="0"/>
                  </w:tcBorders>
                  <w:vAlign w:val="center"/>
                </w:tcPr>
                <w:p>
                  <w:pPr>
                    <w:pStyle w:val="41"/>
                  </w:pPr>
                  <w:r>
                    <w:t>138</w:t>
                  </w:r>
                </w:p>
              </w:tc>
              <w:tc>
                <w:tcPr>
                  <w:tcW w:w="682" w:type="pct"/>
                  <w:tcBorders>
                    <w:top w:val="single" w:color="auto" w:sz="4" w:space="0"/>
                    <w:left w:val="single" w:color="auto" w:sz="4" w:space="0"/>
                    <w:bottom w:val="single" w:color="auto" w:sz="4" w:space="0"/>
                    <w:right w:val="single" w:color="auto" w:sz="4" w:space="0"/>
                  </w:tcBorders>
                  <w:vAlign w:val="center"/>
                </w:tcPr>
                <w:p>
                  <w:pPr>
                    <w:pStyle w:val="41"/>
                  </w:pPr>
                  <w:r>
                    <w:t>74.4</w:t>
                  </w:r>
                </w:p>
              </w:tc>
              <w:tc>
                <w:tcPr>
                  <w:tcW w:w="1969" w:type="pct"/>
                  <w:tcBorders>
                    <w:top w:val="single" w:color="auto" w:sz="4" w:space="0"/>
                    <w:left w:val="single" w:color="auto" w:sz="4" w:space="0"/>
                    <w:bottom w:val="single" w:color="auto" w:sz="4" w:space="0"/>
                    <w:right w:val="single" w:color="auto" w:sz="4" w:space="0"/>
                  </w:tcBorders>
                  <w:vAlign w:val="center"/>
                </w:tcPr>
                <w:p>
                  <w:pPr>
                    <w:pStyle w:val="41"/>
                  </w:pPr>
                </w:p>
              </w:tc>
            </w:tr>
          </w:tbl>
          <w:p>
            <w:pPr>
              <w:pStyle w:val="47"/>
            </w:pPr>
          </w:p>
          <w:p>
            <w:pPr>
              <w:pStyle w:val="47"/>
            </w:pPr>
          </w:p>
          <w:p>
            <w:pPr>
              <w:pStyle w:val="47"/>
            </w:pPr>
          </w:p>
          <w:p>
            <w:pPr>
              <w:pStyle w:val="47"/>
            </w:pPr>
          </w:p>
          <w:p>
            <w:pPr>
              <w:pStyle w:val="49"/>
              <w:rPr>
                <w:color w:val="auto"/>
              </w:rPr>
            </w:pPr>
            <w:r>
              <w:pict>
                <v:group id="画布 21" o:spid="_x0000_s1076" o:spt="203" style="position:absolute;left:0pt;margin-left:-236.55pt;margin-top:10.15pt;height:228.5pt;width:470.15pt;mso-position-horizontal-relative:char;mso-position-vertical-relative:line;mso-wrap-distance-bottom:0pt;mso-wrap-distance-top:0pt;z-index:251660288;mso-width-relative:page;mso-height-relative:page;" coordsize="59709,29019" editas="canvas">
                  <o:lock v:ext="edit"/>
                  <v:shape id="画布 21" o:spid="_x0000_s1077" o:spt="75" type="#_x0000_t75" style="position:absolute;left:0;top:0;height:29019;width:59709;" filled="f" o:preferrelative="t" stroked="f" coordsize="21600,21600">
                    <v:path/>
                    <v:fill on="f" focussize="0,0"/>
                    <v:stroke on="f" joinstyle="miter"/>
                    <v:imagedata o:title=""/>
                    <o:lock v:ext="edit" aspectratio="t"/>
                  </v:shape>
                  <v:rect id="Rectangle 54" o:spid="_x0000_s1078" o:spt="1" style="position:absolute;left:3988;top:9842;height:13087;width:3384;" fillcolor="#000000" filled="f" stroked="f" coordsize="21600,21600">
                    <v:path/>
                    <v:fill on="f" focussize="0,0"/>
                    <v:stroke on="f"/>
                    <v:imagedata o:title=""/>
                    <o:lock v:ext="edit"/>
                    <v:textbox>
                      <w:txbxContent>
                        <w:p>
                          <w:pPr>
                            <w:spacing w:line="240" w:lineRule="auto"/>
                            <w:ind w:firstLine="0" w:firstLineChars="0"/>
                            <w:jc w:val="center"/>
                            <w:rPr>
                              <w:sz w:val="21"/>
                              <w:szCs w:val="21"/>
                            </w:rPr>
                          </w:pPr>
                          <w:r>
                            <w:rPr>
                              <w:rFonts w:hint="eastAsia"/>
                              <w:sz w:val="21"/>
                              <w:szCs w:val="21"/>
                            </w:rPr>
                            <w:t>地下水</w:t>
                          </w:r>
                        </w:p>
                      </w:txbxContent>
                    </v:textbox>
                  </v:rect>
                  <v:rect id="Rectangle 55" o:spid="_x0000_s1079" o:spt="1" style="position:absolute;left:18573;top:16598;height:3067;width:11354;" coordsize="21600,21600">
                    <v:path/>
                    <v:fill focussize="0,0"/>
                    <v:stroke/>
                    <v:imagedata o:title=""/>
                    <o:lock v:ext="edit"/>
                    <v:textbox>
                      <w:txbxContent>
                        <w:p>
                          <w:pPr>
                            <w:spacing w:line="240" w:lineRule="auto"/>
                            <w:ind w:firstLine="0" w:firstLineChars="0"/>
                            <w:jc w:val="center"/>
                            <w:rPr>
                              <w:sz w:val="21"/>
                              <w:szCs w:val="21"/>
                            </w:rPr>
                          </w:pPr>
                          <w:r>
                            <w:rPr>
                              <w:rFonts w:hint="eastAsia"/>
                              <w:sz w:val="21"/>
                              <w:szCs w:val="21"/>
                            </w:rPr>
                            <w:t>绿化用水</w:t>
                          </w:r>
                        </w:p>
                      </w:txbxContent>
                    </v:textbox>
                  </v:rect>
                  <v:rect id="Rectangle 56" o:spid="_x0000_s1080" o:spt="1" style="position:absolute;left:38728;top:4813;height:6716;width:3042;" coordsize="21600,21600">
                    <v:path/>
                    <v:fill focussize="0,0"/>
                    <v:stroke/>
                    <v:imagedata o:title=""/>
                    <o:lock v:ext="edit"/>
                    <v:textbox>
                      <w:txbxContent>
                        <w:p>
                          <w:pPr>
                            <w:pStyle w:val="57"/>
                            <w:rPr>
                              <w:szCs w:val="21"/>
                            </w:rPr>
                          </w:pPr>
                          <w:r>
                            <w:rPr>
                              <w:rFonts w:hint="eastAsia"/>
                              <w:szCs w:val="21"/>
                            </w:rPr>
                            <w:t>化粪池</w:t>
                          </w:r>
                        </w:p>
                      </w:txbxContent>
                    </v:textbox>
                  </v:rect>
                  <v:rect id="Rectangle 57" o:spid="_x0000_s1081" o:spt="1" style="position:absolute;left:18573;top:5905;height:3042;width:14205;" coordsize="21600,21600">
                    <v:path/>
                    <v:fill focussize="0,0"/>
                    <v:stroke/>
                    <v:imagedata o:title=""/>
                    <o:lock v:ext="edit"/>
                    <v:textbox>
                      <w:txbxContent>
                        <w:p>
                          <w:pPr>
                            <w:spacing w:line="240" w:lineRule="auto"/>
                            <w:ind w:firstLine="0" w:firstLineChars="0"/>
                            <w:jc w:val="center"/>
                            <w:rPr>
                              <w:sz w:val="21"/>
                              <w:szCs w:val="21"/>
                            </w:rPr>
                          </w:pPr>
                          <w:r>
                            <w:rPr>
                              <w:rFonts w:hint="eastAsia"/>
                              <w:color w:val="000000"/>
                              <w:kern w:val="0"/>
                              <w:sz w:val="21"/>
                              <w:szCs w:val="21"/>
                            </w:rPr>
                            <w:t>生产人员生活废水</w:t>
                          </w:r>
                        </w:p>
                      </w:txbxContent>
                    </v:textbox>
                  </v:rect>
                  <v:shape id="AutoShape 58" o:spid="_x0000_s1082" o:spt="32" type="#_x0000_t32" style="position:absolute;left:13417;top:18307;height:6;width:5169;" o:connectortype="straight" filled="f" coordsize="21600,21600">
                    <v:path arrowok="t"/>
                    <v:fill on="f" focussize="0,0"/>
                    <v:stroke endarrow="block"/>
                    <v:imagedata o:title=""/>
                    <o:lock v:ext="edit"/>
                  </v:shape>
                  <v:shape id="AutoShape 59" o:spid="_x0000_s1083" o:spt="32" type="#_x0000_t32" style="position:absolute;left:13404;top:7302;height:6;width:5169;" o:connectortype="straight" filled="f" coordsize="21600,21600">
                    <v:path arrowok="t"/>
                    <v:fill on="f" focussize="0,0"/>
                    <v:stroke endarrow="block"/>
                    <v:imagedata o:title=""/>
                    <o:lock v:ext="edit"/>
                  </v:shape>
                  <v:shape id="AutoShape 60" o:spid="_x0000_s1084" o:spt="32" type="#_x0000_t32" style="position:absolute;left:13411;top:7308;flip:x;height:10999;width:6;" o:connectortype="straight" filled="f" coordsize="21600,21600">
                    <v:path arrowok="t"/>
                    <v:fill on="f" focussize="0,0"/>
                    <v:stroke/>
                    <v:imagedata o:title=""/>
                    <o:lock v:ext="edit"/>
                  </v:shape>
                  <v:shape id="AutoShape 61" o:spid="_x0000_s1085" o:spt="32" type="#_x0000_t32" style="position:absolute;left:6902;top:13214;height:19;width:6515;" o:connectortype="straight" filled="f" coordsize="21600,21600">
                    <v:path arrowok="t"/>
                    <v:fill on="f" focussize="0,0"/>
                    <v:stroke endarrow="block"/>
                    <v:imagedata o:title=""/>
                    <o:lock v:ext="edit"/>
                  </v:shape>
                  <v:rect id="Rectangle 62" o:spid="_x0000_s1086" o:spt="1" style="position:absolute;left:32321;top:5226;height:2438;width:6858;" fillcolor="#000000" filled="f" stroked="f" coordsize="21600,21600">
                    <v:path/>
                    <v:fill on="f" focussize="0,0"/>
                    <v:stroke on="f"/>
                    <v:imagedata o:title=""/>
                    <o:lock v:ext="edit"/>
                    <v:textbox>
                      <w:txbxContent>
                        <w:p>
                          <w:pPr>
                            <w:spacing w:line="240" w:lineRule="auto"/>
                            <w:ind w:firstLine="0" w:firstLineChars="0"/>
                            <w:jc w:val="center"/>
                            <w:rPr>
                              <w:sz w:val="21"/>
                              <w:szCs w:val="21"/>
                            </w:rPr>
                          </w:pPr>
                          <w:r>
                            <w:rPr>
                              <w:sz w:val="21"/>
                              <w:szCs w:val="21"/>
                            </w:rPr>
                            <w:t>0.248</w:t>
                          </w:r>
                        </w:p>
                      </w:txbxContent>
                    </v:textbox>
                  </v:rect>
                  <v:rect id="Rectangle 63" o:spid="_x0000_s1087" o:spt="1" style="position:absolute;left:13404;top:4876;height:2432;width:4306;" fillcolor="#000000" filled="f" stroked="f" coordsize="21600,21600">
                    <v:path/>
                    <v:fill on="f" focussize="0,0"/>
                    <v:stroke on="f"/>
                    <v:imagedata o:title=""/>
                    <o:lock v:ext="edit"/>
                    <v:textbox>
                      <w:txbxContent>
                        <w:p>
                          <w:pPr>
                            <w:spacing w:line="240" w:lineRule="auto"/>
                            <w:ind w:firstLine="0" w:firstLineChars="0"/>
                            <w:jc w:val="center"/>
                            <w:rPr>
                              <w:sz w:val="21"/>
                              <w:szCs w:val="21"/>
                            </w:rPr>
                          </w:pPr>
                          <w:r>
                            <w:rPr>
                              <w:sz w:val="21"/>
                              <w:szCs w:val="21"/>
                            </w:rPr>
                            <w:t>0.3131</w:t>
                          </w:r>
                        </w:p>
                      </w:txbxContent>
                    </v:textbox>
                  </v:rect>
                  <v:rect id="Rectangle 64" o:spid="_x0000_s1088" o:spt="1" style="position:absolute;left:23552;top:2388;height:2838;width:9227;" fillcolor="#000000" filled="f" stroked="f" coordsize="21600,21600">
                    <v:path/>
                    <v:fill on="f" focussize="0,0"/>
                    <v:stroke on="f"/>
                    <v:imagedata o:title=""/>
                    <o:lock v:ext="edit"/>
                    <v:textbox>
                      <w:txbxContent>
                        <w:p>
                          <w:pPr>
                            <w:spacing w:line="240" w:lineRule="auto"/>
                            <w:ind w:firstLine="0" w:firstLineChars="0"/>
                            <w:jc w:val="center"/>
                            <w:rPr>
                              <w:sz w:val="21"/>
                              <w:szCs w:val="21"/>
                            </w:rPr>
                          </w:pPr>
                          <w:r>
                            <w:rPr>
                              <w:rFonts w:hint="eastAsia"/>
                              <w:sz w:val="21"/>
                              <w:szCs w:val="21"/>
                            </w:rPr>
                            <w:t>消耗</w:t>
                          </w:r>
                          <w:r>
                            <w:rPr>
                              <w:sz w:val="21"/>
                              <w:szCs w:val="21"/>
                            </w:rPr>
                            <w:t>0.062</w:t>
                          </w:r>
                        </w:p>
                      </w:txbxContent>
                    </v:textbox>
                  </v:rect>
                  <v:rect id="Rectangle 65" o:spid="_x0000_s1089" o:spt="1" style="position:absolute;left:21983;top:12039;height:2559;width:12129;" fillcolor="#000000" filled="f" stroked="f" coordsize="21600,21600">
                    <v:path/>
                    <v:fill on="f" focussize="0,0"/>
                    <v:stroke on="f"/>
                    <v:imagedata o:title=""/>
                    <o:lock v:ext="edit"/>
                    <v:textbox>
                      <w:txbxContent>
                        <w:p>
                          <w:pPr>
                            <w:spacing w:line="240" w:lineRule="auto"/>
                            <w:ind w:firstLine="0" w:firstLineChars="0"/>
                            <w:jc w:val="center"/>
                            <w:rPr>
                              <w:sz w:val="21"/>
                              <w:szCs w:val="21"/>
                            </w:rPr>
                          </w:pPr>
                          <w:r>
                            <w:rPr>
                              <w:rFonts w:hint="eastAsia"/>
                              <w:sz w:val="21"/>
                              <w:szCs w:val="21"/>
                            </w:rPr>
                            <w:t>消耗</w:t>
                          </w:r>
                          <w:r>
                            <w:rPr>
                              <w:sz w:val="21"/>
                              <w:szCs w:val="21"/>
                            </w:rPr>
                            <w:t>0.15</w:t>
                          </w:r>
                          <w:r>
                            <w:rPr>
                              <w:rFonts w:hint="eastAsia"/>
                              <w:sz w:val="21"/>
                              <w:szCs w:val="21"/>
                            </w:rPr>
                            <w:t>（</w:t>
                          </w:r>
                          <w:r>
                            <w:rPr>
                              <w:sz w:val="21"/>
                              <w:szCs w:val="21"/>
                            </w:rPr>
                            <w:t>0</w:t>
                          </w:r>
                          <w:r>
                            <w:rPr>
                              <w:rFonts w:hint="eastAsia"/>
                              <w:sz w:val="21"/>
                              <w:szCs w:val="21"/>
                            </w:rPr>
                            <w:t>）</w:t>
                          </w:r>
                        </w:p>
                      </w:txbxContent>
                    </v:textbox>
                  </v:rect>
                  <v:shape id="AutoShape 66" o:spid="_x0000_s1090" o:spt="32" type="#_x0000_t32" style="position:absolute;left:21983;top:4368;flip:y;height:1537;width:1797;" o:connectortype="straight" filled="f" coordsize="21600,21600">
                    <v:path arrowok="t"/>
                    <v:fill on="f" focussize="0,0"/>
                    <v:stroke dashstyle="1 1" endarrow="block"/>
                    <v:imagedata o:title=""/>
                    <o:lock v:ext="edit"/>
                  </v:shape>
                  <v:shape id="AutoShape 67" o:spid="_x0000_s1091" o:spt="32" type="#_x0000_t32" style="position:absolute;left:23780;top:14598;flip:y;height:1543;width:1804;" o:connectortype="straight" filled="f" coordsize="21600,21600">
                    <v:path arrowok="t"/>
                    <v:fill on="f" focussize="0,0"/>
                    <v:stroke dashstyle="1 1" endarrow="block"/>
                    <v:imagedata o:title=""/>
                    <o:lock v:ext="edit"/>
                  </v:shape>
                  <v:rect id="Rectangle 68" o:spid="_x0000_s1092" o:spt="1" style="position:absolute;left:5404;top:8947;height:4928;width:7302;" fillcolor="#000000" filled="f" stroked="f" coordsize="21600,21600">
                    <v:path/>
                    <v:fill on="f" focussize="0,0"/>
                    <v:stroke on="f"/>
                    <v:imagedata o:title=""/>
                    <o:lock v:ext="edit"/>
                    <v:textbox>
                      <w:txbxContent>
                        <w:p>
                          <w:pPr>
                            <w:spacing w:line="240" w:lineRule="auto"/>
                            <w:ind w:left="120" w:leftChars="50" w:firstLine="0" w:firstLineChars="0"/>
                            <w:jc w:val="center"/>
                            <w:rPr>
                              <w:sz w:val="21"/>
                              <w:szCs w:val="21"/>
                            </w:rPr>
                          </w:pPr>
                          <w:r>
                            <w:rPr>
                              <w:sz w:val="21"/>
                              <w:szCs w:val="21"/>
                            </w:rPr>
                            <w:t xml:space="preserve">0.46  </w:t>
                          </w:r>
                          <w:r>
                            <w:rPr>
                              <w:rFonts w:hint="eastAsia"/>
                              <w:sz w:val="21"/>
                              <w:szCs w:val="21"/>
                            </w:rPr>
                            <w:t>（</w:t>
                          </w:r>
                          <w:r>
                            <w:rPr>
                              <w:sz w:val="21"/>
                              <w:szCs w:val="21"/>
                            </w:rPr>
                            <w:t>0.31</w:t>
                          </w:r>
                          <w:r>
                            <w:rPr>
                              <w:rFonts w:hint="eastAsia"/>
                              <w:sz w:val="21"/>
                              <w:szCs w:val="21"/>
                            </w:rPr>
                            <w:t>）</w:t>
                          </w:r>
                        </w:p>
                      </w:txbxContent>
                    </v:textbox>
                  </v:rect>
                  <v:rect id="Rectangle 69" o:spid="_x0000_s1093" o:spt="1" style="position:absolute;left:36639;top:25215;height:3012;width:19844;" fillcolor="#000000" filled="f" stroked="f" coordsize="21600,21600">
                    <v:path/>
                    <v:fill on="f" focussize="0,0"/>
                    <v:stroke on="f"/>
                    <v:imagedata o:title=""/>
                    <o:lock v:ext="edit"/>
                    <v:textbox>
                      <w:txbxContent>
                        <w:p>
                          <w:pPr>
                            <w:spacing w:line="240" w:lineRule="auto"/>
                            <w:ind w:firstLine="0" w:firstLineChars="0"/>
                            <w:jc w:val="center"/>
                            <w:rPr>
                              <w:sz w:val="21"/>
                              <w:szCs w:val="21"/>
                            </w:rPr>
                          </w:pPr>
                          <w:r>
                            <w:rPr>
                              <w:rFonts w:hint="eastAsia"/>
                              <w:sz w:val="21"/>
                              <w:szCs w:val="21"/>
                            </w:rPr>
                            <w:t>备注</w:t>
                          </w:r>
                          <w:r>
                            <w:rPr>
                              <w:sz w:val="21"/>
                              <w:szCs w:val="21"/>
                            </w:rPr>
                            <w:t>:</w:t>
                          </w:r>
                          <w:r>
                            <w:rPr>
                              <w:rFonts w:hint="eastAsia"/>
                              <w:sz w:val="21"/>
                              <w:szCs w:val="21"/>
                            </w:rPr>
                            <w:t>（）表示雨天用水量</w:t>
                          </w:r>
                        </w:p>
                      </w:txbxContent>
                    </v:textbox>
                  </v:rect>
                  <v:shape id="AutoShape 70" o:spid="_x0000_s1094" o:spt="32" type="#_x0000_t32" style="position:absolute;left:32778;top:7664;height:6;width:5950;" o:connectortype="straight" filled="f" coordsize="21600,21600">
                    <v:path arrowok="t"/>
                    <v:fill on="f" focussize="0,0"/>
                    <v:stroke endarrow="block"/>
                    <v:imagedata o:title=""/>
                    <o:lock v:ext="edit"/>
                  </v:shape>
                  <v:rect id="Rectangle 71" o:spid="_x0000_s1095" o:spt="1" style="position:absolute;left:13417;top:15881;height:2432;width:5245;" fillcolor="#000000" filled="f" stroked="f" coordsize="21600,21600">
                    <v:path/>
                    <v:fill on="f" focussize="0,0"/>
                    <v:stroke on="f"/>
                    <v:imagedata o:title=""/>
                    <o:lock v:ext="edit"/>
                    <v:textbox>
                      <w:txbxContent>
                        <w:p>
                          <w:pPr>
                            <w:spacing w:line="240" w:lineRule="auto"/>
                            <w:ind w:firstLine="0" w:firstLineChars="0"/>
                            <w:jc w:val="center"/>
                            <w:rPr>
                              <w:sz w:val="21"/>
                              <w:szCs w:val="21"/>
                            </w:rPr>
                          </w:pPr>
                          <w:r>
                            <w:rPr>
                              <w:sz w:val="21"/>
                              <w:szCs w:val="21"/>
                            </w:rPr>
                            <w:t>0.15</w:t>
                          </w:r>
                        </w:p>
                      </w:txbxContent>
                    </v:textbox>
                  </v:rect>
                  <v:shape id="AutoShape 72" o:spid="_x0000_s1096" o:spt="32" type="#_x0000_t32" style="position:absolute;left:41770;top:7670;height:7;width:4426;" o:connectortype="straight" filled="f" coordsize="21600,21600">
                    <v:path arrowok="t"/>
                    <v:fill on="f" focussize="0,0"/>
                    <v:stroke dashstyle="1 1" endarrow="block"/>
                    <v:imagedata o:title=""/>
                    <o:lock v:ext="edit"/>
                  </v:shape>
                  <v:rect id="Rectangle 73" o:spid="_x0000_s1097" o:spt="1" style="position:absolute;left:46196;top:1511;height:16796;width:3385;" fillcolor="#000000" filled="f" stroked="f" coordsize="21600,21600">
                    <v:path/>
                    <v:fill on="f" focussize="0,0"/>
                    <v:stroke on="f"/>
                    <v:imagedata o:title=""/>
                    <o:lock v:ext="edit"/>
                    <v:textbox>
                      <w:txbxContent>
                        <w:p>
                          <w:pPr>
                            <w:spacing w:line="240" w:lineRule="auto"/>
                            <w:ind w:firstLine="0" w:firstLineChars="0"/>
                            <w:jc w:val="center"/>
                            <w:rPr>
                              <w:sz w:val="21"/>
                              <w:szCs w:val="21"/>
                            </w:rPr>
                          </w:pPr>
                          <w:r>
                            <w:rPr>
                              <w:rFonts w:hint="eastAsia"/>
                              <w:sz w:val="21"/>
                              <w:szCs w:val="21"/>
                            </w:rPr>
                            <w:t>定期掏运</w:t>
                          </w:r>
                          <w:r>
                            <w:rPr>
                              <w:sz w:val="21"/>
                              <w:szCs w:val="21"/>
                            </w:rPr>
                            <w:t xml:space="preserve"> </w:t>
                          </w:r>
                          <w:r>
                            <w:rPr>
                              <w:rFonts w:hint="eastAsia"/>
                              <w:sz w:val="21"/>
                              <w:szCs w:val="21"/>
                            </w:rPr>
                            <w:t>不外排</w:t>
                          </w:r>
                        </w:p>
                      </w:txbxContent>
                    </v:textbox>
                  </v:rect>
                  <w10:wrap type="topAndBottom"/>
                </v:group>
              </w:pict>
            </w:r>
            <w:r>
              <w:rPr>
                <w:rFonts w:hint="eastAsia"/>
                <w:color w:val="auto"/>
              </w:rPr>
              <w:t>图</w:t>
            </w:r>
            <w:r>
              <w:rPr>
                <w:color w:val="auto"/>
              </w:rPr>
              <w:t xml:space="preserve">5-3 </w:t>
            </w:r>
            <w:r>
              <w:rPr>
                <w:rFonts w:hint="eastAsia"/>
                <w:color w:val="auto"/>
              </w:rPr>
              <w:t>项目水平衡图（</w:t>
            </w:r>
            <w:r>
              <w:rPr>
                <w:color w:val="auto"/>
              </w:rPr>
              <w:t>m³/d</w:t>
            </w:r>
            <w:r>
              <w:rPr>
                <w:rFonts w:hint="eastAsia"/>
                <w:color w:val="auto"/>
              </w:rPr>
              <w:t>）</w:t>
            </w:r>
          </w:p>
          <w:p>
            <w:pPr>
              <w:pStyle w:val="36"/>
              <w:ind w:firstLine="31680"/>
            </w:pPr>
            <w:r>
              <w:rPr>
                <w:rFonts w:hint="eastAsia"/>
              </w:rPr>
              <w:t>（</w:t>
            </w:r>
            <w:r>
              <w:t>3</w:t>
            </w:r>
            <w:r>
              <w:rPr>
                <w:rFonts w:hint="eastAsia"/>
              </w:rPr>
              <w:t>）项目用排水核算小结</w:t>
            </w:r>
          </w:p>
          <w:p>
            <w:pPr>
              <w:pStyle w:val="36"/>
              <w:ind w:firstLine="31680"/>
              <w:rPr>
                <w:bCs/>
              </w:rPr>
            </w:pPr>
            <w:r>
              <w:rPr>
                <w:rFonts w:hint="eastAsia"/>
              </w:rPr>
              <w:t>根据上述核算，本项目</w:t>
            </w:r>
            <w:r>
              <w:rPr>
                <w:rFonts w:hint="eastAsia"/>
                <w:bCs/>
              </w:rPr>
              <w:t>晴天用水量为</w:t>
            </w:r>
            <w:r>
              <w:t>0.46</w:t>
            </w:r>
            <w:r>
              <w:rPr>
                <w:bCs/>
              </w:rPr>
              <w:t>m</w:t>
            </w:r>
            <w:r>
              <w:rPr>
                <w:bCs/>
                <w:vertAlign w:val="superscript"/>
              </w:rPr>
              <w:t>3</w:t>
            </w:r>
            <w:r>
              <w:rPr>
                <w:bCs/>
              </w:rPr>
              <w:t>/d</w:t>
            </w:r>
            <w:r>
              <w:rPr>
                <w:rFonts w:hint="eastAsia"/>
                <w:bCs/>
              </w:rPr>
              <w:t>；雨天用水量为</w:t>
            </w:r>
            <w:r>
              <w:t>0.31</w:t>
            </w:r>
            <w:r>
              <w:rPr>
                <w:bCs/>
              </w:rPr>
              <w:t>m</w:t>
            </w:r>
            <w:r>
              <w:rPr>
                <w:bCs/>
                <w:vertAlign w:val="superscript"/>
              </w:rPr>
              <w:t>3</w:t>
            </w:r>
            <w:r>
              <w:rPr>
                <w:bCs/>
              </w:rPr>
              <w:t>/d</w:t>
            </w:r>
            <w:r>
              <w:rPr>
                <w:rFonts w:hint="eastAsia"/>
                <w:bCs/>
              </w:rPr>
              <w:t>，</w:t>
            </w:r>
            <w:r>
              <w:rPr>
                <w:rFonts w:hint="eastAsia"/>
              </w:rPr>
              <w:t>产生废水量为</w:t>
            </w:r>
            <w:r>
              <w:t>0.248</w:t>
            </w:r>
            <w:r>
              <w:rPr>
                <w:bCs/>
              </w:rPr>
              <w:t>m</w:t>
            </w:r>
            <w:r>
              <w:rPr>
                <w:bCs/>
                <w:vertAlign w:val="superscript"/>
              </w:rPr>
              <w:t>3</w:t>
            </w:r>
            <w:r>
              <w:rPr>
                <w:bCs/>
              </w:rPr>
              <w:t>/d</w:t>
            </w:r>
            <w:r>
              <w:rPr>
                <w:rFonts w:hint="eastAsia"/>
              </w:rPr>
              <w:t>，即</w:t>
            </w:r>
            <w:r>
              <w:t>74.4</w:t>
            </w:r>
            <w:r>
              <w:rPr>
                <w:bCs/>
              </w:rPr>
              <w:t>m</w:t>
            </w:r>
            <w:r>
              <w:rPr>
                <w:bCs/>
                <w:vertAlign w:val="superscript"/>
              </w:rPr>
              <w:t>3</w:t>
            </w:r>
            <w:r>
              <w:rPr>
                <w:bCs/>
              </w:rPr>
              <w:t>/a</w:t>
            </w:r>
            <w:r>
              <w:rPr>
                <w:rFonts w:hint="eastAsia"/>
                <w:bCs/>
              </w:rPr>
              <w:t>。</w:t>
            </w:r>
          </w:p>
          <w:p>
            <w:pPr>
              <w:pStyle w:val="36"/>
              <w:ind w:firstLine="31680"/>
            </w:pPr>
            <w:r>
              <w:rPr>
                <w:rFonts w:hint="eastAsia"/>
              </w:rPr>
              <w:t>（</w:t>
            </w:r>
            <w:r>
              <w:t>4</w:t>
            </w:r>
            <w:r>
              <w:rPr>
                <w:rFonts w:hint="eastAsia"/>
              </w:rPr>
              <w:t>）废水处置措施</w:t>
            </w:r>
          </w:p>
          <w:p>
            <w:pPr>
              <w:pStyle w:val="36"/>
              <w:ind w:firstLine="31680"/>
            </w:pPr>
            <w:r>
              <w:rPr>
                <w:rFonts w:hint="eastAsia"/>
              </w:rPr>
              <w:t>本项目运营期间产生的废水主要为工作人员生活污水，项目产生的废水经化粪池预处理后用于周边农灌施肥，不外排。本项目运营期间进入化粪池的废水量为</w:t>
            </w:r>
            <w:r>
              <w:t>0.248m</w:t>
            </w:r>
            <w:r>
              <w:rPr>
                <w:vertAlign w:val="superscript"/>
              </w:rPr>
              <w:t>3</w:t>
            </w:r>
            <w:r>
              <w:t>/d</w:t>
            </w:r>
            <w:r>
              <w:rPr>
                <w:rFonts w:hint="eastAsia"/>
              </w:rPr>
              <w:t>，项目拟建</w:t>
            </w:r>
            <w:r>
              <w:t>1</w:t>
            </w:r>
            <w:r>
              <w:rPr>
                <w:rFonts w:hint="eastAsia"/>
              </w:rPr>
              <w:t>个化粪池，考虑</w:t>
            </w:r>
            <w:r>
              <w:t>1.2</w:t>
            </w:r>
            <w:r>
              <w:rPr>
                <w:rFonts w:hint="eastAsia"/>
              </w:rPr>
              <w:t>以上的安全系数，总容积定为</w:t>
            </w:r>
            <w:r>
              <w:t>1m</w:t>
            </w:r>
            <w:r>
              <w:rPr>
                <w:vertAlign w:val="superscript"/>
              </w:rPr>
              <w:t>3</w:t>
            </w:r>
            <w:r>
              <w:rPr>
                <w:rFonts w:hint="eastAsia"/>
              </w:rPr>
              <w:t>。</w:t>
            </w:r>
          </w:p>
          <w:p>
            <w:pPr>
              <w:pStyle w:val="36"/>
              <w:ind w:firstLine="31680"/>
            </w:pPr>
            <w:r>
              <w:rPr>
                <w:rFonts w:hint="eastAsia"/>
              </w:rPr>
              <w:t>（</w:t>
            </w:r>
            <w:r>
              <w:t>5</w:t>
            </w:r>
            <w:r>
              <w:rPr>
                <w:rFonts w:hint="eastAsia"/>
              </w:rPr>
              <w:t>）生活污水水质情况</w:t>
            </w:r>
          </w:p>
          <w:p>
            <w:pPr>
              <w:pStyle w:val="36"/>
              <w:ind w:firstLine="31680"/>
            </w:pPr>
            <w:r>
              <w:rPr>
                <w:rFonts w:hint="eastAsia"/>
              </w:rPr>
              <w:t>本项目生活污水中主要污染物为</w:t>
            </w:r>
            <w:r>
              <w:t>COD</w:t>
            </w:r>
            <w:r>
              <w:rPr>
                <w:rFonts w:hint="eastAsia"/>
              </w:rPr>
              <w:t>、</w:t>
            </w:r>
            <w:r>
              <w:t>BOD</w:t>
            </w:r>
            <w:r>
              <w:rPr>
                <w:vertAlign w:val="subscript"/>
              </w:rPr>
              <w:t>5</w:t>
            </w:r>
            <w:r>
              <w:rPr>
                <w:rFonts w:hint="eastAsia"/>
              </w:rPr>
              <w:t>、</w:t>
            </w:r>
            <w:r>
              <w:t>SS</w:t>
            </w:r>
            <w:r>
              <w:rPr>
                <w:rFonts w:hint="eastAsia"/>
              </w:rPr>
              <w:t>、氨氮和总磷。类比同类型项目，生活污水污染物源强</w:t>
            </w:r>
            <w:r>
              <w:t>COD</w:t>
            </w:r>
            <w:r>
              <w:rPr>
                <w:rFonts w:hint="eastAsia"/>
              </w:rPr>
              <w:t>为</w:t>
            </w:r>
            <w:r>
              <w:t>400~450mg/L</w:t>
            </w:r>
            <w:r>
              <w:rPr>
                <w:rFonts w:hint="eastAsia"/>
              </w:rPr>
              <w:t>，</w:t>
            </w:r>
            <w:r>
              <w:t>BOD</w:t>
            </w:r>
            <w:r>
              <w:rPr>
                <w:vertAlign w:val="subscript"/>
              </w:rPr>
              <w:t>5</w:t>
            </w:r>
            <w:r>
              <w:rPr>
                <w:rFonts w:hint="eastAsia"/>
              </w:rPr>
              <w:t>为</w:t>
            </w:r>
            <w:r>
              <w:t>200~300mg/L</w:t>
            </w:r>
            <w:r>
              <w:rPr>
                <w:rFonts w:hint="eastAsia"/>
              </w:rPr>
              <w:t>，</w:t>
            </w:r>
            <w:r>
              <w:t>SS</w:t>
            </w:r>
            <w:r>
              <w:rPr>
                <w:rFonts w:hint="eastAsia"/>
              </w:rPr>
              <w:t>为</w:t>
            </w:r>
            <w:r>
              <w:t>150~200mg/L</w:t>
            </w:r>
            <w:r>
              <w:rPr>
                <w:rFonts w:hint="eastAsia"/>
              </w:rPr>
              <w:t>，氨氮为</w:t>
            </w:r>
            <w:r>
              <w:t>25~35mg/L</w:t>
            </w:r>
            <w:r>
              <w:rPr>
                <w:rFonts w:hint="eastAsia"/>
              </w:rPr>
              <w:t>，总磷为</w:t>
            </w:r>
            <w:r>
              <w:t>7~15mg/L</w:t>
            </w:r>
            <w:r>
              <w:rPr>
                <w:rFonts w:hint="eastAsia"/>
              </w:rPr>
              <w:t>，动植物油</w:t>
            </w:r>
            <w:r>
              <w:t>20mg/L</w:t>
            </w:r>
            <w:r>
              <w:rPr>
                <w:rFonts w:hint="eastAsia"/>
              </w:rPr>
              <w:t>，石油类</w:t>
            </w:r>
            <w:r>
              <w:t>10mg/L</w:t>
            </w:r>
            <w:r>
              <w:rPr>
                <w:rFonts w:hint="eastAsia"/>
              </w:rPr>
              <w:t>。</w:t>
            </w:r>
          </w:p>
          <w:p>
            <w:pPr>
              <w:pStyle w:val="36"/>
              <w:ind w:firstLine="31680"/>
            </w:pPr>
            <w:r>
              <w:rPr>
                <w:rFonts w:hint="eastAsia"/>
              </w:rPr>
              <w:t>通过类比同类型项目，化粪池对</w:t>
            </w:r>
            <w:r>
              <w:t>COD</w:t>
            </w:r>
            <w:r>
              <w:rPr>
                <w:rFonts w:hint="eastAsia"/>
              </w:rPr>
              <w:t>的去除效率为</w:t>
            </w:r>
            <w:r>
              <w:t>15%</w:t>
            </w:r>
            <w:r>
              <w:rPr>
                <w:rFonts w:hint="eastAsia"/>
              </w:rPr>
              <w:t>、</w:t>
            </w:r>
            <w:r>
              <w:t>BOD</w:t>
            </w:r>
            <w:r>
              <w:rPr>
                <w:vertAlign w:val="subscript"/>
              </w:rPr>
              <w:t>5</w:t>
            </w:r>
            <w:r>
              <w:rPr>
                <w:rFonts w:hint="eastAsia"/>
              </w:rPr>
              <w:t>的去除效率为</w:t>
            </w:r>
            <w:r>
              <w:t>9%</w:t>
            </w:r>
            <w:r>
              <w:rPr>
                <w:rFonts w:hint="eastAsia"/>
              </w:rPr>
              <w:t>、</w:t>
            </w:r>
            <w:r>
              <w:t>SS</w:t>
            </w:r>
            <w:r>
              <w:rPr>
                <w:rFonts w:hint="eastAsia"/>
              </w:rPr>
              <w:t>的去除效率为</w:t>
            </w:r>
            <w:r>
              <w:t>30%</w:t>
            </w:r>
            <w:r>
              <w:rPr>
                <w:rFonts w:hint="eastAsia"/>
              </w:rPr>
              <w:t>、</w:t>
            </w:r>
            <w:r>
              <w:t>NH</w:t>
            </w:r>
            <w:r>
              <w:rPr>
                <w:vertAlign w:val="subscript"/>
              </w:rPr>
              <w:t>3</w:t>
            </w:r>
            <w:r>
              <w:t>-N</w:t>
            </w:r>
            <w:r>
              <w:rPr>
                <w:rFonts w:hint="eastAsia"/>
              </w:rPr>
              <w:t>的去除效率为</w:t>
            </w:r>
            <w:r>
              <w:t>3%</w:t>
            </w:r>
            <w:r>
              <w:rPr>
                <w:rFonts w:hint="eastAsia"/>
              </w:rPr>
              <w:t>。废水经化粪池处理污染物产排情况详见表</w:t>
            </w:r>
            <w:r>
              <w:t>5-4</w:t>
            </w:r>
            <w:r>
              <w:rPr>
                <w:rFonts w:hint="eastAsia"/>
              </w:rPr>
              <w:t>。</w:t>
            </w:r>
          </w:p>
          <w:p>
            <w:pPr>
              <w:pStyle w:val="69"/>
              <w:spacing w:before="65" w:after="48"/>
            </w:pPr>
          </w:p>
          <w:p>
            <w:pPr>
              <w:pStyle w:val="69"/>
              <w:spacing w:before="65" w:after="48"/>
            </w:pPr>
          </w:p>
          <w:p>
            <w:pPr>
              <w:pStyle w:val="69"/>
              <w:spacing w:before="65" w:after="48"/>
            </w:pPr>
          </w:p>
          <w:p>
            <w:pPr>
              <w:pStyle w:val="69"/>
              <w:spacing w:before="65" w:after="48"/>
            </w:pPr>
          </w:p>
          <w:p>
            <w:pPr>
              <w:pStyle w:val="69"/>
              <w:spacing w:before="65" w:after="48"/>
            </w:pPr>
            <w:r>
              <w:rPr>
                <w:rFonts w:hint="eastAsia"/>
              </w:rPr>
              <w:t>表</w:t>
            </w:r>
            <w:r>
              <w:t xml:space="preserve">5-4 </w:t>
            </w:r>
            <w:r>
              <w:rPr>
                <w:rFonts w:hint="eastAsia"/>
              </w:rPr>
              <w:t>废水经化粪池处理污染物产排情况表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1796"/>
              <w:gridCol w:w="1514"/>
              <w:gridCol w:w="1336"/>
              <w:gridCol w:w="1553"/>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污染物名称</w:t>
                  </w:r>
                </w:p>
              </w:tc>
              <w:tc>
                <w:tcPr>
                  <w:tcW w:w="96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污染物产生浓度（</w:t>
                  </w:r>
                  <w:r>
                    <w:t>mg/L</w:t>
                  </w:r>
                  <w:r>
                    <w:rPr>
                      <w:rFonts w:hint="eastAsia"/>
                    </w:rPr>
                    <w:t>）</w:t>
                  </w:r>
                </w:p>
              </w:tc>
              <w:tc>
                <w:tcPr>
                  <w:tcW w:w="81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污染物产生量（</w:t>
                  </w:r>
                  <w:r>
                    <w:t>t/a</w:t>
                  </w:r>
                  <w:r>
                    <w:rPr>
                      <w:rFonts w:hint="eastAsia"/>
                    </w:rPr>
                    <w:t>）</w:t>
                  </w:r>
                </w:p>
              </w:tc>
              <w:tc>
                <w:tcPr>
                  <w:tcW w:w="71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污染物排放浓度（</w:t>
                  </w:r>
                  <w:r>
                    <w:t>mg/L</w:t>
                  </w:r>
                  <w:r>
                    <w:rPr>
                      <w:rFonts w:hint="eastAsia"/>
                    </w:rPr>
                    <w:t>）</w:t>
                  </w:r>
                </w:p>
              </w:tc>
              <w:tc>
                <w:tcPr>
                  <w:tcW w:w="83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污染物排放量（</w:t>
                  </w:r>
                  <w:r>
                    <w:t>t/a</w:t>
                  </w:r>
                  <w:r>
                    <w:rPr>
                      <w:rFonts w:hint="eastAsia"/>
                    </w:rPr>
                    <w:t>）</w:t>
                  </w:r>
                </w:p>
              </w:tc>
              <w:tc>
                <w:tcPr>
                  <w:tcW w:w="73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削减量（</w:t>
                  </w:r>
                  <w:r>
                    <w:t>t/a</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废水量</w:t>
                  </w:r>
                </w:p>
              </w:tc>
              <w:tc>
                <w:tcPr>
                  <w:tcW w:w="1771" w:type="pct"/>
                  <w:gridSpan w:val="2"/>
                  <w:tcBorders>
                    <w:top w:val="single" w:color="auto" w:sz="4" w:space="0"/>
                    <w:left w:val="single" w:color="auto" w:sz="4" w:space="0"/>
                    <w:bottom w:val="single" w:color="auto" w:sz="4" w:space="0"/>
                    <w:right w:val="single" w:color="auto" w:sz="4" w:space="0"/>
                  </w:tcBorders>
                  <w:vAlign w:val="center"/>
                </w:tcPr>
                <w:p>
                  <w:pPr>
                    <w:pStyle w:val="41"/>
                  </w:pPr>
                  <w:r>
                    <w:t>74.4</w:t>
                  </w:r>
                  <w:r>
                    <w:rPr>
                      <w:bCs/>
                    </w:rPr>
                    <w:t>m</w:t>
                  </w:r>
                  <w:r>
                    <w:rPr>
                      <w:bCs/>
                      <w:vertAlign w:val="superscript"/>
                    </w:rPr>
                    <w:t>3</w:t>
                  </w:r>
                  <w:r>
                    <w:rPr>
                      <w:bCs/>
                    </w:rPr>
                    <w:t>/a</w:t>
                  </w:r>
                </w:p>
              </w:tc>
              <w:tc>
                <w:tcPr>
                  <w:tcW w:w="1546" w:type="pct"/>
                  <w:gridSpan w:val="2"/>
                  <w:tcBorders>
                    <w:top w:val="single" w:color="auto" w:sz="4" w:space="0"/>
                    <w:left w:val="single" w:color="auto" w:sz="4" w:space="0"/>
                    <w:bottom w:val="single" w:color="auto" w:sz="4" w:space="0"/>
                    <w:right w:val="single" w:color="auto" w:sz="4" w:space="0"/>
                  </w:tcBorders>
                  <w:vAlign w:val="center"/>
                </w:tcPr>
                <w:p>
                  <w:pPr>
                    <w:pStyle w:val="41"/>
                  </w:pPr>
                  <w:r>
                    <w:t>0m</w:t>
                  </w:r>
                  <w:r>
                    <w:rPr>
                      <w:bCs/>
                      <w:vertAlign w:val="superscript"/>
                    </w:rPr>
                    <w:t>3</w:t>
                  </w:r>
                  <w:r>
                    <w:rPr>
                      <w:bCs/>
                    </w:rPr>
                    <w:t>/a</w:t>
                  </w:r>
                </w:p>
              </w:tc>
              <w:tc>
                <w:tcPr>
                  <w:tcW w:w="732" w:type="pct"/>
                  <w:tcBorders>
                    <w:top w:val="single" w:color="auto" w:sz="4" w:space="0"/>
                    <w:left w:val="single" w:color="auto" w:sz="4" w:space="0"/>
                    <w:bottom w:val="single" w:color="auto" w:sz="4" w:space="0"/>
                    <w:right w:val="single" w:color="auto" w:sz="4" w:space="0"/>
                  </w:tcBorders>
                  <w:vAlign w:val="center"/>
                </w:tcPr>
                <w:p>
                  <w:pPr>
                    <w:pStyle w:val="41"/>
                  </w:pPr>
                  <w:r>
                    <w:t>74.4</w:t>
                  </w:r>
                  <w:r>
                    <w:rPr>
                      <w:bCs/>
                    </w:rPr>
                    <w:t>m</w:t>
                  </w:r>
                  <w:r>
                    <w:rPr>
                      <w:bCs/>
                      <w:vertAlign w:val="superscript"/>
                    </w:rPr>
                    <w:t>3</w:t>
                  </w:r>
                  <w:r>
                    <w:rPr>
                      <w:bC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pct"/>
                  <w:tcBorders>
                    <w:top w:val="single" w:color="auto" w:sz="4" w:space="0"/>
                    <w:left w:val="single" w:color="auto" w:sz="4" w:space="0"/>
                    <w:bottom w:val="single" w:color="auto" w:sz="4" w:space="0"/>
                    <w:right w:val="single" w:color="auto" w:sz="4" w:space="0"/>
                  </w:tcBorders>
                  <w:vAlign w:val="center"/>
                </w:tcPr>
                <w:p>
                  <w:pPr>
                    <w:pStyle w:val="41"/>
                  </w:pPr>
                  <w:r>
                    <w:t>COD</w:t>
                  </w:r>
                </w:p>
              </w:tc>
              <w:tc>
                <w:tcPr>
                  <w:tcW w:w="961" w:type="pct"/>
                  <w:tcBorders>
                    <w:top w:val="single" w:color="auto" w:sz="4" w:space="0"/>
                    <w:left w:val="single" w:color="auto" w:sz="4" w:space="0"/>
                    <w:bottom w:val="single" w:color="auto" w:sz="4" w:space="0"/>
                    <w:right w:val="single" w:color="auto" w:sz="4" w:space="0"/>
                  </w:tcBorders>
                  <w:vAlign w:val="center"/>
                </w:tcPr>
                <w:p>
                  <w:pPr>
                    <w:pStyle w:val="41"/>
                  </w:pPr>
                  <w:r>
                    <w:t>450</w:t>
                  </w:r>
                </w:p>
              </w:tc>
              <w:tc>
                <w:tcPr>
                  <w:tcW w:w="810" w:type="pct"/>
                  <w:tcBorders>
                    <w:top w:val="single" w:color="auto" w:sz="4" w:space="0"/>
                    <w:left w:val="single" w:color="auto" w:sz="4" w:space="0"/>
                    <w:bottom w:val="single" w:color="auto" w:sz="4" w:space="0"/>
                    <w:right w:val="single" w:color="auto" w:sz="4" w:space="0"/>
                  </w:tcBorders>
                  <w:vAlign w:val="center"/>
                </w:tcPr>
                <w:p>
                  <w:pPr>
                    <w:pStyle w:val="41"/>
                  </w:pPr>
                  <w:r>
                    <w:t>0.033</w:t>
                  </w:r>
                </w:p>
              </w:tc>
              <w:tc>
                <w:tcPr>
                  <w:tcW w:w="715" w:type="pct"/>
                  <w:tcBorders>
                    <w:top w:val="single" w:color="auto" w:sz="4" w:space="0"/>
                    <w:left w:val="single" w:color="auto" w:sz="4" w:space="0"/>
                    <w:bottom w:val="single" w:color="auto" w:sz="4" w:space="0"/>
                    <w:right w:val="single" w:color="auto" w:sz="4" w:space="0"/>
                  </w:tcBorders>
                  <w:vAlign w:val="center"/>
                </w:tcPr>
                <w:p>
                  <w:pPr>
                    <w:pStyle w:val="41"/>
                  </w:pPr>
                  <w:r>
                    <w:t>0</w:t>
                  </w:r>
                </w:p>
              </w:tc>
              <w:tc>
                <w:tcPr>
                  <w:tcW w:w="831" w:type="pct"/>
                  <w:tcBorders>
                    <w:top w:val="single" w:color="auto" w:sz="4" w:space="0"/>
                    <w:left w:val="single" w:color="auto" w:sz="4" w:space="0"/>
                    <w:bottom w:val="single" w:color="auto" w:sz="4" w:space="0"/>
                    <w:right w:val="single" w:color="auto" w:sz="4" w:space="0"/>
                  </w:tcBorders>
                </w:tcPr>
                <w:p>
                  <w:pPr>
                    <w:pStyle w:val="41"/>
                  </w:pPr>
                  <w:r>
                    <w:t>0</w:t>
                  </w:r>
                </w:p>
              </w:tc>
              <w:tc>
                <w:tcPr>
                  <w:tcW w:w="732" w:type="pct"/>
                  <w:tcBorders>
                    <w:top w:val="single" w:color="auto" w:sz="4" w:space="0"/>
                    <w:left w:val="single" w:color="auto" w:sz="4" w:space="0"/>
                    <w:bottom w:val="single" w:color="auto" w:sz="4" w:space="0"/>
                    <w:right w:val="single" w:color="auto" w:sz="4" w:space="0"/>
                  </w:tcBorders>
                  <w:vAlign w:val="center"/>
                </w:tcPr>
                <w:p>
                  <w:pPr>
                    <w:pStyle w:val="41"/>
                  </w:pPr>
                  <w:r>
                    <w:t>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pct"/>
                  <w:tcBorders>
                    <w:top w:val="single" w:color="auto" w:sz="4" w:space="0"/>
                    <w:left w:val="single" w:color="auto" w:sz="4" w:space="0"/>
                    <w:bottom w:val="single" w:color="auto" w:sz="4" w:space="0"/>
                    <w:right w:val="single" w:color="auto" w:sz="4" w:space="0"/>
                  </w:tcBorders>
                  <w:vAlign w:val="center"/>
                </w:tcPr>
                <w:p>
                  <w:pPr>
                    <w:pStyle w:val="41"/>
                  </w:pPr>
                  <w:r>
                    <w:t>BOD</w:t>
                  </w:r>
                  <w:r>
                    <w:rPr>
                      <w:vertAlign w:val="subscript"/>
                    </w:rPr>
                    <w:t>5</w:t>
                  </w:r>
                </w:p>
              </w:tc>
              <w:tc>
                <w:tcPr>
                  <w:tcW w:w="961" w:type="pct"/>
                  <w:tcBorders>
                    <w:top w:val="single" w:color="auto" w:sz="4" w:space="0"/>
                    <w:left w:val="single" w:color="auto" w:sz="4" w:space="0"/>
                    <w:bottom w:val="single" w:color="auto" w:sz="4" w:space="0"/>
                    <w:right w:val="single" w:color="auto" w:sz="4" w:space="0"/>
                  </w:tcBorders>
                  <w:vAlign w:val="center"/>
                </w:tcPr>
                <w:p>
                  <w:pPr>
                    <w:pStyle w:val="41"/>
                  </w:pPr>
                  <w:r>
                    <w:t>300</w:t>
                  </w:r>
                </w:p>
              </w:tc>
              <w:tc>
                <w:tcPr>
                  <w:tcW w:w="810" w:type="pct"/>
                  <w:tcBorders>
                    <w:top w:val="single" w:color="auto" w:sz="4" w:space="0"/>
                    <w:left w:val="single" w:color="auto" w:sz="4" w:space="0"/>
                    <w:bottom w:val="single" w:color="auto" w:sz="4" w:space="0"/>
                    <w:right w:val="single" w:color="auto" w:sz="4" w:space="0"/>
                  </w:tcBorders>
                  <w:vAlign w:val="center"/>
                </w:tcPr>
                <w:p>
                  <w:pPr>
                    <w:pStyle w:val="41"/>
                  </w:pPr>
                  <w:r>
                    <w:t>0.022</w:t>
                  </w:r>
                </w:p>
              </w:tc>
              <w:tc>
                <w:tcPr>
                  <w:tcW w:w="715" w:type="pct"/>
                  <w:tcBorders>
                    <w:top w:val="single" w:color="auto" w:sz="4" w:space="0"/>
                    <w:left w:val="single" w:color="auto" w:sz="4" w:space="0"/>
                    <w:bottom w:val="single" w:color="auto" w:sz="4" w:space="0"/>
                    <w:right w:val="single" w:color="auto" w:sz="4" w:space="0"/>
                  </w:tcBorders>
                  <w:vAlign w:val="center"/>
                </w:tcPr>
                <w:p>
                  <w:pPr>
                    <w:pStyle w:val="41"/>
                  </w:pPr>
                  <w:r>
                    <w:t>0</w:t>
                  </w:r>
                </w:p>
              </w:tc>
              <w:tc>
                <w:tcPr>
                  <w:tcW w:w="831" w:type="pct"/>
                  <w:tcBorders>
                    <w:top w:val="single" w:color="auto" w:sz="4" w:space="0"/>
                    <w:left w:val="single" w:color="auto" w:sz="4" w:space="0"/>
                    <w:bottom w:val="single" w:color="auto" w:sz="4" w:space="0"/>
                    <w:right w:val="single" w:color="auto" w:sz="4" w:space="0"/>
                  </w:tcBorders>
                </w:tcPr>
                <w:p>
                  <w:pPr>
                    <w:pStyle w:val="41"/>
                  </w:pPr>
                  <w:r>
                    <w:t>0</w:t>
                  </w:r>
                </w:p>
              </w:tc>
              <w:tc>
                <w:tcPr>
                  <w:tcW w:w="732" w:type="pct"/>
                  <w:tcBorders>
                    <w:top w:val="single" w:color="auto" w:sz="4" w:space="0"/>
                    <w:left w:val="single" w:color="auto" w:sz="4" w:space="0"/>
                    <w:bottom w:val="single" w:color="auto" w:sz="4" w:space="0"/>
                    <w:right w:val="single" w:color="auto" w:sz="4" w:space="0"/>
                  </w:tcBorders>
                  <w:vAlign w:val="center"/>
                </w:tcPr>
                <w:p>
                  <w:pPr>
                    <w:pStyle w:val="41"/>
                  </w:pPr>
                  <w:r>
                    <w:t>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pct"/>
                  <w:tcBorders>
                    <w:top w:val="single" w:color="auto" w:sz="4" w:space="0"/>
                    <w:left w:val="single" w:color="auto" w:sz="4" w:space="0"/>
                    <w:bottom w:val="single" w:color="auto" w:sz="4" w:space="0"/>
                    <w:right w:val="single" w:color="auto" w:sz="4" w:space="0"/>
                  </w:tcBorders>
                  <w:vAlign w:val="center"/>
                </w:tcPr>
                <w:p>
                  <w:pPr>
                    <w:pStyle w:val="41"/>
                  </w:pPr>
                  <w:r>
                    <w:t>SS</w:t>
                  </w:r>
                </w:p>
              </w:tc>
              <w:tc>
                <w:tcPr>
                  <w:tcW w:w="961" w:type="pct"/>
                  <w:tcBorders>
                    <w:top w:val="single" w:color="auto" w:sz="4" w:space="0"/>
                    <w:left w:val="single" w:color="auto" w:sz="4" w:space="0"/>
                    <w:bottom w:val="single" w:color="auto" w:sz="4" w:space="0"/>
                    <w:right w:val="single" w:color="auto" w:sz="4" w:space="0"/>
                  </w:tcBorders>
                  <w:vAlign w:val="center"/>
                </w:tcPr>
                <w:p>
                  <w:pPr>
                    <w:pStyle w:val="41"/>
                  </w:pPr>
                  <w:r>
                    <w:t>200</w:t>
                  </w:r>
                </w:p>
              </w:tc>
              <w:tc>
                <w:tcPr>
                  <w:tcW w:w="810" w:type="pct"/>
                  <w:tcBorders>
                    <w:top w:val="single" w:color="auto" w:sz="4" w:space="0"/>
                    <w:left w:val="single" w:color="auto" w:sz="4" w:space="0"/>
                    <w:bottom w:val="single" w:color="auto" w:sz="4" w:space="0"/>
                    <w:right w:val="single" w:color="auto" w:sz="4" w:space="0"/>
                  </w:tcBorders>
                  <w:vAlign w:val="center"/>
                </w:tcPr>
                <w:p>
                  <w:pPr>
                    <w:pStyle w:val="41"/>
                  </w:pPr>
                  <w:r>
                    <w:t>0.015</w:t>
                  </w:r>
                </w:p>
              </w:tc>
              <w:tc>
                <w:tcPr>
                  <w:tcW w:w="715" w:type="pct"/>
                  <w:tcBorders>
                    <w:top w:val="single" w:color="auto" w:sz="4" w:space="0"/>
                    <w:left w:val="single" w:color="auto" w:sz="4" w:space="0"/>
                    <w:bottom w:val="single" w:color="auto" w:sz="4" w:space="0"/>
                    <w:right w:val="single" w:color="auto" w:sz="4" w:space="0"/>
                  </w:tcBorders>
                  <w:vAlign w:val="center"/>
                </w:tcPr>
                <w:p>
                  <w:pPr>
                    <w:pStyle w:val="41"/>
                  </w:pPr>
                  <w:r>
                    <w:t>0</w:t>
                  </w:r>
                </w:p>
              </w:tc>
              <w:tc>
                <w:tcPr>
                  <w:tcW w:w="831" w:type="pct"/>
                  <w:tcBorders>
                    <w:top w:val="single" w:color="auto" w:sz="4" w:space="0"/>
                    <w:left w:val="single" w:color="auto" w:sz="4" w:space="0"/>
                    <w:bottom w:val="single" w:color="auto" w:sz="4" w:space="0"/>
                    <w:right w:val="single" w:color="auto" w:sz="4" w:space="0"/>
                  </w:tcBorders>
                </w:tcPr>
                <w:p>
                  <w:pPr>
                    <w:pStyle w:val="41"/>
                  </w:pPr>
                  <w:r>
                    <w:t>0</w:t>
                  </w:r>
                </w:p>
              </w:tc>
              <w:tc>
                <w:tcPr>
                  <w:tcW w:w="732" w:type="pct"/>
                  <w:tcBorders>
                    <w:top w:val="single" w:color="auto" w:sz="4" w:space="0"/>
                    <w:left w:val="single" w:color="auto" w:sz="4" w:space="0"/>
                    <w:bottom w:val="single" w:color="auto" w:sz="4" w:space="0"/>
                    <w:right w:val="single" w:color="auto" w:sz="4" w:space="0"/>
                  </w:tcBorders>
                  <w:vAlign w:val="center"/>
                </w:tcPr>
                <w:p>
                  <w:pPr>
                    <w:pStyle w:val="41"/>
                  </w:pPr>
                  <w: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51" w:type="pct"/>
                  <w:tcBorders>
                    <w:top w:val="single" w:color="auto" w:sz="4" w:space="0"/>
                    <w:left w:val="single" w:color="auto" w:sz="4" w:space="0"/>
                    <w:bottom w:val="single" w:color="auto" w:sz="4" w:space="0"/>
                    <w:right w:val="single" w:color="auto" w:sz="4" w:space="0"/>
                  </w:tcBorders>
                  <w:vAlign w:val="center"/>
                </w:tcPr>
                <w:p>
                  <w:pPr>
                    <w:pStyle w:val="41"/>
                  </w:pPr>
                  <w:r>
                    <w:t>NH</w:t>
                  </w:r>
                  <w:r>
                    <w:rPr>
                      <w:vertAlign w:val="subscript"/>
                    </w:rPr>
                    <w:t>3</w:t>
                  </w:r>
                  <w:r>
                    <w:t>-N</w:t>
                  </w:r>
                </w:p>
              </w:tc>
              <w:tc>
                <w:tcPr>
                  <w:tcW w:w="961" w:type="pct"/>
                  <w:tcBorders>
                    <w:top w:val="single" w:color="auto" w:sz="4" w:space="0"/>
                    <w:left w:val="single" w:color="auto" w:sz="4" w:space="0"/>
                    <w:bottom w:val="single" w:color="auto" w:sz="4" w:space="0"/>
                    <w:right w:val="single" w:color="auto" w:sz="4" w:space="0"/>
                  </w:tcBorders>
                  <w:vAlign w:val="center"/>
                </w:tcPr>
                <w:p>
                  <w:pPr>
                    <w:pStyle w:val="41"/>
                  </w:pPr>
                  <w:r>
                    <w:t>35</w:t>
                  </w:r>
                </w:p>
              </w:tc>
              <w:tc>
                <w:tcPr>
                  <w:tcW w:w="810" w:type="pct"/>
                  <w:tcBorders>
                    <w:top w:val="single" w:color="auto" w:sz="4" w:space="0"/>
                    <w:left w:val="single" w:color="auto" w:sz="4" w:space="0"/>
                    <w:bottom w:val="single" w:color="auto" w:sz="4" w:space="0"/>
                    <w:right w:val="single" w:color="auto" w:sz="4" w:space="0"/>
                  </w:tcBorders>
                  <w:vAlign w:val="center"/>
                </w:tcPr>
                <w:p>
                  <w:pPr>
                    <w:pStyle w:val="41"/>
                  </w:pPr>
                  <w:r>
                    <w:t>0.003</w:t>
                  </w:r>
                </w:p>
              </w:tc>
              <w:tc>
                <w:tcPr>
                  <w:tcW w:w="715" w:type="pct"/>
                  <w:tcBorders>
                    <w:top w:val="single" w:color="auto" w:sz="4" w:space="0"/>
                    <w:left w:val="single" w:color="auto" w:sz="4" w:space="0"/>
                    <w:bottom w:val="single" w:color="auto" w:sz="4" w:space="0"/>
                    <w:right w:val="single" w:color="auto" w:sz="4" w:space="0"/>
                  </w:tcBorders>
                </w:tcPr>
                <w:p>
                  <w:pPr>
                    <w:pStyle w:val="41"/>
                  </w:pPr>
                  <w:r>
                    <w:t>0</w:t>
                  </w:r>
                </w:p>
              </w:tc>
              <w:tc>
                <w:tcPr>
                  <w:tcW w:w="831" w:type="pct"/>
                  <w:tcBorders>
                    <w:top w:val="single" w:color="auto" w:sz="4" w:space="0"/>
                    <w:left w:val="single" w:color="auto" w:sz="4" w:space="0"/>
                    <w:bottom w:val="single" w:color="auto" w:sz="4" w:space="0"/>
                    <w:right w:val="single" w:color="auto" w:sz="4" w:space="0"/>
                  </w:tcBorders>
                </w:tcPr>
                <w:p>
                  <w:pPr>
                    <w:pStyle w:val="41"/>
                  </w:pPr>
                  <w:r>
                    <w:t>0</w:t>
                  </w:r>
                </w:p>
              </w:tc>
              <w:tc>
                <w:tcPr>
                  <w:tcW w:w="732" w:type="pct"/>
                  <w:tcBorders>
                    <w:top w:val="single" w:color="auto" w:sz="4" w:space="0"/>
                    <w:left w:val="single" w:color="auto" w:sz="4" w:space="0"/>
                    <w:bottom w:val="single" w:color="auto" w:sz="4" w:space="0"/>
                    <w:right w:val="single" w:color="auto" w:sz="4" w:space="0"/>
                  </w:tcBorders>
                  <w:vAlign w:val="center"/>
                </w:tcPr>
                <w:p>
                  <w:pPr>
                    <w:pStyle w:val="41"/>
                  </w:pPr>
                  <w: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pct"/>
                  <w:tcBorders>
                    <w:top w:val="single" w:color="auto" w:sz="4" w:space="0"/>
                    <w:left w:val="single" w:color="auto" w:sz="4" w:space="0"/>
                    <w:bottom w:val="single" w:color="auto" w:sz="4" w:space="0"/>
                    <w:right w:val="single" w:color="auto" w:sz="4" w:space="0"/>
                  </w:tcBorders>
                  <w:vAlign w:val="center"/>
                </w:tcPr>
                <w:p>
                  <w:pPr>
                    <w:pStyle w:val="41"/>
                  </w:pPr>
                  <w:r>
                    <w:t>TP</w:t>
                  </w:r>
                </w:p>
              </w:tc>
              <w:tc>
                <w:tcPr>
                  <w:tcW w:w="961" w:type="pct"/>
                  <w:tcBorders>
                    <w:top w:val="single" w:color="auto" w:sz="4" w:space="0"/>
                    <w:left w:val="single" w:color="auto" w:sz="4" w:space="0"/>
                    <w:bottom w:val="single" w:color="auto" w:sz="4" w:space="0"/>
                    <w:right w:val="single" w:color="auto" w:sz="4" w:space="0"/>
                  </w:tcBorders>
                  <w:vAlign w:val="center"/>
                </w:tcPr>
                <w:p>
                  <w:pPr>
                    <w:pStyle w:val="41"/>
                  </w:pPr>
                  <w:r>
                    <w:t>8</w:t>
                  </w:r>
                </w:p>
              </w:tc>
              <w:tc>
                <w:tcPr>
                  <w:tcW w:w="810" w:type="pct"/>
                  <w:tcBorders>
                    <w:top w:val="single" w:color="auto" w:sz="4" w:space="0"/>
                    <w:left w:val="single" w:color="auto" w:sz="4" w:space="0"/>
                    <w:bottom w:val="single" w:color="auto" w:sz="4" w:space="0"/>
                    <w:right w:val="single" w:color="auto" w:sz="4" w:space="0"/>
                  </w:tcBorders>
                  <w:vAlign w:val="center"/>
                </w:tcPr>
                <w:p>
                  <w:pPr>
                    <w:pStyle w:val="41"/>
                  </w:pPr>
                  <w:r>
                    <w:t>0.0006</w:t>
                  </w:r>
                </w:p>
              </w:tc>
              <w:tc>
                <w:tcPr>
                  <w:tcW w:w="715" w:type="pct"/>
                  <w:tcBorders>
                    <w:top w:val="single" w:color="auto" w:sz="4" w:space="0"/>
                    <w:left w:val="single" w:color="auto" w:sz="4" w:space="0"/>
                    <w:bottom w:val="single" w:color="auto" w:sz="4" w:space="0"/>
                    <w:right w:val="single" w:color="auto" w:sz="4" w:space="0"/>
                  </w:tcBorders>
                </w:tcPr>
                <w:p>
                  <w:pPr>
                    <w:pStyle w:val="41"/>
                  </w:pPr>
                  <w:r>
                    <w:t>0</w:t>
                  </w:r>
                </w:p>
              </w:tc>
              <w:tc>
                <w:tcPr>
                  <w:tcW w:w="831" w:type="pct"/>
                  <w:tcBorders>
                    <w:top w:val="single" w:color="auto" w:sz="4" w:space="0"/>
                    <w:left w:val="single" w:color="auto" w:sz="4" w:space="0"/>
                    <w:bottom w:val="single" w:color="auto" w:sz="4" w:space="0"/>
                    <w:right w:val="single" w:color="auto" w:sz="4" w:space="0"/>
                  </w:tcBorders>
                </w:tcPr>
                <w:p>
                  <w:pPr>
                    <w:pStyle w:val="41"/>
                  </w:pPr>
                  <w:r>
                    <w:t>0</w:t>
                  </w:r>
                </w:p>
              </w:tc>
              <w:tc>
                <w:tcPr>
                  <w:tcW w:w="732" w:type="pct"/>
                  <w:tcBorders>
                    <w:top w:val="single" w:color="auto" w:sz="4" w:space="0"/>
                    <w:left w:val="single" w:color="auto" w:sz="4" w:space="0"/>
                    <w:bottom w:val="single" w:color="auto" w:sz="4" w:space="0"/>
                    <w:right w:val="single" w:color="auto" w:sz="4" w:space="0"/>
                  </w:tcBorders>
                  <w:vAlign w:val="center"/>
                </w:tcPr>
                <w:p>
                  <w:pPr>
                    <w:pStyle w:val="41"/>
                  </w:pPr>
                  <w:r>
                    <w:t>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动植物油</w:t>
                  </w:r>
                </w:p>
              </w:tc>
              <w:tc>
                <w:tcPr>
                  <w:tcW w:w="961" w:type="pct"/>
                  <w:tcBorders>
                    <w:top w:val="single" w:color="auto" w:sz="4" w:space="0"/>
                    <w:left w:val="single" w:color="auto" w:sz="4" w:space="0"/>
                    <w:bottom w:val="single" w:color="auto" w:sz="4" w:space="0"/>
                    <w:right w:val="single" w:color="auto" w:sz="4" w:space="0"/>
                  </w:tcBorders>
                  <w:vAlign w:val="center"/>
                </w:tcPr>
                <w:p>
                  <w:pPr>
                    <w:pStyle w:val="41"/>
                  </w:pPr>
                  <w:r>
                    <w:t>10</w:t>
                  </w:r>
                </w:p>
              </w:tc>
              <w:tc>
                <w:tcPr>
                  <w:tcW w:w="810" w:type="pct"/>
                  <w:tcBorders>
                    <w:top w:val="single" w:color="auto" w:sz="4" w:space="0"/>
                    <w:left w:val="single" w:color="auto" w:sz="4" w:space="0"/>
                    <w:bottom w:val="single" w:color="auto" w:sz="4" w:space="0"/>
                    <w:right w:val="single" w:color="auto" w:sz="4" w:space="0"/>
                  </w:tcBorders>
                  <w:vAlign w:val="center"/>
                </w:tcPr>
                <w:p>
                  <w:pPr>
                    <w:pStyle w:val="41"/>
                  </w:pPr>
                  <w:r>
                    <w:t>0.0007</w:t>
                  </w:r>
                </w:p>
              </w:tc>
              <w:tc>
                <w:tcPr>
                  <w:tcW w:w="715" w:type="pct"/>
                  <w:tcBorders>
                    <w:top w:val="single" w:color="auto" w:sz="4" w:space="0"/>
                    <w:left w:val="single" w:color="auto" w:sz="4" w:space="0"/>
                    <w:bottom w:val="single" w:color="auto" w:sz="4" w:space="0"/>
                    <w:right w:val="single" w:color="auto" w:sz="4" w:space="0"/>
                  </w:tcBorders>
                </w:tcPr>
                <w:p>
                  <w:pPr>
                    <w:pStyle w:val="41"/>
                  </w:pPr>
                  <w:r>
                    <w:t>0</w:t>
                  </w:r>
                </w:p>
              </w:tc>
              <w:tc>
                <w:tcPr>
                  <w:tcW w:w="831" w:type="pct"/>
                  <w:tcBorders>
                    <w:top w:val="single" w:color="auto" w:sz="4" w:space="0"/>
                    <w:left w:val="single" w:color="auto" w:sz="4" w:space="0"/>
                    <w:bottom w:val="single" w:color="auto" w:sz="4" w:space="0"/>
                    <w:right w:val="single" w:color="auto" w:sz="4" w:space="0"/>
                  </w:tcBorders>
                </w:tcPr>
                <w:p>
                  <w:pPr>
                    <w:pStyle w:val="41"/>
                  </w:pPr>
                  <w:r>
                    <w:t>0</w:t>
                  </w:r>
                </w:p>
              </w:tc>
              <w:tc>
                <w:tcPr>
                  <w:tcW w:w="732" w:type="pct"/>
                  <w:tcBorders>
                    <w:top w:val="single" w:color="auto" w:sz="4" w:space="0"/>
                    <w:left w:val="single" w:color="auto" w:sz="4" w:space="0"/>
                    <w:bottom w:val="single" w:color="auto" w:sz="4" w:space="0"/>
                    <w:right w:val="single" w:color="auto" w:sz="4" w:space="0"/>
                  </w:tcBorders>
                  <w:vAlign w:val="center"/>
                </w:tcPr>
                <w:p>
                  <w:pPr>
                    <w:pStyle w:val="41"/>
                  </w:pPr>
                  <w:r>
                    <w:t>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石油类</w:t>
                  </w:r>
                </w:p>
              </w:tc>
              <w:tc>
                <w:tcPr>
                  <w:tcW w:w="961" w:type="pct"/>
                  <w:tcBorders>
                    <w:top w:val="single" w:color="auto" w:sz="4" w:space="0"/>
                    <w:left w:val="single" w:color="auto" w:sz="4" w:space="0"/>
                    <w:bottom w:val="single" w:color="auto" w:sz="4" w:space="0"/>
                    <w:right w:val="single" w:color="auto" w:sz="4" w:space="0"/>
                  </w:tcBorders>
                  <w:vAlign w:val="center"/>
                </w:tcPr>
                <w:p>
                  <w:pPr>
                    <w:pStyle w:val="41"/>
                  </w:pPr>
                  <w:r>
                    <w:t>5</w:t>
                  </w:r>
                </w:p>
              </w:tc>
              <w:tc>
                <w:tcPr>
                  <w:tcW w:w="810" w:type="pct"/>
                  <w:tcBorders>
                    <w:top w:val="single" w:color="auto" w:sz="4" w:space="0"/>
                    <w:left w:val="single" w:color="auto" w:sz="4" w:space="0"/>
                    <w:bottom w:val="single" w:color="auto" w:sz="4" w:space="0"/>
                    <w:right w:val="single" w:color="auto" w:sz="4" w:space="0"/>
                  </w:tcBorders>
                  <w:vAlign w:val="center"/>
                </w:tcPr>
                <w:p>
                  <w:pPr>
                    <w:pStyle w:val="41"/>
                  </w:pPr>
                  <w:r>
                    <w:t>0.0004</w:t>
                  </w:r>
                </w:p>
              </w:tc>
              <w:tc>
                <w:tcPr>
                  <w:tcW w:w="715" w:type="pct"/>
                  <w:tcBorders>
                    <w:top w:val="single" w:color="auto" w:sz="4" w:space="0"/>
                    <w:left w:val="single" w:color="auto" w:sz="4" w:space="0"/>
                    <w:bottom w:val="single" w:color="auto" w:sz="4" w:space="0"/>
                    <w:right w:val="single" w:color="auto" w:sz="4" w:space="0"/>
                  </w:tcBorders>
                </w:tcPr>
                <w:p>
                  <w:pPr>
                    <w:pStyle w:val="41"/>
                  </w:pPr>
                  <w:r>
                    <w:t>0</w:t>
                  </w:r>
                </w:p>
              </w:tc>
              <w:tc>
                <w:tcPr>
                  <w:tcW w:w="831" w:type="pct"/>
                  <w:tcBorders>
                    <w:top w:val="single" w:color="auto" w:sz="4" w:space="0"/>
                    <w:left w:val="single" w:color="auto" w:sz="4" w:space="0"/>
                    <w:bottom w:val="single" w:color="auto" w:sz="4" w:space="0"/>
                    <w:right w:val="single" w:color="auto" w:sz="4" w:space="0"/>
                  </w:tcBorders>
                </w:tcPr>
                <w:p>
                  <w:pPr>
                    <w:pStyle w:val="41"/>
                  </w:pPr>
                  <w:r>
                    <w:t>0</w:t>
                  </w:r>
                </w:p>
              </w:tc>
              <w:tc>
                <w:tcPr>
                  <w:tcW w:w="732" w:type="pct"/>
                  <w:tcBorders>
                    <w:top w:val="single" w:color="auto" w:sz="4" w:space="0"/>
                    <w:left w:val="single" w:color="auto" w:sz="4" w:space="0"/>
                    <w:bottom w:val="single" w:color="auto" w:sz="4" w:space="0"/>
                    <w:right w:val="single" w:color="auto" w:sz="4" w:space="0"/>
                  </w:tcBorders>
                  <w:vAlign w:val="center"/>
                </w:tcPr>
                <w:p>
                  <w:pPr>
                    <w:pStyle w:val="41"/>
                  </w:pPr>
                  <w:r>
                    <w:t>0.0004</w:t>
                  </w:r>
                </w:p>
              </w:tc>
            </w:tr>
          </w:tbl>
          <w:p>
            <w:pPr>
              <w:pStyle w:val="71"/>
              <w:spacing w:before="163"/>
              <w:ind w:firstLine="31680"/>
            </w:pPr>
            <w:r>
              <w:t>3</w:t>
            </w:r>
            <w:r>
              <w:rPr>
                <w:rFonts w:hint="eastAsia"/>
              </w:rPr>
              <w:t>、噪声</w:t>
            </w:r>
          </w:p>
          <w:p>
            <w:pPr>
              <w:pStyle w:val="36"/>
              <w:ind w:firstLine="31680"/>
            </w:pPr>
            <w:r>
              <w:rPr>
                <w:rFonts w:hint="eastAsia"/>
              </w:rPr>
              <w:t>项目生产过程主要噪声源打磨机和组装家具时的木槌敲打噪声等，噪声源强在</w:t>
            </w:r>
            <w:r>
              <w:t>60~70dB</w:t>
            </w:r>
            <w:r>
              <w:rPr>
                <w:rFonts w:hint="eastAsia"/>
              </w:rPr>
              <w:t>（</w:t>
            </w:r>
            <w:r>
              <w:t>A</w:t>
            </w:r>
            <w:r>
              <w:rPr>
                <w:rFonts w:hint="eastAsia"/>
              </w:rPr>
              <w:t>）。噪声源强详见表</w:t>
            </w:r>
            <w:r>
              <w:t>5-5</w:t>
            </w:r>
            <w:r>
              <w:rPr>
                <w:rFonts w:hint="eastAsia"/>
              </w:rPr>
              <w:t>。</w:t>
            </w:r>
          </w:p>
          <w:p>
            <w:pPr>
              <w:pStyle w:val="47"/>
            </w:pPr>
            <w:r>
              <w:rPr>
                <w:rFonts w:hint="eastAsia"/>
              </w:rPr>
              <w:t>表</w:t>
            </w:r>
            <w:r>
              <w:t xml:space="preserve">5-5 </w:t>
            </w:r>
            <w:r>
              <w:rPr>
                <w:rFonts w:hint="eastAsia"/>
              </w:rPr>
              <w:t>项目运营期噪声源强表</w:t>
            </w:r>
            <w:r>
              <w:t xml:space="preserve">  </w:t>
            </w:r>
            <w:r>
              <w:rPr>
                <w:rFonts w:hint="eastAsia"/>
              </w:rPr>
              <w:t>单位</w:t>
            </w:r>
            <w:r>
              <w:t>dB</w:t>
            </w:r>
            <w:r>
              <w:rPr>
                <w:rFonts w:hint="eastAsia"/>
              </w:rPr>
              <w:t>（</w:t>
            </w:r>
            <w:r>
              <w:t>A</w:t>
            </w:r>
            <w:r>
              <w:rPr>
                <w:rFonts w:hint="eastAsia"/>
              </w:rPr>
              <w:t>）</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4048"/>
              <w:gridCol w:w="2037"/>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序号</w:t>
                  </w:r>
                </w:p>
              </w:tc>
              <w:tc>
                <w:tcPr>
                  <w:tcW w:w="2166"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声源</w:t>
                  </w:r>
                </w:p>
              </w:tc>
              <w:tc>
                <w:tcPr>
                  <w:tcW w:w="109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产生源强</w:t>
                  </w:r>
                </w:p>
              </w:tc>
              <w:tc>
                <w:tcPr>
                  <w:tcW w:w="108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减噪措施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pct"/>
                  <w:tcBorders>
                    <w:top w:val="single" w:color="auto" w:sz="4" w:space="0"/>
                    <w:left w:val="single" w:color="auto" w:sz="4" w:space="0"/>
                    <w:bottom w:val="single" w:color="auto" w:sz="4" w:space="0"/>
                    <w:right w:val="single" w:color="auto" w:sz="4" w:space="0"/>
                  </w:tcBorders>
                  <w:vAlign w:val="center"/>
                </w:tcPr>
                <w:p>
                  <w:pPr>
                    <w:pStyle w:val="41"/>
                  </w:pPr>
                  <w:r>
                    <w:t>1</w:t>
                  </w:r>
                </w:p>
              </w:tc>
              <w:tc>
                <w:tcPr>
                  <w:tcW w:w="2166"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小型打磨机</w:t>
                  </w:r>
                </w:p>
              </w:tc>
              <w:tc>
                <w:tcPr>
                  <w:tcW w:w="1090" w:type="pct"/>
                  <w:tcBorders>
                    <w:top w:val="single" w:color="auto" w:sz="4" w:space="0"/>
                    <w:left w:val="single" w:color="auto" w:sz="4" w:space="0"/>
                    <w:bottom w:val="single" w:color="auto" w:sz="4" w:space="0"/>
                    <w:right w:val="single" w:color="auto" w:sz="4" w:space="0"/>
                  </w:tcBorders>
                  <w:vAlign w:val="center"/>
                </w:tcPr>
                <w:p>
                  <w:pPr>
                    <w:pStyle w:val="41"/>
                  </w:pPr>
                  <w:r>
                    <w:t>70</w:t>
                  </w:r>
                </w:p>
              </w:tc>
              <w:tc>
                <w:tcPr>
                  <w:tcW w:w="108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距离衰减等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pct"/>
                  <w:tcBorders>
                    <w:top w:val="single" w:color="auto" w:sz="4" w:space="0"/>
                    <w:left w:val="single" w:color="auto" w:sz="4" w:space="0"/>
                    <w:bottom w:val="single" w:color="auto" w:sz="4" w:space="0"/>
                    <w:right w:val="single" w:color="auto" w:sz="4" w:space="0"/>
                  </w:tcBorders>
                  <w:vAlign w:val="center"/>
                </w:tcPr>
                <w:p>
                  <w:pPr>
                    <w:pStyle w:val="41"/>
                  </w:pPr>
                  <w:r>
                    <w:t>2</w:t>
                  </w:r>
                </w:p>
              </w:tc>
              <w:tc>
                <w:tcPr>
                  <w:tcW w:w="2166"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木槌敲打</w:t>
                  </w:r>
                </w:p>
              </w:tc>
              <w:tc>
                <w:tcPr>
                  <w:tcW w:w="1090" w:type="pct"/>
                  <w:tcBorders>
                    <w:top w:val="single" w:color="auto" w:sz="4" w:space="0"/>
                    <w:left w:val="single" w:color="auto" w:sz="4" w:space="0"/>
                    <w:bottom w:val="single" w:color="auto" w:sz="4" w:space="0"/>
                    <w:right w:val="single" w:color="auto" w:sz="4" w:space="0"/>
                  </w:tcBorders>
                  <w:vAlign w:val="center"/>
                </w:tcPr>
                <w:p>
                  <w:pPr>
                    <w:pStyle w:val="41"/>
                  </w:pPr>
                  <w:r>
                    <w:t>60</w:t>
                  </w:r>
                </w:p>
              </w:tc>
              <w:tc>
                <w:tcPr>
                  <w:tcW w:w="108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距离衰减等</w:t>
                  </w:r>
                </w:p>
              </w:tc>
            </w:tr>
          </w:tbl>
          <w:p>
            <w:pPr>
              <w:pStyle w:val="71"/>
              <w:spacing w:before="163"/>
              <w:ind w:firstLine="31680"/>
            </w:pPr>
            <w:r>
              <w:t>4</w:t>
            </w:r>
            <w:r>
              <w:rPr>
                <w:rFonts w:hint="eastAsia"/>
              </w:rPr>
              <w:t>、固废</w:t>
            </w:r>
          </w:p>
          <w:p>
            <w:pPr>
              <w:pStyle w:val="36"/>
              <w:ind w:firstLine="31680"/>
            </w:pPr>
            <w:r>
              <w:rPr>
                <w:rFonts w:hint="eastAsia"/>
              </w:rPr>
              <w:t>（</w:t>
            </w:r>
            <w:r>
              <w:t>1</w:t>
            </w:r>
            <w:r>
              <w:rPr>
                <w:rFonts w:hint="eastAsia"/>
              </w:rPr>
              <w:t>）生产废料</w:t>
            </w:r>
          </w:p>
          <w:p>
            <w:pPr>
              <w:pStyle w:val="36"/>
              <w:ind w:firstLine="31680"/>
            </w:pPr>
            <w:r>
              <w:rPr>
                <w:rFonts w:hint="eastAsia"/>
              </w:rPr>
              <w:t>项目生产过程中产生的固体废物主要有木材边角料、木屑和油漆桶等。</w:t>
            </w:r>
          </w:p>
          <w:p>
            <w:pPr>
              <w:pStyle w:val="36"/>
              <w:ind w:firstLine="31680"/>
            </w:pPr>
            <w:r>
              <w:rPr>
                <w:rFonts w:hint="eastAsia" w:ascii="宋体" w:hAnsi="宋体" w:cs="宋体"/>
              </w:rPr>
              <w:t>①</w:t>
            </w:r>
            <w:r>
              <w:rPr>
                <w:rFonts w:hint="eastAsia"/>
              </w:rPr>
              <w:t>一般固体废物</w:t>
            </w:r>
          </w:p>
          <w:p>
            <w:pPr>
              <w:pStyle w:val="36"/>
              <w:ind w:firstLine="31680"/>
            </w:pPr>
            <w:r>
              <w:rPr>
                <w:rFonts w:hint="eastAsia"/>
              </w:rPr>
              <w:t>木材边角料、木屑均属于一般固体废物。根据项目生产工艺和生产规模及业主相关资料得知，其木材边角料、木屑产生量约为</w:t>
            </w:r>
            <w:r>
              <w:t>0.5t/a</w:t>
            </w:r>
            <w:r>
              <w:rPr>
                <w:rFonts w:hint="eastAsia"/>
              </w:rPr>
              <w:t>，集中收集后外卖周边村民作燃料不外排。</w:t>
            </w:r>
          </w:p>
          <w:p>
            <w:pPr>
              <w:pStyle w:val="36"/>
              <w:ind w:firstLine="31680"/>
            </w:pPr>
            <w:r>
              <w:rPr>
                <w:rFonts w:hint="eastAsia" w:ascii="宋体" w:hAnsi="宋体" w:cs="宋体"/>
              </w:rPr>
              <w:t>②</w:t>
            </w:r>
            <w:r>
              <w:rPr>
                <w:rFonts w:hint="eastAsia"/>
              </w:rPr>
              <w:t>危险废物</w:t>
            </w:r>
          </w:p>
          <w:p>
            <w:pPr>
              <w:pStyle w:val="36"/>
              <w:ind w:firstLine="31680"/>
            </w:pPr>
            <w:r>
              <w:rPr>
                <w:rFonts w:hint="eastAsia"/>
              </w:rPr>
              <w:t>本项目危险废物主要为废弃油漆桶、废弃稀释剂桶、废弃的油漆刷子及粘有油漆的抹布等。</w:t>
            </w:r>
          </w:p>
          <w:p>
            <w:pPr>
              <w:pStyle w:val="36"/>
              <w:ind w:firstLine="31680"/>
            </w:pPr>
            <w:r>
              <w:rPr>
                <w:rFonts w:hint="eastAsia"/>
              </w:rPr>
              <w:t>项目油漆和稀释剂使用量分别为</w:t>
            </w:r>
            <w:r>
              <w:t>1.6t/a</w:t>
            </w:r>
            <w:r>
              <w:rPr>
                <w:rFonts w:hint="eastAsia"/>
              </w:rPr>
              <w:t>、</w:t>
            </w:r>
            <w:r>
              <w:t>1.2t/a</w:t>
            </w:r>
            <w:r>
              <w:rPr>
                <w:rFonts w:hint="eastAsia"/>
              </w:rPr>
              <w:t>，产生的废油漆桶量约为</w:t>
            </w:r>
            <w:r>
              <w:t>80</w:t>
            </w:r>
            <w:r>
              <w:rPr>
                <w:rFonts w:hint="eastAsia"/>
              </w:rPr>
              <w:t>个</w:t>
            </w:r>
            <w:r>
              <w:t>/a</w:t>
            </w:r>
            <w:r>
              <w:rPr>
                <w:rFonts w:hint="eastAsia"/>
              </w:rPr>
              <w:t>（容量</w:t>
            </w:r>
            <w:r>
              <w:t>20kg/</w:t>
            </w:r>
            <w:r>
              <w:rPr>
                <w:rFonts w:hint="eastAsia"/>
              </w:rPr>
              <w:t>桶）；产生的废稀释剂桶量约为</w:t>
            </w:r>
            <w:r>
              <w:t>6</w:t>
            </w:r>
            <w:r>
              <w:rPr>
                <w:rFonts w:hint="eastAsia"/>
              </w:rPr>
              <w:t>个</w:t>
            </w:r>
            <w:r>
              <w:t>/a</w:t>
            </w:r>
            <w:r>
              <w:rPr>
                <w:rFonts w:hint="eastAsia"/>
              </w:rPr>
              <w:t>（容量</w:t>
            </w:r>
            <w:r>
              <w:t>200kg/</w:t>
            </w:r>
            <w:r>
              <w:rPr>
                <w:rFonts w:hint="eastAsia"/>
              </w:rPr>
              <w:t>桶），废弃的油漆刷子及粘有油漆的抹布产生量约为</w:t>
            </w:r>
            <w:r>
              <w:t>0.1 t/a</w:t>
            </w:r>
            <w:r>
              <w:rPr>
                <w:rFonts w:hint="eastAsia"/>
              </w:rPr>
              <w:t>，其储存及处理须遵守《</w:t>
            </w:r>
            <w:r>
              <w:rPr>
                <w:rFonts w:hint="eastAsia"/>
                <w:lang w:eastAsia="zh-CN"/>
              </w:rPr>
              <w:t>中华人民共和国固体废物污染环境防治法</w:t>
            </w:r>
            <w:r>
              <w:rPr>
                <w:rFonts w:hint="eastAsia"/>
              </w:rPr>
              <w:t>》、《危险废物转移联单管理办法》，执行</w:t>
            </w:r>
            <w:r>
              <w:t>GB18597-2001</w:t>
            </w:r>
            <w:r>
              <w:rPr>
                <w:rFonts w:hint="eastAsia"/>
              </w:rPr>
              <w:t>《危险废物贮存污染控制标准》，严禁随意堆放和扩散，存放于危废暂存间内。项目危废暂存间设置在项目区西北角，紧邻刷漆房，采取防雨淋、防渗漏的措施，关于危废储存间的要求地面做</w:t>
            </w:r>
            <w:r>
              <w:t>100mm</w:t>
            </w:r>
            <w:r>
              <w:rPr>
                <w:rFonts w:hint="eastAsia"/>
              </w:rPr>
              <w:t>厚度的水泥硬化层外加</w:t>
            </w:r>
            <w:r>
              <w:t>2mm</w:t>
            </w:r>
            <w:r>
              <w:rPr>
                <w:rFonts w:hint="eastAsia"/>
              </w:rPr>
              <w:t>厚度高密度聚乙烯的人工材料，渗透系数≦</w:t>
            </w:r>
            <w:r>
              <w:t>10</w:t>
            </w:r>
            <w:r>
              <w:rPr>
                <w:vertAlign w:val="superscript"/>
              </w:rPr>
              <w:t>-10</w:t>
            </w:r>
            <w:r>
              <w:t>cm/s</w:t>
            </w:r>
            <w:r>
              <w:rPr>
                <w:rFonts w:hint="eastAsia"/>
              </w:rPr>
              <w:t>。并标识危废标识牌，危险废物收集和运输都必须有经过培训的专业人员操作，并交给具有危险废物处置资质的单位回收处理。</w:t>
            </w:r>
          </w:p>
          <w:p>
            <w:pPr>
              <w:pStyle w:val="36"/>
              <w:ind w:firstLine="31680"/>
            </w:pPr>
            <w:r>
              <w:rPr>
                <w:rFonts w:hint="eastAsia"/>
              </w:rPr>
              <w:t>（</w:t>
            </w:r>
            <w:r>
              <w:t>2</w:t>
            </w:r>
            <w:r>
              <w:rPr>
                <w:rFonts w:hint="eastAsia"/>
              </w:rPr>
              <w:t>）生活垃圾</w:t>
            </w:r>
          </w:p>
          <w:p>
            <w:pPr>
              <w:pStyle w:val="36"/>
              <w:ind w:firstLine="31680"/>
            </w:pPr>
            <w:r>
              <w:rPr>
                <w:rFonts w:hint="eastAsia"/>
              </w:rPr>
              <w:t>运营期劳动定员</w:t>
            </w:r>
            <w:r>
              <w:t>5</w:t>
            </w:r>
            <w:r>
              <w:rPr>
                <w:rFonts w:hint="eastAsia"/>
              </w:rPr>
              <w:t>人，均不在厂区食宿，生活垃圾根据《第一次全国污染源普查排污系数手册》查得每人每天产生</w:t>
            </w:r>
            <w:r>
              <w:t>0.5kg</w:t>
            </w:r>
            <w:r>
              <w:rPr>
                <w:rFonts w:hint="eastAsia"/>
              </w:rPr>
              <w:t>固体废物，则生活垃圾产生量约为</w:t>
            </w:r>
            <w:r>
              <w:t>2.5kg/d</w:t>
            </w:r>
            <w:r>
              <w:rPr>
                <w:rFonts w:hint="eastAsia"/>
              </w:rPr>
              <w:t>，合计</w:t>
            </w:r>
            <w:r>
              <w:t>0.75t/a</w:t>
            </w:r>
            <w:r>
              <w:rPr>
                <w:rFonts w:hint="eastAsia"/>
              </w:rPr>
              <w:t>。产生生活垃圾经垃圾桶统一收集后，运输至就近垃圾收集点，由环卫部门定期清运。</w:t>
            </w:r>
            <w:r>
              <w:t xml:space="preserve">     </w:t>
            </w:r>
          </w:p>
          <w:p>
            <w:pPr>
              <w:pStyle w:val="36"/>
              <w:ind w:firstLine="31680"/>
            </w:pPr>
            <w:r>
              <w:rPr>
                <w:rFonts w:hint="eastAsia"/>
              </w:rPr>
              <w:t>根据以上分析，项目运营期间固体废弃物产生情况见表</w:t>
            </w:r>
            <w:r>
              <w:t>5-6</w:t>
            </w:r>
            <w:r>
              <w:rPr>
                <w:rFonts w:hint="eastAsia"/>
              </w:rPr>
              <w:t>。</w:t>
            </w:r>
          </w:p>
          <w:p>
            <w:pPr>
              <w:pStyle w:val="47"/>
            </w:pPr>
            <w:r>
              <w:rPr>
                <w:rFonts w:hint="eastAsia"/>
              </w:rPr>
              <w:t>表</w:t>
            </w:r>
            <w:r>
              <w:t xml:space="preserve">5-6 </w:t>
            </w:r>
            <w:r>
              <w:rPr>
                <w:rFonts w:hint="eastAsia"/>
              </w:rPr>
              <w:t>固废排放情况一览表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059"/>
              <w:gridCol w:w="1985"/>
              <w:gridCol w:w="4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序号</w:t>
                  </w:r>
                </w:p>
              </w:tc>
              <w:tc>
                <w:tcPr>
                  <w:tcW w:w="110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类别</w:t>
                  </w:r>
                </w:p>
              </w:tc>
              <w:tc>
                <w:tcPr>
                  <w:tcW w:w="106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产生量</w:t>
                  </w:r>
                </w:p>
              </w:tc>
              <w:tc>
                <w:tcPr>
                  <w:tcW w:w="2423"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 w:type="pct"/>
                  <w:tcBorders>
                    <w:top w:val="single" w:color="auto" w:sz="4" w:space="0"/>
                    <w:left w:val="single" w:color="auto" w:sz="4" w:space="0"/>
                    <w:bottom w:val="single" w:color="auto" w:sz="4" w:space="0"/>
                    <w:right w:val="single" w:color="auto" w:sz="4" w:space="0"/>
                  </w:tcBorders>
                  <w:vAlign w:val="center"/>
                </w:tcPr>
                <w:p>
                  <w:pPr>
                    <w:pStyle w:val="41"/>
                  </w:pPr>
                  <w:r>
                    <w:t>1</w:t>
                  </w:r>
                </w:p>
              </w:tc>
              <w:tc>
                <w:tcPr>
                  <w:tcW w:w="110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废弃边角料</w:t>
                  </w:r>
                </w:p>
              </w:tc>
              <w:tc>
                <w:tcPr>
                  <w:tcW w:w="1062" w:type="pct"/>
                  <w:tcBorders>
                    <w:top w:val="single" w:color="auto" w:sz="4" w:space="0"/>
                    <w:left w:val="single" w:color="auto" w:sz="4" w:space="0"/>
                    <w:bottom w:val="single" w:color="auto" w:sz="4" w:space="0"/>
                    <w:right w:val="single" w:color="auto" w:sz="4" w:space="0"/>
                  </w:tcBorders>
                  <w:vAlign w:val="center"/>
                </w:tcPr>
                <w:p>
                  <w:pPr>
                    <w:pStyle w:val="41"/>
                  </w:pPr>
                  <w:r>
                    <w:t>0.5t/a</w:t>
                  </w:r>
                </w:p>
              </w:tc>
              <w:tc>
                <w:tcPr>
                  <w:tcW w:w="2423"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外卖周边村民作燃料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 w:type="pct"/>
                  <w:tcBorders>
                    <w:top w:val="single" w:color="auto" w:sz="4" w:space="0"/>
                    <w:left w:val="single" w:color="auto" w:sz="4" w:space="0"/>
                    <w:bottom w:val="single" w:color="auto" w:sz="4" w:space="0"/>
                    <w:right w:val="single" w:color="auto" w:sz="4" w:space="0"/>
                  </w:tcBorders>
                  <w:vAlign w:val="center"/>
                </w:tcPr>
                <w:p>
                  <w:pPr>
                    <w:pStyle w:val="41"/>
                  </w:pPr>
                  <w:r>
                    <w:t>2</w:t>
                  </w:r>
                </w:p>
              </w:tc>
              <w:tc>
                <w:tcPr>
                  <w:tcW w:w="110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废弃油漆桶</w:t>
                  </w:r>
                </w:p>
              </w:tc>
              <w:tc>
                <w:tcPr>
                  <w:tcW w:w="1062" w:type="pct"/>
                  <w:tcBorders>
                    <w:top w:val="single" w:color="auto" w:sz="4" w:space="0"/>
                    <w:left w:val="single" w:color="auto" w:sz="4" w:space="0"/>
                    <w:bottom w:val="single" w:color="auto" w:sz="4" w:space="0"/>
                    <w:right w:val="single" w:color="auto" w:sz="4" w:space="0"/>
                  </w:tcBorders>
                  <w:vAlign w:val="center"/>
                </w:tcPr>
                <w:p>
                  <w:pPr>
                    <w:pStyle w:val="41"/>
                  </w:pPr>
                  <w:r>
                    <w:t>80</w:t>
                  </w:r>
                  <w:r>
                    <w:rPr>
                      <w:rFonts w:hint="eastAsia"/>
                    </w:rPr>
                    <w:t>个</w:t>
                  </w:r>
                  <w:r>
                    <w:t>/a</w:t>
                  </w:r>
                </w:p>
              </w:tc>
              <w:tc>
                <w:tcPr>
                  <w:tcW w:w="2423" w:type="pct"/>
                  <w:vMerge w:val="restart"/>
                  <w:tcBorders>
                    <w:top w:val="single" w:color="auto" w:sz="4" w:space="0"/>
                    <w:left w:val="single" w:color="auto" w:sz="4" w:space="0"/>
                    <w:bottom w:val="single" w:color="auto" w:sz="4" w:space="0"/>
                    <w:right w:val="single" w:color="auto" w:sz="4" w:space="0"/>
                  </w:tcBorders>
                  <w:vAlign w:val="center"/>
                </w:tcPr>
                <w:p>
                  <w:pPr>
                    <w:pStyle w:val="41"/>
                    <w:rPr>
                      <w:kern w:val="0"/>
                    </w:rPr>
                  </w:pPr>
                  <w:r>
                    <w:rPr>
                      <w:rFonts w:hint="eastAsia"/>
                    </w:rPr>
                    <w:t>交给具有危险废物处置资质的单位回收处理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 w:type="pct"/>
                  <w:tcBorders>
                    <w:top w:val="single" w:color="auto" w:sz="4" w:space="0"/>
                    <w:left w:val="single" w:color="auto" w:sz="4" w:space="0"/>
                    <w:bottom w:val="single" w:color="auto" w:sz="4" w:space="0"/>
                    <w:right w:val="single" w:color="auto" w:sz="4" w:space="0"/>
                  </w:tcBorders>
                  <w:vAlign w:val="center"/>
                </w:tcPr>
                <w:p>
                  <w:pPr>
                    <w:pStyle w:val="41"/>
                  </w:pPr>
                  <w:r>
                    <w:t>3</w:t>
                  </w:r>
                </w:p>
              </w:tc>
              <w:tc>
                <w:tcPr>
                  <w:tcW w:w="110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废弃稀释剂桶</w:t>
                  </w:r>
                </w:p>
              </w:tc>
              <w:tc>
                <w:tcPr>
                  <w:tcW w:w="1062" w:type="pct"/>
                  <w:tcBorders>
                    <w:top w:val="single" w:color="auto" w:sz="4" w:space="0"/>
                    <w:left w:val="single" w:color="auto" w:sz="4" w:space="0"/>
                    <w:bottom w:val="single" w:color="auto" w:sz="4" w:space="0"/>
                    <w:right w:val="single" w:color="auto" w:sz="4" w:space="0"/>
                  </w:tcBorders>
                  <w:vAlign w:val="center"/>
                </w:tcPr>
                <w:p>
                  <w:pPr>
                    <w:pStyle w:val="41"/>
                  </w:pPr>
                  <w:r>
                    <w:t>6</w:t>
                  </w:r>
                  <w:r>
                    <w:rPr>
                      <w:rFonts w:hint="eastAsia"/>
                    </w:rPr>
                    <w:t>个</w:t>
                  </w:r>
                  <w:r>
                    <w:t>/a</w:t>
                  </w:r>
                </w:p>
              </w:tc>
              <w:tc>
                <w:tcPr>
                  <w:tcW w:w="2423"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 w:type="pct"/>
                  <w:tcBorders>
                    <w:top w:val="single" w:color="auto" w:sz="4" w:space="0"/>
                    <w:left w:val="single" w:color="auto" w:sz="4" w:space="0"/>
                    <w:bottom w:val="single" w:color="auto" w:sz="4" w:space="0"/>
                    <w:right w:val="single" w:color="auto" w:sz="4" w:space="0"/>
                  </w:tcBorders>
                  <w:vAlign w:val="center"/>
                </w:tcPr>
                <w:p>
                  <w:pPr>
                    <w:pStyle w:val="41"/>
                  </w:pPr>
                  <w:r>
                    <w:t>4</w:t>
                  </w:r>
                </w:p>
              </w:tc>
              <w:tc>
                <w:tcPr>
                  <w:tcW w:w="110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废弃的油漆刷子及粘有油漆的抹布</w:t>
                  </w:r>
                </w:p>
              </w:tc>
              <w:tc>
                <w:tcPr>
                  <w:tcW w:w="1062" w:type="pct"/>
                  <w:tcBorders>
                    <w:top w:val="single" w:color="auto" w:sz="4" w:space="0"/>
                    <w:left w:val="single" w:color="auto" w:sz="4" w:space="0"/>
                    <w:bottom w:val="single" w:color="auto" w:sz="4" w:space="0"/>
                    <w:right w:val="single" w:color="auto" w:sz="4" w:space="0"/>
                  </w:tcBorders>
                  <w:vAlign w:val="center"/>
                </w:tcPr>
                <w:p>
                  <w:pPr>
                    <w:pStyle w:val="41"/>
                  </w:pPr>
                  <w:r>
                    <w:t>0.1 t/a</w:t>
                  </w:r>
                </w:p>
              </w:tc>
              <w:tc>
                <w:tcPr>
                  <w:tcW w:w="2423"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 w:type="pct"/>
                  <w:tcBorders>
                    <w:top w:val="single" w:color="auto" w:sz="4" w:space="0"/>
                    <w:left w:val="single" w:color="auto" w:sz="4" w:space="0"/>
                    <w:bottom w:val="single" w:color="auto" w:sz="4" w:space="0"/>
                    <w:right w:val="single" w:color="auto" w:sz="4" w:space="0"/>
                  </w:tcBorders>
                  <w:vAlign w:val="center"/>
                </w:tcPr>
                <w:p>
                  <w:pPr>
                    <w:pStyle w:val="41"/>
                  </w:pPr>
                  <w:r>
                    <w:t>5</w:t>
                  </w:r>
                </w:p>
              </w:tc>
              <w:tc>
                <w:tcPr>
                  <w:tcW w:w="110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生活垃圾</w:t>
                  </w:r>
                </w:p>
              </w:tc>
              <w:tc>
                <w:tcPr>
                  <w:tcW w:w="1062" w:type="pct"/>
                  <w:tcBorders>
                    <w:top w:val="single" w:color="auto" w:sz="4" w:space="0"/>
                    <w:left w:val="single" w:color="auto" w:sz="4" w:space="0"/>
                    <w:bottom w:val="single" w:color="auto" w:sz="4" w:space="0"/>
                    <w:right w:val="single" w:color="auto" w:sz="4" w:space="0"/>
                  </w:tcBorders>
                  <w:vAlign w:val="center"/>
                </w:tcPr>
                <w:p>
                  <w:pPr>
                    <w:pStyle w:val="41"/>
                  </w:pPr>
                  <w:r>
                    <w:t>2.5kg/d</w:t>
                  </w:r>
                  <w:r>
                    <w:rPr>
                      <w:rFonts w:hint="eastAsia"/>
                    </w:rPr>
                    <w:t>，</w:t>
                  </w:r>
                  <w:r>
                    <w:t>0.75t/a</w:t>
                  </w:r>
                </w:p>
              </w:tc>
              <w:tc>
                <w:tcPr>
                  <w:tcW w:w="2423"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kern w:val="0"/>
                    </w:rPr>
                    <w:t>用垃圾桶收集后</w:t>
                  </w:r>
                  <w:r>
                    <w:rPr>
                      <w:rFonts w:hint="eastAsia"/>
                    </w:rPr>
                    <w:t>运输至就近垃圾收集点，</w:t>
                  </w:r>
                  <w:r>
                    <w:rPr>
                      <w:rFonts w:hint="eastAsia"/>
                      <w:kern w:val="0"/>
                    </w:rPr>
                    <w:t>由环卫部门定期清运</w:t>
                  </w:r>
                </w:p>
              </w:tc>
            </w:tr>
          </w:tbl>
          <w:p>
            <w:pPr>
              <w:pStyle w:val="71"/>
              <w:spacing w:before="163"/>
              <w:ind w:firstLine="31680"/>
            </w:pPr>
          </w:p>
          <w:p>
            <w:pPr>
              <w:pStyle w:val="71"/>
              <w:spacing w:before="163"/>
              <w:ind w:firstLine="31680"/>
            </w:pPr>
          </w:p>
          <w:p>
            <w:pPr>
              <w:pStyle w:val="71"/>
              <w:spacing w:before="163"/>
              <w:ind w:firstLine="31680"/>
            </w:pPr>
          </w:p>
          <w:p>
            <w:pPr>
              <w:pStyle w:val="71"/>
              <w:spacing w:before="163"/>
              <w:ind w:firstLine="31680"/>
            </w:pPr>
          </w:p>
          <w:p>
            <w:pPr>
              <w:pStyle w:val="71"/>
              <w:spacing w:before="163"/>
              <w:ind w:firstLine="31680"/>
            </w:pPr>
          </w:p>
          <w:p>
            <w:pPr>
              <w:pStyle w:val="71"/>
              <w:spacing w:before="163"/>
              <w:ind w:firstLine="31680"/>
            </w:pPr>
          </w:p>
          <w:p>
            <w:pPr>
              <w:pStyle w:val="71"/>
              <w:spacing w:before="163"/>
              <w:ind w:firstLine="31680"/>
            </w:pPr>
          </w:p>
          <w:p>
            <w:pPr>
              <w:pStyle w:val="71"/>
              <w:spacing w:before="163"/>
              <w:ind w:firstLine="31680"/>
            </w:pPr>
          </w:p>
          <w:p>
            <w:pPr>
              <w:pStyle w:val="71"/>
              <w:spacing w:before="163"/>
              <w:ind w:firstLine="31680"/>
            </w:pPr>
          </w:p>
          <w:p>
            <w:pPr>
              <w:pStyle w:val="71"/>
              <w:spacing w:before="163"/>
              <w:ind w:firstLine="31680"/>
            </w:pPr>
          </w:p>
          <w:p>
            <w:pPr>
              <w:pStyle w:val="71"/>
              <w:spacing w:before="163"/>
              <w:ind w:firstLine="31680"/>
            </w:pPr>
            <w:r>
              <w:t>5</w:t>
            </w:r>
            <w:r>
              <w:rPr>
                <w:rFonts w:hint="eastAsia"/>
              </w:rPr>
              <w:t>、搬迁前、后污染物产生和处理措施对比</w:t>
            </w:r>
          </w:p>
          <w:p>
            <w:pPr>
              <w:pStyle w:val="47"/>
            </w:pPr>
            <w:r>
              <w:rPr>
                <w:rFonts w:hint="eastAsia"/>
              </w:rPr>
              <w:t>表</w:t>
            </w:r>
            <w:r>
              <w:t xml:space="preserve">5-7 </w:t>
            </w:r>
            <w:r>
              <w:rPr>
                <w:rFonts w:hint="eastAsia"/>
              </w:rPr>
              <w:t>本项目搬迁前、后污染物产生和处理措施对比表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304"/>
              <w:gridCol w:w="2659"/>
              <w:gridCol w:w="1136"/>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5"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污染物名称</w:t>
                  </w:r>
                </w:p>
              </w:tc>
              <w:tc>
                <w:tcPr>
                  <w:tcW w:w="2121" w:type="pct"/>
                  <w:gridSpan w:val="2"/>
                  <w:tcBorders>
                    <w:top w:val="single" w:color="auto" w:sz="4" w:space="0"/>
                    <w:left w:val="single" w:color="auto" w:sz="4" w:space="0"/>
                    <w:bottom w:val="single" w:color="auto" w:sz="4" w:space="0"/>
                    <w:right w:val="single" w:color="auto" w:sz="4" w:space="0"/>
                  </w:tcBorders>
                  <w:vAlign w:val="center"/>
                </w:tcPr>
                <w:p>
                  <w:pPr>
                    <w:pStyle w:val="41"/>
                  </w:pPr>
                  <w:r>
                    <w:rPr>
                      <w:rFonts w:hint="eastAsia"/>
                    </w:rPr>
                    <w:t>项目搬迁前</w:t>
                  </w:r>
                </w:p>
              </w:tc>
              <w:tc>
                <w:tcPr>
                  <w:tcW w:w="2044" w:type="pct"/>
                  <w:gridSpan w:val="2"/>
                  <w:tcBorders>
                    <w:top w:val="single" w:color="auto" w:sz="4" w:space="0"/>
                    <w:left w:val="single" w:color="auto" w:sz="4" w:space="0"/>
                    <w:bottom w:val="single" w:color="auto" w:sz="4" w:space="0"/>
                    <w:right w:val="single" w:color="auto" w:sz="4" w:space="0"/>
                  </w:tcBorders>
                  <w:vAlign w:val="center"/>
                </w:tcPr>
                <w:p>
                  <w:pPr>
                    <w:pStyle w:val="41"/>
                  </w:pPr>
                  <w:r>
                    <w:rPr>
                      <w:rFonts w:hint="eastAsia"/>
                    </w:rPr>
                    <w:t>项目搬迁后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5"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98"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产生量</w:t>
                  </w:r>
                </w:p>
              </w:tc>
              <w:tc>
                <w:tcPr>
                  <w:tcW w:w="1423"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处理措施</w:t>
                  </w:r>
                </w:p>
              </w:tc>
              <w:tc>
                <w:tcPr>
                  <w:tcW w:w="608"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产生量</w:t>
                  </w:r>
                </w:p>
              </w:tc>
              <w:tc>
                <w:tcPr>
                  <w:tcW w:w="1436"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木屑粉尘</w:t>
                  </w:r>
                </w:p>
              </w:tc>
              <w:tc>
                <w:tcPr>
                  <w:tcW w:w="698" w:type="pct"/>
                  <w:tcBorders>
                    <w:top w:val="single" w:color="auto" w:sz="4" w:space="0"/>
                    <w:left w:val="single" w:color="auto" w:sz="4" w:space="0"/>
                    <w:bottom w:val="single" w:color="auto" w:sz="4" w:space="0"/>
                    <w:right w:val="single" w:color="auto" w:sz="4" w:space="0"/>
                  </w:tcBorders>
                  <w:vAlign w:val="center"/>
                </w:tcPr>
                <w:p>
                  <w:pPr>
                    <w:pStyle w:val="41"/>
                  </w:pPr>
                  <w:r>
                    <w:t>0.1/a</w:t>
                  </w:r>
                </w:p>
              </w:tc>
              <w:tc>
                <w:tcPr>
                  <w:tcW w:w="1423"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采用活性炭吸附装置吸附，其吸附效率≧</w:t>
                  </w:r>
                  <w:r>
                    <w:t>60%</w:t>
                  </w:r>
                  <w:r>
                    <w:rPr>
                      <w:rFonts w:hint="eastAsia"/>
                    </w:rPr>
                    <w:t>，后经大气稀释后，自然扩散。</w:t>
                  </w:r>
                </w:p>
              </w:tc>
              <w:tc>
                <w:tcPr>
                  <w:tcW w:w="608" w:type="pct"/>
                  <w:tcBorders>
                    <w:top w:val="single" w:color="auto" w:sz="4" w:space="0"/>
                    <w:left w:val="single" w:color="auto" w:sz="4" w:space="0"/>
                    <w:bottom w:val="single" w:color="auto" w:sz="4" w:space="0"/>
                    <w:right w:val="single" w:color="auto" w:sz="4" w:space="0"/>
                  </w:tcBorders>
                  <w:vAlign w:val="center"/>
                </w:tcPr>
                <w:p>
                  <w:pPr>
                    <w:pStyle w:val="41"/>
                  </w:pPr>
                  <w:r>
                    <w:t>0.1t/a</w:t>
                  </w:r>
                </w:p>
              </w:tc>
              <w:tc>
                <w:tcPr>
                  <w:tcW w:w="1436"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采用活性炭吸附装置吸附，其吸附效率≧</w:t>
                  </w:r>
                  <w:r>
                    <w:t>60%</w:t>
                  </w:r>
                  <w:r>
                    <w:rPr>
                      <w:rFonts w:hint="eastAsia"/>
                    </w:rPr>
                    <w:t>，后经大气稀释后，自然扩散。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甲苯</w:t>
                  </w:r>
                </w:p>
              </w:tc>
              <w:tc>
                <w:tcPr>
                  <w:tcW w:w="698" w:type="pct"/>
                  <w:tcBorders>
                    <w:top w:val="single" w:color="auto" w:sz="4" w:space="0"/>
                    <w:left w:val="single" w:color="auto" w:sz="4" w:space="0"/>
                    <w:bottom w:val="single" w:color="auto" w:sz="4" w:space="0"/>
                    <w:right w:val="single" w:color="auto" w:sz="4" w:space="0"/>
                  </w:tcBorders>
                  <w:vAlign w:val="center"/>
                </w:tcPr>
                <w:p>
                  <w:pPr>
                    <w:pStyle w:val="41"/>
                  </w:pPr>
                  <w:r>
                    <w:t>0.074t/a</w:t>
                  </w:r>
                </w:p>
              </w:tc>
              <w:tc>
                <w:tcPr>
                  <w:tcW w:w="1423"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08" w:type="pct"/>
                  <w:tcBorders>
                    <w:top w:val="single" w:color="auto" w:sz="4" w:space="0"/>
                    <w:left w:val="single" w:color="auto" w:sz="4" w:space="0"/>
                    <w:bottom w:val="single" w:color="auto" w:sz="4" w:space="0"/>
                    <w:right w:val="single" w:color="auto" w:sz="4" w:space="0"/>
                  </w:tcBorders>
                  <w:vAlign w:val="center"/>
                </w:tcPr>
                <w:p>
                  <w:pPr>
                    <w:pStyle w:val="41"/>
                  </w:pPr>
                  <w:r>
                    <w:t>0.074t/a</w:t>
                  </w:r>
                </w:p>
              </w:tc>
              <w:tc>
                <w:tcPr>
                  <w:tcW w:w="1436"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5" w:type="pct"/>
                  <w:tcBorders>
                    <w:top w:val="single" w:color="auto" w:sz="4" w:space="0"/>
                    <w:left w:val="single" w:color="auto" w:sz="4" w:space="0"/>
                    <w:bottom w:val="single" w:color="auto" w:sz="4" w:space="0"/>
                    <w:right w:val="single" w:color="auto" w:sz="4" w:space="0"/>
                  </w:tcBorders>
                  <w:vAlign w:val="center"/>
                </w:tcPr>
                <w:p>
                  <w:pPr>
                    <w:pStyle w:val="41"/>
                    <w:rPr>
                      <w:vertAlign w:val="subscript"/>
                    </w:rPr>
                  </w:pPr>
                  <w:r>
                    <w:rPr>
                      <w:rFonts w:hint="eastAsia"/>
                    </w:rPr>
                    <w:t>二甲苯</w:t>
                  </w:r>
                </w:p>
              </w:tc>
              <w:tc>
                <w:tcPr>
                  <w:tcW w:w="698" w:type="pct"/>
                  <w:tcBorders>
                    <w:top w:val="single" w:color="auto" w:sz="4" w:space="0"/>
                    <w:left w:val="single" w:color="auto" w:sz="4" w:space="0"/>
                    <w:bottom w:val="single" w:color="auto" w:sz="4" w:space="0"/>
                    <w:right w:val="single" w:color="auto" w:sz="4" w:space="0"/>
                  </w:tcBorders>
                  <w:vAlign w:val="center"/>
                </w:tcPr>
                <w:p>
                  <w:pPr>
                    <w:pStyle w:val="41"/>
                  </w:pPr>
                  <w:r>
                    <w:t>0.064t/a</w:t>
                  </w:r>
                </w:p>
              </w:tc>
              <w:tc>
                <w:tcPr>
                  <w:tcW w:w="1423"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08" w:type="pct"/>
                  <w:tcBorders>
                    <w:top w:val="single" w:color="auto" w:sz="4" w:space="0"/>
                    <w:left w:val="single" w:color="auto" w:sz="4" w:space="0"/>
                    <w:bottom w:val="single" w:color="auto" w:sz="4" w:space="0"/>
                    <w:right w:val="single" w:color="auto" w:sz="4" w:space="0"/>
                  </w:tcBorders>
                  <w:vAlign w:val="center"/>
                </w:tcPr>
                <w:p>
                  <w:pPr>
                    <w:pStyle w:val="41"/>
                  </w:pPr>
                  <w:r>
                    <w:t>0.064t/a</w:t>
                  </w:r>
                </w:p>
              </w:tc>
              <w:tc>
                <w:tcPr>
                  <w:tcW w:w="1436"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废水量</w:t>
                  </w:r>
                </w:p>
              </w:tc>
              <w:tc>
                <w:tcPr>
                  <w:tcW w:w="698" w:type="pct"/>
                  <w:tcBorders>
                    <w:top w:val="single" w:color="auto" w:sz="4" w:space="0"/>
                    <w:left w:val="single" w:color="auto" w:sz="4" w:space="0"/>
                    <w:bottom w:val="single" w:color="auto" w:sz="4" w:space="0"/>
                    <w:right w:val="single" w:color="auto" w:sz="4" w:space="0"/>
                  </w:tcBorders>
                  <w:vAlign w:val="center"/>
                </w:tcPr>
                <w:p>
                  <w:pPr>
                    <w:pStyle w:val="41"/>
                  </w:pPr>
                  <w:r>
                    <w:t>74.4m³/a</w:t>
                  </w:r>
                </w:p>
              </w:tc>
              <w:tc>
                <w:tcPr>
                  <w:tcW w:w="1423"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废水经化粪池预处理后，委托周边农户定期掏运，用于周边农田施肥，不外排</w:t>
                  </w:r>
                </w:p>
              </w:tc>
              <w:tc>
                <w:tcPr>
                  <w:tcW w:w="608" w:type="pct"/>
                  <w:tcBorders>
                    <w:top w:val="single" w:color="auto" w:sz="4" w:space="0"/>
                    <w:left w:val="single" w:color="auto" w:sz="4" w:space="0"/>
                    <w:bottom w:val="single" w:color="auto" w:sz="4" w:space="0"/>
                    <w:right w:val="single" w:color="auto" w:sz="4" w:space="0"/>
                  </w:tcBorders>
                  <w:vAlign w:val="center"/>
                </w:tcPr>
                <w:p>
                  <w:pPr>
                    <w:pStyle w:val="41"/>
                  </w:pPr>
                  <w:r>
                    <w:t>74.4m³/a</w:t>
                  </w:r>
                </w:p>
              </w:tc>
              <w:tc>
                <w:tcPr>
                  <w:tcW w:w="1436"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废水经化粪池预处理后，委托周边农户定期掏运，用于周边农田施肥，不外排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5" w:type="pct"/>
                  <w:tcBorders>
                    <w:top w:val="single" w:color="auto" w:sz="4" w:space="0"/>
                    <w:left w:val="single" w:color="auto" w:sz="4" w:space="0"/>
                    <w:bottom w:val="single" w:color="auto" w:sz="4" w:space="0"/>
                    <w:right w:val="single" w:color="auto" w:sz="4" w:space="0"/>
                  </w:tcBorders>
                  <w:vAlign w:val="center"/>
                </w:tcPr>
                <w:p>
                  <w:pPr>
                    <w:pStyle w:val="41"/>
                  </w:pPr>
                  <w:r>
                    <w:t>COD</w:t>
                  </w:r>
                </w:p>
              </w:tc>
              <w:tc>
                <w:tcPr>
                  <w:tcW w:w="698" w:type="pct"/>
                  <w:tcBorders>
                    <w:top w:val="single" w:color="auto" w:sz="4" w:space="0"/>
                    <w:left w:val="single" w:color="auto" w:sz="4" w:space="0"/>
                    <w:bottom w:val="single" w:color="auto" w:sz="4" w:space="0"/>
                    <w:right w:val="single" w:color="auto" w:sz="4" w:space="0"/>
                  </w:tcBorders>
                  <w:vAlign w:val="center"/>
                </w:tcPr>
                <w:p>
                  <w:pPr>
                    <w:pStyle w:val="41"/>
                  </w:pPr>
                  <w:r>
                    <w:t>0.033t/a</w:t>
                  </w:r>
                </w:p>
              </w:tc>
              <w:tc>
                <w:tcPr>
                  <w:tcW w:w="1423"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08" w:type="pct"/>
                  <w:tcBorders>
                    <w:top w:val="single" w:color="auto" w:sz="4" w:space="0"/>
                    <w:left w:val="single" w:color="auto" w:sz="4" w:space="0"/>
                    <w:bottom w:val="single" w:color="auto" w:sz="4" w:space="0"/>
                    <w:right w:val="single" w:color="auto" w:sz="4" w:space="0"/>
                  </w:tcBorders>
                  <w:vAlign w:val="center"/>
                </w:tcPr>
                <w:p>
                  <w:pPr>
                    <w:pStyle w:val="41"/>
                  </w:pPr>
                  <w:r>
                    <w:t>0.033t/a</w:t>
                  </w:r>
                </w:p>
              </w:tc>
              <w:tc>
                <w:tcPr>
                  <w:tcW w:w="1436"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5" w:type="pct"/>
                  <w:tcBorders>
                    <w:top w:val="single" w:color="auto" w:sz="4" w:space="0"/>
                    <w:left w:val="single" w:color="auto" w:sz="4" w:space="0"/>
                    <w:bottom w:val="single" w:color="auto" w:sz="4" w:space="0"/>
                    <w:right w:val="single" w:color="auto" w:sz="4" w:space="0"/>
                  </w:tcBorders>
                  <w:vAlign w:val="center"/>
                </w:tcPr>
                <w:p>
                  <w:pPr>
                    <w:pStyle w:val="41"/>
                    <w:rPr>
                      <w:vertAlign w:val="subscript"/>
                    </w:rPr>
                  </w:pPr>
                  <w:r>
                    <w:t>BOD</w:t>
                  </w:r>
                  <w:r>
                    <w:rPr>
                      <w:vertAlign w:val="subscript"/>
                    </w:rPr>
                    <w:t>5</w:t>
                  </w:r>
                </w:p>
              </w:tc>
              <w:tc>
                <w:tcPr>
                  <w:tcW w:w="698" w:type="pct"/>
                  <w:tcBorders>
                    <w:top w:val="single" w:color="auto" w:sz="4" w:space="0"/>
                    <w:left w:val="single" w:color="auto" w:sz="4" w:space="0"/>
                    <w:bottom w:val="single" w:color="auto" w:sz="4" w:space="0"/>
                    <w:right w:val="single" w:color="auto" w:sz="4" w:space="0"/>
                  </w:tcBorders>
                  <w:vAlign w:val="center"/>
                </w:tcPr>
                <w:p>
                  <w:pPr>
                    <w:pStyle w:val="41"/>
                  </w:pPr>
                  <w:r>
                    <w:t>0.022t/a</w:t>
                  </w:r>
                </w:p>
              </w:tc>
              <w:tc>
                <w:tcPr>
                  <w:tcW w:w="1423"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08" w:type="pct"/>
                  <w:tcBorders>
                    <w:top w:val="single" w:color="auto" w:sz="4" w:space="0"/>
                    <w:left w:val="single" w:color="auto" w:sz="4" w:space="0"/>
                    <w:bottom w:val="single" w:color="auto" w:sz="4" w:space="0"/>
                    <w:right w:val="single" w:color="auto" w:sz="4" w:space="0"/>
                  </w:tcBorders>
                  <w:vAlign w:val="center"/>
                </w:tcPr>
                <w:p>
                  <w:pPr>
                    <w:pStyle w:val="41"/>
                  </w:pPr>
                  <w:r>
                    <w:t>0.022t/a</w:t>
                  </w:r>
                </w:p>
              </w:tc>
              <w:tc>
                <w:tcPr>
                  <w:tcW w:w="1436"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5" w:type="pct"/>
                  <w:tcBorders>
                    <w:top w:val="single" w:color="auto" w:sz="4" w:space="0"/>
                    <w:left w:val="single" w:color="auto" w:sz="4" w:space="0"/>
                    <w:bottom w:val="single" w:color="auto" w:sz="4" w:space="0"/>
                    <w:right w:val="single" w:color="auto" w:sz="4" w:space="0"/>
                  </w:tcBorders>
                  <w:vAlign w:val="center"/>
                </w:tcPr>
                <w:p>
                  <w:pPr>
                    <w:pStyle w:val="41"/>
                  </w:pPr>
                  <w:r>
                    <w:t>NH</w:t>
                  </w:r>
                  <w:r>
                    <w:rPr>
                      <w:vertAlign w:val="subscript"/>
                    </w:rPr>
                    <w:t>3</w:t>
                  </w:r>
                  <w:r>
                    <w:t>-N</w:t>
                  </w:r>
                </w:p>
              </w:tc>
              <w:tc>
                <w:tcPr>
                  <w:tcW w:w="698" w:type="pct"/>
                  <w:tcBorders>
                    <w:top w:val="single" w:color="auto" w:sz="4" w:space="0"/>
                    <w:left w:val="single" w:color="auto" w:sz="4" w:space="0"/>
                    <w:bottom w:val="single" w:color="auto" w:sz="4" w:space="0"/>
                    <w:right w:val="single" w:color="auto" w:sz="4" w:space="0"/>
                  </w:tcBorders>
                  <w:vAlign w:val="center"/>
                </w:tcPr>
                <w:p>
                  <w:pPr>
                    <w:pStyle w:val="41"/>
                  </w:pPr>
                  <w:r>
                    <w:t>0.003t/a</w:t>
                  </w:r>
                </w:p>
              </w:tc>
              <w:tc>
                <w:tcPr>
                  <w:tcW w:w="1423"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08" w:type="pct"/>
                  <w:tcBorders>
                    <w:top w:val="single" w:color="auto" w:sz="4" w:space="0"/>
                    <w:left w:val="single" w:color="auto" w:sz="4" w:space="0"/>
                    <w:bottom w:val="single" w:color="auto" w:sz="4" w:space="0"/>
                    <w:right w:val="single" w:color="auto" w:sz="4" w:space="0"/>
                  </w:tcBorders>
                  <w:vAlign w:val="center"/>
                </w:tcPr>
                <w:p>
                  <w:pPr>
                    <w:pStyle w:val="41"/>
                  </w:pPr>
                  <w:r>
                    <w:t>0.003t/a</w:t>
                  </w:r>
                </w:p>
              </w:tc>
              <w:tc>
                <w:tcPr>
                  <w:tcW w:w="1436"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35" w:type="pct"/>
                  <w:tcBorders>
                    <w:top w:val="single" w:color="auto" w:sz="4" w:space="0"/>
                    <w:left w:val="single" w:color="auto" w:sz="4" w:space="0"/>
                    <w:bottom w:val="single" w:color="auto" w:sz="4" w:space="0"/>
                    <w:right w:val="single" w:color="auto" w:sz="4" w:space="0"/>
                  </w:tcBorders>
                  <w:vAlign w:val="center"/>
                </w:tcPr>
                <w:p>
                  <w:pPr>
                    <w:pStyle w:val="41"/>
                  </w:pPr>
                  <w:r>
                    <w:t>SS</w:t>
                  </w:r>
                </w:p>
              </w:tc>
              <w:tc>
                <w:tcPr>
                  <w:tcW w:w="698" w:type="pct"/>
                  <w:tcBorders>
                    <w:top w:val="single" w:color="auto" w:sz="4" w:space="0"/>
                    <w:left w:val="single" w:color="auto" w:sz="4" w:space="0"/>
                    <w:bottom w:val="single" w:color="auto" w:sz="4" w:space="0"/>
                    <w:right w:val="single" w:color="auto" w:sz="4" w:space="0"/>
                  </w:tcBorders>
                  <w:vAlign w:val="center"/>
                </w:tcPr>
                <w:p>
                  <w:pPr>
                    <w:pStyle w:val="41"/>
                  </w:pPr>
                  <w:r>
                    <w:t>0.015t/a</w:t>
                  </w:r>
                </w:p>
              </w:tc>
              <w:tc>
                <w:tcPr>
                  <w:tcW w:w="1423"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08" w:type="pct"/>
                  <w:tcBorders>
                    <w:top w:val="single" w:color="auto" w:sz="4" w:space="0"/>
                    <w:left w:val="single" w:color="auto" w:sz="4" w:space="0"/>
                    <w:bottom w:val="single" w:color="auto" w:sz="4" w:space="0"/>
                    <w:right w:val="single" w:color="auto" w:sz="4" w:space="0"/>
                  </w:tcBorders>
                  <w:vAlign w:val="center"/>
                </w:tcPr>
                <w:p>
                  <w:pPr>
                    <w:pStyle w:val="41"/>
                  </w:pPr>
                  <w:r>
                    <w:t>0.015t/a</w:t>
                  </w:r>
                </w:p>
              </w:tc>
              <w:tc>
                <w:tcPr>
                  <w:tcW w:w="1436"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边角料、木屑</w:t>
                  </w:r>
                </w:p>
              </w:tc>
              <w:tc>
                <w:tcPr>
                  <w:tcW w:w="698" w:type="pct"/>
                  <w:tcBorders>
                    <w:top w:val="single" w:color="auto" w:sz="4" w:space="0"/>
                    <w:left w:val="single" w:color="auto" w:sz="4" w:space="0"/>
                    <w:bottom w:val="single" w:color="auto" w:sz="4" w:space="0"/>
                    <w:right w:val="single" w:color="auto" w:sz="4" w:space="0"/>
                  </w:tcBorders>
                  <w:vAlign w:val="center"/>
                </w:tcPr>
                <w:p>
                  <w:pPr>
                    <w:pStyle w:val="41"/>
                  </w:pPr>
                  <w:r>
                    <w:t>0.5t/a</w:t>
                  </w:r>
                </w:p>
              </w:tc>
              <w:tc>
                <w:tcPr>
                  <w:tcW w:w="1423"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外卖周边村民作燃料</w:t>
                  </w:r>
                </w:p>
              </w:tc>
              <w:tc>
                <w:tcPr>
                  <w:tcW w:w="608" w:type="pct"/>
                  <w:tcBorders>
                    <w:top w:val="single" w:color="auto" w:sz="4" w:space="0"/>
                    <w:left w:val="single" w:color="auto" w:sz="4" w:space="0"/>
                    <w:bottom w:val="single" w:color="auto" w:sz="4" w:space="0"/>
                    <w:right w:val="single" w:color="auto" w:sz="4" w:space="0"/>
                  </w:tcBorders>
                  <w:vAlign w:val="center"/>
                </w:tcPr>
                <w:p>
                  <w:pPr>
                    <w:pStyle w:val="41"/>
                  </w:pPr>
                  <w:r>
                    <w:t>0.5t/a</w:t>
                  </w:r>
                </w:p>
              </w:tc>
              <w:tc>
                <w:tcPr>
                  <w:tcW w:w="1436"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外卖周边村民作燃料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生活垃圾</w:t>
                  </w:r>
                </w:p>
              </w:tc>
              <w:tc>
                <w:tcPr>
                  <w:tcW w:w="698" w:type="pct"/>
                  <w:tcBorders>
                    <w:top w:val="single" w:color="auto" w:sz="4" w:space="0"/>
                    <w:left w:val="single" w:color="auto" w:sz="4" w:space="0"/>
                    <w:bottom w:val="single" w:color="auto" w:sz="4" w:space="0"/>
                    <w:right w:val="single" w:color="auto" w:sz="4" w:space="0"/>
                  </w:tcBorders>
                  <w:vAlign w:val="center"/>
                </w:tcPr>
                <w:p>
                  <w:pPr>
                    <w:pStyle w:val="41"/>
                  </w:pPr>
                  <w:r>
                    <w:t>6.72t/a</w:t>
                  </w:r>
                </w:p>
              </w:tc>
              <w:tc>
                <w:tcPr>
                  <w:tcW w:w="1423" w:type="pct"/>
                  <w:tcBorders>
                    <w:top w:val="single" w:color="auto" w:sz="4" w:space="0"/>
                    <w:left w:val="single" w:color="auto" w:sz="4" w:space="0"/>
                    <w:bottom w:val="single" w:color="auto" w:sz="4" w:space="0"/>
                    <w:right w:val="single" w:color="auto" w:sz="4" w:space="0"/>
                  </w:tcBorders>
                  <w:vAlign w:val="center"/>
                </w:tcPr>
                <w:p>
                  <w:pPr>
                    <w:pStyle w:val="41"/>
                    <w:rPr>
                      <w:kern w:val="0"/>
                    </w:rPr>
                  </w:pPr>
                  <w:r>
                    <w:rPr>
                      <w:rFonts w:hint="eastAsia"/>
                      <w:kern w:val="0"/>
                    </w:rPr>
                    <w:t>用垃圾桶收集后</w:t>
                  </w:r>
                  <w:r>
                    <w:rPr>
                      <w:rFonts w:hint="eastAsia"/>
                    </w:rPr>
                    <w:t>运输至就近垃圾收集点，</w:t>
                  </w:r>
                  <w:r>
                    <w:rPr>
                      <w:rFonts w:hint="eastAsia"/>
                      <w:kern w:val="0"/>
                    </w:rPr>
                    <w:t>由环卫部门定期清运</w:t>
                  </w:r>
                </w:p>
              </w:tc>
              <w:tc>
                <w:tcPr>
                  <w:tcW w:w="608" w:type="pct"/>
                  <w:tcBorders>
                    <w:top w:val="single" w:color="auto" w:sz="4" w:space="0"/>
                    <w:left w:val="single" w:color="auto" w:sz="4" w:space="0"/>
                    <w:bottom w:val="single" w:color="auto" w:sz="4" w:space="0"/>
                    <w:right w:val="single" w:color="auto" w:sz="4" w:space="0"/>
                  </w:tcBorders>
                  <w:vAlign w:val="center"/>
                </w:tcPr>
                <w:p>
                  <w:pPr>
                    <w:pStyle w:val="41"/>
                  </w:pPr>
                  <w:r>
                    <w:t>6.72t/a</w:t>
                  </w:r>
                </w:p>
              </w:tc>
              <w:tc>
                <w:tcPr>
                  <w:tcW w:w="1436" w:type="pct"/>
                  <w:tcBorders>
                    <w:top w:val="single" w:color="auto" w:sz="4" w:space="0"/>
                    <w:left w:val="single" w:color="auto" w:sz="4" w:space="0"/>
                    <w:bottom w:val="single" w:color="auto" w:sz="4" w:space="0"/>
                    <w:right w:val="single" w:color="auto" w:sz="4" w:space="0"/>
                  </w:tcBorders>
                  <w:vAlign w:val="center"/>
                </w:tcPr>
                <w:p>
                  <w:pPr>
                    <w:pStyle w:val="41"/>
                    <w:rPr>
                      <w:kern w:val="0"/>
                    </w:rPr>
                  </w:pPr>
                  <w:r>
                    <w:rPr>
                      <w:rFonts w:hint="eastAsia"/>
                      <w:kern w:val="0"/>
                    </w:rPr>
                    <w:t>用垃圾桶收集后</w:t>
                  </w:r>
                  <w:r>
                    <w:rPr>
                      <w:rFonts w:hint="eastAsia"/>
                    </w:rPr>
                    <w:t>运输至就近垃圾收集点，</w:t>
                  </w:r>
                  <w:r>
                    <w:rPr>
                      <w:rFonts w:hint="eastAsia"/>
                      <w:kern w:val="0"/>
                    </w:rPr>
                    <w:t>由环卫部门定期清运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废弃油漆桶</w:t>
                  </w:r>
                </w:p>
              </w:tc>
              <w:tc>
                <w:tcPr>
                  <w:tcW w:w="698" w:type="pct"/>
                  <w:tcBorders>
                    <w:top w:val="single" w:color="auto" w:sz="4" w:space="0"/>
                    <w:left w:val="single" w:color="auto" w:sz="4" w:space="0"/>
                    <w:bottom w:val="single" w:color="auto" w:sz="4" w:space="0"/>
                    <w:right w:val="single" w:color="auto" w:sz="4" w:space="0"/>
                  </w:tcBorders>
                  <w:vAlign w:val="center"/>
                </w:tcPr>
                <w:p>
                  <w:pPr>
                    <w:pStyle w:val="41"/>
                  </w:pPr>
                  <w:r>
                    <w:t>80</w:t>
                  </w:r>
                  <w:r>
                    <w:rPr>
                      <w:rFonts w:hint="eastAsia"/>
                    </w:rPr>
                    <w:t>个</w:t>
                  </w:r>
                  <w:r>
                    <w:t>/a</w:t>
                  </w:r>
                </w:p>
              </w:tc>
              <w:tc>
                <w:tcPr>
                  <w:tcW w:w="1423"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交给具有危险废物处置资质的单位回收处理</w:t>
                  </w:r>
                </w:p>
              </w:tc>
              <w:tc>
                <w:tcPr>
                  <w:tcW w:w="608" w:type="pct"/>
                  <w:tcBorders>
                    <w:top w:val="single" w:color="auto" w:sz="4" w:space="0"/>
                    <w:left w:val="single" w:color="auto" w:sz="4" w:space="0"/>
                    <w:bottom w:val="single" w:color="auto" w:sz="4" w:space="0"/>
                    <w:right w:val="single" w:color="auto" w:sz="4" w:space="0"/>
                  </w:tcBorders>
                  <w:vAlign w:val="center"/>
                </w:tcPr>
                <w:p>
                  <w:pPr>
                    <w:pStyle w:val="41"/>
                  </w:pPr>
                  <w:r>
                    <w:t>80</w:t>
                  </w:r>
                  <w:r>
                    <w:rPr>
                      <w:rFonts w:hint="eastAsia"/>
                    </w:rPr>
                    <w:t>个</w:t>
                  </w:r>
                  <w:r>
                    <w:t>/a</w:t>
                  </w:r>
                </w:p>
              </w:tc>
              <w:tc>
                <w:tcPr>
                  <w:tcW w:w="1436"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交给具有危险废物处置资质的单位回收处理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废弃稀释剂桶</w:t>
                  </w:r>
                </w:p>
              </w:tc>
              <w:tc>
                <w:tcPr>
                  <w:tcW w:w="698" w:type="pct"/>
                  <w:tcBorders>
                    <w:top w:val="single" w:color="auto" w:sz="4" w:space="0"/>
                    <w:left w:val="single" w:color="auto" w:sz="4" w:space="0"/>
                    <w:bottom w:val="single" w:color="auto" w:sz="4" w:space="0"/>
                    <w:right w:val="single" w:color="auto" w:sz="4" w:space="0"/>
                  </w:tcBorders>
                  <w:vAlign w:val="center"/>
                </w:tcPr>
                <w:p>
                  <w:pPr>
                    <w:pStyle w:val="41"/>
                  </w:pPr>
                  <w:r>
                    <w:t>6</w:t>
                  </w:r>
                  <w:r>
                    <w:rPr>
                      <w:rFonts w:hint="eastAsia"/>
                    </w:rPr>
                    <w:t>个</w:t>
                  </w:r>
                  <w:r>
                    <w:t>/a</w:t>
                  </w:r>
                </w:p>
              </w:tc>
              <w:tc>
                <w:tcPr>
                  <w:tcW w:w="1423"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08" w:type="pct"/>
                  <w:tcBorders>
                    <w:top w:val="single" w:color="auto" w:sz="4" w:space="0"/>
                    <w:left w:val="single" w:color="auto" w:sz="4" w:space="0"/>
                    <w:bottom w:val="single" w:color="auto" w:sz="4" w:space="0"/>
                    <w:right w:val="single" w:color="auto" w:sz="4" w:space="0"/>
                  </w:tcBorders>
                  <w:vAlign w:val="center"/>
                </w:tcPr>
                <w:p>
                  <w:pPr>
                    <w:pStyle w:val="41"/>
                  </w:pPr>
                  <w:r>
                    <w:t>6</w:t>
                  </w:r>
                  <w:r>
                    <w:rPr>
                      <w:rFonts w:hint="eastAsia"/>
                    </w:rPr>
                    <w:t>个</w:t>
                  </w:r>
                  <w:r>
                    <w:t>/a</w:t>
                  </w:r>
                </w:p>
              </w:tc>
              <w:tc>
                <w:tcPr>
                  <w:tcW w:w="1436"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废弃的油漆刷子及粘有油漆的抹布</w:t>
                  </w:r>
                </w:p>
              </w:tc>
              <w:tc>
                <w:tcPr>
                  <w:tcW w:w="698" w:type="pct"/>
                  <w:tcBorders>
                    <w:top w:val="single" w:color="auto" w:sz="4" w:space="0"/>
                    <w:left w:val="single" w:color="auto" w:sz="4" w:space="0"/>
                    <w:bottom w:val="single" w:color="auto" w:sz="4" w:space="0"/>
                    <w:right w:val="single" w:color="auto" w:sz="4" w:space="0"/>
                  </w:tcBorders>
                  <w:vAlign w:val="center"/>
                </w:tcPr>
                <w:p>
                  <w:pPr>
                    <w:pStyle w:val="41"/>
                  </w:pPr>
                  <w:r>
                    <w:t>0.1 t/a</w:t>
                  </w:r>
                </w:p>
              </w:tc>
              <w:tc>
                <w:tcPr>
                  <w:tcW w:w="1423"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08" w:type="pct"/>
                  <w:tcBorders>
                    <w:top w:val="single" w:color="auto" w:sz="4" w:space="0"/>
                    <w:left w:val="single" w:color="auto" w:sz="4" w:space="0"/>
                    <w:bottom w:val="single" w:color="auto" w:sz="4" w:space="0"/>
                    <w:right w:val="single" w:color="auto" w:sz="4" w:space="0"/>
                  </w:tcBorders>
                  <w:vAlign w:val="center"/>
                </w:tcPr>
                <w:p>
                  <w:pPr>
                    <w:pStyle w:val="41"/>
                  </w:pPr>
                  <w:r>
                    <w:t>0.1 t/a</w:t>
                  </w:r>
                </w:p>
              </w:tc>
              <w:tc>
                <w:tcPr>
                  <w:tcW w:w="1436"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bl>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tc>
      </w:tr>
    </w:tbl>
    <w:p>
      <w:pPr>
        <w:pStyle w:val="2"/>
      </w:pPr>
      <w:r>
        <w:rPr>
          <w:rFonts w:hint="eastAsia"/>
        </w:rPr>
        <w:t>表六、项目主要污染物产生及预计排放情况</w:t>
      </w:r>
      <w:r>
        <w:t xml:space="preserve"> </w:t>
      </w:r>
    </w:p>
    <w:tbl>
      <w:tblPr>
        <w:tblStyle w:val="2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2"/>
        <w:gridCol w:w="709"/>
        <w:gridCol w:w="992"/>
        <w:gridCol w:w="1417"/>
        <w:gridCol w:w="993"/>
        <w:gridCol w:w="992"/>
        <w:gridCol w:w="992"/>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7" w:hRule="atLeast"/>
          <w:jc w:val="center"/>
        </w:trPr>
        <w:tc>
          <w:tcPr>
            <w:tcW w:w="852" w:type="dxa"/>
            <w:tcBorders>
              <w:tl2br w:val="single" w:color="auto" w:sz="4" w:space="0"/>
            </w:tcBorders>
            <w:vAlign w:val="center"/>
          </w:tcPr>
          <w:p>
            <w:pPr>
              <w:pStyle w:val="41"/>
              <w:rPr>
                <w:szCs w:val="21"/>
              </w:rPr>
            </w:pPr>
            <w:r>
              <w:rPr>
                <w:szCs w:val="21"/>
              </w:rPr>
              <w:t xml:space="preserve">   </w:t>
            </w:r>
            <w:r>
              <w:rPr>
                <w:rFonts w:hint="eastAsia"/>
                <w:szCs w:val="21"/>
              </w:rPr>
              <w:t>内容</w:t>
            </w:r>
          </w:p>
          <w:p>
            <w:pPr>
              <w:pStyle w:val="41"/>
              <w:jc w:val="both"/>
              <w:rPr>
                <w:szCs w:val="21"/>
              </w:rPr>
            </w:pPr>
            <w:r>
              <w:rPr>
                <w:rFonts w:hint="eastAsia"/>
                <w:szCs w:val="21"/>
              </w:rPr>
              <w:t>类型</w:t>
            </w:r>
          </w:p>
        </w:tc>
        <w:tc>
          <w:tcPr>
            <w:tcW w:w="1701" w:type="dxa"/>
            <w:gridSpan w:val="2"/>
            <w:vAlign w:val="center"/>
          </w:tcPr>
          <w:p>
            <w:pPr>
              <w:pStyle w:val="41"/>
              <w:rPr>
                <w:szCs w:val="21"/>
              </w:rPr>
            </w:pPr>
            <w:r>
              <w:rPr>
                <w:rFonts w:hint="eastAsia"/>
                <w:szCs w:val="21"/>
              </w:rPr>
              <w:t>排放源</w:t>
            </w:r>
          </w:p>
        </w:tc>
        <w:tc>
          <w:tcPr>
            <w:tcW w:w="1417" w:type="dxa"/>
            <w:vAlign w:val="center"/>
          </w:tcPr>
          <w:p>
            <w:pPr>
              <w:pStyle w:val="41"/>
              <w:rPr>
                <w:szCs w:val="21"/>
              </w:rPr>
            </w:pPr>
            <w:r>
              <w:rPr>
                <w:rFonts w:hint="eastAsia"/>
                <w:szCs w:val="21"/>
              </w:rPr>
              <w:t>污染物</w:t>
            </w:r>
          </w:p>
        </w:tc>
        <w:tc>
          <w:tcPr>
            <w:tcW w:w="1985" w:type="dxa"/>
            <w:gridSpan w:val="2"/>
            <w:vAlign w:val="center"/>
          </w:tcPr>
          <w:p>
            <w:pPr>
              <w:pStyle w:val="41"/>
              <w:rPr>
                <w:szCs w:val="21"/>
              </w:rPr>
            </w:pPr>
            <w:r>
              <w:rPr>
                <w:rFonts w:hint="eastAsia"/>
                <w:szCs w:val="21"/>
              </w:rPr>
              <w:t>处理前浓度及产生量</w:t>
            </w:r>
          </w:p>
        </w:tc>
        <w:tc>
          <w:tcPr>
            <w:tcW w:w="992" w:type="dxa"/>
            <w:vAlign w:val="center"/>
          </w:tcPr>
          <w:p>
            <w:pPr>
              <w:pStyle w:val="41"/>
              <w:rPr>
                <w:szCs w:val="21"/>
              </w:rPr>
            </w:pPr>
            <w:r>
              <w:rPr>
                <w:rFonts w:hint="eastAsia"/>
                <w:szCs w:val="21"/>
              </w:rPr>
              <w:t>排放量</w:t>
            </w:r>
          </w:p>
        </w:tc>
        <w:tc>
          <w:tcPr>
            <w:tcW w:w="2409" w:type="dxa"/>
            <w:vAlign w:val="center"/>
          </w:tcPr>
          <w:p>
            <w:pPr>
              <w:pStyle w:val="41"/>
              <w:rPr>
                <w:szCs w:val="21"/>
              </w:rPr>
            </w:pPr>
            <w:r>
              <w:rPr>
                <w:rFonts w:hint="eastAsia"/>
                <w:szCs w:val="21"/>
              </w:rPr>
              <w:t>处理效果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9" w:hRule="atLeast"/>
          <w:jc w:val="center"/>
        </w:trPr>
        <w:tc>
          <w:tcPr>
            <w:tcW w:w="852" w:type="dxa"/>
            <w:vMerge w:val="restart"/>
            <w:vAlign w:val="center"/>
          </w:tcPr>
          <w:p>
            <w:pPr>
              <w:pStyle w:val="41"/>
              <w:rPr>
                <w:szCs w:val="21"/>
              </w:rPr>
            </w:pPr>
            <w:r>
              <w:rPr>
                <w:rFonts w:hint="eastAsia"/>
                <w:szCs w:val="21"/>
              </w:rPr>
              <w:t>大</w:t>
            </w:r>
            <w:r>
              <w:rPr>
                <w:szCs w:val="21"/>
              </w:rPr>
              <w:t xml:space="preserve">    </w:t>
            </w:r>
            <w:r>
              <w:rPr>
                <w:rFonts w:hint="eastAsia"/>
                <w:szCs w:val="21"/>
              </w:rPr>
              <w:t>气</w:t>
            </w:r>
            <w:r>
              <w:rPr>
                <w:szCs w:val="21"/>
              </w:rPr>
              <w:t xml:space="preserve">    </w:t>
            </w:r>
            <w:r>
              <w:rPr>
                <w:rFonts w:hint="eastAsia"/>
                <w:szCs w:val="21"/>
              </w:rPr>
              <w:t>污</w:t>
            </w:r>
            <w:r>
              <w:rPr>
                <w:szCs w:val="21"/>
              </w:rPr>
              <w:t xml:space="preserve">    </w:t>
            </w:r>
            <w:r>
              <w:rPr>
                <w:rFonts w:hint="eastAsia"/>
                <w:szCs w:val="21"/>
              </w:rPr>
              <w:t>染</w:t>
            </w:r>
            <w:r>
              <w:rPr>
                <w:szCs w:val="21"/>
              </w:rPr>
              <w:t xml:space="preserve">    </w:t>
            </w:r>
            <w:r>
              <w:rPr>
                <w:rFonts w:hint="eastAsia"/>
                <w:szCs w:val="21"/>
              </w:rPr>
              <w:t>物</w:t>
            </w:r>
          </w:p>
        </w:tc>
        <w:tc>
          <w:tcPr>
            <w:tcW w:w="709" w:type="dxa"/>
            <w:vMerge w:val="restart"/>
            <w:vAlign w:val="center"/>
          </w:tcPr>
          <w:p>
            <w:pPr>
              <w:pStyle w:val="41"/>
              <w:rPr>
                <w:szCs w:val="21"/>
              </w:rPr>
            </w:pPr>
            <w:r>
              <w:rPr>
                <w:rFonts w:hint="eastAsia"/>
                <w:szCs w:val="21"/>
              </w:rPr>
              <w:t>施工期</w:t>
            </w:r>
          </w:p>
        </w:tc>
        <w:tc>
          <w:tcPr>
            <w:tcW w:w="992" w:type="dxa"/>
            <w:vAlign w:val="center"/>
          </w:tcPr>
          <w:p>
            <w:pPr>
              <w:pStyle w:val="41"/>
              <w:rPr>
                <w:szCs w:val="21"/>
              </w:rPr>
            </w:pPr>
            <w:r>
              <w:rPr>
                <w:rFonts w:hint="eastAsia"/>
                <w:szCs w:val="21"/>
              </w:rPr>
              <w:t>扬尘</w:t>
            </w:r>
          </w:p>
        </w:tc>
        <w:tc>
          <w:tcPr>
            <w:tcW w:w="1417" w:type="dxa"/>
            <w:vAlign w:val="center"/>
          </w:tcPr>
          <w:p>
            <w:pPr>
              <w:pStyle w:val="41"/>
              <w:rPr>
                <w:szCs w:val="21"/>
              </w:rPr>
            </w:pPr>
            <w:r>
              <w:rPr>
                <w:szCs w:val="21"/>
              </w:rPr>
              <w:t>TSP</w:t>
            </w:r>
          </w:p>
        </w:tc>
        <w:tc>
          <w:tcPr>
            <w:tcW w:w="1985" w:type="dxa"/>
            <w:gridSpan w:val="2"/>
            <w:vAlign w:val="center"/>
          </w:tcPr>
          <w:p>
            <w:pPr>
              <w:pStyle w:val="41"/>
              <w:rPr>
                <w:szCs w:val="21"/>
              </w:rPr>
            </w:pPr>
            <w:r>
              <w:rPr>
                <w:rFonts w:hint="eastAsia"/>
                <w:szCs w:val="21"/>
              </w:rPr>
              <w:t>少量</w:t>
            </w:r>
          </w:p>
        </w:tc>
        <w:tc>
          <w:tcPr>
            <w:tcW w:w="992" w:type="dxa"/>
            <w:vAlign w:val="center"/>
          </w:tcPr>
          <w:p>
            <w:pPr>
              <w:pStyle w:val="41"/>
              <w:rPr>
                <w:szCs w:val="21"/>
              </w:rPr>
            </w:pPr>
            <w:r>
              <w:rPr>
                <w:rFonts w:hint="eastAsia"/>
                <w:szCs w:val="21"/>
              </w:rPr>
              <w:t>少量</w:t>
            </w:r>
          </w:p>
        </w:tc>
        <w:tc>
          <w:tcPr>
            <w:tcW w:w="2409" w:type="dxa"/>
            <w:vAlign w:val="center"/>
          </w:tcPr>
          <w:p>
            <w:pPr>
              <w:pStyle w:val="41"/>
              <w:rPr>
                <w:szCs w:val="21"/>
              </w:rPr>
            </w:pPr>
            <w:r>
              <w:rPr>
                <w:rFonts w:hint="eastAsia"/>
                <w:szCs w:val="21"/>
              </w:rPr>
              <w:t>洒水抑尘，厂界外</w:t>
            </w:r>
            <w:r>
              <w:rPr>
                <w:szCs w:val="21"/>
              </w:rPr>
              <w:t>TSP</w:t>
            </w:r>
            <w:r>
              <w:rPr>
                <w:rFonts w:hint="eastAsia"/>
                <w:szCs w:val="21"/>
              </w:rPr>
              <w:t>浓度降至</w:t>
            </w:r>
            <w:r>
              <w:rPr>
                <w:szCs w:val="21"/>
              </w:rPr>
              <w:t>1.0mg/m³</w:t>
            </w:r>
            <w:r>
              <w:rPr>
                <w:rFonts w:hint="eastAsia"/>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continue"/>
            <w:vAlign w:val="center"/>
          </w:tcPr>
          <w:p>
            <w:pPr>
              <w:pStyle w:val="41"/>
              <w:rPr>
                <w:szCs w:val="21"/>
              </w:rPr>
            </w:pPr>
          </w:p>
        </w:tc>
        <w:tc>
          <w:tcPr>
            <w:tcW w:w="709" w:type="dxa"/>
            <w:vMerge w:val="continue"/>
            <w:vAlign w:val="center"/>
          </w:tcPr>
          <w:p>
            <w:pPr>
              <w:pStyle w:val="41"/>
              <w:rPr>
                <w:szCs w:val="21"/>
              </w:rPr>
            </w:pPr>
          </w:p>
        </w:tc>
        <w:tc>
          <w:tcPr>
            <w:tcW w:w="992" w:type="dxa"/>
            <w:vAlign w:val="center"/>
          </w:tcPr>
          <w:p>
            <w:pPr>
              <w:pStyle w:val="41"/>
              <w:rPr>
                <w:szCs w:val="21"/>
              </w:rPr>
            </w:pPr>
            <w:r>
              <w:rPr>
                <w:rFonts w:hint="eastAsia"/>
                <w:szCs w:val="21"/>
              </w:rPr>
              <w:t>焊接烟尘</w:t>
            </w:r>
          </w:p>
        </w:tc>
        <w:tc>
          <w:tcPr>
            <w:tcW w:w="1417" w:type="dxa"/>
            <w:vAlign w:val="center"/>
          </w:tcPr>
          <w:p>
            <w:pPr>
              <w:pStyle w:val="41"/>
              <w:rPr>
                <w:szCs w:val="21"/>
              </w:rPr>
            </w:pPr>
            <w:r>
              <w:rPr>
                <w:rFonts w:hint="eastAsia"/>
                <w:szCs w:val="21"/>
              </w:rPr>
              <w:t>烟尘</w:t>
            </w:r>
          </w:p>
        </w:tc>
        <w:tc>
          <w:tcPr>
            <w:tcW w:w="1985" w:type="dxa"/>
            <w:gridSpan w:val="2"/>
            <w:vAlign w:val="center"/>
          </w:tcPr>
          <w:p>
            <w:pPr>
              <w:pStyle w:val="41"/>
              <w:rPr>
                <w:szCs w:val="21"/>
              </w:rPr>
            </w:pPr>
            <w:r>
              <w:rPr>
                <w:szCs w:val="21"/>
              </w:rPr>
              <w:t>0.05kg</w:t>
            </w:r>
          </w:p>
        </w:tc>
        <w:tc>
          <w:tcPr>
            <w:tcW w:w="992" w:type="dxa"/>
            <w:vAlign w:val="center"/>
          </w:tcPr>
          <w:p>
            <w:pPr>
              <w:pStyle w:val="41"/>
              <w:rPr>
                <w:szCs w:val="21"/>
              </w:rPr>
            </w:pPr>
            <w:r>
              <w:rPr>
                <w:szCs w:val="21"/>
              </w:rPr>
              <w:t>0.05kg</w:t>
            </w:r>
          </w:p>
        </w:tc>
        <w:tc>
          <w:tcPr>
            <w:tcW w:w="2409" w:type="dxa"/>
            <w:vAlign w:val="center"/>
          </w:tcPr>
          <w:p>
            <w:pPr>
              <w:pStyle w:val="41"/>
              <w:rPr>
                <w:szCs w:val="21"/>
              </w:rPr>
            </w:pPr>
            <w:r>
              <w:rPr>
                <w:rFonts w:hint="eastAsia"/>
                <w:szCs w:val="21"/>
              </w:rPr>
              <w:t>自然扩散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continue"/>
            <w:vAlign w:val="center"/>
          </w:tcPr>
          <w:p>
            <w:pPr>
              <w:pStyle w:val="41"/>
              <w:rPr>
                <w:szCs w:val="21"/>
              </w:rPr>
            </w:pPr>
          </w:p>
        </w:tc>
        <w:tc>
          <w:tcPr>
            <w:tcW w:w="709" w:type="dxa"/>
            <w:vMerge w:val="restart"/>
            <w:vAlign w:val="center"/>
          </w:tcPr>
          <w:p>
            <w:pPr>
              <w:pStyle w:val="41"/>
              <w:rPr>
                <w:szCs w:val="21"/>
              </w:rPr>
            </w:pPr>
            <w:r>
              <w:rPr>
                <w:rFonts w:hint="eastAsia"/>
                <w:szCs w:val="21"/>
              </w:rPr>
              <w:t>运营期</w:t>
            </w:r>
          </w:p>
        </w:tc>
        <w:tc>
          <w:tcPr>
            <w:tcW w:w="992" w:type="dxa"/>
            <w:vMerge w:val="restart"/>
            <w:vAlign w:val="center"/>
          </w:tcPr>
          <w:p>
            <w:pPr>
              <w:pStyle w:val="41"/>
              <w:rPr>
                <w:szCs w:val="21"/>
              </w:rPr>
            </w:pPr>
            <w:r>
              <w:rPr>
                <w:rFonts w:hint="eastAsia"/>
                <w:szCs w:val="21"/>
              </w:rPr>
              <w:t>生产车间</w:t>
            </w:r>
          </w:p>
        </w:tc>
        <w:tc>
          <w:tcPr>
            <w:tcW w:w="1417" w:type="dxa"/>
            <w:vAlign w:val="center"/>
          </w:tcPr>
          <w:p>
            <w:pPr>
              <w:pStyle w:val="41"/>
              <w:rPr>
                <w:szCs w:val="21"/>
              </w:rPr>
            </w:pPr>
            <w:r>
              <w:rPr>
                <w:rFonts w:hint="eastAsia"/>
                <w:szCs w:val="21"/>
              </w:rPr>
              <w:t>木屑粉尘</w:t>
            </w:r>
          </w:p>
        </w:tc>
        <w:tc>
          <w:tcPr>
            <w:tcW w:w="1985" w:type="dxa"/>
            <w:gridSpan w:val="2"/>
            <w:vAlign w:val="center"/>
          </w:tcPr>
          <w:p>
            <w:pPr>
              <w:pStyle w:val="41"/>
              <w:rPr>
                <w:szCs w:val="21"/>
              </w:rPr>
            </w:pPr>
            <w:r>
              <w:rPr>
                <w:szCs w:val="21"/>
              </w:rPr>
              <w:t>0.1t/a</w:t>
            </w:r>
          </w:p>
        </w:tc>
        <w:tc>
          <w:tcPr>
            <w:tcW w:w="992" w:type="dxa"/>
            <w:vAlign w:val="center"/>
          </w:tcPr>
          <w:p>
            <w:pPr>
              <w:pStyle w:val="41"/>
              <w:rPr>
                <w:szCs w:val="21"/>
              </w:rPr>
            </w:pPr>
            <w:r>
              <w:rPr>
                <w:szCs w:val="21"/>
              </w:rPr>
              <w:t>0.1t/a</w:t>
            </w:r>
          </w:p>
        </w:tc>
        <w:tc>
          <w:tcPr>
            <w:tcW w:w="2409" w:type="dxa"/>
            <w:vAlign w:val="center"/>
          </w:tcPr>
          <w:p>
            <w:pPr>
              <w:pStyle w:val="41"/>
              <w:rPr>
                <w:szCs w:val="21"/>
              </w:rPr>
            </w:pPr>
            <w:r>
              <w:rPr>
                <w:rFonts w:hint="eastAsia"/>
                <w:szCs w:val="21"/>
              </w:rPr>
              <w:t>大气稀释，厂界外浓度降至</w:t>
            </w:r>
            <w:r>
              <w:rPr>
                <w:szCs w:val="21"/>
              </w:rPr>
              <w:t>1.0mg/m³</w:t>
            </w:r>
            <w:r>
              <w:rPr>
                <w:rFonts w:hint="eastAsia"/>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continue"/>
            <w:vAlign w:val="center"/>
          </w:tcPr>
          <w:p>
            <w:pPr>
              <w:pStyle w:val="41"/>
              <w:rPr>
                <w:szCs w:val="21"/>
              </w:rPr>
            </w:pPr>
          </w:p>
        </w:tc>
        <w:tc>
          <w:tcPr>
            <w:tcW w:w="709" w:type="dxa"/>
            <w:vMerge w:val="continue"/>
            <w:vAlign w:val="center"/>
          </w:tcPr>
          <w:p>
            <w:pPr>
              <w:pStyle w:val="41"/>
              <w:rPr>
                <w:szCs w:val="21"/>
              </w:rPr>
            </w:pPr>
          </w:p>
        </w:tc>
        <w:tc>
          <w:tcPr>
            <w:tcW w:w="992" w:type="dxa"/>
            <w:vMerge w:val="continue"/>
            <w:vAlign w:val="center"/>
          </w:tcPr>
          <w:p>
            <w:pPr>
              <w:pStyle w:val="41"/>
              <w:rPr>
                <w:szCs w:val="21"/>
              </w:rPr>
            </w:pPr>
          </w:p>
        </w:tc>
        <w:tc>
          <w:tcPr>
            <w:tcW w:w="1417" w:type="dxa"/>
            <w:vAlign w:val="center"/>
          </w:tcPr>
          <w:p>
            <w:pPr>
              <w:pStyle w:val="41"/>
              <w:rPr>
                <w:szCs w:val="21"/>
              </w:rPr>
            </w:pPr>
            <w:r>
              <w:rPr>
                <w:rFonts w:hint="eastAsia"/>
                <w:szCs w:val="21"/>
              </w:rPr>
              <w:t>甲苯</w:t>
            </w:r>
          </w:p>
        </w:tc>
        <w:tc>
          <w:tcPr>
            <w:tcW w:w="1985" w:type="dxa"/>
            <w:gridSpan w:val="2"/>
            <w:vAlign w:val="center"/>
          </w:tcPr>
          <w:p>
            <w:pPr>
              <w:pStyle w:val="41"/>
              <w:rPr>
                <w:szCs w:val="21"/>
              </w:rPr>
            </w:pPr>
            <w:r>
              <w:rPr>
                <w:szCs w:val="21"/>
              </w:rPr>
              <w:t>0.185t/a</w:t>
            </w:r>
          </w:p>
        </w:tc>
        <w:tc>
          <w:tcPr>
            <w:tcW w:w="992" w:type="dxa"/>
            <w:vAlign w:val="center"/>
          </w:tcPr>
          <w:p>
            <w:pPr>
              <w:pStyle w:val="41"/>
              <w:rPr>
                <w:szCs w:val="21"/>
              </w:rPr>
            </w:pPr>
            <w:r>
              <w:rPr>
                <w:szCs w:val="21"/>
              </w:rPr>
              <w:t>0.074t/a</w:t>
            </w:r>
          </w:p>
        </w:tc>
        <w:tc>
          <w:tcPr>
            <w:tcW w:w="2409" w:type="dxa"/>
            <w:vAlign w:val="center"/>
          </w:tcPr>
          <w:p>
            <w:pPr>
              <w:pStyle w:val="41"/>
              <w:rPr>
                <w:szCs w:val="21"/>
              </w:rPr>
            </w:pPr>
            <w:r>
              <w:rPr>
                <w:rFonts w:hint="eastAsia"/>
                <w:szCs w:val="21"/>
              </w:rPr>
              <w:t>厂界外浓度降至</w:t>
            </w:r>
            <w:r>
              <w:rPr>
                <w:szCs w:val="21"/>
              </w:rPr>
              <w:t>2.4mg/m³</w:t>
            </w:r>
            <w:r>
              <w:rPr>
                <w:rFonts w:hint="eastAsia"/>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continue"/>
            <w:vAlign w:val="center"/>
          </w:tcPr>
          <w:p>
            <w:pPr>
              <w:pStyle w:val="41"/>
              <w:rPr>
                <w:szCs w:val="21"/>
              </w:rPr>
            </w:pPr>
          </w:p>
        </w:tc>
        <w:tc>
          <w:tcPr>
            <w:tcW w:w="709" w:type="dxa"/>
            <w:vMerge w:val="continue"/>
            <w:vAlign w:val="center"/>
          </w:tcPr>
          <w:p>
            <w:pPr>
              <w:pStyle w:val="41"/>
              <w:rPr>
                <w:szCs w:val="21"/>
              </w:rPr>
            </w:pPr>
          </w:p>
        </w:tc>
        <w:tc>
          <w:tcPr>
            <w:tcW w:w="992" w:type="dxa"/>
            <w:vMerge w:val="continue"/>
            <w:vAlign w:val="center"/>
          </w:tcPr>
          <w:p>
            <w:pPr>
              <w:pStyle w:val="41"/>
              <w:rPr>
                <w:szCs w:val="21"/>
              </w:rPr>
            </w:pPr>
          </w:p>
        </w:tc>
        <w:tc>
          <w:tcPr>
            <w:tcW w:w="1417" w:type="dxa"/>
            <w:vAlign w:val="center"/>
          </w:tcPr>
          <w:p>
            <w:pPr>
              <w:pStyle w:val="41"/>
              <w:rPr>
                <w:szCs w:val="21"/>
              </w:rPr>
            </w:pPr>
            <w:r>
              <w:rPr>
                <w:rFonts w:hint="eastAsia"/>
                <w:szCs w:val="21"/>
              </w:rPr>
              <w:t>二甲苯</w:t>
            </w:r>
          </w:p>
        </w:tc>
        <w:tc>
          <w:tcPr>
            <w:tcW w:w="1985" w:type="dxa"/>
            <w:gridSpan w:val="2"/>
            <w:vAlign w:val="center"/>
          </w:tcPr>
          <w:p>
            <w:pPr>
              <w:pStyle w:val="41"/>
              <w:rPr>
                <w:szCs w:val="21"/>
              </w:rPr>
            </w:pPr>
            <w:r>
              <w:rPr>
                <w:szCs w:val="21"/>
              </w:rPr>
              <w:t>0.168t/a</w:t>
            </w:r>
          </w:p>
        </w:tc>
        <w:tc>
          <w:tcPr>
            <w:tcW w:w="992" w:type="dxa"/>
            <w:vAlign w:val="center"/>
          </w:tcPr>
          <w:p>
            <w:pPr>
              <w:pStyle w:val="41"/>
              <w:rPr>
                <w:szCs w:val="21"/>
              </w:rPr>
            </w:pPr>
            <w:r>
              <w:rPr>
                <w:szCs w:val="21"/>
              </w:rPr>
              <w:t>0.067t/a</w:t>
            </w:r>
          </w:p>
        </w:tc>
        <w:tc>
          <w:tcPr>
            <w:tcW w:w="2409" w:type="dxa"/>
            <w:vAlign w:val="center"/>
          </w:tcPr>
          <w:p>
            <w:pPr>
              <w:pStyle w:val="41"/>
              <w:rPr>
                <w:szCs w:val="21"/>
              </w:rPr>
            </w:pPr>
            <w:r>
              <w:rPr>
                <w:rFonts w:hint="eastAsia"/>
                <w:szCs w:val="21"/>
              </w:rPr>
              <w:t>厂界外浓度降至</w:t>
            </w:r>
            <w:r>
              <w:rPr>
                <w:szCs w:val="21"/>
              </w:rPr>
              <w:t>1.2mg/m³</w:t>
            </w:r>
            <w:r>
              <w:rPr>
                <w:rFonts w:hint="eastAsia"/>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restart"/>
            <w:vAlign w:val="center"/>
          </w:tcPr>
          <w:p>
            <w:pPr>
              <w:pStyle w:val="41"/>
              <w:rPr>
                <w:szCs w:val="21"/>
              </w:rPr>
            </w:pPr>
            <w:r>
              <w:rPr>
                <w:rFonts w:hint="eastAsia"/>
                <w:szCs w:val="21"/>
              </w:rPr>
              <w:t>水</w:t>
            </w:r>
          </w:p>
          <w:p>
            <w:pPr>
              <w:pStyle w:val="41"/>
              <w:rPr>
                <w:szCs w:val="21"/>
              </w:rPr>
            </w:pPr>
            <w:r>
              <w:rPr>
                <w:rFonts w:hint="eastAsia"/>
                <w:szCs w:val="21"/>
              </w:rPr>
              <w:t>污</w:t>
            </w:r>
          </w:p>
          <w:p>
            <w:pPr>
              <w:pStyle w:val="41"/>
              <w:rPr>
                <w:szCs w:val="21"/>
              </w:rPr>
            </w:pPr>
            <w:r>
              <w:rPr>
                <w:rFonts w:hint="eastAsia"/>
                <w:szCs w:val="21"/>
              </w:rPr>
              <w:t>染</w:t>
            </w:r>
          </w:p>
          <w:p>
            <w:pPr>
              <w:pStyle w:val="41"/>
              <w:rPr>
                <w:szCs w:val="21"/>
              </w:rPr>
            </w:pPr>
            <w:r>
              <w:rPr>
                <w:rFonts w:hint="eastAsia"/>
                <w:szCs w:val="21"/>
              </w:rPr>
              <w:t>物</w:t>
            </w:r>
          </w:p>
        </w:tc>
        <w:tc>
          <w:tcPr>
            <w:tcW w:w="709" w:type="dxa"/>
            <w:vMerge w:val="restart"/>
            <w:vAlign w:val="center"/>
          </w:tcPr>
          <w:p>
            <w:pPr>
              <w:pStyle w:val="41"/>
              <w:rPr>
                <w:szCs w:val="21"/>
              </w:rPr>
            </w:pPr>
            <w:r>
              <w:rPr>
                <w:rFonts w:hint="eastAsia"/>
                <w:szCs w:val="21"/>
              </w:rPr>
              <w:t>运营期</w:t>
            </w:r>
          </w:p>
        </w:tc>
        <w:tc>
          <w:tcPr>
            <w:tcW w:w="992" w:type="dxa"/>
            <w:vMerge w:val="restart"/>
            <w:vAlign w:val="center"/>
          </w:tcPr>
          <w:p>
            <w:pPr>
              <w:pStyle w:val="41"/>
              <w:rPr>
                <w:szCs w:val="21"/>
              </w:rPr>
            </w:pPr>
            <w:r>
              <w:rPr>
                <w:rFonts w:hint="eastAsia"/>
                <w:szCs w:val="21"/>
              </w:rPr>
              <w:t>生活废水</w:t>
            </w:r>
          </w:p>
        </w:tc>
        <w:tc>
          <w:tcPr>
            <w:tcW w:w="1417" w:type="dxa"/>
            <w:vAlign w:val="center"/>
          </w:tcPr>
          <w:p>
            <w:pPr>
              <w:pStyle w:val="41"/>
              <w:rPr>
                <w:kern w:val="0"/>
                <w:szCs w:val="21"/>
              </w:rPr>
            </w:pPr>
            <w:r>
              <w:rPr>
                <w:rFonts w:hint="eastAsia"/>
                <w:kern w:val="0"/>
                <w:szCs w:val="21"/>
              </w:rPr>
              <w:t>废水量</w:t>
            </w:r>
          </w:p>
        </w:tc>
        <w:tc>
          <w:tcPr>
            <w:tcW w:w="1985" w:type="dxa"/>
            <w:gridSpan w:val="2"/>
            <w:vAlign w:val="center"/>
          </w:tcPr>
          <w:p>
            <w:pPr>
              <w:pStyle w:val="41"/>
              <w:rPr>
                <w:szCs w:val="21"/>
              </w:rPr>
            </w:pPr>
            <w:r>
              <w:rPr>
                <w:kern w:val="0"/>
                <w:szCs w:val="21"/>
              </w:rPr>
              <w:t>74.4m</w:t>
            </w:r>
            <w:r>
              <w:rPr>
                <w:kern w:val="0"/>
                <w:szCs w:val="21"/>
                <w:vertAlign w:val="superscript"/>
              </w:rPr>
              <w:t>3</w:t>
            </w:r>
            <w:r>
              <w:rPr>
                <w:kern w:val="0"/>
                <w:szCs w:val="21"/>
              </w:rPr>
              <w:t>/a</w:t>
            </w:r>
          </w:p>
        </w:tc>
        <w:tc>
          <w:tcPr>
            <w:tcW w:w="3401" w:type="dxa"/>
            <w:gridSpan w:val="2"/>
            <w:vMerge w:val="restart"/>
            <w:vAlign w:val="center"/>
          </w:tcPr>
          <w:p>
            <w:pPr>
              <w:pStyle w:val="41"/>
              <w:rPr>
                <w:szCs w:val="21"/>
              </w:rPr>
            </w:pPr>
            <w:r>
              <w:rPr>
                <w:rFonts w:hint="eastAsia"/>
                <w:szCs w:val="21"/>
              </w:rPr>
              <w:t>经化粪池收集处理后，委托周边农户定期清运，用于农灌施肥，不外排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continue"/>
            <w:vAlign w:val="center"/>
          </w:tcPr>
          <w:p>
            <w:pPr>
              <w:pStyle w:val="41"/>
              <w:rPr>
                <w:szCs w:val="21"/>
              </w:rPr>
            </w:pPr>
          </w:p>
        </w:tc>
        <w:tc>
          <w:tcPr>
            <w:tcW w:w="709" w:type="dxa"/>
            <w:vMerge w:val="continue"/>
            <w:vAlign w:val="center"/>
          </w:tcPr>
          <w:p>
            <w:pPr>
              <w:pStyle w:val="41"/>
              <w:rPr>
                <w:szCs w:val="21"/>
              </w:rPr>
            </w:pPr>
          </w:p>
        </w:tc>
        <w:tc>
          <w:tcPr>
            <w:tcW w:w="992" w:type="dxa"/>
            <w:vMerge w:val="continue"/>
            <w:vAlign w:val="center"/>
          </w:tcPr>
          <w:p>
            <w:pPr>
              <w:pStyle w:val="41"/>
              <w:rPr>
                <w:szCs w:val="21"/>
              </w:rPr>
            </w:pPr>
          </w:p>
        </w:tc>
        <w:tc>
          <w:tcPr>
            <w:tcW w:w="1417" w:type="dxa"/>
            <w:vAlign w:val="center"/>
          </w:tcPr>
          <w:p>
            <w:pPr>
              <w:pStyle w:val="41"/>
              <w:rPr>
                <w:kern w:val="0"/>
                <w:szCs w:val="21"/>
              </w:rPr>
            </w:pPr>
            <w:r>
              <w:rPr>
                <w:kern w:val="0"/>
                <w:szCs w:val="21"/>
              </w:rPr>
              <w:t>COD</w:t>
            </w:r>
          </w:p>
        </w:tc>
        <w:tc>
          <w:tcPr>
            <w:tcW w:w="993" w:type="dxa"/>
            <w:vAlign w:val="center"/>
          </w:tcPr>
          <w:p>
            <w:pPr>
              <w:pStyle w:val="41"/>
              <w:rPr>
                <w:kern w:val="0"/>
                <w:szCs w:val="21"/>
              </w:rPr>
            </w:pPr>
            <w:r>
              <w:rPr>
                <w:kern w:val="0"/>
                <w:szCs w:val="21"/>
              </w:rPr>
              <w:t>450</w:t>
            </w:r>
            <w:r>
              <w:rPr>
                <w:szCs w:val="21"/>
              </w:rPr>
              <w:t>mg/L</w:t>
            </w:r>
          </w:p>
        </w:tc>
        <w:tc>
          <w:tcPr>
            <w:tcW w:w="992" w:type="dxa"/>
            <w:vAlign w:val="center"/>
          </w:tcPr>
          <w:p>
            <w:pPr>
              <w:pStyle w:val="41"/>
              <w:rPr>
                <w:kern w:val="0"/>
                <w:szCs w:val="21"/>
              </w:rPr>
            </w:pPr>
            <w:r>
              <w:rPr>
                <w:kern w:val="0"/>
                <w:szCs w:val="21"/>
              </w:rPr>
              <w:t>0.033</w:t>
            </w:r>
            <w:r>
              <w:rPr>
                <w:szCs w:val="21"/>
              </w:rPr>
              <w:t>t/a</w:t>
            </w:r>
          </w:p>
        </w:tc>
        <w:tc>
          <w:tcPr>
            <w:tcW w:w="3401" w:type="dxa"/>
            <w:gridSpan w:val="2"/>
            <w:vMerge w:val="continue"/>
            <w:vAlign w:val="center"/>
          </w:tcPr>
          <w:p>
            <w:pPr>
              <w:pStyle w:val="41"/>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continue"/>
            <w:vAlign w:val="center"/>
          </w:tcPr>
          <w:p>
            <w:pPr>
              <w:pStyle w:val="41"/>
              <w:rPr>
                <w:szCs w:val="21"/>
              </w:rPr>
            </w:pPr>
          </w:p>
        </w:tc>
        <w:tc>
          <w:tcPr>
            <w:tcW w:w="709" w:type="dxa"/>
            <w:vMerge w:val="continue"/>
            <w:vAlign w:val="center"/>
          </w:tcPr>
          <w:p>
            <w:pPr>
              <w:pStyle w:val="41"/>
              <w:rPr>
                <w:szCs w:val="21"/>
              </w:rPr>
            </w:pPr>
          </w:p>
        </w:tc>
        <w:tc>
          <w:tcPr>
            <w:tcW w:w="992" w:type="dxa"/>
            <w:vMerge w:val="continue"/>
            <w:vAlign w:val="center"/>
          </w:tcPr>
          <w:p>
            <w:pPr>
              <w:pStyle w:val="41"/>
              <w:rPr>
                <w:szCs w:val="21"/>
              </w:rPr>
            </w:pPr>
          </w:p>
        </w:tc>
        <w:tc>
          <w:tcPr>
            <w:tcW w:w="1417" w:type="dxa"/>
            <w:vAlign w:val="center"/>
          </w:tcPr>
          <w:p>
            <w:pPr>
              <w:pStyle w:val="41"/>
              <w:rPr>
                <w:kern w:val="0"/>
                <w:szCs w:val="21"/>
              </w:rPr>
            </w:pPr>
            <w:r>
              <w:rPr>
                <w:kern w:val="0"/>
                <w:szCs w:val="21"/>
              </w:rPr>
              <w:t>BOD</w:t>
            </w:r>
            <w:r>
              <w:rPr>
                <w:kern w:val="0"/>
                <w:szCs w:val="21"/>
                <w:vertAlign w:val="subscript"/>
              </w:rPr>
              <w:t>5</w:t>
            </w:r>
          </w:p>
        </w:tc>
        <w:tc>
          <w:tcPr>
            <w:tcW w:w="993" w:type="dxa"/>
            <w:vAlign w:val="center"/>
          </w:tcPr>
          <w:p>
            <w:pPr>
              <w:pStyle w:val="41"/>
              <w:rPr>
                <w:kern w:val="0"/>
                <w:szCs w:val="21"/>
              </w:rPr>
            </w:pPr>
            <w:r>
              <w:rPr>
                <w:kern w:val="0"/>
                <w:szCs w:val="21"/>
              </w:rPr>
              <w:t>300</w:t>
            </w:r>
            <w:r>
              <w:rPr>
                <w:szCs w:val="21"/>
              </w:rPr>
              <w:t>mg/L</w:t>
            </w:r>
          </w:p>
        </w:tc>
        <w:tc>
          <w:tcPr>
            <w:tcW w:w="992" w:type="dxa"/>
            <w:vAlign w:val="center"/>
          </w:tcPr>
          <w:p>
            <w:pPr>
              <w:pStyle w:val="41"/>
              <w:rPr>
                <w:kern w:val="0"/>
                <w:szCs w:val="21"/>
              </w:rPr>
            </w:pPr>
            <w:r>
              <w:rPr>
                <w:kern w:val="0"/>
                <w:szCs w:val="21"/>
              </w:rPr>
              <w:t>0.022</w:t>
            </w:r>
            <w:r>
              <w:rPr>
                <w:szCs w:val="21"/>
              </w:rPr>
              <w:t>t/a</w:t>
            </w:r>
          </w:p>
        </w:tc>
        <w:tc>
          <w:tcPr>
            <w:tcW w:w="3401" w:type="dxa"/>
            <w:gridSpan w:val="2"/>
            <w:vMerge w:val="continue"/>
            <w:vAlign w:val="center"/>
          </w:tcPr>
          <w:p>
            <w:pPr>
              <w:pStyle w:val="41"/>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continue"/>
            <w:vAlign w:val="center"/>
          </w:tcPr>
          <w:p>
            <w:pPr>
              <w:pStyle w:val="41"/>
              <w:rPr>
                <w:szCs w:val="21"/>
              </w:rPr>
            </w:pPr>
          </w:p>
        </w:tc>
        <w:tc>
          <w:tcPr>
            <w:tcW w:w="709" w:type="dxa"/>
            <w:vMerge w:val="continue"/>
            <w:vAlign w:val="center"/>
          </w:tcPr>
          <w:p>
            <w:pPr>
              <w:pStyle w:val="41"/>
              <w:rPr>
                <w:szCs w:val="21"/>
              </w:rPr>
            </w:pPr>
          </w:p>
        </w:tc>
        <w:tc>
          <w:tcPr>
            <w:tcW w:w="992" w:type="dxa"/>
            <w:vMerge w:val="continue"/>
            <w:vAlign w:val="center"/>
          </w:tcPr>
          <w:p>
            <w:pPr>
              <w:pStyle w:val="41"/>
              <w:rPr>
                <w:szCs w:val="21"/>
              </w:rPr>
            </w:pPr>
          </w:p>
        </w:tc>
        <w:tc>
          <w:tcPr>
            <w:tcW w:w="1417" w:type="dxa"/>
            <w:vAlign w:val="center"/>
          </w:tcPr>
          <w:p>
            <w:pPr>
              <w:pStyle w:val="41"/>
              <w:rPr>
                <w:kern w:val="0"/>
                <w:szCs w:val="21"/>
              </w:rPr>
            </w:pPr>
            <w:r>
              <w:rPr>
                <w:kern w:val="0"/>
                <w:szCs w:val="21"/>
              </w:rPr>
              <w:t>SS</w:t>
            </w:r>
          </w:p>
        </w:tc>
        <w:tc>
          <w:tcPr>
            <w:tcW w:w="993" w:type="dxa"/>
            <w:vAlign w:val="center"/>
          </w:tcPr>
          <w:p>
            <w:pPr>
              <w:pStyle w:val="41"/>
              <w:rPr>
                <w:kern w:val="0"/>
                <w:szCs w:val="21"/>
              </w:rPr>
            </w:pPr>
            <w:r>
              <w:rPr>
                <w:kern w:val="0"/>
                <w:szCs w:val="21"/>
              </w:rPr>
              <w:t>200</w:t>
            </w:r>
            <w:r>
              <w:rPr>
                <w:szCs w:val="21"/>
              </w:rPr>
              <w:t>mg/L</w:t>
            </w:r>
          </w:p>
        </w:tc>
        <w:tc>
          <w:tcPr>
            <w:tcW w:w="992" w:type="dxa"/>
            <w:vAlign w:val="center"/>
          </w:tcPr>
          <w:p>
            <w:pPr>
              <w:pStyle w:val="41"/>
              <w:rPr>
                <w:kern w:val="0"/>
                <w:szCs w:val="21"/>
              </w:rPr>
            </w:pPr>
            <w:r>
              <w:rPr>
                <w:kern w:val="0"/>
                <w:szCs w:val="21"/>
              </w:rPr>
              <w:t>0.015</w:t>
            </w:r>
            <w:r>
              <w:rPr>
                <w:szCs w:val="21"/>
              </w:rPr>
              <w:t>t/a</w:t>
            </w:r>
          </w:p>
        </w:tc>
        <w:tc>
          <w:tcPr>
            <w:tcW w:w="3401" w:type="dxa"/>
            <w:gridSpan w:val="2"/>
            <w:vMerge w:val="continue"/>
            <w:vAlign w:val="center"/>
          </w:tcPr>
          <w:p>
            <w:pPr>
              <w:pStyle w:val="41"/>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continue"/>
            <w:vAlign w:val="center"/>
          </w:tcPr>
          <w:p>
            <w:pPr>
              <w:pStyle w:val="41"/>
              <w:rPr>
                <w:szCs w:val="21"/>
              </w:rPr>
            </w:pPr>
          </w:p>
        </w:tc>
        <w:tc>
          <w:tcPr>
            <w:tcW w:w="709" w:type="dxa"/>
            <w:vMerge w:val="continue"/>
            <w:vAlign w:val="center"/>
          </w:tcPr>
          <w:p>
            <w:pPr>
              <w:pStyle w:val="41"/>
              <w:rPr>
                <w:szCs w:val="21"/>
              </w:rPr>
            </w:pPr>
          </w:p>
        </w:tc>
        <w:tc>
          <w:tcPr>
            <w:tcW w:w="992" w:type="dxa"/>
            <w:vMerge w:val="continue"/>
            <w:vAlign w:val="center"/>
          </w:tcPr>
          <w:p>
            <w:pPr>
              <w:pStyle w:val="41"/>
              <w:rPr>
                <w:szCs w:val="21"/>
              </w:rPr>
            </w:pPr>
          </w:p>
        </w:tc>
        <w:tc>
          <w:tcPr>
            <w:tcW w:w="1417" w:type="dxa"/>
            <w:vAlign w:val="center"/>
          </w:tcPr>
          <w:p>
            <w:pPr>
              <w:pStyle w:val="41"/>
              <w:rPr>
                <w:kern w:val="0"/>
                <w:szCs w:val="21"/>
              </w:rPr>
            </w:pPr>
            <w:r>
              <w:rPr>
                <w:kern w:val="0"/>
                <w:szCs w:val="21"/>
              </w:rPr>
              <w:t>NH</w:t>
            </w:r>
            <w:r>
              <w:rPr>
                <w:kern w:val="0"/>
                <w:szCs w:val="21"/>
                <w:vertAlign w:val="subscript"/>
              </w:rPr>
              <w:t>3</w:t>
            </w:r>
            <w:r>
              <w:rPr>
                <w:kern w:val="0"/>
                <w:szCs w:val="21"/>
              </w:rPr>
              <w:t>-N</w:t>
            </w:r>
          </w:p>
        </w:tc>
        <w:tc>
          <w:tcPr>
            <w:tcW w:w="993" w:type="dxa"/>
            <w:vAlign w:val="center"/>
          </w:tcPr>
          <w:p>
            <w:pPr>
              <w:pStyle w:val="41"/>
              <w:rPr>
                <w:kern w:val="0"/>
                <w:szCs w:val="21"/>
              </w:rPr>
            </w:pPr>
            <w:r>
              <w:rPr>
                <w:kern w:val="0"/>
                <w:szCs w:val="21"/>
              </w:rPr>
              <w:t>35</w:t>
            </w:r>
            <w:r>
              <w:rPr>
                <w:szCs w:val="21"/>
              </w:rPr>
              <w:t>mg/L</w:t>
            </w:r>
          </w:p>
        </w:tc>
        <w:tc>
          <w:tcPr>
            <w:tcW w:w="992" w:type="dxa"/>
            <w:vAlign w:val="center"/>
          </w:tcPr>
          <w:p>
            <w:pPr>
              <w:pStyle w:val="41"/>
              <w:rPr>
                <w:kern w:val="0"/>
                <w:szCs w:val="21"/>
              </w:rPr>
            </w:pPr>
            <w:r>
              <w:rPr>
                <w:kern w:val="0"/>
                <w:szCs w:val="21"/>
              </w:rPr>
              <w:t>0.003</w:t>
            </w:r>
            <w:r>
              <w:rPr>
                <w:szCs w:val="21"/>
              </w:rPr>
              <w:t>t/a</w:t>
            </w:r>
          </w:p>
        </w:tc>
        <w:tc>
          <w:tcPr>
            <w:tcW w:w="3401" w:type="dxa"/>
            <w:gridSpan w:val="2"/>
            <w:vMerge w:val="continue"/>
            <w:vAlign w:val="center"/>
          </w:tcPr>
          <w:p>
            <w:pPr>
              <w:pStyle w:val="41"/>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restart"/>
            <w:vAlign w:val="center"/>
          </w:tcPr>
          <w:p>
            <w:pPr>
              <w:pStyle w:val="41"/>
              <w:rPr>
                <w:szCs w:val="21"/>
              </w:rPr>
            </w:pPr>
            <w:r>
              <w:rPr>
                <w:rFonts w:hint="eastAsia"/>
                <w:szCs w:val="21"/>
              </w:rPr>
              <w:t>固</w:t>
            </w:r>
            <w:r>
              <w:rPr>
                <w:szCs w:val="21"/>
              </w:rPr>
              <w:t xml:space="preserve">      </w:t>
            </w:r>
            <w:r>
              <w:rPr>
                <w:rFonts w:hint="eastAsia"/>
                <w:szCs w:val="21"/>
              </w:rPr>
              <w:t>体</w:t>
            </w:r>
            <w:r>
              <w:rPr>
                <w:szCs w:val="21"/>
              </w:rPr>
              <w:t xml:space="preserve">    </w:t>
            </w:r>
            <w:r>
              <w:rPr>
                <w:rFonts w:hint="eastAsia"/>
                <w:szCs w:val="21"/>
              </w:rPr>
              <w:t>废</w:t>
            </w:r>
            <w:r>
              <w:rPr>
                <w:szCs w:val="21"/>
              </w:rPr>
              <w:t xml:space="preserve">    </w:t>
            </w:r>
            <w:r>
              <w:rPr>
                <w:rFonts w:hint="eastAsia"/>
                <w:szCs w:val="21"/>
              </w:rPr>
              <w:t>弃</w:t>
            </w:r>
            <w:r>
              <w:rPr>
                <w:szCs w:val="21"/>
              </w:rPr>
              <w:t xml:space="preserve">    </w:t>
            </w:r>
            <w:r>
              <w:rPr>
                <w:rFonts w:hint="eastAsia"/>
                <w:szCs w:val="21"/>
              </w:rPr>
              <w:t>物</w:t>
            </w:r>
          </w:p>
        </w:tc>
        <w:tc>
          <w:tcPr>
            <w:tcW w:w="709" w:type="dxa"/>
            <w:vMerge w:val="restart"/>
            <w:vAlign w:val="center"/>
          </w:tcPr>
          <w:p>
            <w:pPr>
              <w:pStyle w:val="41"/>
              <w:rPr>
                <w:szCs w:val="21"/>
              </w:rPr>
            </w:pPr>
            <w:r>
              <w:rPr>
                <w:rFonts w:hint="eastAsia"/>
                <w:szCs w:val="21"/>
              </w:rPr>
              <w:t>施工期</w:t>
            </w:r>
          </w:p>
        </w:tc>
        <w:tc>
          <w:tcPr>
            <w:tcW w:w="992" w:type="dxa"/>
            <w:vAlign w:val="center"/>
          </w:tcPr>
          <w:p>
            <w:pPr>
              <w:pStyle w:val="41"/>
              <w:rPr>
                <w:szCs w:val="21"/>
              </w:rPr>
            </w:pPr>
            <w:r>
              <w:rPr>
                <w:rFonts w:hint="eastAsia"/>
                <w:szCs w:val="21"/>
              </w:rPr>
              <w:t>建筑施工</w:t>
            </w:r>
          </w:p>
        </w:tc>
        <w:tc>
          <w:tcPr>
            <w:tcW w:w="1417" w:type="dxa"/>
            <w:vAlign w:val="center"/>
          </w:tcPr>
          <w:p>
            <w:pPr>
              <w:pStyle w:val="41"/>
              <w:rPr>
                <w:szCs w:val="21"/>
              </w:rPr>
            </w:pPr>
            <w:r>
              <w:rPr>
                <w:rFonts w:hint="eastAsia"/>
                <w:szCs w:val="21"/>
              </w:rPr>
              <w:t>建筑垃圾</w:t>
            </w:r>
          </w:p>
        </w:tc>
        <w:tc>
          <w:tcPr>
            <w:tcW w:w="1985" w:type="dxa"/>
            <w:gridSpan w:val="2"/>
            <w:vAlign w:val="center"/>
          </w:tcPr>
          <w:p>
            <w:pPr>
              <w:pStyle w:val="41"/>
              <w:rPr>
                <w:szCs w:val="21"/>
              </w:rPr>
            </w:pPr>
            <w:r>
              <w:rPr>
                <w:szCs w:val="21"/>
              </w:rPr>
              <w:t>1t</w:t>
            </w:r>
          </w:p>
        </w:tc>
        <w:tc>
          <w:tcPr>
            <w:tcW w:w="3401" w:type="dxa"/>
            <w:gridSpan w:val="2"/>
            <w:vAlign w:val="center"/>
          </w:tcPr>
          <w:p>
            <w:pPr>
              <w:pStyle w:val="41"/>
              <w:rPr>
                <w:szCs w:val="21"/>
              </w:rPr>
            </w:pPr>
            <w:r>
              <w:rPr>
                <w:rFonts w:hint="eastAsia"/>
                <w:szCs w:val="21"/>
              </w:rPr>
              <w:t>本环评要求可利用的综合利用，不能利用的应合法外运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continue"/>
            <w:vAlign w:val="center"/>
          </w:tcPr>
          <w:p>
            <w:pPr>
              <w:pStyle w:val="41"/>
              <w:rPr>
                <w:szCs w:val="21"/>
              </w:rPr>
            </w:pPr>
          </w:p>
        </w:tc>
        <w:tc>
          <w:tcPr>
            <w:tcW w:w="709" w:type="dxa"/>
            <w:vMerge w:val="continue"/>
            <w:vAlign w:val="center"/>
          </w:tcPr>
          <w:p>
            <w:pPr>
              <w:pStyle w:val="41"/>
              <w:rPr>
                <w:szCs w:val="21"/>
              </w:rPr>
            </w:pPr>
          </w:p>
        </w:tc>
        <w:tc>
          <w:tcPr>
            <w:tcW w:w="992" w:type="dxa"/>
            <w:vAlign w:val="center"/>
          </w:tcPr>
          <w:p>
            <w:pPr>
              <w:pStyle w:val="41"/>
              <w:rPr>
                <w:szCs w:val="21"/>
              </w:rPr>
            </w:pPr>
            <w:r>
              <w:rPr>
                <w:rFonts w:hint="eastAsia"/>
                <w:szCs w:val="21"/>
              </w:rPr>
              <w:t>施工人员</w:t>
            </w:r>
          </w:p>
        </w:tc>
        <w:tc>
          <w:tcPr>
            <w:tcW w:w="1417" w:type="dxa"/>
            <w:vAlign w:val="center"/>
          </w:tcPr>
          <w:p>
            <w:pPr>
              <w:pStyle w:val="41"/>
              <w:rPr>
                <w:szCs w:val="21"/>
              </w:rPr>
            </w:pPr>
            <w:r>
              <w:rPr>
                <w:rFonts w:hint="eastAsia"/>
                <w:szCs w:val="21"/>
              </w:rPr>
              <w:t>生活垃圾</w:t>
            </w:r>
          </w:p>
        </w:tc>
        <w:tc>
          <w:tcPr>
            <w:tcW w:w="1985" w:type="dxa"/>
            <w:gridSpan w:val="2"/>
            <w:vAlign w:val="center"/>
          </w:tcPr>
          <w:p>
            <w:pPr>
              <w:pStyle w:val="41"/>
              <w:rPr>
                <w:szCs w:val="21"/>
              </w:rPr>
            </w:pPr>
            <w:r>
              <w:rPr>
                <w:szCs w:val="21"/>
              </w:rPr>
              <w:t>2kg/d</w:t>
            </w:r>
          </w:p>
        </w:tc>
        <w:tc>
          <w:tcPr>
            <w:tcW w:w="3401" w:type="dxa"/>
            <w:gridSpan w:val="2"/>
            <w:vAlign w:val="center"/>
          </w:tcPr>
          <w:p>
            <w:pPr>
              <w:pStyle w:val="41"/>
              <w:rPr>
                <w:szCs w:val="21"/>
              </w:rPr>
            </w:pPr>
            <w:r>
              <w:rPr>
                <w:rFonts w:hint="eastAsia"/>
                <w:szCs w:val="21"/>
              </w:rPr>
              <w:t>由环卫部门清运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continue"/>
            <w:vAlign w:val="center"/>
          </w:tcPr>
          <w:p>
            <w:pPr>
              <w:pStyle w:val="41"/>
              <w:rPr>
                <w:szCs w:val="21"/>
              </w:rPr>
            </w:pPr>
          </w:p>
        </w:tc>
        <w:tc>
          <w:tcPr>
            <w:tcW w:w="709" w:type="dxa"/>
            <w:vMerge w:val="restart"/>
            <w:vAlign w:val="center"/>
          </w:tcPr>
          <w:p>
            <w:pPr>
              <w:pStyle w:val="41"/>
              <w:rPr>
                <w:szCs w:val="21"/>
              </w:rPr>
            </w:pPr>
            <w:r>
              <w:rPr>
                <w:rFonts w:hint="eastAsia"/>
                <w:szCs w:val="21"/>
              </w:rPr>
              <w:t>运营期</w:t>
            </w:r>
          </w:p>
        </w:tc>
        <w:tc>
          <w:tcPr>
            <w:tcW w:w="992" w:type="dxa"/>
            <w:vMerge w:val="restart"/>
            <w:vAlign w:val="center"/>
          </w:tcPr>
          <w:p>
            <w:pPr>
              <w:pStyle w:val="41"/>
              <w:rPr>
                <w:szCs w:val="21"/>
              </w:rPr>
            </w:pPr>
            <w:r>
              <w:rPr>
                <w:rFonts w:hint="eastAsia"/>
                <w:szCs w:val="21"/>
              </w:rPr>
              <w:t>生产过程</w:t>
            </w:r>
          </w:p>
        </w:tc>
        <w:tc>
          <w:tcPr>
            <w:tcW w:w="1417" w:type="dxa"/>
            <w:vAlign w:val="center"/>
          </w:tcPr>
          <w:p>
            <w:pPr>
              <w:pStyle w:val="41"/>
              <w:rPr>
                <w:szCs w:val="21"/>
              </w:rPr>
            </w:pPr>
            <w:r>
              <w:rPr>
                <w:rFonts w:hint="eastAsia"/>
                <w:szCs w:val="21"/>
              </w:rPr>
              <w:t>废弃边角料</w:t>
            </w:r>
            <w:r>
              <w:rPr>
                <w:szCs w:val="21"/>
              </w:rPr>
              <w:t xml:space="preserve"> </w:t>
            </w:r>
            <w:r>
              <w:rPr>
                <w:rFonts w:hint="eastAsia"/>
                <w:szCs w:val="21"/>
              </w:rPr>
              <w:t>木屑</w:t>
            </w:r>
          </w:p>
        </w:tc>
        <w:tc>
          <w:tcPr>
            <w:tcW w:w="1985" w:type="dxa"/>
            <w:gridSpan w:val="2"/>
            <w:vAlign w:val="center"/>
          </w:tcPr>
          <w:p>
            <w:pPr>
              <w:pStyle w:val="41"/>
              <w:rPr>
                <w:szCs w:val="21"/>
              </w:rPr>
            </w:pPr>
            <w:r>
              <w:rPr>
                <w:szCs w:val="21"/>
              </w:rPr>
              <w:t>0.5t/a</w:t>
            </w:r>
          </w:p>
        </w:tc>
        <w:tc>
          <w:tcPr>
            <w:tcW w:w="3401" w:type="dxa"/>
            <w:gridSpan w:val="2"/>
            <w:vAlign w:val="center"/>
          </w:tcPr>
          <w:p>
            <w:pPr>
              <w:pStyle w:val="41"/>
              <w:rPr>
                <w:szCs w:val="21"/>
              </w:rPr>
            </w:pPr>
            <w:r>
              <w:rPr>
                <w:rFonts w:hint="eastAsia"/>
                <w:szCs w:val="21"/>
              </w:rPr>
              <w:t>外卖周边村民作燃料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continue"/>
            <w:vAlign w:val="center"/>
          </w:tcPr>
          <w:p>
            <w:pPr>
              <w:pStyle w:val="41"/>
              <w:rPr>
                <w:szCs w:val="21"/>
              </w:rPr>
            </w:pPr>
          </w:p>
        </w:tc>
        <w:tc>
          <w:tcPr>
            <w:tcW w:w="709" w:type="dxa"/>
            <w:vMerge w:val="continue"/>
            <w:vAlign w:val="center"/>
          </w:tcPr>
          <w:p>
            <w:pPr>
              <w:pStyle w:val="41"/>
              <w:rPr>
                <w:szCs w:val="21"/>
              </w:rPr>
            </w:pPr>
          </w:p>
        </w:tc>
        <w:tc>
          <w:tcPr>
            <w:tcW w:w="992" w:type="dxa"/>
            <w:vMerge w:val="continue"/>
            <w:vAlign w:val="center"/>
          </w:tcPr>
          <w:p>
            <w:pPr>
              <w:pStyle w:val="41"/>
              <w:rPr>
                <w:szCs w:val="21"/>
              </w:rPr>
            </w:pPr>
          </w:p>
        </w:tc>
        <w:tc>
          <w:tcPr>
            <w:tcW w:w="1417" w:type="dxa"/>
            <w:vAlign w:val="center"/>
          </w:tcPr>
          <w:p>
            <w:pPr>
              <w:pStyle w:val="41"/>
              <w:rPr>
                <w:szCs w:val="21"/>
              </w:rPr>
            </w:pPr>
            <w:r>
              <w:rPr>
                <w:rFonts w:hint="eastAsia"/>
                <w:szCs w:val="21"/>
              </w:rPr>
              <w:t>废油漆桶</w:t>
            </w:r>
          </w:p>
        </w:tc>
        <w:tc>
          <w:tcPr>
            <w:tcW w:w="1985" w:type="dxa"/>
            <w:gridSpan w:val="2"/>
            <w:vAlign w:val="center"/>
          </w:tcPr>
          <w:p>
            <w:pPr>
              <w:pStyle w:val="41"/>
              <w:rPr>
                <w:szCs w:val="21"/>
              </w:rPr>
            </w:pPr>
            <w:r>
              <w:rPr>
                <w:szCs w:val="21"/>
              </w:rPr>
              <w:t>80</w:t>
            </w:r>
            <w:r>
              <w:rPr>
                <w:rFonts w:hint="eastAsia"/>
                <w:szCs w:val="21"/>
              </w:rPr>
              <w:t>个</w:t>
            </w:r>
            <w:r>
              <w:rPr>
                <w:szCs w:val="21"/>
              </w:rPr>
              <w:t>/a</w:t>
            </w:r>
          </w:p>
        </w:tc>
        <w:tc>
          <w:tcPr>
            <w:tcW w:w="3401" w:type="dxa"/>
            <w:gridSpan w:val="2"/>
            <w:vMerge w:val="restart"/>
            <w:vAlign w:val="center"/>
          </w:tcPr>
          <w:p>
            <w:pPr>
              <w:pStyle w:val="41"/>
              <w:rPr>
                <w:szCs w:val="21"/>
              </w:rPr>
            </w:pPr>
            <w:r>
              <w:rPr>
                <w:rFonts w:hint="eastAsia"/>
                <w:szCs w:val="21"/>
              </w:rPr>
              <w:t>交由具有危险废物处置资质的单位回收处理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continue"/>
            <w:vAlign w:val="center"/>
          </w:tcPr>
          <w:p>
            <w:pPr>
              <w:pStyle w:val="41"/>
              <w:rPr>
                <w:szCs w:val="21"/>
              </w:rPr>
            </w:pPr>
          </w:p>
        </w:tc>
        <w:tc>
          <w:tcPr>
            <w:tcW w:w="709" w:type="dxa"/>
            <w:vMerge w:val="continue"/>
            <w:vAlign w:val="center"/>
          </w:tcPr>
          <w:p>
            <w:pPr>
              <w:pStyle w:val="41"/>
              <w:rPr>
                <w:szCs w:val="21"/>
              </w:rPr>
            </w:pPr>
          </w:p>
        </w:tc>
        <w:tc>
          <w:tcPr>
            <w:tcW w:w="992" w:type="dxa"/>
            <w:vMerge w:val="continue"/>
            <w:vAlign w:val="center"/>
          </w:tcPr>
          <w:p>
            <w:pPr>
              <w:pStyle w:val="41"/>
              <w:rPr>
                <w:szCs w:val="21"/>
              </w:rPr>
            </w:pPr>
          </w:p>
        </w:tc>
        <w:tc>
          <w:tcPr>
            <w:tcW w:w="1417" w:type="dxa"/>
            <w:vAlign w:val="center"/>
          </w:tcPr>
          <w:p>
            <w:pPr>
              <w:pStyle w:val="41"/>
              <w:rPr>
                <w:szCs w:val="21"/>
              </w:rPr>
            </w:pPr>
            <w:r>
              <w:rPr>
                <w:rFonts w:hint="eastAsia"/>
                <w:szCs w:val="21"/>
              </w:rPr>
              <w:t>废弃稀释剂桶</w:t>
            </w:r>
          </w:p>
        </w:tc>
        <w:tc>
          <w:tcPr>
            <w:tcW w:w="1985" w:type="dxa"/>
            <w:gridSpan w:val="2"/>
            <w:vAlign w:val="center"/>
          </w:tcPr>
          <w:p>
            <w:pPr>
              <w:pStyle w:val="41"/>
              <w:rPr>
                <w:szCs w:val="21"/>
              </w:rPr>
            </w:pPr>
            <w:r>
              <w:rPr>
                <w:szCs w:val="21"/>
              </w:rPr>
              <w:t>5</w:t>
            </w:r>
            <w:r>
              <w:rPr>
                <w:rFonts w:hint="eastAsia"/>
                <w:szCs w:val="21"/>
              </w:rPr>
              <w:t>个</w:t>
            </w:r>
            <w:r>
              <w:rPr>
                <w:szCs w:val="21"/>
              </w:rPr>
              <w:t>/a</w:t>
            </w:r>
          </w:p>
        </w:tc>
        <w:tc>
          <w:tcPr>
            <w:tcW w:w="3401" w:type="dxa"/>
            <w:gridSpan w:val="2"/>
            <w:vMerge w:val="continue"/>
            <w:vAlign w:val="center"/>
          </w:tcPr>
          <w:p>
            <w:pPr>
              <w:pStyle w:val="4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continue"/>
            <w:vAlign w:val="center"/>
          </w:tcPr>
          <w:p>
            <w:pPr>
              <w:pStyle w:val="41"/>
              <w:rPr>
                <w:szCs w:val="21"/>
              </w:rPr>
            </w:pPr>
          </w:p>
        </w:tc>
        <w:tc>
          <w:tcPr>
            <w:tcW w:w="709" w:type="dxa"/>
            <w:vMerge w:val="continue"/>
            <w:vAlign w:val="center"/>
          </w:tcPr>
          <w:p>
            <w:pPr>
              <w:pStyle w:val="41"/>
              <w:rPr>
                <w:szCs w:val="21"/>
              </w:rPr>
            </w:pPr>
          </w:p>
        </w:tc>
        <w:tc>
          <w:tcPr>
            <w:tcW w:w="992" w:type="dxa"/>
            <w:vMerge w:val="continue"/>
            <w:vAlign w:val="center"/>
          </w:tcPr>
          <w:p>
            <w:pPr>
              <w:pStyle w:val="41"/>
              <w:rPr>
                <w:szCs w:val="21"/>
              </w:rPr>
            </w:pPr>
          </w:p>
        </w:tc>
        <w:tc>
          <w:tcPr>
            <w:tcW w:w="1417" w:type="dxa"/>
            <w:vAlign w:val="center"/>
          </w:tcPr>
          <w:p>
            <w:pPr>
              <w:pStyle w:val="41"/>
              <w:rPr>
                <w:szCs w:val="21"/>
              </w:rPr>
            </w:pPr>
            <w:r>
              <w:rPr>
                <w:rFonts w:hint="eastAsia"/>
                <w:szCs w:val="21"/>
              </w:rPr>
              <w:t>废弃油漆刷、抹布</w:t>
            </w:r>
          </w:p>
        </w:tc>
        <w:tc>
          <w:tcPr>
            <w:tcW w:w="1985" w:type="dxa"/>
            <w:gridSpan w:val="2"/>
            <w:vAlign w:val="center"/>
          </w:tcPr>
          <w:p>
            <w:pPr>
              <w:pStyle w:val="41"/>
              <w:rPr>
                <w:szCs w:val="21"/>
              </w:rPr>
            </w:pPr>
            <w:r>
              <w:rPr>
                <w:szCs w:val="21"/>
              </w:rPr>
              <w:t>0.1 t/a</w:t>
            </w:r>
          </w:p>
        </w:tc>
        <w:tc>
          <w:tcPr>
            <w:tcW w:w="3401" w:type="dxa"/>
            <w:gridSpan w:val="2"/>
            <w:vMerge w:val="continue"/>
            <w:vAlign w:val="center"/>
          </w:tcPr>
          <w:p>
            <w:pPr>
              <w:pStyle w:val="4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continue"/>
            <w:vAlign w:val="center"/>
          </w:tcPr>
          <w:p>
            <w:pPr>
              <w:pStyle w:val="41"/>
              <w:rPr>
                <w:szCs w:val="21"/>
              </w:rPr>
            </w:pPr>
          </w:p>
        </w:tc>
        <w:tc>
          <w:tcPr>
            <w:tcW w:w="709" w:type="dxa"/>
            <w:vMerge w:val="continue"/>
            <w:vAlign w:val="center"/>
          </w:tcPr>
          <w:p>
            <w:pPr>
              <w:pStyle w:val="41"/>
              <w:rPr>
                <w:szCs w:val="21"/>
              </w:rPr>
            </w:pPr>
          </w:p>
        </w:tc>
        <w:tc>
          <w:tcPr>
            <w:tcW w:w="992" w:type="dxa"/>
            <w:vAlign w:val="center"/>
          </w:tcPr>
          <w:p>
            <w:pPr>
              <w:pStyle w:val="41"/>
              <w:rPr>
                <w:szCs w:val="21"/>
              </w:rPr>
            </w:pPr>
            <w:r>
              <w:rPr>
                <w:rFonts w:hint="eastAsia"/>
                <w:szCs w:val="21"/>
              </w:rPr>
              <w:t>职工</w:t>
            </w:r>
          </w:p>
        </w:tc>
        <w:tc>
          <w:tcPr>
            <w:tcW w:w="1417" w:type="dxa"/>
            <w:vAlign w:val="center"/>
          </w:tcPr>
          <w:p>
            <w:pPr>
              <w:pStyle w:val="41"/>
              <w:rPr>
                <w:szCs w:val="21"/>
              </w:rPr>
            </w:pPr>
            <w:r>
              <w:rPr>
                <w:rFonts w:hint="eastAsia"/>
                <w:szCs w:val="21"/>
              </w:rPr>
              <w:t>生活垃圾</w:t>
            </w:r>
          </w:p>
        </w:tc>
        <w:tc>
          <w:tcPr>
            <w:tcW w:w="1985" w:type="dxa"/>
            <w:gridSpan w:val="2"/>
            <w:vAlign w:val="center"/>
          </w:tcPr>
          <w:p>
            <w:pPr>
              <w:pStyle w:val="41"/>
              <w:rPr>
                <w:szCs w:val="21"/>
              </w:rPr>
            </w:pPr>
            <w:r>
              <w:rPr>
                <w:szCs w:val="21"/>
              </w:rPr>
              <w:t>0.75t/a</w:t>
            </w:r>
          </w:p>
        </w:tc>
        <w:tc>
          <w:tcPr>
            <w:tcW w:w="3401" w:type="dxa"/>
            <w:gridSpan w:val="2"/>
            <w:vAlign w:val="center"/>
          </w:tcPr>
          <w:p>
            <w:pPr>
              <w:pStyle w:val="41"/>
              <w:rPr>
                <w:szCs w:val="21"/>
              </w:rPr>
            </w:pPr>
            <w:r>
              <w:rPr>
                <w:rFonts w:hint="eastAsia"/>
                <w:kern w:val="0"/>
              </w:rPr>
              <w:t>用垃圾桶收集后</w:t>
            </w:r>
            <w:r>
              <w:rPr>
                <w:rFonts w:hint="eastAsia"/>
              </w:rPr>
              <w:t>运输至就近垃圾收集点，</w:t>
            </w:r>
            <w:r>
              <w:rPr>
                <w:rFonts w:hint="eastAsia"/>
                <w:kern w:val="0"/>
              </w:rPr>
              <w:t>由环卫部门定期清运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restart"/>
            <w:vAlign w:val="center"/>
          </w:tcPr>
          <w:p>
            <w:pPr>
              <w:pStyle w:val="41"/>
              <w:rPr>
                <w:szCs w:val="21"/>
              </w:rPr>
            </w:pPr>
            <w:r>
              <w:rPr>
                <w:rFonts w:hint="eastAsia"/>
                <w:szCs w:val="21"/>
              </w:rPr>
              <w:t>噪</w:t>
            </w:r>
            <w:r>
              <w:rPr>
                <w:szCs w:val="21"/>
              </w:rPr>
              <w:t xml:space="preserve">    </w:t>
            </w:r>
            <w:r>
              <w:rPr>
                <w:rFonts w:hint="eastAsia"/>
                <w:szCs w:val="21"/>
              </w:rPr>
              <w:t>声</w:t>
            </w:r>
          </w:p>
        </w:tc>
        <w:tc>
          <w:tcPr>
            <w:tcW w:w="709" w:type="dxa"/>
            <w:vAlign w:val="center"/>
          </w:tcPr>
          <w:p>
            <w:pPr>
              <w:pStyle w:val="41"/>
              <w:rPr>
                <w:szCs w:val="21"/>
              </w:rPr>
            </w:pPr>
            <w:r>
              <w:rPr>
                <w:rFonts w:hint="eastAsia"/>
                <w:szCs w:val="21"/>
              </w:rPr>
              <w:t>施工期</w:t>
            </w:r>
          </w:p>
        </w:tc>
        <w:tc>
          <w:tcPr>
            <w:tcW w:w="992" w:type="dxa"/>
            <w:vAlign w:val="center"/>
          </w:tcPr>
          <w:p>
            <w:pPr>
              <w:pStyle w:val="41"/>
              <w:rPr>
                <w:szCs w:val="21"/>
              </w:rPr>
            </w:pPr>
            <w:r>
              <w:rPr>
                <w:rFonts w:hint="eastAsia"/>
                <w:szCs w:val="21"/>
              </w:rPr>
              <w:t>施工、进出车辆</w:t>
            </w:r>
          </w:p>
        </w:tc>
        <w:tc>
          <w:tcPr>
            <w:tcW w:w="1417" w:type="dxa"/>
            <w:vAlign w:val="center"/>
          </w:tcPr>
          <w:p>
            <w:pPr>
              <w:pStyle w:val="41"/>
              <w:rPr>
                <w:szCs w:val="21"/>
              </w:rPr>
            </w:pPr>
            <w:r>
              <w:rPr>
                <w:rFonts w:hint="eastAsia"/>
                <w:szCs w:val="21"/>
              </w:rPr>
              <w:t>噪声</w:t>
            </w:r>
          </w:p>
        </w:tc>
        <w:tc>
          <w:tcPr>
            <w:tcW w:w="1985" w:type="dxa"/>
            <w:gridSpan w:val="2"/>
            <w:vAlign w:val="center"/>
          </w:tcPr>
          <w:p>
            <w:pPr>
              <w:pStyle w:val="41"/>
              <w:rPr>
                <w:szCs w:val="21"/>
              </w:rPr>
            </w:pPr>
            <w:r>
              <w:rPr>
                <w:szCs w:val="21"/>
              </w:rPr>
              <w:t>80</w:t>
            </w:r>
            <w:r>
              <w:rPr>
                <w:rFonts w:hint="eastAsia"/>
                <w:szCs w:val="21"/>
              </w:rPr>
              <w:t>～</w:t>
            </w:r>
            <w:r>
              <w:rPr>
                <w:szCs w:val="21"/>
              </w:rPr>
              <w:t>90dB(A)</w:t>
            </w:r>
          </w:p>
        </w:tc>
        <w:tc>
          <w:tcPr>
            <w:tcW w:w="3401" w:type="dxa"/>
            <w:gridSpan w:val="2"/>
            <w:vAlign w:val="center"/>
          </w:tcPr>
          <w:p>
            <w:pPr>
              <w:pStyle w:val="41"/>
              <w:rPr>
                <w:szCs w:val="21"/>
              </w:rPr>
            </w:pPr>
            <w:r>
              <w:rPr>
                <w:rFonts w:hint="eastAsia"/>
                <w:szCs w:val="21"/>
              </w:rPr>
              <w:t>达到《建筑施工场界环境噪声排放标准》</w:t>
            </w:r>
            <w:r>
              <w:rPr>
                <w:rFonts w:hint="eastAsia"/>
                <w:kern w:val="0"/>
                <w:szCs w:val="21"/>
              </w:rPr>
              <w:t>（</w:t>
            </w:r>
            <w:r>
              <w:rPr>
                <w:kern w:val="0"/>
                <w:szCs w:val="21"/>
              </w:rPr>
              <w:t>GB12523-2011</w:t>
            </w:r>
            <w:r>
              <w:rPr>
                <w:rFonts w:hint="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52" w:type="dxa"/>
            <w:vMerge w:val="continue"/>
            <w:vAlign w:val="center"/>
          </w:tcPr>
          <w:p>
            <w:pPr>
              <w:pStyle w:val="41"/>
              <w:rPr>
                <w:szCs w:val="21"/>
              </w:rPr>
            </w:pPr>
          </w:p>
        </w:tc>
        <w:tc>
          <w:tcPr>
            <w:tcW w:w="709" w:type="dxa"/>
            <w:vAlign w:val="center"/>
          </w:tcPr>
          <w:p>
            <w:pPr>
              <w:pStyle w:val="41"/>
              <w:rPr>
                <w:szCs w:val="21"/>
              </w:rPr>
            </w:pPr>
            <w:r>
              <w:rPr>
                <w:rFonts w:hint="eastAsia"/>
                <w:szCs w:val="21"/>
              </w:rPr>
              <w:t>运营期</w:t>
            </w:r>
          </w:p>
        </w:tc>
        <w:tc>
          <w:tcPr>
            <w:tcW w:w="992" w:type="dxa"/>
            <w:vAlign w:val="center"/>
          </w:tcPr>
          <w:p>
            <w:pPr>
              <w:pStyle w:val="41"/>
              <w:rPr>
                <w:szCs w:val="21"/>
              </w:rPr>
            </w:pPr>
            <w:r>
              <w:rPr>
                <w:rFonts w:hint="eastAsia"/>
                <w:szCs w:val="21"/>
              </w:rPr>
              <w:t>生产车间</w:t>
            </w:r>
          </w:p>
        </w:tc>
        <w:tc>
          <w:tcPr>
            <w:tcW w:w="1417" w:type="dxa"/>
            <w:vAlign w:val="center"/>
          </w:tcPr>
          <w:p>
            <w:pPr>
              <w:pStyle w:val="41"/>
              <w:rPr>
                <w:szCs w:val="21"/>
              </w:rPr>
            </w:pPr>
            <w:r>
              <w:rPr>
                <w:rFonts w:hint="eastAsia"/>
                <w:szCs w:val="21"/>
              </w:rPr>
              <w:t>噪声</w:t>
            </w:r>
          </w:p>
        </w:tc>
        <w:tc>
          <w:tcPr>
            <w:tcW w:w="1985" w:type="dxa"/>
            <w:gridSpan w:val="2"/>
            <w:vAlign w:val="center"/>
          </w:tcPr>
          <w:p>
            <w:pPr>
              <w:pStyle w:val="41"/>
              <w:rPr>
                <w:szCs w:val="21"/>
              </w:rPr>
            </w:pPr>
            <w:r>
              <w:rPr>
                <w:szCs w:val="21"/>
              </w:rPr>
              <w:t>60</w:t>
            </w:r>
            <w:r>
              <w:rPr>
                <w:rFonts w:hint="eastAsia"/>
                <w:szCs w:val="21"/>
              </w:rPr>
              <w:t>～</w:t>
            </w:r>
            <w:r>
              <w:rPr>
                <w:szCs w:val="21"/>
              </w:rPr>
              <w:t>70dB(A)</w:t>
            </w:r>
          </w:p>
        </w:tc>
        <w:tc>
          <w:tcPr>
            <w:tcW w:w="3401" w:type="dxa"/>
            <w:gridSpan w:val="2"/>
            <w:vAlign w:val="center"/>
          </w:tcPr>
          <w:p>
            <w:pPr>
              <w:pStyle w:val="41"/>
              <w:rPr>
                <w:szCs w:val="21"/>
              </w:rPr>
            </w:pPr>
            <w:r>
              <w:rPr>
                <w:rFonts w:hint="eastAsia"/>
              </w:rPr>
              <w:t>达到《工业企业厂界环境噪声排放标准》（</w:t>
            </w:r>
            <w:r>
              <w:t>GB12348-2008</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356" w:type="dxa"/>
            <w:gridSpan w:val="8"/>
            <w:vAlign w:val="center"/>
          </w:tcPr>
          <w:p>
            <w:pPr>
              <w:pStyle w:val="71"/>
              <w:spacing w:beforeLines="0"/>
              <w:ind w:firstLine="31680"/>
            </w:pPr>
            <w:r>
              <w:rPr>
                <w:rFonts w:hint="eastAsia"/>
              </w:rPr>
              <w:t>主要生态影响</w:t>
            </w:r>
          </w:p>
          <w:p>
            <w:pPr>
              <w:pStyle w:val="36"/>
              <w:ind w:firstLine="31680"/>
            </w:pPr>
            <w:r>
              <w:rPr>
                <w:rFonts w:hint="eastAsia"/>
              </w:rPr>
              <w:t>本项目在德宏州芒市芒市镇大湾村大湾电站内，租用大湾水电有限公司闲置用房及空地，在新建过程中充分利用厂区范围内已有空间进行绿化，可在一定程度上改善厂区生态环境，不会对周围生态环境产生大的影响。</w:t>
            </w:r>
          </w:p>
        </w:tc>
      </w:tr>
    </w:tbl>
    <w:p>
      <w:pPr>
        <w:pStyle w:val="2"/>
      </w:pPr>
      <w:r>
        <w:rPr>
          <w:rFonts w:hint="eastAsia"/>
        </w:rPr>
        <w:t>表七、环境影响分析</w:t>
      </w:r>
    </w:p>
    <w:tbl>
      <w:tblPr>
        <w:tblStyle w:val="21"/>
        <w:tblW w:w="1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pPr>
              <w:pStyle w:val="71"/>
              <w:spacing w:before="163"/>
              <w:ind w:firstLine="31680"/>
            </w:pPr>
            <w:r>
              <w:rPr>
                <w:rFonts w:hint="eastAsia"/>
              </w:rPr>
              <w:t>一、产业政策分析</w:t>
            </w:r>
          </w:p>
          <w:p>
            <w:pPr>
              <w:pStyle w:val="36"/>
              <w:ind w:firstLine="31680"/>
            </w:pPr>
            <w:r>
              <w:rPr>
                <w:rFonts w:hint="eastAsia"/>
              </w:rPr>
              <w:t>本项目属于</w:t>
            </w:r>
            <w:r>
              <w:t>C2110</w:t>
            </w:r>
            <w:r>
              <w:rPr>
                <w:rFonts w:hint="eastAsia"/>
              </w:rPr>
              <w:t>木制家具制造，产量约为</w:t>
            </w:r>
            <w:r>
              <w:t>1200</w:t>
            </w:r>
            <w:r>
              <w:rPr>
                <w:rFonts w:hint="eastAsia"/>
              </w:rPr>
              <w:t>套</w:t>
            </w:r>
            <w:r>
              <w:t>/a</w:t>
            </w:r>
            <w:r>
              <w:rPr>
                <w:rFonts w:hint="eastAsia"/>
              </w:rPr>
              <w:t>。根据国家发展改革委《国家产业结构调整指导目录（</w:t>
            </w:r>
            <w:r>
              <w:t>2011</w:t>
            </w:r>
            <w:r>
              <w:rPr>
                <w:rFonts w:hint="eastAsia"/>
              </w:rPr>
              <w:t>年本）》（</w:t>
            </w:r>
            <w:r>
              <w:t>2013</w:t>
            </w:r>
            <w:r>
              <w:rPr>
                <w:rFonts w:hint="eastAsia"/>
              </w:rPr>
              <w:t>年修正），本项目不属于指导目录规定的鼓励类、限制类及淘汰类产业，属允许类项目；本项目于</w:t>
            </w:r>
            <w:r>
              <w:t>2016</w:t>
            </w:r>
            <w:r>
              <w:rPr>
                <w:rFonts w:hint="eastAsia"/>
              </w:rPr>
              <w:t>年</w:t>
            </w:r>
            <w:r>
              <w:t>1</w:t>
            </w:r>
            <w:r>
              <w:rPr>
                <w:rFonts w:hint="eastAsia"/>
              </w:rPr>
              <w:t>月</w:t>
            </w:r>
            <w:r>
              <w:t>20</w:t>
            </w:r>
            <w:r>
              <w:rPr>
                <w:rFonts w:hint="eastAsia"/>
              </w:rPr>
              <w:t>日取得了芒市发展和改革局关于芒市华鑫木制品厂迁建项目备案证（芒发改备案</w:t>
            </w:r>
            <w:r>
              <w:t>[2016]10</w:t>
            </w:r>
            <w:r>
              <w:rPr>
                <w:rFonts w:hint="eastAsia"/>
              </w:rPr>
              <w:t>号），项目所选用的生产设备无淘汰类设备。</w:t>
            </w:r>
          </w:p>
          <w:p>
            <w:pPr>
              <w:pStyle w:val="36"/>
              <w:ind w:firstLine="31680"/>
            </w:pPr>
            <w:r>
              <w:rPr>
                <w:rFonts w:hint="eastAsia"/>
              </w:rPr>
              <w:t>综上本项目符合国家及地方现有产业政策。</w:t>
            </w:r>
          </w:p>
          <w:p>
            <w:pPr>
              <w:pStyle w:val="75"/>
              <w:ind w:firstLine="31680"/>
              <w:rPr>
                <w:color w:val="auto"/>
              </w:rPr>
            </w:pPr>
            <w:r>
              <w:rPr>
                <w:rFonts w:hint="eastAsia"/>
                <w:color w:val="auto"/>
              </w:rPr>
              <w:t>二、相关规划符合性分析</w:t>
            </w:r>
          </w:p>
          <w:p>
            <w:pPr>
              <w:pStyle w:val="36"/>
              <w:ind w:firstLine="31680"/>
            </w:pPr>
            <w:r>
              <w:rPr>
                <w:rFonts w:hint="eastAsia"/>
              </w:rPr>
              <w:t>本项目位于德宏州芒市芒市镇大湾村大湾畜牧场西侧，项目租用大湾水电有限公司闲置空地及厂房，经核对芒市总体规划，该用地在芒市城市总体规划范围内，但不属于城乡建设用地，不影响芒市城市总体规划。</w:t>
            </w:r>
          </w:p>
          <w:p>
            <w:pPr>
              <w:pStyle w:val="36"/>
              <w:ind w:firstLine="31680"/>
              <w:rPr>
                <w:bCs/>
              </w:rPr>
            </w:pPr>
            <w:r>
              <w:rPr>
                <w:rFonts w:hint="eastAsia"/>
                <w:bCs/>
              </w:rPr>
              <w:t>建设项目与《德宏州域城镇体系规划（</w:t>
            </w:r>
            <w:r>
              <w:rPr>
                <w:bCs/>
              </w:rPr>
              <w:t>2011—2030</w:t>
            </w:r>
            <w:r>
              <w:rPr>
                <w:rFonts w:hint="eastAsia"/>
                <w:bCs/>
              </w:rPr>
              <w:t>）》的总体规划定位分析不冲突，建设项目符合相关规划要求。</w:t>
            </w:r>
          </w:p>
          <w:p>
            <w:pPr>
              <w:pStyle w:val="75"/>
              <w:ind w:firstLine="31680"/>
              <w:rPr>
                <w:color w:val="auto"/>
              </w:rPr>
            </w:pPr>
            <w:r>
              <w:rPr>
                <w:rFonts w:hint="eastAsia"/>
                <w:color w:val="auto"/>
              </w:rPr>
              <w:t>三、项目选址合理性分析</w:t>
            </w:r>
          </w:p>
          <w:p>
            <w:pPr>
              <w:pStyle w:val="36"/>
              <w:ind w:firstLine="31680"/>
            </w:pPr>
            <w:r>
              <w:rPr>
                <w:rFonts w:hint="eastAsia"/>
              </w:rPr>
              <w:t>本项目位于德宏州芒市芒市镇大湾村，项目周围</w:t>
            </w:r>
            <w:r>
              <w:t>200</w:t>
            </w:r>
            <w:r>
              <w:rPr>
                <w:rFonts w:hint="eastAsia"/>
              </w:rPr>
              <w:t>米范围内无自然保护区、风景名胜区、生态功能保护区等需特殊保护的环境敏感区，以及天然林、重要湿地等生态敏感区与脆弱区。项目区域交通、环卫等城市公用基础建设基本完善，水、电供应有保障，为项目建设堤供了良好的条件。从项目周边土地利用及功能布局看，项目所在区域周围，项目区周边为水泥制品厂和石材加工厂，相互影响不大，项目与周边环境相容。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pPr>
              <w:pStyle w:val="36"/>
              <w:ind w:firstLine="31680"/>
              <w:rPr>
                <w:bCs/>
              </w:rPr>
            </w:pPr>
            <w:r>
              <w:rPr>
                <w:rFonts w:hint="eastAsia"/>
                <w:bCs/>
              </w:rPr>
              <w:t>综上所述，本项目的建设选址合理。</w:t>
            </w:r>
          </w:p>
          <w:p>
            <w:pPr>
              <w:pStyle w:val="75"/>
              <w:ind w:firstLine="31680"/>
              <w:rPr>
                <w:color w:val="auto"/>
              </w:rPr>
            </w:pPr>
            <w:r>
              <w:rPr>
                <w:rFonts w:hint="eastAsia"/>
                <w:color w:val="auto"/>
              </w:rPr>
              <w:t>四、施工期环境影响分析</w:t>
            </w:r>
          </w:p>
          <w:p>
            <w:pPr>
              <w:pStyle w:val="36"/>
              <w:ind w:firstLine="31680"/>
            </w:pPr>
            <w:r>
              <w:t>1</w:t>
            </w:r>
            <w:r>
              <w:rPr>
                <w:rFonts w:hint="eastAsia"/>
              </w:rPr>
              <w:t>、废气对环境的影响分析</w:t>
            </w:r>
          </w:p>
          <w:p>
            <w:pPr>
              <w:pStyle w:val="36"/>
              <w:ind w:firstLine="31680"/>
            </w:pPr>
            <w:r>
              <w:rPr>
                <w:rFonts w:hint="eastAsia"/>
              </w:rPr>
              <w:t>本项目施工安装过程中的主要大气污染物是扬尘、焊接烟尘。</w:t>
            </w:r>
          </w:p>
          <w:p>
            <w:pPr>
              <w:pStyle w:val="36"/>
              <w:ind w:firstLine="31680"/>
            </w:pPr>
            <w:r>
              <w:fldChar w:fldCharType="begin"/>
            </w:r>
            <w:r>
              <w:instrText xml:space="preserve"> = 1 \* GB3 </w:instrText>
            </w:r>
            <w:r>
              <w:fldChar w:fldCharType="separate"/>
            </w:r>
            <w:r>
              <w:rPr>
                <w:rFonts w:hint="eastAsia" w:cs="宋体"/>
              </w:rPr>
              <w:t>①</w:t>
            </w:r>
            <w:r>
              <w:rPr>
                <w:rFonts w:hint="eastAsia" w:cs="宋体"/>
              </w:rPr>
              <w:fldChar w:fldCharType="end"/>
            </w:r>
            <w:r>
              <w:t xml:space="preserve"> </w:t>
            </w:r>
            <w:r>
              <w:rPr>
                <w:rFonts w:hint="eastAsia"/>
              </w:rPr>
              <w:t>扬尘：项目施工过程中扬尘的产生是不可避免的，其影响范围为施工现场附近和运输道路沿途，施工现场扬尘尤其是在风力比较大和干燥气候条件下尤为严重。施工扬尘主要产生在以下环节：</w:t>
            </w:r>
          </w:p>
          <w:p>
            <w:pPr>
              <w:pStyle w:val="36"/>
              <w:ind w:firstLine="31680"/>
            </w:pPr>
            <w:r>
              <w:t>1</w:t>
            </w:r>
            <w:r>
              <w:rPr>
                <w:rFonts w:hint="eastAsia"/>
              </w:rPr>
              <w:t>）、施工机械挖土时的扬尘；</w:t>
            </w:r>
          </w:p>
          <w:p>
            <w:pPr>
              <w:pStyle w:val="36"/>
              <w:ind w:firstLine="31680"/>
            </w:pPr>
            <w:r>
              <w:t>2</w:t>
            </w:r>
            <w:r>
              <w:rPr>
                <w:rFonts w:hint="eastAsia"/>
              </w:rPr>
              <w:t>）、施工弃土堆放时产生的扬尘；</w:t>
            </w:r>
          </w:p>
          <w:p>
            <w:pPr>
              <w:pStyle w:val="36"/>
              <w:ind w:firstLine="31680"/>
            </w:pPr>
            <w:r>
              <w:t>3</w:t>
            </w:r>
            <w:r>
              <w:rPr>
                <w:rFonts w:hint="eastAsia"/>
              </w:rPr>
              <w:t>）、运输、装卸过程中的扬尘；</w:t>
            </w:r>
          </w:p>
          <w:p>
            <w:pPr>
              <w:pStyle w:val="36"/>
              <w:ind w:firstLine="31680"/>
            </w:pPr>
            <w:r>
              <w:t>4</w:t>
            </w:r>
            <w:r>
              <w:rPr>
                <w:rFonts w:hint="eastAsia"/>
              </w:rPr>
              <w:t>）、场地的扬尘</w:t>
            </w:r>
          </w:p>
          <w:p>
            <w:pPr>
              <w:pStyle w:val="36"/>
              <w:ind w:firstLine="31680"/>
            </w:pPr>
            <w:r>
              <w:rPr>
                <w:rFonts w:hint="eastAsia"/>
              </w:rPr>
              <w:t>根据类比调查，施工工地内</w:t>
            </w:r>
            <w:r>
              <w:t>TSP</w:t>
            </w:r>
            <w:r>
              <w:rPr>
                <w:rFonts w:hint="eastAsia"/>
              </w:rPr>
              <w:t>浓度约为</w:t>
            </w:r>
            <w:r>
              <w:t>1.4~1.7mg/m</w:t>
            </w:r>
            <w:r>
              <w:rPr>
                <w:vertAlign w:val="superscript"/>
              </w:rPr>
              <w:t>3</w:t>
            </w:r>
            <w:r>
              <w:rPr>
                <w:rFonts w:hint="eastAsia"/>
              </w:rPr>
              <w:t>。下风向</w:t>
            </w:r>
            <w:r>
              <w:t>50m</w:t>
            </w:r>
            <w:r>
              <w:rPr>
                <w:rFonts w:hint="eastAsia"/>
              </w:rPr>
              <w:t>距离内</w:t>
            </w:r>
            <w:r>
              <w:t>TSP</w:t>
            </w:r>
            <w:r>
              <w:rPr>
                <w:rFonts w:hint="eastAsia"/>
              </w:rPr>
              <w:t>浓度约为</w:t>
            </w:r>
            <w:r>
              <w:t>0.75~0.85mg/m</w:t>
            </w:r>
            <w:r>
              <w:rPr>
                <w:vertAlign w:val="superscript"/>
              </w:rPr>
              <w:t>3</w:t>
            </w:r>
            <w:r>
              <w:rPr>
                <w:rFonts w:hint="eastAsia"/>
              </w:rPr>
              <w:t>，低于执行《大气污染物排放限度》（</w:t>
            </w:r>
            <w:r>
              <w:t>GB16297-1996</w:t>
            </w:r>
            <w:r>
              <w:rPr>
                <w:rFonts w:hint="eastAsia"/>
              </w:rPr>
              <w:t>）中规定的颗粒物无组织排放监控浓度限值（</w:t>
            </w:r>
            <w:r>
              <w:t>1.0mg/m</w:t>
            </w:r>
            <w:r>
              <w:rPr>
                <w:vertAlign w:val="superscript"/>
              </w:rPr>
              <w:t>3</w:t>
            </w:r>
            <w:r>
              <w:rPr>
                <w:rFonts w:hint="eastAsia"/>
              </w:rPr>
              <w:t>）；下风向</w:t>
            </w:r>
            <w:r>
              <w:t>100m</w:t>
            </w:r>
            <w:r>
              <w:rPr>
                <w:rFonts w:hint="eastAsia"/>
              </w:rPr>
              <w:t>距离</w:t>
            </w:r>
            <w:r>
              <w:t>TSP</w:t>
            </w:r>
            <w:r>
              <w:rPr>
                <w:rFonts w:hint="eastAsia"/>
              </w:rPr>
              <w:t>浓度约为</w:t>
            </w:r>
            <w:r>
              <w:t>0.55~0.68mg/m</w:t>
            </w:r>
            <w:r>
              <w:rPr>
                <w:vertAlign w:val="superscript"/>
              </w:rPr>
              <w:t>3</w:t>
            </w:r>
            <w:r>
              <w:rPr>
                <w:rFonts w:hint="eastAsia"/>
              </w:rPr>
              <w:t>，</w:t>
            </w:r>
            <w:r>
              <w:t>150m</w:t>
            </w:r>
            <w:r>
              <w:rPr>
                <w:rFonts w:hint="eastAsia"/>
              </w:rPr>
              <w:t>距离内</w:t>
            </w:r>
            <w:r>
              <w:t>TSP</w:t>
            </w:r>
            <w:r>
              <w:rPr>
                <w:rFonts w:hint="eastAsia"/>
              </w:rPr>
              <w:t>浓度约为</w:t>
            </w:r>
            <w:r>
              <w:t>0.41~0.47mg/m</w:t>
            </w:r>
            <w:r>
              <w:rPr>
                <w:vertAlign w:val="superscript"/>
              </w:rPr>
              <w:t>3</w:t>
            </w:r>
            <w:r>
              <w:rPr>
                <w:rFonts w:hint="eastAsia"/>
              </w:rPr>
              <w:t>。大湾村位于项目区上风向</w:t>
            </w:r>
            <w:r>
              <w:t>200</w:t>
            </w:r>
            <w:r>
              <w:rPr>
                <w:rFonts w:hint="eastAsia"/>
              </w:rPr>
              <w:t>处，在施工区内的</w:t>
            </w:r>
            <w:r>
              <w:t>TSP</w:t>
            </w:r>
            <w:r>
              <w:rPr>
                <w:rFonts w:hint="eastAsia"/>
              </w:rPr>
              <w:t>对大湾村影响较小，但对施工现场的施工人员存在一定的影响，针对施工期扬尘问题，评价建议采取以下措施：</w:t>
            </w:r>
          </w:p>
          <w:p>
            <w:pPr>
              <w:pStyle w:val="36"/>
              <w:ind w:firstLine="31680"/>
            </w:pPr>
            <w:r>
              <w:t>1</w:t>
            </w:r>
            <w:r>
              <w:rPr>
                <w:rFonts w:hint="eastAsia"/>
              </w:rPr>
              <w:t>）、在施工过程中，作业场地应采取围挡以减少扬尘扩散。在施工现场周围，应设置不低于</w:t>
            </w:r>
            <w:r>
              <w:t>1.5m</w:t>
            </w:r>
            <w:r>
              <w:rPr>
                <w:rFonts w:hint="eastAsia"/>
              </w:rPr>
              <w:t>高的围挡，以避免对周围环境造成影响。</w:t>
            </w:r>
          </w:p>
          <w:p>
            <w:pPr>
              <w:pStyle w:val="36"/>
              <w:ind w:firstLine="31680"/>
            </w:pPr>
            <w:r>
              <w:t>2</w:t>
            </w:r>
            <w:r>
              <w:rPr>
                <w:rFonts w:hint="eastAsia"/>
              </w:rPr>
              <w:t>）、在施工场地安排员工定期对施工场地洒水以减少扬尘量，洒水次数根据天气状况而定，一般每天洒水</w:t>
            </w:r>
            <w:r>
              <w:t>1-2</w:t>
            </w:r>
            <w:r>
              <w:rPr>
                <w:rFonts w:hint="eastAsia"/>
              </w:rPr>
              <w:t>次，若遇到大风或干燥天气可适当增加洒水次数。</w:t>
            </w:r>
          </w:p>
          <w:p>
            <w:pPr>
              <w:pStyle w:val="36"/>
              <w:ind w:firstLine="31680"/>
            </w:pPr>
            <w:r>
              <w:t>3</w:t>
            </w:r>
            <w:r>
              <w:rPr>
                <w:rFonts w:hint="eastAsia"/>
              </w:rPr>
              <w:t>）、对运输建筑材料及建筑垃圾的车辆加盖篷布减少洒落。</w:t>
            </w:r>
          </w:p>
          <w:p>
            <w:pPr>
              <w:pStyle w:val="36"/>
              <w:ind w:firstLine="31680"/>
            </w:pPr>
            <w:r>
              <w:t>4</w:t>
            </w:r>
            <w:r>
              <w:rPr>
                <w:rFonts w:hint="eastAsia"/>
              </w:rPr>
              <w:t>）、尽量避免在大风天气下进行施工作业。</w:t>
            </w:r>
          </w:p>
          <w:p>
            <w:pPr>
              <w:pStyle w:val="36"/>
              <w:ind w:firstLine="31680"/>
            </w:pPr>
            <w:r>
              <w:t>5</w:t>
            </w:r>
            <w:r>
              <w:rPr>
                <w:rFonts w:hint="eastAsia"/>
              </w:rPr>
              <w:t>）、对建筑垃圾及弃土及时清运、以减少占地，防止扬尘污染，改善施工场地的环境。</w:t>
            </w:r>
          </w:p>
          <w:p>
            <w:pPr>
              <w:pStyle w:val="36"/>
              <w:ind w:firstLine="31680"/>
            </w:pPr>
            <w:r>
              <w:rPr>
                <w:rFonts w:hint="eastAsia"/>
              </w:rPr>
              <w:t>通过文明施工，可有效减少施工扬尘，且施工期产生的扬尘是短期的，随着施工活动的结束，场地的覆盖、道路、建筑物的形成，项目区内绿化完成等，施工扬尘对环境空气的影响也就随之结束，因此，施工扬尘对保护目标和环境空气的影响可以接受。</w:t>
            </w:r>
          </w:p>
          <w:p>
            <w:pPr>
              <w:pStyle w:val="36"/>
              <w:ind w:firstLine="31680"/>
            </w:pPr>
            <w:r>
              <w:fldChar w:fldCharType="begin"/>
            </w:r>
            <w:r>
              <w:instrText xml:space="preserve"> = 2 \* GB3 </w:instrText>
            </w:r>
            <w:r>
              <w:fldChar w:fldCharType="separate"/>
            </w:r>
            <w:r>
              <w:rPr>
                <w:rFonts w:hint="eastAsia" w:cs="宋体"/>
              </w:rPr>
              <w:t>②</w:t>
            </w:r>
            <w:r>
              <w:rPr>
                <w:rFonts w:hint="eastAsia" w:cs="宋体"/>
              </w:rPr>
              <w:fldChar w:fldCharType="end"/>
            </w:r>
            <w:r>
              <w:t xml:space="preserve"> </w:t>
            </w:r>
            <w:r>
              <w:rPr>
                <w:rFonts w:hint="eastAsia"/>
              </w:rPr>
              <w:t>焊接废气：来源于施工过程中焊接工序使用氩弧焊机对钢结构进行焊接，该过程中会产生少量烟气。根据《焊接技术手册》中有关资料，氩弧焊每公斤焊接材料的发尘量为</w:t>
            </w:r>
            <w:r>
              <w:t>2~5g</w:t>
            </w:r>
            <w:r>
              <w:rPr>
                <w:rFonts w:hint="eastAsia"/>
              </w:rPr>
              <w:t>。根据业主提供资料，项目氩弧焊丝用量不足</w:t>
            </w:r>
            <w:r>
              <w:t>0.01t</w:t>
            </w:r>
            <w:r>
              <w:rPr>
                <w:rFonts w:hint="eastAsia"/>
              </w:rPr>
              <w:t>，焊接烟尘产生量以发尘量最大值计，可得施工过程中焊接废弃烟尘产生量约为</w:t>
            </w:r>
            <w:r>
              <w:t>0.05kg</w:t>
            </w:r>
            <w:r>
              <w:rPr>
                <w:rFonts w:hint="eastAsia"/>
              </w:rPr>
              <w:t>。由其排放量极少，且排放方式为特点时间间歇不定量排放，排放于露天工作场所，排放浓度未超过《工业场所有害因素职业接触限值化学有害因素》（</w:t>
            </w:r>
            <w:r>
              <w:t>GBZ2.1-2007</w:t>
            </w:r>
            <w:r>
              <w:rPr>
                <w:rFonts w:hint="eastAsia"/>
              </w:rPr>
              <w:t>）中的要求。项目应为工人配备必要的劳保用品，如口罩、护目镜等，则不会对施工人员健康及周围大气环境产生明显不良影响。</w:t>
            </w:r>
          </w:p>
          <w:p>
            <w:pPr>
              <w:pStyle w:val="36"/>
              <w:ind w:firstLine="31680"/>
            </w:pPr>
            <w:r>
              <w:t>2</w:t>
            </w:r>
            <w:r>
              <w:rPr>
                <w:rFonts w:hint="eastAsia"/>
              </w:rPr>
              <w:t>、废水对环境的影响分析</w:t>
            </w:r>
          </w:p>
          <w:p>
            <w:pPr>
              <w:pStyle w:val="36"/>
              <w:ind w:firstLine="31680"/>
            </w:pPr>
            <w:r>
              <w:rPr>
                <w:rFonts w:hint="eastAsia"/>
              </w:rPr>
              <w:t>项目施工期施工人员不在项目区内食宿，施工人员使用周边公共卫生间，生活废水经化粪池收集处理后，委托周边村民进行清掏。项目主体工程为钢架构，土建施工较少，且施工面积较小，工程量较少，因此施工废水量较小，施工废水在与水泥砂浆等建材的拌合使用的过程中消耗，不外排。对周边环境影响较小。</w:t>
            </w:r>
          </w:p>
          <w:p>
            <w:pPr>
              <w:pStyle w:val="36"/>
              <w:ind w:firstLine="31680"/>
            </w:pPr>
            <w:r>
              <w:t>3</w:t>
            </w:r>
            <w:r>
              <w:rPr>
                <w:rFonts w:hint="eastAsia"/>
              </w:rPr>
              <w:t>、噪声对环境的影响分析</w:t>
            </w:r>
          </w:p>
          <w:p>
            <w:pPr>
              <w:pStyle w:val="36"/>
              <w:ind w:firstLine="31680"/>
            </w:pPr>
            <w:r>
              <w:rPr>
                <w:rFonts w:hint="eastAsia"/>
              </w:rPr>
              <w:t>本项目施工期对声环境的影响主要包括施工期的基础开挖、主体结构、装修工程过程中的施工噪声。</w:t>
            </w:r>
          </w:p>
          <w:p>
            <w:pPr>
              <w:pStyle w:val="36"/>
              <w:ind w:firstLine="31680"/>
            </w:pPr>
            <w:r>
              <w:rPr>
                <w:rFonts w:hint="eastAsia"/>
              </w:rPr>
              <w:t>（</w:t>
            </w:r>
            <w:r>
              <w:t>1</w:t>
            </w:r>
            <w:r>
              <w:rPr>
                <w:rFonts w:hint="eastAsia"/>
              </w:rPr>
              <w:t>）施工场界环境噪声排放分析</w:t>
            </w:r>
          </w:p>
          <w:p>
            <w:pPr>
              <w:pStyle w:val="36"/>
              <w:ind w:firstLine="31680"/>
            </w:pPr>
            <w:r>
              <w:rPr>
                <w:rFonts w:hint="eastAsia"/>
              </w:rPr>
              <w:t>根据</w:t>
            </w:r>
            <w:r>
              <w:t>HJ/T2.4-2009</w:t>
            </w:r>
            <w:r>
              <w:rPr>
                <w:rFonts w:hint="eastAsia"/>
              </w:rPr>
              <w:t>《环境影响评价技术导则</w:t>
            </w:r>
            <w:r>
              <w:t>—</w:t>
            </w:r>
            <w:r>
              <w:rPr>
                <w:rFonts w:hint="eastAsia"/>
              </w:rPr>
              <w:t>声环境》，噪声预测计算公如下：</w:t>
            </w:r>
          </w:p>
          <w:p>
            <w:pPr>
              <w:pStyle w:val="36"/>
              <w:ind w:firstLine="0" w:firstLineChars="0"/>
              <w:jc w:val="center"/>
              <w:rPr>
                <w:b/>
                <w:sz w:val="28"/>
                <w:szCs w:val="30"/>
              </w:rPr>
            </w:pPr>
            <w:r>
              <w:rPr>
                <w:b/>
                <w:sz w:val="28"/>
                <w:szCs w:val="30"/>
              </w:rPr>
              <w:t>L</w:t>
            </w:r>
            <w:r>
              <w:rPr>
                <w:b/>
                <w:sz w:val="28"/>
                <w:szCs w:val="30"/>
                <w:vertAlign w:val="subscript"/>
              </w:rPr>
              <w:t>p</w:t>
            </w:r>
            <w:r>
              <w:rPr>
                <w:rFonts w:hint="eastAsia"/>
                <w:b/>
                <w:sz w:val="28"/>
                <w:szCs w:val="30"/>
              </w:rPr>
              <w:t>（</w:t>
            </w:r>
            <w:r>
              <w:rPr>
                <w:b/>
                <w:sz w:val="28"/>
                <w:szCs w:val="30"/>
              </w:rPr>
              <w:t>r</w:t>
            </w:r>
            <w:r>
              <w:rPr>
                <w:rFonts w:hint="eastAsia"/>
                <w:b/>
                <w:sz w:val="28"/>
                <w:szCs w:val="30"/>
              </w:rPr>
              <w:t>）</w:t>
            </w:r>
            <w:r>
              <w:rPr>
                <w:b/>
                <w:sz w:val="28"/>
                <w:szCs w:val="30"/>
              </w:rPr>
              <w:t>=L</w:t>
            </w:r>
            <w:r>
              <w:rPr>
                <w:b/>
                <w:sz w:val="28"/>
                <w:szCs w:val="30"/>
                <w:vertAlign w:val="subscript"/>
              </w:rPr>
              <w:t>p</w:t>
            </w:r>
            <w:r>
              <w:rPr>
                <w:rFonts w:hint="eastAsia"/>
                <w:b/>
                <w:sz w:val="28"/>
                <w:szCs w:val="30"/>
              </w:rPr>
              <w:t>（</w:t>
            </w:r>
            <w:r>
              <w:rPr>
                <w:b/>
                <w:sz w:val="28"/>
                <w:szCs w:val="30"/>
              </w:rPr>
              <w:t>r</w:t>
            </w:r>
            <w:r>
              <w:rPr>
                <w:b/>
                <w:sz w:val="28"/>
                <w:szCs w:val="30"/>
                <w:vertAlign w:val="subscript"/>
              </w:rPr>
              <w:t>0</w:t>
            </w:r>
            <w:r>
              <w:rPr>
                <w:rFonts w:hint="eastAsia"/>
                <w:b/>
                <w:sz w:val="28"/>
                <w:szCs w:val="30"/>
              </w:rPr>
              <w:t>）</w:t>
            </w:r>
            <w:r>
              <w:rPr>
                <w:b/>
                <w:sz w:val="28"/>
                <w:szCs w:val="30"/>
              </w:rPr>
              <w:t>-20lg</w:t>
            </w:r>
            <w:r>
              <w:rPr>
                <w:rFonts w:hint="eastAsia"/>
                <w:b/>
                <w:sz w:val="28"/>
                <w:szCs w:val="30"/>
              </w:rPr>
              <w:t>（</w:t>
            </w:r>
            <w:r>
              <w:rPr>
                <w:b/>
                <w:sz w:val="28"/>
                <w:szCs w:val="30"/>
              </w:rPr>
              <w:t>r/r</w:t>
            </w:r>
            <w:r>
              <w:rPr>
                <w:b/>
                <w:sz w:val="28"/>
                <w:szCs w:val="30"/>
                <w:vertAlign w:val="subscript"/>
              </w:rPr>
              <w:t>0</w:t>
            </w:r>
            <w:r>
              <w:rPr>
                <w:rFonts w:hint="eastAsia"/>
                <w:b/>
                <w:sz w:val="28"/>
                <w:szCs w:val="30"/>
              </w:rPr>
              <w:t>）</w:t>
            </w:r>
            <w:r>
              <w:rPr>
                <w:b/>
                <w:sz w:val="28"/>
                <w:szCs w:val="30"/>
              </w:rPr>
              <w:t>-</w:t>
            </w:r>
            <w:r>
              <w:rPr>
                <w:rFonts w:ascii="Cambria Math" w:hAnsi="Cambria Math" w:cs="Cambria Math"/>
                <w:b/>
                <w:sz w:val="28"/>
                <w:szCs w:val="30"/>
              </w:rPr>
              <w:t>△</w:t>
            </w:r>
            <w:r>
              <w:rPr>
                <w:b/>
                <w:sz w:val="28"/>
                <w:szCs w:val="30"/>
              </w:rPr>
              <w:t>L</w:t>
            </w:r>
          </w:p>
          <w:p>
            <w:pPr>
              <w:pStyle w:val="36"/>
              <w:ind w:firstLine="31680"/>
              <w:rPr>
                <w:sz w:val="30"/>
                <w:szCs w:val="30"/>
              </w:rPr>
            </w:pPr>
            <w:r>
              <w:rPr>
                <w:rFonts w:hint="eastAsia"/>
              </w:rPr>
              <w:t>式中：</w:t>
            </w:r>
          </w:p>
          <w:p>
            <w:pPr>
              <w:pStyle w:val="36"/>
              <w:ind w:firstLine="720" w:firstLineChars="300"/>
            </w:pPr>
            <w:r>
              <w:t>Lp-</w:t>
            </w:r>
            <w:r>
              <w:rPr>
                <w:rFonts w:hint="eastAsia"/>
              </w:rPr>
              <w:t>预测声级值：</w:t>
            </w:r>
            <w:r>
              <w:t>dB(A)           Lp</w:t>
            </w:r>
            <w:r>
              <w:rPr>
                <w:vertAlign w:val="subscript"/>
              </w:rPr>
              <w:t>0</w:t>
            </w:r>
            <w:r>
              <w:t>-</w:t>
            </w:r>
            <w:r>
              <w:rPr>
                <w:rFonts w:hint="eastAsia"/>
              </w:rPr>
              <w:t>参考位置</w:t>
            </w:r>
            <w:r>
              <w:t>r</w:t>
            </w:r>
            <w:r>
              <w:rPr>
                <w:vertAlign w:val="subscript"/>
              </w:rPr>
              <w:t>0</w:t>
            </w:r>
            <w:r>
              <w:rPr>
                <w:rFonts w:hint="eastAsia"/>
              </w:rPr>
              <w:t>处的声级值：</w:t>
            </w:r>
            <w:r>
              <w:t>dB(A)</w:t>
            </w:r>
          </w:p>
          <w:p>
            <w:pPr>
              <w:pStyle w:val="36"/>
              <w:ind w:firstLine="720" w:firstLineChars="300"/>
            </w:pPr>
            <w:r>
              <w:t>r</w:t>
            </w:r>
            <w:r>
              <w:rPr>
                <w:vertAlign w:val="subscript"/>
              </w:rPr>
              <w:t>p</w:t>
            </w:r>
            <w:r>
              <w:t>-</w:t>
            </w:r>
            <w:r>
              <w:rPr>
                <w:rFonts w:hint="eastAsia"/>
              </w:rPr>
              <w:t>预测点与声源之间的距离：</w:t>
            </w:r>
            <w:r>
              <w:t>m    r</w:t>
            </w:r>
            <w:r>
              <w:rPr>
                <w:vertAlign w:val="subscript"/>
              </w:rPr>
              <w:t>0</w:t>
            </w:r>
            <w:r>
              <w:t>-</w:t>
            </w:r>
            <w:r>
              <w:rPr>
                <w:rFonts w:hint="eastAsia"/>
              </w:rPr>
              <w:t>参考声级与点声源间的距离：</w:t>
            </w:r>
            <w:r>
              <w:t>m</w:t>
            </w:r>
          </w:p>
          <w:p>
            <w:pPr>
              <w:pStyle w:val="36"/>
              <w:ind w:firstLine="720" w:firstLineChars="300"/>
            </w:pPr>
            <w:r>
              <w:rPr>
                <w:rFonts w:hint="eastAsia" w:ascii="宋体" w:hAnsi="宋体" w:cs="宋体"/>
              </w:rPr>
              <w:t>△</w:t>
            </w:r>
            <w:r>
              <w:t>L-</w:t>
            </w:r>
            <w:r>
              <w:rPr>
                <w:rFonts w:hint="eastAsia"/>
              </w:rPr>
              <w:t>附加衰减量：</w:t>
            </w:r>
            <w:r>
              <w:t>dB(A)</w:t>
            </w:r>
          </w:p>
          <w:p>
            <w:pPr>
              <w:pStyle w:val="36"/>
              <w:ind w:firstLine="31680"/>
            </w:pPr>
            <w:r>
              <w:rPr>
                <w:rFonts w:hint="eastAsia"/>
              </w:rPr>
              <w:t>根据项目施工特点，施工阶段采用的主要施工机械在周围环境的噪声值如表</w:t>
            </w:r>
            <w:r>
              <w:t>7-1</w:t>
            </w:r>
            <w:r>
              <w:rPr>
                <w:rFonts w:hint="eastAsia"/>
              </w:rPr>
              <w:t>所示。</w:t>
            </w:r>
          </w:p>
          <w:p>
            <w:pPr>
              <w:pStyle w:val="47"/>
            </w:pPr>
            <w:r>
              <w:rPr>
                <w:rFonts w:hint="eastAsia"/>
              </w:rPr>
              <w:t>表</w:t>
            </w:r>
            <w:r>
              <w:t xml:space="preserve">7-1 </w:t>
            </w:r>
            <w:r>
              <w:rPr>
                <w:rFonts w:hint="eastAsia"/>
              </w:rPr>
              <w:t>距声源不同距离预测出的噪声贡献值</w:t>
            </w:r>
            <w:r>
              <w:t xml:space="preserve">  </w:t>
            </w:r>
            <w:r>
              <w:rPr>
                <w:rFonts w:hint="eastAsia"/>
              </w:rPr>
              <w:t>单位：</w:t>
            </w:r>
            <w:r>
              <w:t>dB</w:t>
            </w:r>
            <w:r>
              <w:rPr>
                <w:rFonts w:hint="eastAsia"/>
              </w:rPr>
              <w:t>（</w:t>
            </w:r>
            <w:r>
              <w:t>A</w:t>
            </w:r>
            <w:r>
              <w:rPr>
                <w:rFonts w:hint="eastAsia"/>
              </w:rPr>
              <w:t>）</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86"/>
              <w:gridCol w:w="787"/>
              <w:gridCol w:w="787"/>
              <w:gridCol w:w="789"/>
              <w:gridCol w:w="774"/>
              <w:gridCol w:w="789"/>
              <w:gridCol w:w="796"/>
              <w:gridCol w:w="796"/>
              <w:gridCol w:w="796"/>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8"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设备名称</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1m</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5m</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10m</w:t>
                  </w:r>
                </w:p>
              </w:tc>
              <w:tc>
                <w:tcPr>
                  <w:tcW w:w="422" w:type="pct"/>
                  <w:tcBorders>
                    <w:top w:val="single" w:color="auto" w:sz="4" w:space="0"/>
                    <w:left w:val="single" w:color="auto" w:sz="4" w:space="0"/>
                    <w:bottom w:val="single" w:color="auto" w:sz="4" w:space="0"/>
                    <w:right w:val="single" w:color="auto" w:sz="4" w:space="0"/>
                  </w:tcBorders>
                  <w:vAlign w:val="center"/>
                </w:tcPr>
                <w:p>
                  <w:pPr>
                    <w:pStyle w:val="41"/>
                  </w:pPr>
                  <w:r>
                    <w:t>30m</w:t>
                  </w:r>
                </w:p>
              </w:tc>
              <w:tc>
                <w:tcPr>
                  <w:tcW w:w="414" w:type="pct"/>
                  <w:tcBorders>
                    <w:top w:val="single" w:color="auto" w:sz="4" w:space="0"/>
                    <w:left w:val="single" w:color="auto" w:sz="4" w:space="0"/>
                    <w:bottom w:val="single" w:color="auto" w:sz="4" w:space="0"/>
                    <w:right w:val="single" w:color="auto" w:sz="4" w:space="0"/>
                  </w:tcBorders>
                  <w:vAlign w:val="center"/>
                </w:tcPr>
                <w:p>
                  <w:pPr>
                    <w:pStyle w:val="41"/>
                  </w:pPr>
                  <w:r>
                    <w:t>50m</w:t>
                  </w:r>
                </w:p>
              </w:tc>
              <w:tc>
                <w:tcPr>
                  <w:tcW w:w="422" w:type="pct"/>
                  <w:tcBorders>
                    <w:top w:val="single" w:color="auto" w:sz="4" w:space="0"/>
                    <w:left w:val="single" w:color="auto" w:sz="4" w:space="0"/>
                    <w:bottom w:val="single" w:color="auto" w:sz="4" w:space="0"/>
                    <w:right w:val="single" w:color="auto" w:sz="4" w:space="0"/>
                  </w:tcBorders>
                  <w:vAlign w:val="center"/>
                </w:tcPr>
                <w:p>
                  <w:pPr>
                    <w:pStyle w:val="41"/>
                  </w:pPr>
                  <w:r>
                    <w:t>100m</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150m</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200m</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250m</w:t>
                  </w:r>
                </w:p>
              </w:tc>
              <w:tc>
                <w:tcPr>
                  <w:tcW w:w="423" w:type="pct"/>
                  <w:tcBorders>
                    <w:top w:val="single" w:color="auto" w:sz="4" w:space="0"/>
                    <w:left w:val="single" w:color="auto" w:sz="4" w:space="0"/>
                    <w:bottom w:val="single" w:color="auto" w:sz="4" w:space="0"/>
                    <w:right w:val="single" w:color="auto" w:sz="4" w:space="0"/>
                  </w:tcBorders>
                  <w:vAlign w:val="center"/>
                </w:tcPr>
                <w:p>
                  <w:pPr>
                    <w:pStyle w:val="41"/>
                  </w:pPr>
                  <w:r>
                    <w:t>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8"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装载机</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90</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76</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70</w:t>
                  </w:r>
                </w:p>
              </w:tc>
              <w:tc>
                <w:tcPr>
                  <w:tcW w:w="422" w:type="pct"/>
                  <w:tcBorders>
                    <w:top w:val="single" w:color="auto" w:sz="4" w:space="0"/>
                    <w:left w:val="single" w:color="auto" w:sz="4" w:space="0"/>
                    <w:bottom w:val="single" w:color="auto" w:sz="4" w:space="0"/>
                    <w:right w:val="single" w:color="auto" w:sz="4" w:space="0"/>
                  </w:tcBorders>
                  <w:vAlign w:val="center"/>
                </w:tcPr>
                <w:p>
                  <w:pPr>
                    <w:pStyle w:val="41"/>
                  </w:pPr>
                  <w:r>
                    <w:t>60</w:t>
                  </w:r>
                </w:p>
              </w:tc>
              <w:tc>
                <w:tcPr>
                  <w:tcW w:w="414" w:type="pct"/>
                  <w:tcBorders>
                    <w:top w:val="single" w:color="auto" w:sz="4" w:space="0"/>
                    <w:left w:val="single" w:color="auto" w:sz="4" w:space="0"/>
                    <w:bottom w:val="single" w:color="auto" w:sz="4" w:space="0"/>
                    <w:right w:val="single" w:color="auto" w:sz="4" w:space="0"/>
                  </w:tcBorders>
                  <w:vAlign w:val="center"/>
                </w:tcPr>
                <w:p>
                  <w:pPr>
                    <w:pStyle w:val="41"/>
                  </w:pPr>
                  <w:r>
                    <w:t>56</w:t>
                  </w:r>
                </w:p>
              </w:tc>
              <w:tc>
                <w:tcPr>
                  <w:tcW w:w="422" w:type="pct"/>
                  <w:tcBorders>
                    <w:top w:val="single" w:color="auto" w:sz="4" w:space="0"/>
                    <w:left w:val="single" w:color="auto" w:sz="4" w:space="0"/>
                    <w:bottom w:val="single" w:color="auto" w:sz="4" w:space="0"/>
                    <w:right w:val="single" w:color="auto" w:sz="4" w:space="0"/>
                  </w:tcBorders>
                  <w:vAlign w:val="center"/>
                </w:tcPr>
                <w:p>
                  <w:pPr>
                    <w:pStyle w:val="41"/>
                  </w:pPr>
                  <w:r>
                    <w:t>50</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46</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44</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42</w:t>
                  </w:r>
                </w:p>
              </w:tc>
              <w:tc>
                <w:tcPr>
                  <w:tcW w:w="423" w:type="pct"/>
                  <w:tcBorders>
                    <w:top w:val="single" w:color="auto" w:sz="4" w:space="0"/>
                    <w:left w:val="single" w:color="auto" w:sz="4" w:space="0"/>
                    <w:bottom w:val="single" w:color="auto" w:sz="4" w:space="0"/>
                    <w:right w:val="single" w:color="auto" w:sz="4" w:space="0"/>
                  </w:tcBorders>
                  <w:vAlign w:val="center"/>
                </w:tcPr>
                <w:p>
                  <w:pPr>
                    <w:pStyle w:val="41"/>
                  </w:pP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8"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吊装机</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85</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71</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65</w:t>
                  </w:r>
                </w:p>
              </w:tc>
              <w:tc>
                <w:tcPr>
                  <w:tcW w:w="422" w:type="pct"/>
                  <w:tcBorders>
                    <w:top w:val="single" w:color="auto" w:sz="4" w:space="0"/>
                    <w:left w:val="single" w:color="auto" w:sz="4" w:space="0"/>
                    <w:bottom w:val="single" w:color="auto" w:sz="4" w:space="0"/>
                    <w:right w:val="single" w:color="auto" w:sz="4" w:space="0"/>
                  </w:tcBorders>
                  <w:vAlign w:val="center"/>
                </w:tcPr>
                <w:p>
                  <w:pPr>
                    <w:pStyle w:val="41"/>
                  </w:pPr>
                  <w:r>
                    <w:t>55</w:t>
                  </w:r>
                </w:p>
              </w:tc>
              <w:tc>
                <w:tcPr>
                  <w:tcW w:w="414" w:type="pct"/>
                  <w:tcBorders>
                    <w:top w:val="single" w:color="auto" w:sz="4" w:space="0"/>
                    <w:left w:val="single" w:color="auto" w:sz="4" w:space="0"/>
                    <w:bottom w:val="single" w:color="auto" w:sz="4" w:space="0"/>
                    <w:right w:val="single" w:color="auto" w:sz="4" w:space="0"/>
                  </w:tcBorders>
                  <w:vAlign w:val="center"/>
                </w:tcPr>
                <w:p>
                  <w:pPr>
                    <w:pStyle w:val="41"/>
                  </w:pPr>
                  <w:r>
                    <w:t>51</w:t>
                  </w:r>
                </w:p>
              </w:tc>
              <w:tc>
                <w:tcPr>
                  <w:tcW w:w="422" w:type="pct"/>
                  <w:tcBorders>
                    <w:top w:val="single" w:color="auto" w:sz="4" w:space="0"/>
                    <w:left w:val="single" w:color="auto" w:sz="4" w:space="0"/>
                    <w:bottom w:val="single" w:color="auto" w:sz="4" w:space="0"/>
                    <w:right w:val="single" w:color="auto" w:sz="4" w:space="0"/>
                  </w:tcBorders>
                  <w:vAlign w:val="center"/>
                </w:tcPr>
                <w:p>
                  <w:pPr>
                    <w:pStyle w:val="41"/>
                  </w:pPr>
                  <w:r>
                    <w:t>45</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41</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39</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37</w:t>
                  </w:r>
                </w:p>
              </w:tc>
              <w:tc>
                <w:tcPr>
                  <w:tcW w:w="423" w:type="pct"/>
                  <w:tcBorders>
                    <w:top w:val="single" w:color="auto" w:sz="4" w:space="0"/>
                    <w:left w:val="single" w:color="auto" w:sz="4" w:space="0"/>
                    <w:bottom w:val="single" w:color="auto" w:sz="4" w:space="0"/>
                    <w:right w:val="single" w:color="auto" w:sz="4" w:space="0"/>
                  </w:tcBorders>
                  <w:vAlign w:val="center"/>
                </w:tcPr>
                <w:p>
                  <w:pPr>
                    <w:pStyle w:val="41"/>
                  </w:pPr>
                  <w: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8"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电焊机</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80</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66</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60</w:t>
                  </w:r>
                </w:p>
              </w:tc>
              <w:tc>
                <w:tcPr>
                  <w:tcW w:w="422" w:type="pct"/>
                  <w:tcBorders>
                    <w:top w:val="single" w:color="auto" w:sz="4" w:space="0"/>
                    <w:left w:val="single" w:color="auto" w:sz="4" w:space="0"/>
                    <w:bottom w:val="single" w:color="auto" w:sz="4" w:space="0"/>
                    <w:right w:val="single" w:color="auto" w:sz="4" w:space="0"/>
                  </w:tcBorders>
                  <w:vAlign w:val="center"/>
                </w:tcPr>
                <w:p>
                  <w:pPr>
                    <w:pStyle w:val="41"/>
                  </w:pPr>
                  <w:r>
                    <w:t>50</w:t>
                  </w:r>
                </w:p>
              </w:tc>
              <w:tc>
                <w:tcPr>
                  <w:tcW w:w="414" w:type="pct"/>
                  <w:tcBorders>
                    <w:top w:val="single" w:color="auto" w:sz="4" w:space="0"/>
                    <w:left w:val="single" w:color="auto" w:sz="4" w:space="0"/>
                    <w:bottom w:val="single" w:color="auto" w:sz="4" w:space="0"/>
                    <w:right w:val="single" w:color="auto" w:sz="4" w:space="0"/>
                  </w:tcBorders>
                  <w:vAlign w:val="center"/>
                </w:tcPr>
                <w:p>
                  <w:pPr>
                    <w:pStyle w:val="41"/>
                  </w:pPr>
                  <w:r>
                    <w:t>46</w:t>
                  </w:r>
                </w:p>
              </w:tc>
              <w:tc>
                <w:tcPr>
                  <w:tcW w:w="422" w:type="pct"/>
                  <w:tcBorders>
                    <w:top w:val="single" w:color="auto" w:sz="4" w:space="0"/>
                    <w:left w:val="single" w:color="auto" w:sz="4" w:space="0"/>
                    <w:bottom w:val="single" w:color="auto" w:sz="4" w:space="0"/>
                    <w:right w:val="single" w:color="auto" w:sz="4" w:space="0"/>
                  </w:tcBorders>
                  <w:vAlign w:val="center"/>
                </w:tcPr>
                <w:p>
                  <w:pPr>
                    <w:pStyle w:val="41"/>
                  </w:pPr>
                  <w:r>
                    <w:t>40</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36</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34</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32</w:t>
                  </w:r>
                </w:p>
              </w:tc>
              <w:tc>
                <w:tcPr>
                  <w:tcW w:w="423" w:type="pct"/>
                  <w:tcBorders>
                    <w:top w:val="single" w:color="auto" w:sz="4" w:space="0"/>
                    <w:left w:val="single" w:color="auto" w:sz="4" w:space="0"/>
                    <w:bottom w:val="single" w:color="auto" w:sz="4" w:space="0"/>
                    <w:right w:val="single" w:color="auto" w:sz="4" w:space="0"/>
                  </w:tcBorders>
                  <w:vAlign w:val="center"/>
                </w:tcPr>
                <w:p>
                  <w:pPr>
                    <w:pStyle w:val="41"/>
                  </w:pPr>
                  <w: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8"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卡车</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85</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71</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65</w:t>
                  </w:r>
                </w:p>
              </w:tc>
              <w:tc>
                <w:tcPr>
                  <w:tcW w:w="422" w:type="pct"/>
                  <w:tcBorders>
                    <w:top w:val="single" w:color="auto" w:sz="4" w:space="0"/>
                    <w:left w:val="single" w:color="auto" w:sz="4" w:space="0"/>
                    <w:bottom w:val="single" w:color="auto" w:sz="4" w:space="0"/>
                    <w:right w:val="single" w:color="auto" w:sz="4" w:space="0"/>
                  </w:tcBorders>
                  <w:vAlign w:val="center"/>
                </w:tcPr>
                <w:p>
                  <w:pPr>
                    <w:pStyle w:val="41"/>
                  </w:pPr>
                  <w:r>
                    <w:t>55</w:t>
                  </w:r>
                </w:p>
              </w:tc>
              <w:tc>
                <w:tcPr>
                  <w:tcW w:w="414" w:type="pct"/>
                  <w:tcBorders>
                    <w:top w:val="single" w:color="auto" w:sz="4" w:space="0"/>
                    <w:left w:val="single" w:color="auto" w:sz="4" w:space="0"/>
                    <w:bottom w:val="single" w:color="auto" w:sz="4" w:space="0"/>
                    <w:right w:val="single" w:color="auto" w:sz="4" w:space="0"/>
                  </w:tcBorders>
                  <w:vAlign w:val="center"/>
                </w:tcPr>
                <w:p>
                  <w:pPr>
                    <w:pStyle w:val="41"/>
                  </w:pPr>
                  <w:r>
                    <w:t>51</w:t>
                  </w:r>
                </w:p>
              </w:tc>
              <w:tc>
                <w:tcPr>
                  <w:tcW w:w="422" w:type="pct"/>
                  <w:tcBorders>
                    <w:top w:val="single" w:color="auto" w:sz="4" w:space="0"/>
                    <w:left w:val="single" w:color="auto" w:sz="4" w:space="0"/>
                    <w:bottom w:val="single" w:color="auto" w:sz="4" w:space="0"/>
                    <w:right w:val="single" w:color="auto" w:sz="4" w:space="0"/>
                  </w:tcBorders>
                  <w:vAlign w:val="center"/>
                </w:tcPr>
                <w:p>
                  <w:pPr>
                    <w:pStyle w:val="41"/>
                  </w:pPr>
                  <w:r>
                    <w:t>45</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41</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39</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37</w:t>
                  </w:r>
                </w:p>
              </w:tc>
              <w:tc>
                <w:tcPr>
                  <w:tcW w:w="423" w:type="pct"/>
                  <w:tcBorders>
                    <w:top w:val="single" w:color="auto" w:sz="4" w:space="0"/>
                    <w:left w:val="single" w:color="auto" w:sz="4" w:space="0"/>
                    <w:bottom w:val="single" w:color="auto" w:sz="4" w:space="0"/>
                    <w:right w:val="single" w:color="auto" w:sz="4" w:space="0"/>
                  </w:tcBorders>
                  <w:vAlign w:val="center"/>
                </w:tcPr>
                <w:p>
                  <w:pPr>
                    <w:pStyle w:val="41"/>
                  </w:pPr>
                  <w: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8"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叠加值</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92.39</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78.39</w:t>
                  </w:r>
                </w:p>
              </w:tc>
              <w:tc>
                <w:tcPr>
                  <w:tcW w:w="421" w:type="pct"/>
                  <w:tcBorders>
                    <w:top w:val="single" w:color="auto" w:sz="4" w:space="0"/>
                    <w:left w:val="single" w:color="auto" w:sz="4" w:space="0"/>
                    <w:bottom w:val="single" w:color="auto" w:sz="4" w:space="0"/>
                    <w:right w:val="single" w:color="auto" w:sz="4" w:space="0"/>
                  </w:tcBorders>
                  <w:vAlign w:val="center"/>
                </w:tcPr>
                <w:p>
                  <w:pPr>
                    <w:pStyle w:val="41"/>
                  </w:pPr>
                  <w:r>
                    <w:t>72.39</w:t>
                  </w:r>
                </w:p>
              </w:tc>
              <w:tc>
                <w:tcPr>
                  <w:tcW w:w="422" w:type="pct"/>
                  <w:tcBorders>
                    <w:top w:val="single" w:color="auto" w:sz="4" w:space="0"/>
                    <w:left w:val="single" w:color="auto" w:sz="4" w:space="0"/>
                    <w:bottom w:val="single" w:color="auto" w:sz="4" w:space="0"/>
                    <w:right w:val="single" w:color="auto" w:sz="4" w:space="0"/>
                  </w:tcBorders>
                  <w:vAlign w:val="center"/>
                </w:tcPr>
                <w:p>
                  <w:pPr>
                    <w:pStyle w:val="41"/>
                  </w:pPr>
                  <w:r>
                    <w:t>62.39</w:t>
                  </w:r>
                </w:p>
              </w:tc>
              <w:tc>
                <w:tcPr>
                  <w:tcW w:w="414" w:type="pct"/>
                  <w:tcBorders>
                    <w:top w:val="single" w:color="auto" w:sz="4" w:space="0"/>
                    <w:left w:val="single" w:color="auto" w:sz="4" w:space="0"/>
                    <w:bottom w:val="single" w:color="auto" w:sz="4" w:space="0"/>
                    <w:right w:val="single" w:color="auto" w:sz="4" w:space="0"/>
                  </w:tcBorders>
                  <w:vAlign w:val="center"/>
                </w:tcPr>
                <w:p>
                  <w:pPr>
                    <w:pStyle w:val="41"/>
                  </w:pPr>
                  <w:r>
                    <w:t>58.39</w:t>
                  </w:r>
                </w:p>
              </w:tc>
              <w:tc>
                <w:tcPr>
                  <w:tcW w:w="422" w:type="pct"/>
                  <w:tcBorders>
                    <w:top w:val="single" w:color="auto" w:sz="4" w:space="0"/>
                    <w:left w:val="single" w:color="auto" w:sz="4" w:space="0"/>
                    <w:bottom w:val="single" w:color="auto" w:sz="4" w:space="0"/>
                    <w:right w:val="single" w:color="auto" w:sz="4" w:space="0"/>
                  </w:tcBorders>
                  <w:vAlign w:val="center"/>
                </w:tcPr>
                <w:p>
                  <w:pPr>
                    <w:pStyle w:val="41"/>
                  </w:pPr>
                  <w:r>
                    <w:t>52.39</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48.39</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46.39</w:t>
                  </w:r>
                </w:p>
              </w:tc>
              <w:tc>
                <w:tcPr>
                  <w:tcW w:w="426" w:type="pct"/>
                  <w:tcBorders>
                    <w:top w:val="single" w:color="auto" w:sz="4" w:space="0"/>
                    <w:left w:val="single" w:color="auto" w:sz="4" w:space="0"/>
                    <w:bottom w:val="single" w:color="auto" w:sz="4" w:space="0"/>
                    <w:right w:val="single" w:color="auto" w:sz="4" w:space="0"/>
                  </w:tcBorders>
                  <w:vAlign w:val="center"/>
                </w:tcPr>
                <w:p>
                  <w:pPr>
                    <w:pStyle w:val="41"/>
                  </w:pPr>
                  <w:r>
                    <w:t>44.39</w:t>
                  </w:r>
                </w:p>
              </w:tc>
              <w:tc>
                <w:tcPr>
                  <w:tcW w:w="423" w:type="pct"/>
                  <w:tcBorders>
                    <w:top w:val="single" w:color="auto" w:sz="4" w:space="0"/>
                    <w:left w:val="single" w:color="auto" w:sz="4" w:space="0"/>
                    <w:bottom w:val="single" w:color="auto" w:sz="4" w:space="0"/>
                    <w:right w:val="single" w:color="auto" w:sz="4" w:space="0"/>
                  </w:tcBorders>
                  <w:vAlign w:val="center"/>
                </w:tcPr>
                <w:p>
                  <w:pPr>
                    <w:pStyle w:val="41"/>
                  </w:pPr>
                  <w:r>
                    <w:t>42.39</w:t>
                  </w:r>
                </w:p>
              </w:tc>
            </w:tr>
          </w:tbl>
          <w:p>
            <w:pPr>
              <w:pStyle w:val="36"/>
              <w:ind w:firstLine="31680"/>
            </w:pPr>
            <w:r>
              <w:rPr>
                <w:rFonts w:hint="eastAsia"/>
              </w:rPr>
              <w:t>项目区周边主要保护目标为东侧</w:t>
            </w:r>
            <w:r>
              <w:t>200m</w:t>
            </w:r>
            <w:r>
              <w:rPr>
                <w:rFonts w:hint="eastAsia"/>
              </w:rPr>
              <w:t>的大湾村。根据上述预测，项目施工噪声对大湾村影响很小。</w:t>
            </w:r>
          </w:p>
          <w:p>
            <w:pPr>
              <w:pStyle w:val="36"/>
              <w:ind w:firstLine="31680"/>
            </w:pPr>
            <w:r>
              <w:rPr>
                <w:rFonts w:hint="eastAsia"/>
              </w:rPr>
              <w:t>本项目施工期为</w:t>
            </w:r>
            <w:r>
              <w:t>1</w:t>
            </w:r>
            <w:r>
              <w:rPr>
                <w:rFonts w:hint="eastAsia"/>
              </w:rPr>
              <w:t>个月，施工程量少，影响周期较短。为进一步减小施工噪声对周围环境的影响，本环评提出以下措施，以确保施工噪声尽可能周到不扰民。</w:t>
            </w:r>
          </w:p>
          <w:p>
            <w:pPr>
              <w:pStyle w:val="36"/>
              <w:ind w:firstLine="31680"/>
            </w:pPr>
            <w:r>
              <w:rPr>
                <w:rFonts w:hint="eastAsia"/>
              </w:rPr>
              <w:t>①合理安排施工时间，以及施工计划和施工机械设备组合：</w:t>
            </w:r>
          </w:p>
          <w:p>
            <w:pPr>
              <w:pStyle w:val="36"/>
              <w:ind w:firstLine="31680"/>
            </w:pPr>
            <w:r>
              <w:rPr>
                <w:rFonts w:hint="eastAsia"/>
              </w:rPr>
              <w:t>避免在同一时间集中使用大量的动力机械设备。施工单位严格执行《建筑施工场界噪声限值》（</w:t>
            </w:r>
            <w:r>
              <w:t>GB12532-2011</w:t>
            </w:r>
            <w:r>
              <w:rPr>
                <w:rFonts w:hint="eastAsia"/>
              </w:rPr>
              <w:t>）的要求，在施工过程中，尽量减少运行动力机械设备的数量，尽可能使动力机械设备均匀使用；不得夜间施工，若由于工程要求，不得不夜间施工，必须提前向当地环保局申请，并通告周边居民，避免发生纠纷。</w:t>
            </w:r>
          </w:p>
          <w:p>
            <w:pPr>
              <w:pStyle w:val="36"/>
              <w:ind w:firstLine="31680"/>
            </w:pPr>
            <w:r>
              <w:rPr>
                <w:rFonts w:hint="eastAsia"/>
              </w:rPr>
              <w:t>②项目运输机动车辆应当安装完整有效的消声设备和符合规定的喇叭，整车噪声应当符合机动车辆噪声排放标准。运输车辆在项目区内减速，禁止鸣笛，尽量在白天运输。</w:t>
            </w:r>
          </w:p>
          <w:p>
            <w:pPr>
              <w:pStyle w:val="36"/>
              <w:ind w:firstLine="31680"/>
            </w:pPr>
            <w:r>
              <w:fldChar w:fldCharType="begin"/>
            </w:r>
            <w:r>
              <w:instrText xml:space="preserve"> = 3 \* GB3 </w:instrText>
            </w:r>
            <w:r>
              <w:fldChar w:fldCharType="separate"/>
            </w:r>
            <w:r>
              <w:rPr>
                <w:rFonts w:hint="eastAsia"/>
              </w:rPr>
              <w:t>③</w:t>
            </w:r>
            <w:r>
              <w:rPr>
                <w:rFonts w:hint="eastAsia"/>
              </w:rPr>
              <w:fldChar w:fldCharType="end"/>
            </w:r>
            <w:r>
              <w:rPr>
                <w:rFonts w:hint="eastAsia"/>
              </w:rPr>
              <w:t>施工期高噪声设备应合理安排施工时间，夜间禁止施工。禁止在中午</w:t>
            </w:r>
            <w:r>
              <w:t>12</w:t>
            </w:r>
            <w:r>
              <w:rPr>
                <w:rFonts w:hint="eastAsia"/>
              </w:rPr>
              <w:t>点至</w:t>
            </w:r>
            <w:r>
              <w:t>14</w:t>
            </w:r>
            <w:r>
              <w:rPr>
                <w:rFonts w:hint="eastAsia"/>
              </w:rPr>
              <w:t>点、夜间</w:t>
            </w:r>
            <w:r>
              <w:t>22</w:t>
            </w:r>
            <w:r>
              <w:rPr>
                <w:rFonts w:hint="eastAsia"/>
              </w:rPr>
              <w:t>点至次日</w:t>
            </w:r>
            <w:r>
              <w:t>6</w:t>
            </w:r>
            <w:r>
              <w:rPr>
                <w:rFonts w:hint="eastAsia"/>
              </w:rPr>
              <w:t>点进行建筑施工作业；</w:t>
            </w:r>
          </w:p>
          <w:p>
            <w:pPr>
              <w:pStyle w:val="36"/>
              <w:ind w:firstLine="31680"/>
            </w:pPr>
            <w:r>
              <w:fldChar w:fldCharType="begin"/>
            </w:r>
            <w:r>
              <w:instrText xml:space="preserve"> = 4 \* GB3 </w:instrText>
            </w:r>
            <w:r>
              <w:fldChar w:fldCharType="separate"/>
            </w:r>
            <w:r>
              <w:rPr>
                <w:rFonts w:hint="eastAsia"/>
              </w:rPr>
              <w:t>④</w:t>
            </w:r>
            <w:r>
              <w:rPr>
                <w:rFonts w:hint="eastAsia"/>
              </w:rPr>
              <w:fldChar w:fldCharType="end"/>
            </w:r>
            <w:r>
              <w:rPr>
                <w:rFonts w:hint="eastAsia"/>
              </w:rPr>
              <w:t>项目所涉及建筑材料尽量采用定尺定料，减少现场切割。教育工人在施工作业时不得敲打钢管、模板等施工器具，尽量减少噪声；</w:t>
            </w:r>
          </w:p>
          <w:p>
            <w:pPr>
              <w:pStyle w:val="36"/>
              <w:ind w:firstLine="31680"/>
            </w:pPr>
            <w:r>
              <w:fldChar w:fldCharType="begin"/>
            </w:r>
            <w:r>
              <w:instrText xml:space="preserve"> = 5 \* GB3 </w:instrText>
            </w:r>
            <w:r>
              <w:fldChar w:fldCharType="separate"/>
            </w:r>
            <w:r>
              <w:rPr>
                <w:rFonts w:hint="eastAsia"/>
              </w:rPr>
              <w:t>⑤</w:t>
            </w:r>
            <w:r>
              <w:rPr>
                <w:rFonts w:hint="eastAsia"/>
              </w:rPr>
              <w:fldChar w:fldCharType="end"/>
            </w:r>
            <w:r>
              <w:rPr>
                <w:rFonts w:hint="eastAsia"/>
              </w:rPr>
              <w:t>与周边单位和居民区建立良好关系，在施工场地显著位置标识和设立热线投诉电话，接收周边居民监督。如果收到噪声扰民的投诉，必须立即停止施工，进行措施整改，直到噪声不扰民后，方可继续施工。</w:t>
            </w:r>
          </w:p>
          <w:p>
            <w:pPr>
              <w:pStyle w:val="36"/>
              <w:ind w:firstLine="31680"/>
            </w:pPr>
            <w:r>
              <w:fldChar w:fldCharType="begin"/>
            </w:r>
            <w:r>
              <w:instrText xml:space="preserve"> = 6 \* GB3 </w:instrText>
            </w:r>
            <w:r>
              <w:fldChar w:fldCharType="separate"/>
            </w:r>
            <w:r>
              <w:rPr>
                <w:rFonts w:hint="eastAsia" w:cs="宋体"/>
              </w:rPr>
              <w:t>⑥</w:t>
            </w:r>
            <w:r>
              <w:rPr>
                <w:rFonts w:hint="eastAsia" w:cs="宋体"/>
              </w:rPr>
              <w:fldChar w:fldCharType="end"/>
            </w:r>
            <w:r>
              <w:rPr>
                <w:rFonts w:hint="eastAsia"/>
              </w:rPr>
              <w:t>建设单位在与施工单位签订合同时，应要求其使用的主要机械设备为低噪声设备，同时在施工过程中的应设专人对设备进行定期保养和维护，并负责对现场工作人员进行培训，严格按操作规范使用各类机械。</w:t>
            </w:r>
          </w:p>
          <w:p>
            <w:pPr>
              <w:pStyle w:val="36"/>
              <w:ind w:firstLine="31680"/>
            </w:pPr>
            <w:r>
              <w:rPr>
                <w:rFonts w:hint="eastAsia"/>
              </w:rPr>
              <w:t>通过采取上述措施，将项目施工期噪声对周围环境的影响降至最低。项目施工噪声不会对周边环境产生长期影响，随着项目施工结束，施工噪声污染将随之消失。</w:t>
            </w:r>
          </w:p>
          <w:p>
            <w:pPr>
              <w:pStyle w:val="36"/>
              <w:ind w:firstLine="31680"/>
            </w:pPr>
            <w:r>
              <w:t>4</w:t>
            </w:r>
            <w:r>
              <w:rPr>
                <w:rFonts w:hint="eastAsia"/>
              </w:rPr>
              <w:t>、固体废弃物对环境的影响分析</w:t>
            </w:r>
          </w:p>
          <w:p>
            <w:pPr>
              <w:pStyle w:val="36"/>
              <w:ind w:firstLine="31680"/>
            </w:pPr>
            <w:r>
              <w:rPr>
                <w:rFonts w:hint="eastAsia"/>
              </w:rPr>
              <w:t>项目施工期间产生的固体废弃物包括土石方、建筑垃圾和施工人员产生的生活垃圾。</w:t>
            </w:r>
          </w:p>
          <w:p>
            <w:pPr>
              <w:pStyle w:val="36"/>
              <w:ind w:firstLine="31680"/>
            </w:pPr>
            <w:r>
              <w:t>1</w:t>
            </w:r>
            <w:r>
              <w:rPr>
                <w:rFonts w:hint="eastAsia"/>
              </w:rPr>
              <w:t>）、土石方</w:t>
            </w:r>
          </w:p>
          <w:p>
            <w:pPr>
              <w:pStyle w:val="36"/>
              <w:ind w:firstLine="31680"/>
            </w:pPr>
            <w:r>
              <w:rPr>
                <w:rFonts w:hint="eastAsia"/>
              </w:rPr>
              <w:t>本项目需新建</w:t>
            </w:r>
            <w:r>
              <w:t>500m</w:t>
            </w:r>
            <w:r>
              <w:rPr>
                <w:vertAlign w:val="superscript"/>
              </w:rPr>
              <w:t>2</w:t>
            </w:r>
            <w:r>
              <w:rPr>
                <w:rFonts w:hint="eastAsia"/>
              </w:rPr>
              <w:t>厂房，根据业主提供的资料及实际情况，本项目土石方开挖量约为</w:t>
            </w:r>
            <w:r>
              <w:t>15m</w:t>
            </w:r>
            <w:r>
              <w:rPr>
                <w:vertAlign w:val="superscript"/>
              </w:rPr>
              <w:t>3</w:t>
            </w:r>
            <w:r>
              <w:rPr>
                <w:rFonts w:hint="eastAsia"/>
              </w:rPr>
              <w:t>，全部用于场地平整，所以本项目无废弃土石方产生。对周围环境的影响不明显。</w:t>
            </w:r>
          </w:p>
          <w:p>
            <w:pPr>
              <w:pStyle w:val="36"/>
              <w:ind w:firstLine="31680"/>
            </w:pPr>
            <w:r>
              <w:t>2</w:t>
            </w:r>
            <w:r>
              <w:rPr>
                <w:rFonts w:hint="eastAsia"/>
              </w:rPr>
              <w:t>）建筑垃圾</w:t>
            </w:r>
          </w:p>
          <w:p>
            <w:pPr>
              <w:pStyle w:val="36"/>
              <w:ind w:firstLine="31680"/>
            </w:pPr>
            <w:r>
              <w:rPr>
                <w:rFonts w:hint="eastAsia"/>
              </w:rPr>
              <w:t>本项目需新建</w:t>
            </w:r>
            <w:r>
              <w:t>500m</w:t>
            </w:r>
            <w:r>
              <w:rPr>
                <w:vertAlign w:val="superscript"/>
              </w:rPr>
              <w:t>2</w:t>
            </w:r>
            <w:r>
              <w:rPr>
                <w:rFonts w:hint="eastAsia"/>
              </w:rPr>
              <w:t>厂房，并进行装修，施工期约为</w:t>
            </w:r>
            <w:r>
              <w:t>1</w:t>
            </w:r>
            <w:r>
              <w:rPr>
                <w:rFonts w:hint="eastAsia"/>
              </w:rPr>
              <w:t>个月。根据类比同类型项目，本项目施工时产生的建筑垃圾量为</w:t>
            </w:r>
            <w:r>
              <w:t>1.0t</w:t>
            </w:r>
            <w:r>
              <w:rPr>
                <w:rFonts w:hint="eastAsia"/>
              </w:rPr>
              <w:t>，产生量较少，建筑垃圾由施工收集后交由专业公司处理。对周围环境的影响不明显。</w:t>
            </w:r>
          </w:p>
          <w:p>
            <w:pPr>
              <w:pStyle w:val="36"/>
              <w:ind w:firstLine="31680"/>
            </w:pPr>
            <w:r>
              <w:t>3</w:t>
            </w:r>
            <w:r>
              <w:rPr>
                <w:rFonts w:hint="eastAsia"/>
              </w:rPr>
              <w:t>）生活垃圾</w:t>
            </w:r>
          </w:p>
          <w:p>
            <w:pPr>
              <w:pStyle w:val="36"/>
              <w:ind w:firstLine="31680"/>
            </w:pPr>
            <w:r>
              <w:rPr>
                <w:rFonts w:hint="eastAsia"/>
              </w:rPr>
              <w:t>施工人员不在项目区食宿，产生的生活垃圾很少。项目区每天的最大施工人员约为</w:t>
            </w:r>
            <w:r>
              <w:t>10</w:t>
            </w:r>
            <w:r>
              <w:rPr>
                <w:rFonts w:hint="eastAsia"/>
              </w:rPr>
              <w:t>人，施工人员产生的生活垃圾按每人每天产生</w:t>
            </w:r>
            <w:r>
              <w:t>0.2kg</w:t>
            </w:r>
            <w:r>
              <w:rPr>
                <w:rFonts w:hint="eastAsia"/>
              </w:rPr>
              <w:t>，则施工期产生的生活垃圾量为</w:t>
            </w:r>
            <w:r>
              <w:t>2kg/d</w:t>
            </w:r>
            <w:r>
              <w:rPr>
                <w:rFonts w:hint="eastAsia"/>
              </w:rPr>
              <w:t>。项目派专人集中收集运输至就近垃圾收集点，由环卫部门定期清运，对周围环境的影响不明显。</w:t>
            </w:r>
          </w:p>
          <w:p>
            <w:pPr>
              <w:pStyle w:val="36"/>
              <w:ind w:firstLine="31680"/>
            </w:pPr>
            <w:r>
              <w:rPr>
                <w:rFonts w:hint="eastAsia"/>
              </w:rPr>
              <w:t>综上所述，施工期固体废弃物对周围环境的影响较小。</w:t>
            </w:r>
          </w:p>
          <w:p>
            <w:pPr>
              <w:pStyle w:val="75"/>
              <w:ind w:firstLine="31680"/>
              <w:rPr>
                <w:color w:val="auto"/>
              </w:rPr>
            </w:pPr>
            <w:r>
              <w:rPr>
                <w:rFonts w:hint="eastAsia"/>
                <w:color w:val="auto"/>
              </w:rPr>
              <w:t>五、运营期环境影响分析</w:t>
            </w:r>
          </w:p>
          <w:p>
            <w:pPr>
              <w:pStyle w:val="75"/>
              <w:ind w:firstLine="31680"/>
              <w:rPr>
                <w:color w:val="auto"/>
              </w:rPr>
            </w:pPr>
            <w:r>
              <w:rPr>
                <w:color w:val="auto"/>
              </w:rPr>
              <w:t>1</w:t>
            </w:r>
            <w:r>
              <w:rPr>
                <w:rFonts w:hint="eastAsia"/>
                <w:color w:val="auto"/>
              </w:rPr>
              <w:t>、环境空气影响</w:t>
            </w:r>
          </w:p>
          <w:p>
            <w:pPr>
              <w:pStyle w:val="36"/>
              <w:ind w:firstLine="31680"/>
            </w:pPr>
            <w:r>
              <w:rPr>
                <w:rFonts w:hint="eastAsia"/>
              </w:rPr>
              <w:t>本项目为小型实木家具组装，根据业主资料及工艺情况，本项目运营期废气主要为木屑粉尘和油漆废气，其中油漆废气主要为甲苯和二甲苯。</w:t>
            </w:r>
          </w:p>
          <w:p>
            <w:pPr>
              <w:pStyle w:val="36"/>
              <w:ind w:firstLine="31680"/>
            </w:pPr>
            <w:r>
              <w:rPr>
                <w:rFonts w:hint="eastAsia"/>
              </w:rPr>
              <w:t>废气预测及评价</w:t>
            </w:r>
          </w:p>
          <w:p>
            <w:pPr>
              <w:pStyle w:val="36"/>
              <w:ind w:firstLine="31680"/>
            </w:pPr>
            <w:r>
              <w:rPr>
                <w:rFonts w:hint="eastAsia"/>
              </w:rPr>
              <w:t>项目区地处地势较平坦地带，本次评价按导则将周围地形取为简单地形。采用</w:t>
            </w:r>
            <w:r>
              <w:t>HJ2.2</w:t>
            </w:r>
            <w:r>
              <w:rPr>
                <w:rFonts w:hint="eastAsia"/>
              </w:rPr>
              <w:t>－</w:t>
            </w:r>
            <w:r>
              <w:t>2008</w:t>
            </w:r>
            <w:r>
              <w:rPr>
                <w:rFonts w:hint="eastAsia"/>
              </w:rPr>
              <w:t>推介的</w:t>
            </w:r>
            <w:r>
              <w:t>SCREEN3</w:t>
            </w:r>
            <w:r>
              <w:rPr>
                <w:rFonts w:hint="eastAsia"/>
              </w:rPr>
              <w:t>模式对木屑粉尘甲苯和二甲苯下风向的轴线浓度进行计算，并计算相应浓度</w:t>
            </w:r>
            <w:r>
              <w:rPr>
                <w:rFonts w:hint="eastAsia"/>
                <w:lang w:eastAsia="zh-CN"/>
              </w:rPr>
              <w:t>的</w:t>
            </w:r>
            <w:r>
              <w:rPr>
                <w:rFonts w:hint="eastAsia"/>
              </w:rPr>
              <w:t>占标率，预测参数见表</w:t>
            </w:r>
            <w:r>
              <w:t>7-2</w:t>
            </w:r>
            <w:r>
              <w:rPr>
                <w:rFonts w:hint="eastAsia"/>
              </w:rPr>
              <w:t>，预测结果见表</w:t>
            </w:r>
            <w:r>
              <w:t>7-3</w:t>
            </w:r>
            <w:r>
              <w:rPr>
                <w:rFonts w:hint="eastAsia"/>
              </w:rPr>
              <w:t>、</w:t>
            </w:r>
            <w:r>
              <w:t>7-4</w:t>
            </w:r>
            <w:r>
              <w:rPr>
                <w:rFonts w:hint="eastAsia"/>
              </w:rPr>
              <w:t>。</w:t>
            </w:r>
          </w:p>
          <w:p>
            <w:pPr>
              <w:pStyle w:val="47"/>
            </w:pPr>
            <w:r>
              <w:rPr>
                <w:rFonts w:hint="eastAsia"/>
              </w:rPr>
              <w:t>表</w:t>
            </w:r>
            <w:r>
              <w:t xml:space="preserve">7-2 </w:t>
            </w:r>
            <w:r>
              <w:rPr>
                <w:rFonts w:hint="eastAsia"/>
              </w:rPr>
              <w:t>项目无组织排放大气污染物预测参数</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076"/>
              <w:gridCol w:w="1132"/>
              <w:gridCol w:w="996"/>
              <w:gridCol w:w="1979"/>
              <w:gridCol w:w="1134"/>
              <w:gridCol w:w="847"/>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7"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污染源</w:t>
                  </w:r>
                </w:p>
              </w:tc>
              <w:tc>
                <w:tcPr>
                  <w:tcW w:w="576"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废气名称</w:t>
                  </w:r>
                </w:p>
              </w:tc>
              <w:tc>
                <w:tcPr>
                  <w:tcW w:w="606"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排放速率</w:t>
                  </w:r>
                  <w:r>
                    <w:t>t/a</w:t>
                  </w:r>
                </w:p>
              </w:tc>
              <w:tc>
                <w:tcPr>
                  <w:tcW w:w="533"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废气量</w:t>
                  </w:r>
                </w:p>
              </w:tc>
              <w:tc>
                <w:tcPr>
                  <w:tcW w:w="1059"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二级评价小时标准</w:t>
                  </w:r>
                </w:p>
                <w:p>
                  <w:pPr>
                    <w:pStyle w:val="41"/>
                  </w:pPr>
                  <w:r>
                    <w:t>mg/m</w:t>
                  </w:r>
                  <w:r>
                    <w:rPr>
                      <w:vertAlign w:val="superscript"/>
                    </w:rPr>
                    <w:t>3</w:t>
                  </w:r>
                </w:p>
              </w:tc>
              <w:tc>
                <w:tcPr>
                  <w:tcW w:w="1589" w:type="pct"/>
                  <w:gridSpan w:val="3"/>
                  <w:tcBorders>
                    <w:top w:val="single" w:color="auto" w:sz="4" w:space="0"/>
                    <w:left w:val="single" w:color="auto" w:sz="4" w:space="0"/>
                    <w:bottom w:val="single" w:color="auto" w:sz="4" w:space="0"/>
                    <w:right w:val="single" w:color="auto" w:sz="4" w:space="0"/>
                  </w:tcBorders>
                  <w:vAlign w:val="center"/>
                </w:tcPr>
                <w:p>
                  <w:pPr>
                    <w:pStyle w:val="41"/>
                  </w:pPr>
                  <w:r>
                    <w:rPr>
                      <w:rFonts w:hint="eastAsia"/>
                    </w:rPr>
                    <w:t>面源参数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7"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576"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06"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533"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059"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0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高度（</w:t>
                  </w:r>
                  <w:r>
                    <w:t>m</w:t>
                  </w:r>
                  <w:r>
                    <w:rPr>
                      <w:rFonts w:hint="eastAsia"/>
                    </w:rPr>
                    <w:t>）</w:t>
                  </w:r>
                </w:p>
              </w:tc>
              <w:tc>
                <w:tcPr>
                  <w:tcW w:w="453"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长（</w:t>
                  </w:r>
                  <w:r>
                    <w:t>m</w:t>
                  </w:r>
                  <w:r>
                    <w:rPr>
                      <w:rFonts w:hint="eastAsia"/>
                    </w:rPr>
                    <w:t>）</w:t>
                  </w:r>
                </w:p>
              </w:tc>
              <w:tc>
                <w:tcPr>
                  <w:tcW w:w="529"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宽（</w:t>
                  </w:r>
                  <w:r>
                    <w:t>m</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7"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生产车间</w:t>
                  </w:r>
                </w:p>
              </w:tc>
              <w:tc>
                <w:tcPr>
                  <w:tcW w:w="576"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木屑粉尘</w:t>
                  </w:r>
                </w:p>
              </w:tc>
              <w:tc>
                <w:tcPr>
                  <w:tcW w:w="606" w:type="pct"/>
                  <w:tcBorders>
                    <w:top w:val="single" w:color="auto" w:sz="4" w:space="0"/>
                    <w:left w:val="single" w:color="auto" w:sz="4" w:space="0"/>
                    <w:bottom w:val="single" w:color="auto" w:sz="4" w:space="0"/>
                    <w:right w:val="single" w:color="auto" w:sz="4" w:space="0"/>
                  </w:tcBorders>
                  <w:vAlign w:val="center"/>
                </w:tcPr>
                <w:p>
                  <w:pPr>
                    <w:pStyle w:val="41"/>
                  </w:pPr>
                  <w:r>
                    <w:t>0.1</w:t>
                  </w:r>
                </w:p>
              </w:tc>
              <w:tc>
                <w:tcPr>
                  <w:tcW w:w="533" w:type="pct"/>
                  <w:tcBorders>
                    <w:top w:val="single" w:color="auto" w:sz="4" w:space="0"/>
                    <w:left w:val="single" w:color="auto" w:sz="4" w:space="0"/>
                    <w:bottom w:val="single" w:color="auto" w:sz="4" w:space="0"/>
                    <w:right w:val="single" w:color="auto" w:sz="4" w:space="0"/>
                  </w:tcBorders>
                  <w:vAlign w:val="center"/>
                </w:tcPr>
                <w:p>
                  <w:pPr>
                    <w:pStyle w:val="41"/>
                  </w:pPr>
                  <w:r>
                    <w:t>/</w:t>
                  </w:r>
                </w:p>
              </w:tc>
              <w:tc>
                <w:tcPr>
                  <w:tcW w:w="1059" w:type="pct"/>
                  <w:tcBorders>
                    <w:top w:val="single" w:color="auto" w:sz="4" w:space="0"/>
                    <w:left w:val="single" w:color="auto" w:sz="4" w:space="0"/>
                    <w:bottom w:val="single" w:color="auto" w:sz="4" w:space="0"/>
                    <w:right w:val="single" w:color="auto" w:sz="4" w:space="0"/>
                  </w:tcBorders>
                  <w:vAlign w:val="center"/>
                </w:tcPr>
                <w:p>
                  <w:pPr>
                    <w:pStyle w:val="41"/>
                  </w:pPr>
                  <w:r>
                    <w:t>0.9</w:t>
                  </w:r>
                </w:p>
              </w:tc>
              <w:tc>
                <w:tcPr>
                  <w:tcW w:w="607" w:type="pct"/>
                  <w:vMerge w:val="restart"/>
                  <w:tcBorders>
                    <w:top w:val="single" w:color="auto" w:sz="4" w:space="0"/>
                    <w:left w:val="single" w:color="auto" w:sz="4" w:space="0"/>
                    <w:bottom w:val="single" w:color="auto" w:sz="4" w:space="0"/>
                    <w:right w:val="single" w:color="auto" w:sz="4" w:space="0"/>
                  </w:tcBorders>
                  <w:vAlign w:val="center"/>
                </w:tcPr>
                <w:p>
                  <w:pPr>
                    <w:pStyle w:val="41"/>
                  </w:pPr>
                  <w:r>
                    <w:t>6</w:t>
                  </w:r>
                </w:p>
              </w:tc>
              <w:tc>
                <w:tcPr>
                  <w:tcW w:w="453" w:type="pct"/>
                  <w:vMerge w:val="restart"/>
                  <w:tcBorders>
                    <w:top w:val="single" w:color="auto" w:sz="4" w:space="0"/>
                    <w:left w:val="single" w:color="auto" w:sz="4" w:space="0"/>
                    <w:bottom w:val="single" w:color="auto" w:sz="4" w:space="0"/>
                    <w:right w:val="single" w:color="auto" w:sz="4" w:space="0"/>
                  </w:tcBorders>
                  <w:vAlign w:val="center"/>
                </w:tcPr>
                <w:p>
                  <w:pPr>
                    <w:pStyle w:val="41"/>
                  </w:pPr>
                  <w:r>
                    <w:t>50</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pPr>
                    <w:pStyle w:val="41"/>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7"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576"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甲苯</w:t>
                  </w:r>
                </w:p>
              </w:tc>
              <w:tc>
                <w:tcPr>
                  <w:tcW w:w="606" w:type="pct"/>
                  <w:tcBorders>
                    <w:top w:val="single" w:color="auto" w:sz="4" w:space="0"/>
                    <w:left w:val="single" w:color="auto" w:sz="4" w:space="0"/>
                    <w:bottom w:val="single" w:color="auto" w:sz="4" w:space="0"/>
                    <w:right w:val="single" w:color="auto" w:sz="4" w:space="0"/>
                  </w:tcBorders>
                  <w:vAlign w:val="center"/>
                </w:tcPr>
                <w:p>
                  <w:pPr>
                    <w:pStyle w:val="41"/>
                  </w:pPr>
                  <w:r>
                    <w:t>0.074</w:t>
                  </w:r>
                </w:p>
              </w:tc>
              <w:tc>
                <w:tcPr>
                  <w:tcW w:w="533" w:type="pct"/>
                  <w:tcBorders>
                    <w:top w:val="single" w:color="auto" w:sz="4" w:space="0"/>
                    <w:left w:val="single" w:color="auto" w:sz="4" w:space="0"/>
                    <w:bottom w:val="single" w:color="auto" w:sz="4" w:space="0"/>
                    <w:right w:val="single" w:color="auto" w:sz="4" w:space="0"/>
                  </w:tcBorders>
                  <w:vAlign w:val="center"/>
                </w:tcPr>
                <w:p>
                  <w:pPr>
                    <w:pStyle w:val="41"/>
                  </w:pPr>
                  <w:r>
                    <w:t>/</w:t>
                  </w:r>
                </w:p>
              </w:tc>
              <w:tc>
                <w:tcPr>
                  <w:tcW w:w="1059" w:type="pct"/>
                  <w:tcBorders>
                    <w:top w:val="single" w:color="auto" w:sz="4" w:space="0"/>
                    <w:left w:val="single" w:color="auto" w:sz="4" w:space="0"/>
                    <w:bottom w:val="single" w:color="auto" w:sz="4" w:space="0"/>
                    <w:right w:val="single" w:color="auto" w:sz="4" w:space="0"/>
                  </w:tcBorders>
                  <w:vAlign w:val="center"/>
                </w:tcPr>
                <w:p>
                  <w:pPr>
                    <w:pStyle w:val="41"/>
                  </w:pPr>
                  <w:r>
                    <w:t>2.4</w:t>
                  </w:r>
                </w:p>
              </w:tc>
              <w:tc>
                <w:tcPr>
                  <w:tcW w:w="607"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7"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576"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二甲苯</w:t>
                  </w:r>
                </w:p>
              </w:tc>
              <w:tc>
                <w:tcPr>
                  <w:tcW w:w="606" w:type="pct"/>
                  <w:tcBorders>
                    <w:top w:val="single" w:color="auto" w:sz="4" w:space="0"/>
                    <w:left w:val="single" w:color="auto" w:sz="4" w:space="0"/>
                    <w:bottom w:val="single" w:color="auto" w:sz="4" w:space="0"/>
                    <w:right w:val="single" w:color="auto" w:sz="4" w:space="0"/>
                  </w:tcBorders>
                  <w:vAlign w:val="center"/>
                </w:tcPr>
                <w:p>
                  <w:pPr>
                    <w:pStyle w:val="41"/>
                  </w:pPr>
                  <w:r>
                    <w:t>0.067</w:t>
                  </w:r>
                </w:p>
              </w:tc>
              <w:tc>
                <w:tcPr>
                  <w:tcW w:w="533" w:type="pct"/>
                  <w:tcBorders>
                    <w:top w:val="single" w:color="auto" w:sz="4" w:space="0"/>
                    <w:left w:val="single" w:color="auto" w:sz="4" w:space="0"/>
                    <w:bottom w:val="single" w:color="auto" w:sz="4" w:space="0"/>
                    <w:right w:val="single" w:color="auto" w:sz="4" w:space="0"/>
                  </w:tcBorders>
                  <w:vAlign w:val="center"/>
                </w:tcPr>
                <w:p>
                  <w:pPr>
                    <w:pStyle w:val="41"/>
                  </w:pPr>
                  <w:r>
                    <w:t>/</w:t>
                  </w:r>
                </w:p>
              </w:tc>
              <w:tc>
                <w:tcPr>
                  <w:tcW w:w="1059" w:type="pct"/>
                  <w:tcBorders>
                    <w:top w:val="single" w:color="auto" w:sz="4" w:space="0"/>
                    <w:left w:val="single" w:color="auto" w:sz="4" w:space="0"/>
                    <w:bottom w:val="single" w:color="auto" w:sz="4" w:space="0"/>
                    <w:right w:val="single" w:color="auto" w:sz="4" w:space="0"/>
                  </w:tcBorders>
                  <w:vAlign w:val="center"/>
                </w:tcPr>
                <w:p>
                  <w:pPr>
                    <w:pStyle w:val="41"/>
                  </w:pPr>
                  <w:r>
                    <w:t>1.2</w:t>
                  </w:r>
                </w:p>
              </w:tc>
              <w:tc>
                <w:tcPr>
                  <w:tcW w:w="607"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r>
          </w:tbl>
          <w:p>
            <w:pPr>
              <w:adjustRightInd w:val="0"/>
              <w:snapToGrid w:val="0"/>
              <w:ind w:right="120" w:rightChars="50" w:firstLine="31680"/>
              <w:rPr>
                <w:b/>
              </w:rPr>
            </w:pPr>
          </w:p>
          <w:p>
            <w:pPr>
              <w:adjustRightInd w:val="0"/>
              <w:snapToGrid w:val="0"/>
              <w:ind w:right="120" w:rightChars="50" w:firstLine="31680"/>
              <w:rPr>
                <w:b/>
              </w:rPr>
            </w:pPr>
          </w:p>
          <w:p>
            <w:pPr>
              <w:pStyle w:val="47"/>
            </w:pPr>
          </w:p>
          <w:p>
            <w:pPr>
              <w:pStyle w:val="47"/>
            </w:pPr>
          </w:p>
          <w:p>
            <w:pPr>
              <w:pStyle w:val="47"/>
            </w:pPr>
          </w:p>
          <w:p>
            <w:pPr>
              <w:pStyle w:val="47"/>
            </w:pPr>
          </w:p>
          <w:p>
            <w:pPr>
              <w:pStyle w:val="47"/>
            </w:pPr>
          </w:p>
          <w:p>
            <w:pPr>
              <w:pStyle w:val="47"/>
            </w:pPr>
          </w:p>
          <w:p>
            <w:pPr>
              <w:pStyle w:val="47"/>
            </w:pPr>
          </w:p>
          <w:p>
            <w:pPr>
              <w:pStyle w:val="47"/>
            </w:pPr>
          </w:p>
          <w:p>
            <w:pPr>
              <w:pStyle w:val="47"/>
            </w:pPr>
          </w:p>
          <w:p>
            <w:pPr>
              <w:pStyle w:val="47"/>
            </w:pPr>
          </w:p>
          <w:p>
            <w:pPr>
              <w:pStyle w:val="47"/>
            </w:pPr>
          </w:p>
          <w:p>
            <w:pPr>
              <w:pStyle w:val="47"/>
            </w:pPr>
          </w:p>
          <w:p>
            <w:pPr>
              <w:pStyle w:val="47"/>
              <w:jc w:val="both"/>
            </w:pPr>
          </w:p>
          <w:p>
            <w:pPr>
              <w:pStyle w:val="47"/>
            </w:pPr>
            <w:r>
              <w:rPr>
                <w:rFonts w:hint="eastAsia"/>
              </w:rPr>
              <w:t>表</w:t>
            </w:r>
            <w:r>
              <w:t xml:space="preserve">7-3 </w:t>
            </w:r>
            <w:r>
              <w:rPr>
                <w:rFonts w:hint="eastAsia"/>
              </w:rPr>
              <w:t>项目无组织排放大气污染物采用估算模式计算结果表</w:t>
            </w:r>
          </w:p>
          <w:tbl>
            <w:tblPr>
              <w:tblStyle w:val="21"/>
              <w:tblW w:w="0" w:type="auto"/>
              <w:tblInd w:w="0" w:type="dxa"/>
              <w:tblLayout w:type="autofit"/>
              <w:tblCellMar>
                <w:top w:w="0" w:type="dxa"/>
                <w:left w:w="108" w:type="dxa"/>
                <w:bottom w:w="0" w:type="dxa"/>
                <w:right w:w="108" w:type="dxa"/>
              </w:tblCellMar>
            </w:tblPr>
            <w:tblGrid>
              <w:gridCol w:w="862"/>
              <w:gridCol w:w="1404"/>
              <w:gridCol w:w="776"/>
              <w:gridCol w:w="863"/>
              <w:gridCol w:w="1405"/>
              <w:gridCol w:w="776"/>
              <w:gridCol w:w="863"/>
              <w:gridCol w:w="1405"/>
              <w:gridCol w:w="776"/>
            </w:tblGrid>
            <w:tr>
              <w:tblPrEx>
                <w:tblCellMar>
                  <w:top w:w="0" w:type="dxa"/>
                  <w:left w:w="108" w:type="dxa"/>
                  <w:bottom w:w="0" w:type="dxa"/>
                  <w:right w:w="108" w:type="dxa"/>
                </w:tblCellMar>
              </w:tblPrEx>
              <w:trPr>
                <w:trHeight w:val="340" w:hRule="atLeast"/>
                <w:tblHeader/>
              </w:trPr>
              <w:tc>
                <w:tcPr>
                  <w:tcW w:w="862" w:type="dxa"/>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距源中心下风向距离</w:t>
                  </w:r>
                  <w:r>
                    <w:t>D/m</w:t>
                  </w:r>
                </w:p>
              </w:tc>
              <w:tc>
                <w:tcPr>
                  <w:tcW w:w="2180" w:type="dxa"/>
                  <w:gridSpan w:val="2"/>
                  <w:tcBorders>
                    <w:top w:val="single" w:color="auto" w:sz="4" w:space="0"/>
                    <w:left w:val="nil"/>
                    <w:bottom w:val="single" w:color="auto" w:sz="4" w:space="0"/>
                    <w:right w:val="single" w:color="auto" w:sz="4" w:space="0"/>
                  </w:tcBorders>
                  <w:vAlign w:val="center"/>
                </w:tcPr>
                <w:p>
                  <w:pPr>
                    <w:pStyle w:val="41"/>
                  </w:pPr>
                  <w:r>
                    <w:rPr>
                      <w:rFonts w:hint="eastAsia"/>
                    </w:rPr>
                    <w:t>木屑粉尘</w:t>
                  </w:r>
                </w:p>
              </w:tc>
              <w:tc>
                <w:tcPr>
                  <w:tcW w:w="863" w:type="dxa"/>
                  <w:vMerge w:val="restart"/>
                  <w:tcBorders>
                    <w:top w:val="single" w:color="auto" w:sz="4" w:space="0"/>
                    <w:left w:val="nil"/>
                    <w:right w:val="single" w:color="auto" w:sz="4" w:space="0"/>
                  </w:tcBorders>
                  <w:vAlign w:val="center"/>
                </w:tcPr>
                <w:p>
                  <w:pPr>
                    <w:pStyle w:val="41"/>
                  </w:pPr>
                  <w:r>
                    <w:rPr>
                      <w:rFonts w:hint="eastAsia"/>
                    </w:rPr>
                    <w:t>距源中心下风向距离</w:t>
                  </w:r>
                  <w:r>
                    <w:t>D/m</w:t>
                  </w:r>
                </w:p>
              </w:tc>
              <w:tc>
                <w:tcPr>
                  <w:tcW w:w="2181" w:type="dxa"/>
                  <w:gridSpan w:val="2"/>
                  <w:tcBorders>
                    <w:top w:val="single" w:color="auto" w:sz="4" w:space="0"/>
                    <w:left w:val="nil"/>
                    <w:bottom w:val="single" w:color="auto" w:sz="4" w:space="0"/>
                    <w:right w:val="single" w:color="auto" w:sz="4" w:space="0"/>
                  </w:tcBorders>
                  <w:vAlign w:val="center"/>
                </w:tcPr>
                <w:p>
                  <w:pPr>
                    <w:pStyle w:val="41"/>
                  </w:pPr>
                  <w:r>
                    <w:rPr>
                      <w:rFonts w:hint="eastAsia"/>
                    </w:rPr>
                    <w:t>甲苯</w:t>
                  </w:r>
                </w:p>
              </w:tc>
              <w:tc>
                <w:tcPr>
                  <w:tcW w:w="863" w:type="dxa"/>
                  <w:vMerge w:val="restart"/>
                  <w:tcBorders>
                    <w:top w:val="single" w:color="auto" w:sz="4" w:space="0"/>
                    <w:left w:val="nil"/>
                    <w:right w:val="single" w:color="auto" w:sz="4" w:space="0"/>
                  </w:tcBorders>
                  <w:vAlign w:val="center"/>
                </w:tcPr>
                <w:p>
                  <w:pPr>
                    <w:pStyle w:val="41"/>
                  </w:pPr>
                  <w:r>
                    <w:rPr>
                      <w:rFonts w:hint="eastAsia"/>
                    </w:rPr>
                    <w:t>距源中心下风向距离</w:t>
                  </w:r>
                  <w:r>
                    <w:t>D/m</w:t>
                  </w:r>
                </w:p>
              </w:tc>
              <w:tc>
                <w:tcPr>
                  <w:tcW w:w="2181" w:type="dxa"/>
                  <w:gridSpan w:val="2"/>
                  <w:tcBorders>
                    <w:top w:val="single" w:color="auto" w:sz="4" w:space="0"/>
                    <w:left w:val="nil"/>
                    <w:bottom w:val="single" w:color="auto" w:sz="4" w:space="0"/>
                    <w:right w:val="single" w:color="auto" w:sz="4" w:space="0"/>
                  </w:tcBorders>
                  <w:vAlign w:val="center"/>
                </w:tcPr>
                <w:p>
                  <w:pPr>
                    <w:pStyle w:val="41"/>
                  </w:pPr>
                  <w:r>
                    <w:rPr>
                      <w:rFonts w:hint="eastAsia"/>
                    </w:rPr>
                    <w:t>二甲苯</w:t>
                  </w:r>
                </w:p>
              </w:tc>
            </w:tr>
            <w:tr>
              <w:tblPrEx>
                <w:tblCellMar>
                  <w:top w:w="0" w:type="dxa"/>
                  <w:left w:w="108" w:type="dxa"/>
                  <w:bottom w:w="0" w:type="dxa"/>
                  <w:right w:w="108" w:type="dxa"/>
                </w:tblCellMar>
              </w:tblPrEx>
              <w:trPr>
                <w:trHeight w:val="340" w:hRule="atLeast"/>
                <w:tblHeader/>
              </w:trPr>
              <w:tc>
                <w:tcPr>
                  <w:tcW w:w="862" w:type="dxa"/>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404" w:type="dxa"/>
                  <w:tcBorders>
                    <w:top w:val="nil"/>
                    <w:left w:val="nil"/>
                    <w:bottom w:val="single" w:color="auto" w:sz="4" w:space="0"/>
                    <w:right w:val="single" w:color="auto" w:sz="4" w:space="0"/>
                  </w:tcBorders>
                  <w:vAlign w:val="center"/>
                </w:tcPr>
                <w:p>
                  <w:pPr>
                    <w:pStyle w:val="41"/>
                  </w:pPr>
                  <w:r>
                    <w:rPr>
                      <w:rFonts w:hint="eastAsia"/>
                    </w:rPr>
                    <w:t>下风向预测浓度</w:t>
                  </w:r>
                  <w:r>
                    <w:t>C</w:t>
                  </w:r>
                  <w:r>
                    <w:rPr>
                      <w:vertAlign w:val="subscript"/>
                    </w:rPr>
                    <w:t>il</w:t>
                  </w:r>
                  <w:r>
                    <w:rPr>
                      <w:rFonts w:hint="eastAsia"/>
                    </w:rPr>
                    <w:t>（</w:t>
                  </w:r>
                  <w:r>
                    <w:t>mg/m</w:t>
                  </w:r>
                  <w:r>
                    <w:rPr>
                      <w:vertAlign w:val="superscript"/>
                    </w:rPr>
                    <w:t>3</w:t>
                  </w:r>
                  <w:r>
                    <w:rPr>
                      <w:rFonts w:hint="eastAsia"/>
                    </w:rPr>
                    <w:t>）</w:t>
                  </w:r>
                </w:p>
              </w:tc>
              <w:tc>
                <w:tcPr>
                  <w:tcW w:w="776" w:type="dxa"/>
                  <w:tcBorders>
                    <w:top w:val="nil"/>
                    <w:left w:val="nil"/>
                    <w:bottom w:val="single" w:color="auto" w:sz="4" w:space="0"/>
                    <w:right w:val="single" w:color="auto" w:sz="4" w:space="0"/>
                  </w:tcBorders>
                  <w:vAlign w:val="center"/>
                </w:tcPr>
                <w:p>
                  <w:pPr>
                    <w:pStyle w:val="41"/>
                  </w:pPr>
                  <w:r>
                    <w:rPr>
                      <w:rFonts w:hint="eastAsia"/>
                    </w:rPr>
                    <w:t>浓度占标率</w:t>
                  </w:r>
                  <w:r>
                    <w:t>P</w:t>
                  </w:r>
                  <w:r>
                    <w:rPr>
                      <w:vertAlign w:val="subscript"/>
                    </w:rPr>
                    <w:t>il</w:t>
                  </w:r>
                  <w:r>
                    <w:t>/%</w:t>
                  </w:r>
                </w:p>
              </w:tc>
              <w:tc>
                <w:tcPr>
                  <w:tcW w:w="863" w:type="dxa"/>
                  <w:vMerge w:val="continue"/>
                  <w:tcBorders>
                    <w:left w:val="nil"/>
                    <w:bottom w:val="single" w:color="auto" w:sz="4" w:space="0"/>
                    <w:right w:val="single" w:color="auto" w:sz="4" w:space="0"/>
                  </w:tcBorders>
                  <w:vAlign w:val="center"/>
                </w:tcPr>
                <w:p>
                  <w:pPr>
                    <w:pStyle w:val="41"/>
                  </w:pPr>
                </w:p>
              </w:tc>
              <w:tc>
                <w:tcPr>
                  <w:tcW w:w="1405" w:type="dxa"/>
                  <w:tcBorders>
                    <w:top w:val="nil"/>
                    <w:left w:val="nil"/>
                    <w:bottom w:val="single" w:color="auto" w:sz="4" w:space="0"/>
                    <w:right w:val="single" w:color="auto" w:sz="4" w:space="0"/>
                  </w:tcBorders>
                  <w:vAlign w:val="center"/>
                </w:tcPr>
                <w:p>
                  <w:pPr>
                    <w:pStyle w:val="41"/>
                  </w:pPr>
                  <w:r>
                    <w:rPr>
                      <w:rFonts w:hint="eastAsia"/>
                    </w:rPr>
                    <w:t>下风向预测浓度</w:t>
                  </w:r>
                  <w:r>
                    <w:t>C</w:t>
                  </w:r>
                  <w:r>
                    <w:rPr>
                      <w:vertAlign w:val="subscript"/>
                    </w:rPr>
                    <w:t>il</w:t>
                  </w:r>
                  <w:r>
                    <w:rPr>
                      <w:rFonts w:hint="eastAsia"/>
                    </w:rPr>
                    <w:t>（</w:t>
                  </w:r>
                  <w:r>
                    <w:t>mg/m</w:t>
                  </w:r>
                  <w:r>
                    <w:rPr>
                      <w:vertAlign w:val="superscript"/>
                    </w:rPr>
                    <w:t>3</w:t>
                  </w:r>
                  <w:r>
                    <w:rPr>
                      <w:rFonts w:hint="eastAsia"/>
                    </w:rPr>
                    <w:t>）</w:t>
                  </w:r>
                </w:p>
              </w:tc>
              <w:tc>
                <w:tcPr>
                  <w:tcW w:w="776" w:type="dxa"/>
                  <w:tcBorders>
                    <w:top w:val="nil"/>
                    <w:left w:val="nil"/>
                    <w:bottom w:val="single" w:color="auto" w:sz="4" w:space="0"/>
                    <w:right w:val="single" w:color="auto" w:sz="4" w:space="0"/>
                  </w:tcBorders>
                  <w:vAlign w:val="center"/>
                </w:tcPr>
                <w:p>
                  <w:pPr>
                    <w:pStyle w:val="41"/>
                  </w:pPr>
                  <w:r>
                    <w:rPr>
                      <w:rFonts w:hint="eastAsia"/>
                    </w:rPr>
                    <w:t>浓度占标率</w:t>
                  </w:r>
                  <w:r>
                    <w:t>P</w:t>
                  </w:r>
                  <w:r>
                    <w:rPr>
                      <w:vertAlign w:val="subscript"/>
                    </w:rPr>
                    <w:t>il</w:t>
                  </w:r>
                  <w:r>
                    <w:t>/%</w:t>
                  </w:r>
                </w:p>
              </w:tc>
              <w:tc>
                <w:tcPr>
                  <w:tcW w:w="863" w:type="dxa"/>
                  <w:vMerge w:val="continue"/>
                  <w:tcBorders>
                    <w:left w:val="nil"/>
                    <w:bottom w:val="single" w:color="auto" w:sz="4" w:space="0"/>
                    <w:right w:val="single" w:color="auto" w:sz="4" w:space="0"/>
                  </w:tcBorders>
                  <w:vAlign w:val="center"/>
                </w:tcPr>
                <w:p>
                  <w:pPr>
                    <w:pStyle w:val="41"/>
                  </w:pPr>
                </w:p>
              </w:tc>
              <w:tc>
                <w:tcPr>
                  <w:tcW w:w="1405" w:type="dxa"/>
                  <w:tcBorders>
                    <w:top w:val="nil"/>
                    <w:left w:val="nil"/>
                    <w:bottom w:val="single" w:color="auto" w:sz="4" w:space="0"/>
                    <w:right w:val="single" w:color="auto" w:sz="4" w:space="0"/>
                  </w:tcBorders>
                  <w:vAlign w:val="center"/>
                </w:tcPr>
                <w:p>
                  <w:pPr>
                    <w:pStyle w:val="41"/>
                  </w:pPr>
                  <w:r>
                    <w:rPr>
                      <w:rFonts w:hint="eastAsia"/>
                    </w:rPr>
                    <w:t>下风向预测浓度</w:t>
                  </w:r>
                  <w:r>
                    <w:t>C</w:t>
                  </w:r>
                  <w:r>
                    <w:rPr>
                      <w:vertAlign w:val="subscript"/>
                    </w:rPr>
                    <w:t>il</w:t>
                  </w:r>
                  <w:r>
                    <w:rPr>
                      <w:rFonts w:hint="eastAsia"/>
                    </w:rPr>
                    <w:t>（</w:t>
                  </w:r>
                  <w:r>
                    <w:t>mg/m</w:t>
                  </w:r>
                  <w:r>
                    <w:rPr>
                      <w:vertAlign w:val="superscript"/>
                    </w:rPr>
                    <w:t>3</w:t>
                  </w:r>
                  <w:r>
                    <w:rPr>
                      <w:rFonts w:hint="eastAsia"/>
                    </w:rPr>
                    <w:t>）</w:t>
                  </w:r>
                </w:p>
              </w:tc>
              <w:tc>
                <w:tcPr>
                  <w:tcW w:w="776" w:type="dxa"/>
                  <w:tcBorders>
                    <w:top w:val="nil"/>
                    <w:left w:val="nil"/>
                    <w:bottom w:val="single" w:color="auto" w:sz="4" w:space="0"/>
                    <w:right w:val="single" w:color="auto" w:sz="4" w:space="0"/>
                  </w:tcBorders>
                  <w:vAlign w:val="center"/>
                </w:tcPr>
                <w:p>
                  <w:pPr>
                    <w:pStyle w:val="41"/>
                  </w:pPr>
                  <w:r>
                    <w:rPr>
                      <w:rFonts w:hint="eastAsia"/>
                    </w:rPr>
                    <w:t>浓度占标率</w:t>
                  </w:r>
                  <w:r>
                    <w:t>P</w:t>
                  </w:r>
                  <w:r>
                    <w:rPr>
                      <w:vertAlign w:val="subscript"/>
                    </w:rPr>
                    <w:t>il</w:t>
                  </w:r>
                  <w:r>
                    <w:t>/%</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pPr>
                  <w:r>
                    <w:t>100</w:t>
                  </w:r>
                </w:p>
              </w:tc>
              <w:tc>
                <w:tcPr>
                  <w:tcW w:w="1404" w:type="dxa"/>
                  <w:tcBorders>
                    <w:top w:val="nil"/>
                    <w:left w:val="nil"/>
                    <w:bottom w:val="single" w:color="auto" w:sz="4" w:space="0"/>
                    <w:right w:val="single" w:color="auto" w:sz="4" w:space="0"/>
                  </w:tcBorders>
                  <w:noWrap/>
                </w:tcPr>
                <w:p>
                  <w:pPr>
                    <w:pStyle w:val="41"/>
                  </w:pPr>
                  <w:r>
                    <w:t>0.03363</w:t>
                  </w:r>
                </w:p>
              </w:tc>
              <w:tc>
                <w:tcPr>
                  <w:tcW w:w="776" w:type="dxa"/>
                  <w:tcBorders>
                    <w:top w:val="nil"/>
                    <w:left w:val="nil"/>
                    <w:bottom w:val="single" w:color="auto" w:sz="4" w:space="0"/>
                    <w:right w:val="single" w:color="auto" w:sz="4" w:space="0"/>
                  </w:tcBorders>
                  <w:noWrap/>
                </w:tcPr>
                <w:p>
                  <w:pPr>
                    <w:pStyle w:val="41"/>
                  </w:pPr>
                  <w:r>
                    <w:t>3.74</w:t>
                  </w:r>
                </w:p>
              </w:tc>
              <w:tc>
                <w:tcPr>
                  <w:tcW w:w="863" w:type="dxa"/>
                  <w:tcBorders>
                    <w:top w:val="nil"/>
                    <w:left w:val="nil"/>
                    <w:bottom w:val="single" w:color="auto" w:sz="4" w:space="0"/>
                    <w:right w:val="single" w:color="auto" w:sz="4" w:space="0"/>
                  </w:tcBorders>
                  <w:vAlign w:val="center"/>
                </w:tcPr>
                <w:p>
                  <w:pPr>
                    <w:pStyle w:val="41"/>
                  </w:pPr>
                  <w:r>
                    <w:t>100</w:t>
                  </w:r>
                </w:p>
              </w:tc>
              <w:tc>
                <w:tcPr>
                  <w:tcW w:w="1405" w:type="dxa"/>
                  <w:tcBorders>
                    <w:top w:val="nil"/>
                    <w:left w:val="nil"/>
                    <w:bottom w:val="single" w:color="auto" w:sz="4" w:space="0"/>
                    <w:right w:val="single" w:color="auto" w:sz="4" w:space="0"/>
                  </w:tcBorders>
                </w:tcPr>
                <w:p>
                  <w:pPr>
                    <w:pStyle w:val="41"/>
                  </w:pPr>
                  <w:r>
                    <w:t>0.0241</w:t>
                  </w:r>
                </w:p>
              </w:tc>
              <w:tc>
                <w:tcPr>
                  <w:tcW w:w="776" w:type="dxa"/>
                  <w:tcBorders>
                    <w:top w:val="nil"/>
                    <w:left w:val="nil"/>
                    <w:bottom w:val="single" w:color="auto" w:sz="4" w:space="0"/>
                    <w:right w:val="single" w:color="auto" w:sz="4" w:space="0"/>
                  </w:tcBorders>
                </w:tcPr>
                <w:p>
                  <w:pPr>
                    <w:pStyle w:val="41"/>
                  </w:pPr>
                  <w:r>
                    <w:t>1.00</w:t>
                  </w:r>
                </w:p>
              </w:tc>
              <w:tc>
                <w:tcPr>
                  <w:tcW w:w="863" w:type="dxa"/>
                  <w:tcBorders>
                    <w:top w:val="nil"/>
                    <w:left w:val="nil"/>
                    <w:bottom w:val="single" w:color="auto" w:sz="4" w:space="0"/>
                    <w:right w:val="single" w:color="auto" w:sz="4" w:space="0"/>
                  </w:tcBorders>
                  <w:vAlign w:val="center"/>
                </w:tcPr>
                <w:p>
                  <w:pPr>
                    <w:pStyle w:val="41"/>
                  </w:pPr>
                  <w:r>
                    <w:t>100</w:t>
                  </w:r>
                </w:p>
              </w:tc>
              <w:tc>
                <w:tcPr>
                  <w:tcW w:w="1405" w:type="dxa"/>
                  <w:tcBorders>
                    <w:top w:val="nil"/>
                    <w:left w:val="nil"/>
                    <w:bottom w:val="single" w:color="auto" w:sz="4" w:space="0"/>
                    <w:right w:val="single" w:color="auto" w:sz="4" w:space="0"/>
                  </w:tcBorders>
                </w:tcPr>
                <w:p>
                  <w:pPr>
                    <w:pStyle w:val="41"/>
                  </w:pPr>
                  <w:r>
                    <w:t>0.02186</w:t>
                  </w:r>
                </w:p>
              </w:tc>
              <w:tc>
                <w:tcPr>
                  <w:tcW w:w="776" w:type="dxa"/>
                  <w:tcBorders>
                    <w:top w:val="nil"/>
                    <w:left w:val="nil"/>
                    <w:bottom w:val="single" w:color="auto" w:sz="4" w:space="0"/>
                    <w:right w:val="single" w:color="auto" w:sz="4" w:space="0"/>
                  </w:tcBorders>
                </w:tcPr>
                <w:p>
                  <w:pPr>
                    <w:pStyle w:val="41"/>
                  </w:pPr>
                  <w:r>
                    <w:t>1.82</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rPr>
                      <w:b/>
                    </w:rPr>
                  </w:pPr>
                  <w:r>
                    <w:rPr>
                      <w:b/>
                    </w:rPr>
                    <w:t>142</w:t>
                  </w:r>
                </w:p>
              </w:tc>
              <w:tc>
                <w:tcPr>
                  <w:tcW w:w="1404" w:type="dxa"/>
                  <w:tcBorders>
                    <w:top w:val="nil"/>
                    <w:left w:val="nil"/>
                    <w:bottom w:val="single" w:color="auto" w:sz="4" w:space="0"/>
                    <w:right w:val="single" w:color="auto" w:sz="4" w:space="0"/>
                  </w:tcBorders>
                  <w:noWrap/>
                </w:tcPr>
                <w:p>
                  <w:pPr>
                    <w:pStyle w:val="41"/>
                    <w:rPr>
                      <w:b/>
                    </w:rPr>
                  </w:pPr>
                  <w:r>
                    <w:rPr>
                      <w:b/>
                    </w:rPr>
                    <w:t>0.03392</w:t>
                  </w:r>
                </w:p>
              </w:tc>
              <w:tc>
                <w:tcPr>
                  <w:tcW w:w="776" w:type="dxa"/>
                  <w:tcBorders>
                    <w:top w:val="nil"/>
                    <w:left w:val="nil"/>
                    <w:bottom w:val="single" w:color="auto" w:sz="4" w:space="0"/>
                    <w:right w:val="single" w:color="auto" w:sz="4" w:space="0"/>
                  </w:tcBorders>
                  <w:noWrap/>
                </w:tcPr>
                <w:p>
                  <w:pPr>
                    <w:pStyle w:val="41"/>
                    <w:rPr>
                      <w:b/>
                    </w:rPr>
                  </w:pPr>
                  <w:r>
                    <w:rPr>
                      <w:b/>
                    </w:rPr>
                    <w:t>3.77</w:t>
                  </w:r>
                </w:p>
              </w:tc>
              <w:tc>
                <w:tcPr>
                  <w:tcW w:w="863" w:type="dxa"/>
                  <w:tcBorders>
                    <w:top w:val="nil"/>
                    <w:left w:val="nil"/>
                    <w:bottom w:val="single" w:color="auto" w:sz="4" w:space="0"/>
                    <w:right w:val="single" w:color="auto" w:sz="4" w:space="0"/>
                  </w:tcBorders>
                  <w:vAlign w:val="center"/>
                </w:tcPr>
                <w:p>
                  <w:pPr>
                    <w:pStyle w:val="41"/>
                    <w:rPr>
                      <w:b/>
                    </w:rPr>
                  </w:pPr>
                  <w:r>
                    <w:rPr>
                      <w:b/>
                    </w:rPr>
                    <w:t>142</w:t>
                  </w:r>
                </w:p>
              </w:tc>
              <w:tc>
                <w:tcPr>
                  <w:tcW w:w="1405" w:type="dxa"/>
                  <w:tcBorders>
                    <w:top w:val="nil"/>
                    <w:left w:val="nil"/>
                    <w:bottom w:val="single" w:color="auto" w:sz="4" w:space="0"/>
                    <w:right w:val="single" w:color="auto" w:sz="4" w:space="0"/>
                  </w:tcBorders>
                </w:tcPr>
                <w:p>
                  <w:pPr>
                    <w:pStyle w:val="41"/>
                    <w:rPr>
                      <w:b/>
                    </w:rPr>
                  </w:pPr>
                  <w:r>
                    <w:rPr>
                      <w:b/>
                    </w:rPr>
                    <w:t>0.02431</w:t>
                  </w:r>
                </w:p>
              </w:tc>
              <w:tc>
                <w:tcPr>
                  <w:tcW w:w="776" w:type="dxa"/>
                  <w:tcBorders>
                    <w:top w:val="nil"/>
                    <w:left w:val="nil"/>
                    <w:bottom w:val="single" w:color="auto" w:sz="4" w:space="0"/>
                    <w:right w:val="single" w:color="auto" w:sz="4" w:space="0"/>
                  </w:tcBorders>
                </w:tcPr>
                <w:p>
                  <w:pPr>
                    <w:pStyle w:val="41"/>
                    <w:rPr>
                      <w:b/>
                    </w:rPr>
                  </w:pPr>
                  <w:r>
                    <w:rPr>
                      <w:b/>
                    </w:rPr>
                    <w:t>1.01</w:t>
                  </w:r>
                </w:p>
              </w:tc>
              <w:tc>
                <w:tcPr>
                  <w:tcW w:w="863" w:type="dxa"/>
                  <w:tcBorders>
                    <w:top w:val="nil"/>
                    <w:left w:val="nil"/>
                    <w:bottom w:val="single" w:color="auto" w:sz="4" w:space="0"/>
                    <w:right w:val="single" w:color="auto" w:sz="4" w:space="0"/>
                  </w:tcBorders>
                  <w:vAlign w:val="center"/>
                </w:tcPr>
                <w:p>
                  <w:pPr>
                    <w:pStyle w:val="41"/>
                    <w:rPr>
                      <w:b/>
                    </w:rPr>
                  </w:pPr>
                  <w:r>
                    <w:rPr>
                      <w:b/>
                    </w:rPr>
                    <w:t>142</w:t>
                  </w:r>
                </w:p>
              </w:tc>
              <w:tc>
                <w:tcPr>
                  <w:tcW w:w="1405" w:type="dxa"/>
                  <w:tcBorders>
                    <w:top w:val="nil"/>
                    <w:left w:val="nil"/>
                    <w:bottom w:val="single" w:color="auto" w:sz="4" w:space="0"/>
                    <w:right w:val="single" w:color="auto" w:sz="4" w:space="0"/>
                  </w:tcBorders>
                </w:tcPr>
                <w:p>
                  <w:pPr>
                    <w:pStyle w:val="41"/>
                    <w:rPr>
                      <w:b/>
                    </w:rPr>
                  </w:pPr>
                  <w:r>
                    <w:rPr>
                      <w:b/>
                    </w:rPr>
                    <w:t>0.02205</w:t>
                  </w:r>
                </w:p>
              </w:tc>
              <w:tc>
                <w:tcPr>
                  <w:tcW w:w="776" w:type="dxa"/>
                  <w:tcBorders>
                    <w:top w:val="nil"/>
                    <w:left w:val="nil"/>
                    <w:bottom w:val="single" w:color="auto" w:sz="4" w:space="0"/>
                    <w:right w:val="single" w:color="auto" w:sz="4" w:space="0"/>
                  </w:tcBorders>
                </w:tcPr>
                <w:p>
                  <w:pPr>
                    <w:pStyle w:val="41"/>
                    <w:rPr>
                      <w:b/>
                    </w:rPr>
                  </w:pPr>
                  <w:r>
                    <w:rPr>
                      <w:b/>
                    </w:rPr>
                    <w:t>1.84</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pPr>
                  <w:r>
                    <w:t>200</w:t>
                  </w:r>
                </w:p>
              </w:tc>
              <w:tc>
                <w:tcPr>
                  <w:tcW w:w="1404" w:type="dxa"/>
                  <w:tcBorders>
                    <w:top w:val="nil"/>
                    <w:left w:val="nil"/>
                    <w:bottom w:val="single" w:color="auto" w:sz="4" w:space="0"/>
                    <w:right w:val="single" w:color="auto" w:sz="4" w:space="0"/>
                  </w:tcBorders>
                  <w:noWrap/>
                </w:tcPr>
                <w:p>
                  <w:pPr>
                    <w:pStyle w:val="41"/>
                  </w:pPr>
                  <w:r>
                    <w:t>0.03177</w:t>
                  </w:r>
                </w:p>
              </w:tc>
              <w:tc>
                <w:tcPr>
                  <w:tcW w:w="776" w:type="dxa"/>
                  <w:tcBorders>
                    <w:top w:val="nil"/>
                    <w:left w:val="nil"/>
                    <w:bottom w:val="single" w:color="auto" w:sz="4" w:space="0"/>
                    <w:right w:val="single" w:color="auto" w:sz="4" w:space="0"/>
                  </w:tcBorders>
                  <w:noWrap/>
                </w:tcPr>
                <w:p>
                  <w:pPr>
                    <w:pStyle w:val="41"/>
                  </w:pPr>
                  <w:r>
                    <w:t>3.53</w:t>
                  </w:r>
                </w:p>
              </w:tc>
              <w:tc>
                <w:tcPr>
                  <w:tcW w:w="863" w:type="dxa"/>
                  <w:tcBorders>
                    <w:top w:val="nil"/>
                    <w:left w:val="nil"/>
                    <w:bottom w:val="single" w:color="auto" w:sz="4" w:space="0"/>
                    <w:right w:val="single" w:color="auto" w:sz="4" w:space="0"/>
                  </w:tcBorders>
                  <w:vAlign w:val="center"/>
                </w:tcPr>
                <w:p>
                  <w:pPr>
                    <w:pStyle w:val="41"/>
                  </w:pPr>
                  <w:r>
                    <w:t>200</w:t>
                  </w:r>
                </w:p>
              </w:tc>
              <w:tc>
                <w:tcPr>
                  <w:tcW w:w="1405" w:type="dxa"/>
                  <w:tcBorders>
                    <w:top w:val="nil"/>
                    <w:left w:val="nil"/>
                    <w:bottom w:val="single" w:color="auto" w:sz="4" w:space="0"/>
                    <w:right w:val="single" w:color="auto" w:sz="4" w:space="0"/>
                  </w:tcBorders>
                </w:tcPr>
                <w:p>
                  <w:pPr>
                    <w:pStyle w:val="41"/>
                  </w:pPr>
                  <w:r>
                    <w:t>0.02277</w:t>
                  </w:r>
                </w:p>
              </w:tc>
              <w:tc>
                <w:tcPr>
                  <w:tcW w:w="776" w:type="dxa"/>
                  <w:tcBorders>
                    <w:top w:val="nil"/>
                    <w:left w:val="nil"/>
                    <w:bottom w:val="single" w:color="auto" w:sz="4" w:space="0"/>
                    <w:right w:val="single" w:color="auto" w:sz="4" w:space="0"/>
                  </w:tcBorders>
                </w:tcPr>
                <w:p>
                  <w:pPr>
                    <w:pStyle w:val="41"/>
                  </w:pPr>
                  <w:r>
                    <w:t>0.95</w:t>
                  </w:r>
                </w:p>
              </w:tc>
              <w:tc>
                <w:tcPr>
                  <w:tcW w:w="863" w:type="dxa"/>
                  <w:tcBorders>
                    <w:top w:val="nil"/>
                    <w:left w:val="nil"/>
                    <w:bottom w:val="single" w:color="auto" w:sz="4" w:space="0"/>
                    <w:right w:val="single" w:color="auto" w:sz="4" w:space="0"/>
                  </w:tcBorders>
                  <w:vAlign w:val="center"/>
                </w:tcPr>
                <w:p>
                  <w:pPr>
                    <w:pStyle w:val="41"/>
                  </w:pPr>
                  <w:r>
                    <w:t>200</w:t>
                  </w:r>
                </w:p>
              </w:tc>
              <w:tc>
                <w:tcPr>
                  <w:tcW w:w="1405" w:type="dxa"/>
                  <w:tcBorders>
                    <w:top w:val="nil"/>
                    <w:left w:val="nil"/>
                    <w:bottom w:val="single" w:color="auto" w:sz="4" w:space="0"/>
                    <w:right w:val="single" w:color="auto" w:sz="4" w:space="0"/>
                  </w:tcBorders>
                </w:tcPr>
                <w:p>
                  <w:pPr>
                    <w:pStyle w:val="41"/>
                  </w:pPr>
                  <w:r>
                    <w:t>0.02065</w:t>
                  </w:r>
                </w:p>
              </w:tc>
              <w:tc>
                <w:tcPr>
                  <w:tcW w:w="776" w:type="dxa"/>
                  <w:tcBorders>
                    <w:top w:val="nil"/>
                    <w:left w:val="nil"/>
                    <w:bottom w:val="single" w:color="auto" w:sz="4" w:space="0"/>
                    <w:right w:val="single" w:color="auto" w:sz="4" w:space="0"/>
                  </w:tcBorders>
                </w:tcPr>
                <w:p>
                  <w:pPr>
                    <w:pStyle w:val="41"/>
                  </w:pPr>
                  <w:r>
                    <w:t>1.72</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pPr>
                  <w:r>
                    <w:t>300</w:t>
                  </w:r>
                </w:p>
              </w:tc>
              <w:tc>
                <w:tcPr>
                  <w:tcW w:w="1404" w:type="dxa"/>
                  <w:tcBorders>
                    <w:top w:val="nil"/>
                    <w:left w:val="nil"/>
                    <w:bottom w:val="single" w:color="auto" w:sz="4" w:space="0"/>
                    <w:right w:val="single" w:color="auto" w:sz="4" w:space="0"/>
                  </w:tcBorders>
                  <w:noWrap/>
                </w:tcPr>
                <w:p>
                  <w:pPr>
                    <w:pStyle w:val="41"/>
                  </w:pPr>
                  <w:r>
                    <w:t>0.03014</w:t>
                  </w:r>
                </w:p>
              </w:tc>
              <w:tc>
                <w:tcPr>
                  <w:tcW w:w="776" w:type="dxa"/>
                  <w:tcBorders>
                    <w:top w:val="nil"/>
                    <w:left w:val="nil"/>
                    <w:bottom w:val="single" w:color="auto" w:sz="4" w:space="0"/>
                    <w:right w:val="single" w:color="auto" w:sz="4" w:space="0"/>
                  </w:tcBorders>
                  <w:noWrap/>
                </w:tcPr>
                <w:p>
                  <w:pPr>
                    <w:pStyle w:val="41"/>
                  </w:pPr>
                  <w:r>
                    <w:t>3.35</w:t>
                  </w:r>
                </w:p>
              </w:tc>
              <w:tc>
                <w:tcPr>
                  <w:tcW w:w="863" w:type="dxa"/>
                  <w:tcBorders>
                    <w:top w:val="nil"/>
                    <w:left w:val="nil"/>
                    <w:bottom w:val="single" w:color="auto" w:sz="4" w:space="0"/>
                    <w:right w:val="single" w:color="auto" w:sz="4" w:space="0"/>
                  </w:tcBorders>
                  <w:vAlign w:val="center"/>
                </w:tcPr>
                <w:p>
                  <w:pPr>
                    <w:pStyle w:val="41"/>
                  </w:pPr>
                  <w:r>
                    <w:t>300</w:t>
                  </w:r>
                </w:p>
              </w:tc>
              <w:tc>
                <w:tcPr>
                  <w:tcW w:w="1405" w:type="dxa"/>
                  <w:tcBorders>
                    <w:top w:val="nil"/>
                    <w:left w:val="nil"/>
                    <w:bottom w:val="single" w:color="auto" w:sz="4" w:space="0"/>
                    <w:right w:val="single" w:color="auto" w:sz="4" w:space="0"/>
                  </w:tcBorders>
                </w:tcPr>
                <w:p>
                  <w:pPr>
                    <w:pStyle w:val="41"/>
                  </w:pPr>
                  <w:r>
                    <w:t>0.0216</w:t>
                  </w:r>
                </w:p>
              </w:tc>
              <w:tc>
                <w:tcPr>
                  <w:tcW w:w="776" w:type="dxa"/>
                  <w:tcBorders>
                    <w:top w:val="nil"/>
                    <w:left w:val="nil"/>
                    <w:bottom w:val="single" w:color="auto" w:sz="4" w:space="0"/>
                    <w:right w:val="single" w:color="auto" w:sz="4" w:space="0"/>
                  </w:tcBorders>
                </w:tcPr>
                <w:p>
                  <w:pPr>
                    <w:pStyle w:val="41"/>
                  </w:pPr>
                  <w:r>
                    <w:t>0.90</w:t>
                  </w:r>
                </w:p>
              </w:tc>
              <w:tc>
                <w:tcPr>
                  <w:tcW w:w="863" w:type="dxa"/>
                  <w:tcBorders>
                    <w:top w:val="nil"/>
                    <w:left w:val="nil"/>
                    <w:bottom w:val="single" w:color="auto" w:sz="4" w:space="0"/>
                    <w:right w:val="single" w:color="auto" w:sz="4" w:space="0"/>
                  </w:tcBorders>
                  <w:vAlign w:val="center"/>
                </w:tcPr>
                <w:p>
                  <w:pPr>
                    <w:pStyle w:val="41"/>
                  </w:pPr>
                  <w:r>
                    <w:t>300</w:t>
                  </w:r>
                </w:p>
              </w:tc>
              <w:tc>
                <w:tcPr>
                  <w:tcW w:w="1405" w:type="dxa"/>
                  <w:tcBorders>
                    <w:top w:val="nil"/>
                    <w:left w:val="nil"/>
                    <w:bottom w:val="single" w:color="auto" w:sz="4" w:space="0"/>
                    <w:right w:val="single" w:color="auto" w:sz="4" w:space="0"/>
                  </w:tcBorders>
                </w:tcPr>
                <w:p>
                  <w:pPr>
                    <w:pStyle w:val="41"/>
                  </w:pPr>
                  <w:r>
                    <w:t>0.01959</w:t>
                  </w:r>
                </w:p>
              </w:tc>
              <w:tc>
                <w:tcPr>
                  <w:tcW w:w="776" w:type="dxa"/>
                  <w:tcBorders>
                    <w:top w:val="nil"/>
                    <w:left w:val="nil"/>
                    <w:bottom w:val="single" w:color="auto" w:sz="4" w:space="0"/>
                    <w:right w:val="single" w:color="auto" w:sz="4" w:space="0"/>
                  </w:tcBorders>
                </w:tcPr>
                <w:p>
                  <w:pPr>
                    <w:pStyle w:val="41"/>
                  </w:pPr>
                  <w:r>
                    <w:t>1.63</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pPr>
                  <w:r>
                    <w:t>400</w:t>
                  </w:r>
                </w:p>
              </w:tc>
              <w:tc>
                <w:tcPr>
                  <w:tcW w:w="1404" w:type="dxa"/>
                  <w:tcBorders>
                    <w:top w:val="nil"/>
                    <w:left w:val="nil"/>
                    <w:bottom w:val="single" w:color="auto" w:sz="4" w:space="0"/>
                    <w:right w:val="single" w:color="auto" w:sz="4" w:space="0"/>
                  </w:tcBorders>
                  <w:noWrap/>
                </w:tcPr>
                <w:p>
                  <w:pPr>
                    <w:pStyle w:val="41"/>
                  </w:pPr>
                  <w:r>
                    <w:t>0.0239</w:t>
                  </w:r>
                </w:p>
              </w:tc>
              <w:tc>
                <w:tcPr>
                  <w:tcW w:w="776" w:type="dxa"/>
                  <w:tcBorders>
                    <w:top w:val="nil"/>
                    <w:left w:val="nil"/>
                    <w:bottom w:val="single" w:color="auto" w:sz="4" w:space="0"/>
                    <w:right w:val="single" w:color="auto" w:sz="4" w:space="0"/>
                  </w:tcBorders>
                  <w:noWrap/>
                </w:tcPr>
                <w:p>
                  <w:pPr>
                    <w:pStyle w:val="41"/>
                  </w:pPr>
                  <w:r>
                    <w:t>2.66</w:t>
                  </w:r>
                </w:p>
              </w:tc>
              <w:tc>
                <w:tcPr>
                  <w:tcW w:w="863" w:type="dxa"/>
                  <w:tcBorders>
                    <w:top w:val="nil"/>
                    <w:left w:val="nil"/>
                    <w:bottom w:val="single" w:color="auto" w:sz="4" w:space="0"/>
                    <w:right w:val="single" w:color="auto" w:sz="4" w:space="0"/>
                  </w:tcBorders>
                  <w:vAlign w:val="center"/>
                </w:tcPr>
                <w:p>
                  <w:pPr>
                    <w:pStyle w:val="41"/>
                  </w:pPr>
                  <w:r>
                    <w:t>400</w:t>
                  </w:r>
                </w:p>
              </w:tc>
              <w:tc>
                <w:tcPr>
                  <w:tcW w:w="1405" w:type="dxa"/>
                  <w:tcBorders>
                    <w:top w:val="nil"/>
                    <w:left w:val="nil"/>
                    <w:bottom w:val="single" w:color="auto" w:sz="4" w:space="0"/>
                    <w:right w:val="single" w:color="auto" w:sz="4" w:space="0"/>
                  </w:tcBorders>
                </w:tcPr>
                <w:p>
                  <w:pPr>
                    <w:pStyle w:val="41"/>
                  </w:pPr>
                  <w:r>
                    <w:t>0.01713</w:t>
                  </w:r>
                </w:p>
              </w:tc>
              <w:tc>
                <w:tcPr>
                  <w:tcW w:w="776" w:type="dxa"/>
                  <w:tcBorders>
                    <w:top w:val="nil"/>
                    <w:left w:val="nil"/>
                    <w:bottom w:val="single" w:color="auto" w:sz="4" w:space="0"/>
                    <w:right w:val="single" w:color="auto" w:sz="4" w:space="0"/>
                  </w:tcBorders>
                </w:tcPr>
                <w:p>
                  <w:pPr>
                    <w:pStyle w:val="41"/>
                  </w:pPr>
                  <w:r>
                    <w:t>0.71</w:t>
                  </w:r>
                </w:p>
              </w:tc>
              <w:tc>
                <w:tcPr>
                  <w:tcW w:w="863" w:type="dxa"/>
                  <w:tcBorders>
                    <w:top w:val="nil"/>
                    <w:left w:val="nil"/>
                    <w:bottom w:val="single" w:color="auto" w:sz="4" w:space="0"/>
                    <w:right w:val="single" w:color="auto" w:sz="4" w:space="0"/>
                  </w:tcBorders>
                  <w:vAlign w:val="center"/>
                </w:tcPr>
                <w:p>
                  <w:pPr>
                    <w:pStyle w:val="41"/>
                  </w:pPr>
                  <w:r>
                    <w:t>400</w:t>
                  </w:r>
                </w:p>
              </w:tc>
              <w:tc>
                <w:tcPr>
                  <w:tcW w:w="1405" w:type="dxa"/>
                  <w:tcBorders>
                    <w:top w:val="nil"/>
                    <w:left w:val="nil"/>
                    <w:bottom w:val="single" w:color="auto" w:sz="4" w:space="0"/>
                    <w:right w:val="single" w:color="auto" w:sz="4" w:space="0"/>
                  </w:tcBorders>
                </w:tcPr>
                <w:p>
                  <w:pPr>
                    <w:pStyle w:val="41"/>
                  </w:pPr>
                  <w:r>
                    <w:t>0.01553</w:t>
                  </w:r>
                </w:p>
              </w:tc>
              <w:tc>
                <w:tcPr>
                  <w:tcW w:w="776" w:type="dxa"/>
                  <w:tcBorders>
                    <w:top w:val="nil"/>
                    <w:left w:val="nil"/>
                    <w:bottom w:val="single" w:color="auto" w:sz="4" w:space="0"/>
                    <w:right w:val="single" w:color="auto" w:sz="4" w:space="0"/>
                  </w:tcBorders>
                </w:tcPr>
                <w:p>
                  <w:pPr>
                    <w:pStyle w:val="41"/>
                  </w:pPr>
                  <w:r>
                    <w:t>1.29</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pPr>
                  <w:r>
                    <w:t>500</w:t>
                  </w:r>
                </w:p>
              </w:tc>
              <w:tc>
                <w:tcPr>
                  <w:tcW w:w="1404" w:type="dxa"/>
                  <w:tcBorders>
                    <w:top w:val="nil"/>
                    <w:left w:val="nil"/>
                    <w:bottom w:val="single" w:color="auto" w:sz="4" w:space="0"/>
                    <w:right w:val="single" w:color="auto" w:sz="4" w:space="0"/>
                  </w:tcBorders>
                  <w:noWrap/>
                </w:tcPr>
                <w:p>
                  <w:pPr>
                    <w:pStyle w:val="41"/>
                  </w:pPr>
                  <w:r>
                    <w:t>0.01865</w:t>
                  </w:r>
                </w:p>
              </w:tc>
              <w:tc>
                <w:tcPr>
                  <w:tcW w:w="776" w:type="dxa"/>
                  <w:tcBorders>
                    <w:top w:val="nil"/>
                    <w:left w:val="nil"/>
                    <w:bottom w:val="single" w:color="auto" w:sz="4" w:space="0"/>
                    <w:right w:val="single" w:color="auto" w:sz="4" w:space="0"/>
                  </w:tcBorders>
                  <w:noWrap/>
                </w:tcPr>
                <w:p>
                  <w:pPr>
                    <w:pStyle w:val="41"/>
                  </w:pPr>
                  <w:r>
                    <w:t>2.07</w:t>
                  </w:r>
                </w:p>
              </w:tc>
              <w:tc>
                <w:tcPr>
                  <w:tcW w:w="863" w:type="dxa"/>
                  <w:tcBorders>
                    <w:top w:val="nil"/>
                    <w:left w:val="nil"/>
                    <w:bottom w:val="single" w:color="auto" w:sz="4" w:space="0"/>
                    <w:right w:val="single" w:color="auto" w:sz="4" w:space="0"/>
                  </w:tcBorders>
                  <w:vAlign w:val="center"/>
                </w:tcPr>
                <w:p>
                  <w:pPr>
                    <w:pStyle w:val="41"/>
                  </w:pPr>
                  <w:r>
                    <w:t>500</w:t>
                  </w:r>
                </w:p>
              </w:tc>
              <w:tc>
                <w:tcPr>
                  <w:tcW w:w="1405" w:type="dxa"/>
                  <w:tcBorders>
                    <w:top w:val="nil"/>
                    <w:left w:val="nil"/>
                    <w:bottom w:val="single" w:color="auto" w:sz="4" w:space="0"/>
                    <w:right w:val="single" w:color="auto" w:sz="4" w:space="0"/>
                  </w:tcBorders>
                </w:tcPr>
                <w:p>
                  <w:pPr>
                    <w:pStyle w:val="41"/>
                  </w:pPr>
                  <w:r>
                    <w:t>0.01337</w:t>
                  </w:r>
                </w:p>
              </w:tc>
              <w:tc>
                <w:tcPr>
                  <w:tcW w:w="776" w:type="dxa"/>
                  <w:tcBorders>
                    <w:top w:val="nil"/>
                    <w:left w:val="nil"/>
                    <w:bottom w:val="single" w:color="auto" w:sz="4" w:space="0"/>
                    <w:right w:val="single" w:color="auto" w:sz="4" w:space="0"/>
                  </w:tcBorders>
                </w:tcPr>
                <w:p>
                  <w:pPr>
                    <w:pStyle w:val="41"/>
                  </w:pPr>
                  <w:r>
                    <w:t>0.56</w:t>
                  </w:r>
                </w:p>
              </w:tc>
              <w:tc>
                <w:tcPr>
                  <w:tcW w:w="863" w:type="dxa"/>
                  <w:tcBorders>
                    <w:top w:val="nil"/>
                    <w:left w:val="nil"/>
                    <w:bottom w:val="single" w:color="auto" w:sz="4" w:space="0"/>
                    <w:right w:val="single" w:color="auto" w:sz="4" w:space="0"/>
                  </w:tcBorders>
                  <w:vAlign w:val="center"/>
                </w:tcPr>
                <w:p>
                  <w:pPr>
                    <w:pStyle w:val="41"/>
                  </w:pPr>
                  <w:r>
                    <w:t>500</w:t>
                  </w:r>
                </w:p>
              </w:tc>
              <w:tc>
                <w:tcPr>
                  <w:tcW w:w="1405" w:type="dxa"/>
                  <w:tcBorders>
                    <w:top w:val="nil"/>
                    <w:left w:val="nil"/>
                    <w:bottom w:val="single" w:color="auto" w:sz="4" w:space="0"/>
                    <w:right w:val="single" w:color="auto" w:sz="4" w:space="0"/>
                  </w:tcBorders>
                </w:tcPr>
                <w:p>
                  <w:pPr>
                    <w:pStyle w:val="41"/>
                  </w:pPr>
                  <w:r>
                    <w:t>0.01212</w:t>
                  </w:r>
                </w:p>
              </w:tc>
              <w:tc>
                <w:tcPr>
                  <w:tcW w:w="776" w:type="dxa"/>
                  <w:tcBorders>
                    <w:top w:val="nil"/>
                    <w:left w:val="nil"/>
                    <w:bottom w:val="single" w:color="auto" w:sz="4" w:space="0"/>
                    <w:right w:val="single" w:color="auto" w:sz="4" w:space="0"/>
                  </w:tcBorders>
                </w:tcPr>
                <w:p>
                  <w:pPr>
                    <w:pStyle w:val="41"/>
                  </w:pPr>
                  <w:r>
                    <w:t>1.01</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pPr>
                  <w:r>
                    <w:t>600</w:t>
                  </w:r>
                </w:p>
              </w:tc>
              <w:tc>
                <w:tcPr>
                  <w:tcW w:w="1404" w:type="dxa"/>
                  <w:tcBorders>
                    <w:top w:val="nil"/>
                    <w:left w:val="nil"/>
                    <w:bottom w:val="single" w:color="auto" w:sz="4" w:space="0"/>
                    <w:right w:val="single" w:color="auto" w:sz="4" w:space="0"/>
                  </w:tcBorders>
                  <w:noWrap/>
                </w:tcPr>
                <w:p>
                  <w:pPr>
                    <w:pStyle w:val="41"/>
                  </w:pPr>
                  <w:r>
                    <w:t>0.01478</w:t>
                  </w:r>
                </w:p>
              </w:tc>
              <w:tc>
                <w:tcPr>
                  <w:tcW w:w="776" w:type="dxa"/>
                  <w:tcBorders>
                    <w:top w:val="nil"/>
                    <w:left w:val="nil"/>
                    <w:bottom w:val="single" w:color="auto" w:sz="4" w:space="0"/>
                    <w:right w:val="single" w:color="auto" w:sz="4" w:space="0"/>
                  </w:tcBorders>
                  <w:noWrap/>
                </w:tcPr>
                <w:p>
                  <w:pPr>
                    <w:pStyle w:val="41"/>
                  </w:pPr>
                  <w:r>
                    <w:t>1.64</w:t>
                  </w:r>
                </w:p>
              </w:tc>
              <w:tc>
                <w:tcPr>
                  <w:tcW w:w="863" w:type="dxa"/>
                  <w:tcBorders>
                    <w:top w:val="nil"/>
                    <w:left w:val="nil"/>
                    <w:bottom w:val="single" w:color="auto" w:sz="4" w:space="0"/>
                    <w:right w:val="single" w:color="auto" w:sz="4" w:space="0"/>
                  </w:tcBorders>
                  <w:vAlign w:val="center"/>
                </w:tcPr>
                <w:p>
                  <w:pPr>
                    <w:pStyle w:val="41"/>
                  </w:pPr>
                  <w:r>
                    <w:t>600</w:t>
                  </w:r>
                </w:p>
              </w:tc>
              <w:tc>
                <w:tcPr>
                  <w:tcW w:w="1405" w:type="dxa"/>
                  <w:tcBorders>
                    <w:top w:val="nil"/>
                    <w:left w:val="nil"/>
                    <w:bottom w:val="single" w:color="auto" w:sz="4" w:space="0"/>
                    <w:right w:val="single" w:color="auto" w:sz="4" w:space="0"/>
                  </w:tcBorders>
                </w:tcPr>
                <w:p>
                  <w:pPr>
                    <w:pStyle w:val="41"/>
                  </w:pPr>
                  <w:r>
                    <w:t>0.01059</w:t>
                  </w:r>
                </w:p>
              </w:tc>
              <w:tc>
                <w:tcPr>
                  <w:tcW w:w="776" w:type="dxa"/>
                  <w:tcBorders>
                    <w:top w:val="nil"/>
                    <w:left w:val="nil"/>
                    <w:bottom w:val="single" w:color="auto" w:sz="4" w:space="0"/>
                    <w:right w:val="single" w:color="auto" w:sz="4" w:space="0"/>
                  </w:tcBorders>
                </w:tcPr>
                <w:p>
                  <w:pPr>
                    <w:pStyle w:val="41"/>
                  </w:pPr>
                  <w:r>
                    <w:t>0.44</w:t>
                  </w:r>
                </w:p>
              </w:tc>
              <w:tc>
                <w:tcPr>
                  <w:tcW w:w="863" w:type="dxa"/>
                  <w:tcBorders>
                    <w:top w:val="nil"/>
                    <w:left w:val="nil"/>
                    <w:bottom w:val="single" w:color="auto" w:sz="4" w:space="0"/>
                    <w:right w:val="single" w:color="auto" w:sz="4" w:space="0"/>
                  </w:tcBorders>
                  <w:vAlign w:val="center"/>
                </w:tcPr>
                <w:p>
                  <w:pPr>
                    <w:pStyle w:val="41"/>
                  </w:pPr>
                  <w:r>
                    <w:t>600</w:t>
                  </w:r>
                </w:p>
              </w:tc>
              <w:tc>
                <w:tcPr>
                  <w:tcW w:w="1405" w:type="dxa"/>
                  <w:tcBorders>
                    <w:top w:val="nil"/>
                    <w:left w:val="nil"/>
                    <w:bottom w:val="single" w:color="auto" w:sz="4" w:space="0"/>
                    <w:right w:val="single" w:color="auto" w:sz="4" w:space="0"/>
                  </w:tcBorders>
                </w:tcPr>
                <w:p>
                  <w:pPr>
                    <w:pStyle w:val="41"/>
                  </w:pPr>
                  <w:r>
                    <w:t>0.009608</w:t>
                  </w:r>
                </w:p>
              </w:tc>
              <w:tc>
                <w:tcPr>
                  <w:tcW w:w="776" w:type="dxa"/>
                  <w:tcBorders>
                    <w:top w:val="nil"/>
                    <w:left w:val="nil"/>
                    <w:bottom w:val="single" w:color="auto" w:sz="4" w:space="0"/>
                    <w:right w:val="single" w:color="auto" w:sz="4" w:space="0"/>
                  </w:tcBorders>
                </w:tcPr>
                <w:p>
                  <w:pPr>
                    <w:pStyle w:val="41"/>
                  </w:pPr>
                  <w:r>
                    <w:t>0.80</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pPr>
                  <w:r>
                    <w:t>700</w:t>
                  </w:r>
                </w:p>
              </w:tc>
              <w:tc>
                <w:tcPr>
                  <w:tcW w:w="1404" w:type="dxa"/>
                  <w:tcBorders>
                    <w:top w:val="nil"/>
                    <w:left w:val="nil"/>
                    <w:bottom w:val="single" w:color="auto" w:sz="4" w:space="0"/>
                    <w:right w:val="single" w:color="auto" w:sz="4" w:space="0"/>
                  </w:tcBorders>
                  <w:noWrap/>
                </w:tcPr>
                <w:p>
                  <w:pPr>
                    <w:pStyle w:val="41"/>
                  </w:pPr>
                  <w:r>
                    <w:t>0.01197</w:t>
                  </w:r>
                </w:p>
              </w:tc>
              <w:tc>
                <w:tcPr>
                  <w:tcW w:w="776" w:type="dxa"/>
                  <w:tcBorders>
                    <w:top w:val="nil"/>
                    <w:left w:val="nil"/>
                    <w:bottom w:val="single" w:color="auto" w:sz="4" w:space="0"/>
                    <w:right w:val="single" w:color="auto" w:sz="4" w:space="0"/>
                  </w:tcBorders>
                  <w:noWrap/>
                </w:tcPr>
                <w:p>
                  <w:pPr>
                    <w:pStyle w:val="41"/>
                  </w:pPr>
                  <w:r>
                    <w:t>1.33</w:t>
                  </w:r>
                </w:p>
              </w:tc>
              <w:tc>
                <w:tcPr>
                  <w:tcW w:w="863" w:type="dxa"/>
                  <w:tcBorders>
                    <w:top w:val="nil"/>
                    <w:left w:val="nil"/>
                    <w:bottom w:val="single" w:color="auto" w:sz="4" w:space="0"/>
                    <w:right w:val="single" w:color="auto" w:sz="4" w:space="0"/>
                  </w:tcBorders>
                  <w:vAlign w:val="center"/>
                </w:tcPr>
                <w:p>
                  <w:pPr>
                    <w:pStyle w:val="41"/>
                  </w:pPr>
                  <w:r>
                    <w:t>700</w:t>
                  </w:r>
                </w:p>
              </w:tc>
              <w:tc>
                <w:tcPr>
                  <w:tcW w:w="1405" w:type="dxa"/>
                  <w:tcBorders>
                    <w:top w:val="nil"/>
                    <w:left w:val="nil"/>
                    <w:bottom w:val="single" w:color="auto" w:sz="4" w:space="0"/>
                    <w:right w:val="single" w:color="auto" w:sz="4" w:space="0"/>
                  </w:tcBorders>
                </w:tcPr>
                <w:p>
                  <w:pPr>
                    <w:pStyle w:val="41"/>
                  </w:pPr>
                  <w:r>
                    <w:t>0.00858</w:t>
                  </w:r>
                </w:p>
              </w:tc>
              <w:tc>
                <w:tcPr>
                  <w:tcW w:w="776" w:type="dxa"/>
                  <w:tcBorders>
                    <w:top w:val="nil"/>
                    <w:left w:val="nil"/>
                    <w:bottom w:val="single" w:color="auto" w:sz="4" w:space="0"/>
                    <w:right w:val="single" w:color="auto" w:sz="4" w:space="0"/>
                  </w:tcBorders>
                </w:tcPr>
                <w:p>
                  <w:pPr>
                    <w:pStyle w:val="41"/>
                  </w:pPr>
                  <w:r>
                    <w:t>0.36</w:t>
                  </w:r>
                </w:p>
              </w:tc>
              <w:tc>
                <w:tcPr>
                  <w:tcW w:w="863" w:type="dxa"/>
                  <w:tcBorders>
                    <w:top w:val="nil"/>
                    <w:left w:val="nil"/>
                    <w:bottom w:val="single" w:color="auto" w:sz="4" w:space="0"/>
                    <w:right w:val="single" w:color="auto" w:sz="4" w:space="0"/>
                  </w:tcBorders>
                  <w:vAlign w:val="center"/>
                </w:tcPr>
                <w:p>
                  <w:pPr>
                    <w:pStyle w:val="41"/>
                  </w:pPr>
                  <w:r>
                    <w:t>700</w:t>
                  </w:r>
                </w:p>
              </w:tc>
              <w:tc>
                <w:tcPr>
                  <w:tcW w:w="1405" w:type="dxa"/>
                  <w:tcBorders>
                    <w:top w:val="nil"/>
                    <w:left w:val="nil"/>
                    <w:bottom w:val="single" w:color="auto" w:sz="4" w:space="0"/>
                    <w:right w:val="single" w:color="auto" w:sz="4" w:space="0"/>
                  </w:tcBorders>
                </w:tcPr>
                <w:p>
                  <w:pPr>
                    <w:pStyle w:val="41"/>
                  </w:pPr>
                  <w:r>
                    <w:t>0.007782</w:t>
                  </w:r>
                </w:p>
              </w:tc>
              <w:tc>
                <w:tcPr>
                  <w:tcW w:w="776" w:type="dxa"/>
                  <w:tcBorders>
                    <w:top w:val="nil"/>
                    <w:left w:val="nil"/>
                    <w:bottom w:val="single" w:color="auto" w:sz="4" w:space="0"/>
                    <w:right w:val="single" w:color="auto" w:sz="4" w:space="0"/>
                  </w:tcBorders>
                </w:tcPr>
                <w:p>
                  <w:pPr>
                    <w:pStyle w:val="41"/>
                  </w:pPr>
                  <w:r>
                    <w:t>0.65</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pPr>
                  <w:r>
                    <w:t>800</w:t>
                  </w:r>
                </w:p>
              </w:tc>
              <w:tc>
                <w:tcPr>
                  <w:tcW w:w="1404" w:type="dxa"/>
                  <w:tcBorders>
                    <w:top w:val="nil"/>
                    <w:left w:val="nil"/>
                    <w:bottom w:val="single" w:color="auto" w:sz="4" w:space="0"/>
                    <w:right w:val="single" w:color="auto" w:sz="4" w:space="0"/>
                  </w:tcBorders>
                  <w:noWrap/>
                </w:tcPr>
                <w:p>
                  <w:pPr>
                    <w:pStyle w:val="41"/>
                  </w:pPr>
                  <w:r>
                    <w:t>0.009959</w:t>
                  </w:r>
                </w:p>
              </w:tc>
              <w:tc>
                <w:tcPr>
                  <w:tcW w:w="776" w:type="dxa"/>
                  <w:tcBorders>
                    <w:top w:val="nil"/>
                    <w:left w:val="nil"/>
                    <w:bottom w:val="single" w:color="auto" w:sz="4" w:space="0"/>
                    <w:right w:val="single" w:color="auto" w:sz="4" w:space="0"/>
                  </w:tcBorders>
                  <w:noWrap/>
                </w:tcPr>
                <w:p>
                  <w:pPr>
                    <w:pStyle w:val="41"/>
                  </w:pPr>
                  <w:r>
                    <w:t>1.11</w:t>
                  </w:r>
                </w:p>
              </w:tc>
              <w:tc>
                <w:tcPr>
                  <w:tcW w:w="863" w:type="dxa"/>
                  <w:tcBorders>
                    <w:top w:val="nil"/>
                    <w:left w:val="nil"/>
                    <w:bottom w:val="single" w:color="auto" w:sz="4" w:space="0"/>
                    <w:right w:val="single" w:color="auto" w:sz="4" w:space="0"/>
                  </w:tcBorders>
                  <w:vAlign w:val="center"/>
                </w:tcPr>
                <w:p>
                  <w:pPr>
                    <w:pStyle w:val="41"/>
                  </w:pPr>
                  <w:r>
                    <w:t>800</w:t>
                  </w:r>
                </w:p>
              </w:tc>
              <w:tc>
                <w:tcPr>
                  <w:tcW w:w="1405" w:type="dxa"/>
                  <w:tcBorders>
                    <w:top w:val="nil"/>
                    <w:left w:val="nil"/>
                    <w:bottom w:val="single" w:color="auto" w:sz="4" w:space="0"/>
                    <w:right w:val="single" w:color="auto" w:sz="4" w:space="0"/>
                  </w:tcBorders>
                </w:tcPr>
                <w:p>
                  <w:pPr>
                    <w:pStyle w:val="41"/>
                  </w:pPr>
                  <w:r>
                    <w:t>0.007138</w:t>
                  </w:r>
                </w:p>
              </w:tc>
              <w:tc>
                <w:tcPr>
                  <w:tcW w:w="776" w:type="dxa"/>
                  <w:tcBorders>
                    <w:top w:val="nil"/>
                    <w:left w:val="nil"/>
                    <w:bottom w:val="single" w:color="auto" w:sz="4" w:space="0"/>
                    <w:right w:val="single" w:color="auto" w:sz="4" w:space="0"/>
                  </w:tcBorders>
                </w:tcPr>
                <w:p>
                  <w:pPr>
                    <w:pStyle w:val="41"/>
                  </w:pPr>
                  <w:r>
                    <w:t>0.30</w:t>
                  </w:r>
                </w:p>
              </w:tc>
              <w:tc>
                <w:tcPr>
                  <w:tcW w:w="863" w:type="dxa"/>
                  <w:tcBorders>
                    <w:top w:val="nil"/>
                    <w:left w:val="nil"/>
                    <w:bottom w:val="single" w:color="auto" w:sz="4" w:space="0"/>
                    <w:right w:val="single" w:color="auto" w:sz="4" w:space="0"/>
                  </w:tcBorders>
                  <w:vAlign w:val="center"/>
                </w:tcPr>
                <w:p>
                  <w:pPr>
                    <w:pStyle w:val="41"/>
                  </w:pPr>
                  <w:r>
                    <w:t>800</w:t>
                  </w:r>
                </w:p>
              </w:tc>
              <w:tc>
                <w:tcPr>
                  <w:tcW w:w="1405" w:type="dxa"/>
                  <w:tcBorders>
                    <w:top w:val="nil"/>
                    <w:left w:val="nil"/>
                    <w:bottom w:val="single" w:color="auto" w:sz="4" w:space="0"/>
                    <w:right w:val="single" w:color="auto" w:sz="4" w:space="0"/>
                  </w:tcBorders>
                </w:tcPr>
                <w:p>
                  <w:pPr>
                    <w:pStyle w:val="41"/>
                  </w:pPr>
                  <w:r>
                    <w:t>0.006474</w:t>
                  </w:r>
                </w:p>
              </w:tc>
              <w:tc>
                <w:tcPr>
                  <w:tcW w:w="776" w:type="dxa"/>
                  <w:tcBorders>
                    <w:top w:val="nil"/>
                    <w:left w:val="nil"/>
                    <w:bottom w:val="single" w:color="auto" w:sz="4" w:space="0"/>
                    <w:right w:val="single" w:color="auto" w:sz="4" w:space="0"/>
                  </w:tcBorders>
                </w:tcPr>
                <w:p>
                  <w:pPr>
                    <w:pStyle w:val="41"/>
                  </w:pPr>
                  <w:r>
                    <w:t>0.54</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pPr>
                  <w:r>
                    <w:t>900</w:t>
                  </w:r>
                </w:p>
              </w:tc>
              <w:tc>
                <w:tcPr>
                  <w:tcW w:w="1404" w:type="dxa"/>
                  <w:tcBorders>
                    <w:top w:val="nil"/>
                    <w:left w:val="nil"/>
                    <w:bottom w:val="single" w:color="auto" w:sz="4" w:space="0"/>
                    <w:right w:val="single" w:color="auto" w:sz="4" w:space="0"/>
                  </w:tcBorders>
                  <w:noWrap/>
                </w:tcPr>
                <w:p>
                  <w:pPr>
                    <w:pStyle w:val="41"/>
                  </w:pPr>
                  <w:r>
                    <w:t>0.008439</w:t>
                  </w:r>
                </w:p>
              </w:tc>
              <w:tc>
                <w:tcPr>
                  <w:tcW w:w="776" w:type="dxa"/>
                  <w:tcBorders>
                    <w:top w:val="nil"/>
                    <w:left w:val="nil"/>
                    <w:bottom w:val="single" w:color="auto" w:sz="4" w:space="0"/>
                    <w:right w:val="single" w:color="auto" w:sz="4" w:space="0"/>
                  </w:tcBorders>
                  <w:noWrap/>
                </w:tcPr>
                <w:p>
                  <w:pPr>
                    <w:pStyle w:val="41"/>
                  </w:pPr>
                  <w:r>
                    <w:t>0.94</w:t>
                  </w:r>
                </w:p>
              </w:tc>
              <w:tc>
                <w:tcPr>
                  <w:tcW w:w="863" w:type="dxa"/>
                  <w:tcBorders>
                    <w:top w:val="nil"/>
                    <w:left w:val="nil"/>
                    <w:bottom w:val="single" w:color="auto" w:sz="4" w:space="0"/>
                    <w:right w:val="single" w:color="auto" w:sz="4" w:space="0"/>
                  </w:tcBorders>
                  <w:vAlign w:val="center"/>
                </w:tcPr>
                <w:p>
                  <w:pPr>
                    <w:pStyle w:val="41"/>
                  </w:pPr>
                  <w:r>
                    <w:t>900</w:t>
                  </w:r>
                </w:p>
              </w:tc>
              <w:tc>
                <w:tcPr>
                  <w:tcW w:w="1405" w:type="dxa"/>
                  <w:tcBorders>
                    <w:top w:val="nil"/>
                    <w:left w:val="nil"/>
                    <w:bottom w:val="single" w:color="auto" w:sz="4" w:space="0"/>
                    <w:right w:val="single" w:color="auto" w:sz="4" w:space="0"/>
                  </w:tcBorders>
                </w:tcPr>
                <w:p>
                  <w:pPr>
                    <w:pStyle w:val="41"/>
                  </w:pPr>
                  <w:r>
                    <w:t>0.006048</w:t>
                  </w:r>
                </w:p>
              </w:tc>
              <w:tc>
                <w:tcPr>
                  <w:tcW w:w="776" w:type="dxa"/>
                  <w:tcBorders>
                    <w:top w:val="nil"/>
                    <w:left w:val="nil"/>
                    <w:bottom w:val="single" w:color="auto" w:sz="4" w:space="0"/>
                    <w:right w:val="single" w:color="auto" w:sz="4" w:space="0"/>
                  </w:tcBorders>
                </w:tcPr>
                <w:p>
                  <w:pPr>
                    <w:pStyle w:val="41"/>
                  </w:pPr>
                  <w:r>
                    <w:t>0.25</w:t>
                  </w:r>
                </w:p>
              </w:tc>
              <w:tc>
                <w:tcPr>
                  <w:tcW w:w="863" w:type="dxa"/>
                  <w:tcBorders>
                    <w:top w:val="nil"/>
                    <w:left w:val="nil"/>
                    <w:bottom w:val="single" w:color="auto" w:sz="4" w:space="0"/>
                    <w:right w:val="single" w:color="auto" w:sz="4" w:space="0"/>
                  </w:tcBorders>
                  <w:vAlign w:val="center"/>
                </w:tcPr>
                <w:p>
                  <w:pPr>
                    <w:pStyle w:val="41"/>
                  </w:pPr>
                  <w:r>
                    <w:t>900</w:t>
                  </w:r>
                </w:p>
              </w:tc>
              <w:tc>
                <w:tcPr>
                  <w:tcW w:w="1405" w:type="dxa"/>
                  <w:tcBorders>
                    <w:top w:val="nil"/>
                    <w:left w:val="nil"/>
                    <w:bottom w:val="single" w:color="auto" w:sz="4" w:space="0"/>
                    <w:right w:val="single" w:color="auto" w:sz="4" w:space="0"/>
                  </w:tcBorders>
                </w:tcPr>
                <w:p>
                  <w:pPr>
                    <w:pStyle w:val="41"/>
                  </w:pPr>
                  <w:r>
                    <w:t>0.005486</w:t>
                  </w:r>
                </w:p>
              </w:tc>
              <w:tc>
                <w:tcPr>
                  <w:tcW w:w="776" w:type="dxa"/>
                  <w:tcBorders>
                    <w:top w:val="nil"/>
                    <w:left w:val="nil"/>
                    <w:bottom w:val="single" w:color="auto" w:sz="4" w:space="0"/>
                    <w:right w:val="single" w:color="auto" w:sz="4" w:space="0"/>
                  </w:tcBorders>
                </w:tcPr>
                <w:p>
                  <w:pPr>
                    <w:pStyle w:val="41"/>
                  </w:pPr>
                  <w:r>
                    <w:t>0.46</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pPr>
                  <w:r>
                    <w:t>1000</w:t>
                  </w:r>
                </w:p>
              </w:tc>
              <w:tc>
                <w:tcPr>
                  <w:tcW w:w="1404" w:type="dxa"/>
                  <w:tcBorders>
                    <w:top w:val="nil"/>
                    <w:left w:val="nil"/>
                    <w:bottom w:val="single" w:color="auto" w:sz="4" w:space="0"/>
                    <w:right w:val="single" w:color="auto" w:sz="4" w:space="0"/>
                  </w:tcBorders>
                  <w:noWrap/>
                </w:tcPr>
                <w:p>
                  <w:pPr>
                    <w:pStyle w:val="41"/>
                  </w:pPr>
                  <w:r>
                    <w:t>0.007262</w:t>
                  </w:r>
                </w:p>
              </w:tc>
              <w:tc>
                <w:tcPr>
                  <w:tcW w:w="776" w:type="dxa"/>
                  <w:tcBorders>
                    <w:top w:val="nil"/>
                    <w:left w:val="nil"/>
                    <w:bottom w:val="single" w:color="auto" w:sz="4" w:space="0"/>
                    <w:right w:val="single" w:color="auto" w:sz="4" w:space="0"/>
                  </w:tcBorders>
                  <w:noWrap/>
                </w:tcPr>
                <w:p>
                  <w:pPr>
                    <w:pStyle w:val="41"/>
                  </w:pPr>
                  <w:r>
                    <w:t>0.81</w:t>
                  </w:r>
                </w:p>
              </w:tc>
              <w:tc>
                <w:tcPr>
                  <w:tcW w:w="863" w:type="dxa"/>
                  <w:tcBorders>
                    <w:top w:val="nil"/>
                    <w:left w:val="nil"/>
                    <w:bottom w:val="single" w:color="auto" w:sz="4" w:space="0"/>
                    <w:right w:val="single" w:color="auto" w:sz="4" w:space="0"/>
                  </w:tcBorders>
                  <w:vAlign w:val="center"/>
                </w:tcPr>
                <w:p>
                  <w:pPr>
                    <w:pStyle w:val="41"/>
                  </w:pPr>
                  <w:r>
                    <w:t>1000</w:t>
                  </w:r>
                </w:p>
              </w:tc>
              <w:tc>
                <w:tcPr>
                  <w:tcW w:w="1405" w:type="dxa"/>
                  <w:tcBorders>
                    <w:top w:val="nil"/>
                    <w:left w:val="nil"/>
                    <w:bottom w:val="single" w:color="auto" w:sz="4" w:space="0"/>
                    <w:right w:val="single" w:color="auto" w:sz="4" w:space="0"/>
                  </w:tcBorders>
                </w:tcPr>
                <w:p>
                  <w:pPr>
                    <w:pStyle w:val="41"/>
                  </w:pPr>
                  <w:r>
                    <w:t>0.005205</w:t>
                  </w:r>
                </w:p>
              </w:tc>
              <w:tc>
                <w:tcPr>
                  <w:tcW w:w="776" w:type="dxa"/>
                  <w:tcBorders>
                    <w:top w:val="nil"/>
                    <w:left w:val="nil"/>
                    <w:bottom w:val="single" w:color="auto" w:sz="4" w:space="0"/>
                    <w:right w:val="single" w:color="auto" w:sz="4" w:space="0"/>
                  </w:tcBorders>
                </w:tcPr>
                <w:p>
                  <w:pPr>
                    <w:pStyle w:val="41"/>
                  </w:pPr>
                  <w:r>
                    <w:t>0.22</w:t>
                  </w:r>
                </w:p>
              </w:tc>
              <w:tc>
                <w:tcPr>
                  <w:tcW w:w="863" w:type="dxa"/>
                  <w:tcBorders>
                    <w:top w:val="nil"/>
                    <w:left w:val="nil"/>
                    <w:bottom w:val="single" w:color="auto" w:sz="4" w:space="0"/>
                    <w:right w:val="single" w:color="auto" w:sz="4" w:space="0"/>
                  </w:tcBorders>
                  <w:vAlign w:val="center"/>
                </w:tcPr>
                <w:p>
                  <w:pPr>
                    <w:pStyle w:val="41"/>
                  </w:pPr>
                  <w:r>
                    <w:t>1000</w:t>
                  </w:r>
                </w:p>
              </w:tc>
              <w:tc>
                <w:tcPr>
                  <w:tcW w:w="1405" w:type="dxa"/>
                  <w:tcBorders>
                    <w:top w:val="nil"/>
                    <w:left w:val="nil"/>
                    <w:bottom w:val="single" w:color="auto" w:sz="4" w:space="0"/>
                    <w:right w:val="single" w:color="auto" w:sz="4" w:space="0"/>
                  </w:tcBorders>
                </w:tcPr>
                <w:p>
                  <w:pPr>
                    <w:pStyle w:val="41"/>
                  </w:pPr>
                  <w:r>
                    <w:t>0.004721</w:t>
                  </w:r>
                </w:p>
              </w:tc>
              <w:tc>
                <w:tcPr>
                  <w:tcW w:w="776" w:type="dxa"/>
                  <w:tcBorders>
                    <w:top w:val="nil"/>
                    <w:left w:val="nil"/>
                    <w:bottom w:val="single" w:color="auto" w:sz="4" w:space="0"/>
                    <w:right w:val="single" w:color="auto" w:sz="4" w:space="0"/>
                  </w:tcBorders>
                </w:tcPr>
                <w:p>
                  <w:pPr>
                    <w:pStyle w:val="41"/>
                  </w:pPr>
                  <w:r>
                    <w:t>0.39</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pPr>
                  <w:r>
                    <w:t>1100</w:t>
                  </w:r>
                </w:p>
              </w:tc>
              <w:tc>
                <w:tcPr>
                  <w:tcW w:w="1404" w:type="dxa"/>
                  <w:tcBorders>
                    <w:top w:val="nil"/>
                    <w:left w:val="nil"/>
                    <w:bottom w:val="single" w:color="auto" w:sz="4" w:space="0"/>
                    <w:right w:val="single" w:color="auto" w:sz="4" w:space="0"/>
                  </w:tcBorders>
                  <w:noWrap/>
                </w:tcPr>
                <w:p>
                  <w:pPr>
                    <w:pStyle w:val="41"/>
                  </w:pPr>
                  <w:r>
                    <w:t>0.006343</w:t>
                  </w:r>
                </w:p>
              </w:tc>
              <w:tc>
                <w:tcPr>
                  <w:tcW w:w="776" w:type="dxa"/>
                  <w:tcBorders>
                    <w:top w:val="nil"/>
                    <w:left w:val="nil"/>
                    <w:bottom w:val="single" w:color="auto" w:sz="4" w:space="0"/>
                    <w:right w:val="single" w:color="auto" w:sz="4" w:space="0"/>
                  </w:tcBorders>
                  <w:noWrap/>
                </w:tcPr>
                <w:p>
                  <w:pPr>
                    <w:pStyle w:val="41"/>
                  </w:pPr>
                  <w:r>
                    <w:t>0.70</w:t>
                  </w:r>
                </w:p>
              </w:tc>
              <w:tc>
                <w:tcPr>
                  <w:tcW w:w="863" w:type="dxa"/>
                  <w:tcBorders>
                    <w:top w:val="nil"/>
                    <w:left w:val="nil"/>
                    <w:bottom w:val="single" w:color="auto" w:sz="4" w:space="0"/>
                    <w:right w:val="single" w:color="auto" w:sz="4" w:space="0"/>
                  </w:tcBorders>
                  <w:vAlign w:val="center"/>
                </w:tcPr>
                <w:p>
                  <w:pPr>
                    <w:pStyle w:val="41"/>
                  </w:pPr>
                  <w:r>
                    <w:t>1100</w:t>
                  </w:r>
                </w:p>
              </w:tc>
              <w:tc>
                <w:tcPr>
                  <w:tcW w:w="1405" w:type="dxa"/>
                  <w:tcBorders>
                    <w:top w:val="nil"/>
                    <w:left w:val="nil"/>
                    <w:bottom w:val="single" w:color="auto" w:sz="4" w:space="0"/>
                    <w:right w:val="single" w:color="auto" w:sz="4" w:space="0"/>
                  </w:tcBorders>
                </w:tcPr>
                <w:p>
                  <w:pPr>
                    <w:pStyle w:val="41"/>
                  </w:pPr>
                  <w:r>
                    <w:t>0.004546</w:t>
                  </w:r>
                </w:p>
              </w:tc>
              <w:tc>
                <w:tcPr>
                  <w:tcW w:w="776" w:type="dxa"/>
                  <w:tcBorders>
                    <w:top w:val="nil"/>
                    <w:left w:val="nil"/>
                    <w:bottom w:val="single" w:color="auto" w:sz="4" w:space="0"/>
                    <w:right w:val="single" w:color="auto" w:sz="4" w:space="0"/>
                  </w:tcBorders>
                </w:tcPr>
                <w:p>
                  <w:pPr>
                    <w:pStyle w:val="41"/>
                  </w:pPr>
                  <w:r>
                    <w:t>0.19</w:t>
                  </w:r>
                </w:p>
              </w:tc>
              <w:tc>
                <w:tcPr>
                  <w:tcW w:w="863" w:type="dxa"/>
                  <w:tcBorders>
                    <w:top w:val="nil"/>
                    <w:left w:val="nil"/>
                    <w:bottom w:val="single" w:color="auto" w:sz="4" w:space="0"/>
                    <w:right w:val="single" w:color="auto" w:sz="4" w:space="0"/>
                  </w:tcBorders>
                  <w:vAlign w:val="center"/>
                </w:tcPr>
                <w:p>
                  <w:pPr>
                    <w:pStyle w:val="41"/>
                  </w:pPr>
                  <w:r>
                    <w:t>1100</w:t>
                  </w:r>
                </w:p>
              </w:tc>
              <w:tc>
                <w:tcPr>
                  <w:tcW w:w="1405" w:type="dxa"/>
                  <w:tcBorders>
                    <w:top w:val="nil"/>
                    <w:left w:val="nil"/>
                    <w:bottom w:val="single" w:color="auto" w:sz="4" w:space="0"/>
                    <w:right w:val="single" w:color="auto" w:sz="4" w:space="0"/>
                  </w:tcBorders>
                </w:tcPr>
                <w:p>
                  <w:pPr>
                    <w:pStyle w:val="41"/>
                  </w:pPr>
                  <w:r>
                    <w:t>0.004123</w:t>
                  </w:r>
                </w:p>
              </w:tc>
              <w:tc>
                <w:tcPr>
                  <w:tcW w:w="776" w:type="dxa"/>
                  <w:tcBorders>
                    <w:top w:val="nil"/>
                    <w:left w:val="nil"/>
                    <w:bottom w:val="single" w:color="auto" w:sz="4" w:space="0"/>
                    <w:right w:val="single" w:color="auto" w:sz="4" w:space="0"/>
                  </w:tcBorders>
                </w:tcPr>
                <w:p>
                  <w:pPr>
                    <w:pStyle w:val="41"/>
                  </w:pPr>
                  <w:r>
                    <w:t>0.34</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pPr>
                  <w:r>
                    <w:t>1200</w:t>
                  </w:r>
                </w:p>
              </w:tc>
              <w:tc>
                <w:tcPr>
                  <w:tcW w:w="1404" w:type="dxa"/>
                  <w:tcBorders>
                    <w:top w:val="nil"/>
                    <w:left w:val="nil"/>
                    <w:bottom w:val="single" w:color="auto" w:sz="4" w:space="0"/>
                    <w:right w:val="single" w:color="auto" w:sz="4" w:space="0"/>
                  </w:tcBorders>
                  <w:noWrap/>
                </w:tcPr>
                <w:p>
                  <w:pPr>
                    <w:pStyle w:val="41"/>
                  </w:pPr>
                  <w:r>
                    <w:t>0.005602</w:t>
                  </w:r>
                </w:p>
              </w:tc>
              <w:tc>
                <w:tcPr>
                  <w:tcW w:w="776" w:type="dxa"/>
                  <w:tcBorders>
                    <w:top w:val="nil"/>
                    <w:left w:val="nil"/>
                    <w:bottom w:val="single" w:color="auto" w:sz="4" w:space="0"/>
                    <w:right w:val="single" w:color="auto" w:sz="4" w:space="0"/>
                  </w:tcBorders>
                  <w:noWrap/>
                </w:tcPr>
                <w:p>
                  <w:pPr>
                    <w:pStyle w:val="41"/>
                  </w:pPr>
                  <w:r>
                    <w:t>0.62</w:t>
                  </w:r>
                </w:p>
              </w:tc>
              <w:tc>
                <w:tcPr>
                  <w:tcW w:w="863" w:type="dxa"/>
                  <w:tcBorders>
                    <w:top w:val="nil"/>
                    <w:left w:val="nil"/>
                    <w:bottom w:val="single" w:color="auto" w:sz="4" w:space="0"/>
                    <w:right w:val="single" w:color="auto" w:sz="4" w:space="0"/>
                  </w:tcBorders>
                  <w:vAlign w:val="center"/>
                </w:tcPr>
                <w:p>
                  <w:pPr>
                    <w:pStyle w:val="41"/>
                  </w:pPr>
                  <w:r>
                    <w:t>1200</w:t>
                  </w:r>
                </w:p>
              </w:tc>
              <w:tc>
                <w:tcPr>
                  <w:tcW w:w="1405" w:type="dxa"/>
                  <w:tcBorders>
                    <w:top w:val="nil"/>
                    <w:left w:val="nil"/>
                    <w:bottom w:val="single" w:color="auto" w:sz="4" w:space="0"/>
                    <w:right w:val="single" w:color="auto" w:sz="4" w:space="0"/>
                  </w:tcBorders>
                </w:tcPr>
                <w:p>
                  <w:pPr>
                    <w:pStyle w:val="41"/>
                  </w:pPr>
                  <w:r>
                    <w:t>0.004015</w:t>
                  </w:r>
                </w:p>
              </w:tc>
              <w:tc>
                <w:tcPr>
                  <w:tcW w:w="776" w:type="dxa"/>
                  <w:tcBorders>
                    <w:top w:val="nil"/>
                    <w:left w:val="nil"/>
                    <w:bottom w:val="single" w:color="auto" w:sz="4" w:space="0"/>
                    <w:right w:val="single" w:color="auto" w:sz="4" w:space="0"/>
                  </w:tcBorders>
                </w:tcPr>
                <w:p>
                  <w:pPr>
                    <w:pStyle w:val="41"/>
                  </w:pPr>
                  <w:r>
                    <w:t>0.17</w:t>
                  </w:r>
                </w:p>
              </w:tc>
              <w:tc>
                <w:tcPr>
                  <w:tcW w:w="863" w:type="dxa"/>
                  <w:tcBorders>
                    <w:top w:val="nil"/>
                    <w:left w:val="nil"/>
                    <w:bottom w:val="single" w:color="auto" w:sz="4" w:space="0"/>
                    <w:right w:val="single" w:color="auto" w:sz="4" w:space="0"/>
                  </w:tcBorders>
                  <w:vAlign w:val="center"/>
                </w:tcPr>
                <w:p>
                  <w:pPr>
                    <w:pStyle w:val="41"/>
                  </w:pPr>
                  <w:r>
                    <w:t>1200</w:t>
                  </w:r>
                </w:p>
              </w:tc>
              <w:tc>
                <w:tcPr>
                  <w:tcW w:w="1405" w:type="dxa"/>
                  <w:tcBorders>
                    <w:top w:val="nil"/>
                    <w:left w:val="nil"/>
                    <w:bottom w:val="single" w:color="auto" w:sz="4" w:space="0"/>
                    <w:right w:val="single" w:color="auto" w:sz="4" w:space="0"/>
                  </w:tcBorders>
                </w:tcPr>
                <w:p>
                  <w:pPr>
                    <w:pStyle w:val="41"/>
                  </w:pPr>
                  <w:r>
                    <w:t>0.003641</w:t>
                  </w:r>
                </w:p>
              </w:tc>
              <w:tc>
                <w:tcPr>
                  <w:tcW w:w="776" w:type="dxa"/>
                  <w:tcBorders>
                    <w:top w:val="nil"/>
                    <w:left w:val="nil"/>
                    <w:bottom w:val="single" w:color="auto" w:sz="4" w:space="0"/>
                    <w:right w:val="single" w:color="auto" w:sz="4" w:space="0"/>
                  </w:tcBorders>
                </w:tcPr>
                <w:p>
                  <w:pPr>
                    <w:pStyle w:val="41"/>
                  </w:pPr>
                  <w:r>
                    <w:t>0.30</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pPr>
                  <w:r>
                    <w:t>1300</w:t>
                  </w:r>
                </w:p>
              </w:tc>
              <w:tc>
                <w:tcPr>
                  <w:tcW w:w="1404" w:type="dxa"/>
                  <w:tcBorders>
                    <w:top w:val="nil"/>
                    <w:left w:val="nil"/>
                    <w:bottom w:val="single" w:color="auto" w:sz="4" w:space="0"/>
                    <w:right w:val="single" w:color="auto" w:sz="4" w:space="0"/>
                  </w:tcBorders>
                  <w:noWrap/>
                </w:tcPr>
                <w:p>
                  <w:pPr>
                    <w:pStyle w:val="41"/>
                  </w:pPr>
                  <w:r>
                    <w:t>0.004994</w:t>
                  </w:r>
                </w:p>
              </w:tc>
              <w:tc>
                <w:tcPr>
                  <w:tcW w:w="776" w:type="dxa"/>
                  <w:tcBorders>
                    <w:top w:val="nil"/>
                    <w:left w:val="nil"/>
                    <w:bottom w:val="single" w:color="auto" w:sz="4" w:space="0"/>
                    <w:right w:val="single" w:color="auto" w:sz="4" w:space="0"/>
                  </w:tcBorders>
                  <w:noWrap/>
                </w:tcPr>
                <w:p>
                  <w:pPr>
                    <w:pStyle w:val="41"/>
                  </w:pPr>
                  <w:r>
                    <w:t>0.55</w:t>
                  </w:r>
                </w:p>
              </w:tc>
              <w:tc>
                <w:tcPr>
                  <w:tcW w:w="863" w:type="dxa"/>
                  <w:tcBorders>
                    <w:top w:val="nil"/>
                    <w:left w:val="nil"/>
                    <w:bottom w:val="single" w:color="auto" w:sz="4" w:space="0"/>
                    <w:right w:val="single" w:color="auto" w:sz="4" w:space="0"/>
                  </w:tcBorders>
                  <w:vAlign w:val="center"/>
                </w:tcPr>
                <w:p>
                  <w:pPr>
                    <w:pStyle w:val="41"/>
                  </w:pPr>
                  <w:r>
                    <w:t>1300</w:t>
                  </w:r>
                </w:p>
              </w:tc>
              <w:tc>
                <w:tcPr>
                  <w:tcW w:w="1405" w:type="dxa"/>
                  <w:tcBorders>
                    <w:top w:val="nil"/>
                    <w:left w:val="nil"/>
                    <w:bottom w:val="single" w:color="auto" w:sz="4" w:space="0"/>
                    <w:right w:val="single" w:color="auto" w:sz="4" w:space="0"/>
                  </w:tcBorders>
                </w:tcPr>
                <w:p>
                  <w:pPr>
                    <w:pStyle w:val="41"/>
                  </w:pPr>
                  <w:r>
                    <w:t>0.003579</w:t>
                  </w:r>
                </w:p>
              </w:tc>
              <w:tc>
                <w:tcPr>
                  <w:tcW w:w="776" w:type="dxa"/>
                  <w:tcBorders>
                    <w:top w:val="nil"/>
                    <w:left w:val="nil"/>
                    <w:bottom w:val="single" w:color="auto" w:sz="4" w:space="0"/>
                    <w:right w:val="single" w:color="auto" w:sz="4" w:space="0"/>
                  </w:tcBorders>
                </w:tcPr>
                <w:p>
                  <w:pPr>
                    <w:pStyle w:val="41"/>
                  </w:pPr>
                  <w:r>
                    <w:t>0.15</w:t>
                  </w:r>
                </w:p>
              </w:tc>
              <w:tc>
                <w:tcPr>
                  <w:tcW w:w="863" w:type="dxa"/>
                  <w:tcBorders>
                    <w:top w:val="nil"/>
                    <w:left w:val="nil"/>
                    <w:bottom w:val="single" w:color="auto" w:sz="4" w:space="0"/>
                    <w:right w:val="single" w:color="auto" w:sz="4" w:space="0"/>
                  </w:tcBorders>
                  <w:vAlign w:val="center"/>
                </w:tcPr>
                <w:p>
                  <w:pPr>
                    <w:pStyle w:val="41"/>
                  </w:pPr>
                  <w:r>
                    <w:t>1300</w:t>
                  </w:r>
                </w:p>
              </w:tc>
              <w:tc>
                <w:tcPr>
                  <w:tcW w:w="1405" w:type="dxa"/>
                  <w:tcBorders>
                    <w:top w:val="nil"/>
                    <w:left w:val="nil"/>
                    <w:bottom w:val="single" w:color="auto" w:sz="4" w:space="0"/>
                    <w:right w:val="single" w:color="auto" w:sz="4" w:space="0"/>
                  </w:tcBorders>
                </w:tcPr>
                <w:p>
                  <w:pPr>
                    <w:pStyle w:val="41"/>
                  </w:pPr>
                  <w:r>
                    <w:t>0.003246</w:t>
                  </w:r>
                </w:p>
              </w:tc>
              <w:tc>
                <w:tcPr>
                  <w:tcW w:w="776" w:type="dxa"/>
                  <w:tcBorders>
                    <w:top w:val="nil"/>
                    <w:left w:val="nil"/>
                    <w:bottom w:val="single" w:color="auto" w:sz="4" w:space="0"/>
                    <w:right w:val="single" w:color="auto" w:sz="4" w:space="0"/>
                  </w:tcBorders>
                </w:tcPr>
                <w:p>
                  <w:pPr>
                    <w:pStyle w:val="41"/>
                  </w:pPr>
                  <w:r>
                    <w:t>0.27</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pPr>
                  <w:r>
                    <w:t>1400</w:t>
                  </w:r>
                </w:p>
              </w:tc>
              <w:tc>
                <w:tcPr>
                  <w:tcW w:w="1404" w:type="dxa"/>
                  <w:tcBorders>
                    <w:top w:val="nil"/>
                    <w:left w:val="nil"/>
                    <w:bottom w:val="single" w:color="auto" w:sz="4" w:space="0"/>
                    <w:right w:val="single" w:color="auto" w:sz="4" w:space="0"/>
                  </w:tcBorders>
                  <w:noWrap/>
                </w:tcPr>
                <w:p>
                  <w:pPr>
                    <w:pStyle w:val="41"/>
                  </w:pPr>
                  <w:r>
                    <w:t>0.004488</w:t>
                  </w:r>
                </w:p>
              </w:tc>
              <w:tc>
                <w:tcPr>
                  <w:tcW w:w="776" w:type="dxa"/>
                  <w:tcBorders>
                    <w:top w:val="nil"/>
                    <w:left w:val="nil"/>
                    <w:bottom w:val="single" w:color="auto" w:sz="4" w:space="0"/>
                    <w:right w:val="single" w:color="auto" w:sz="4" w:space="0"/>
                  </w:tcBorders>
                  <w:noWrap/>
                </w:tcPr>
                <w:p>
                  <w:pPr>
                    <w:pStyle w:val="41"/>
                  </w:pPr>
                  <w:r>
                    <w:t>0.50</w:t>
                  </w:r>
                </w:p>
              </w:tc>
              <w:tc>
                <w:tcPr>
                  <w:tcW w:w="863" w:type="dxa"/>
                  <w:tcBorders>
                    <w:top w:val="nil"/>
                    <w:left w:val="nil"/>
                    <w:bottom w:val="single" w:color="auto" w:sz="4" w:space="0"/>
                    <w:right w:val="single" w:color="auto" w:sz="4" w:space="0"/>
                  </w:tcBorders>
                  <w:vAlign w:val="center"/>
                </w:tcPr>
                <w:p>
                  <w:pPr>
                    <w:pStyle w:val="41"/>
                  </w:pPr>
                  <w:r>
                    <w:t>1400</w:t>
                  </w:r>
                </w:p>
              </w:tc>
              <w:tc>
                <w:tcPr>
                  <w:tcW w:w="1405" w:type="dxa"/>
                  <w:tcBorders>
                    <w:top w:val="nil"/>
                    <w:left w:val="nil"/>
                    <w:bottom w:val="single" w:color="auto" w:sz="4" w:space="0"/>
                    <w:right w:val="single" w:color="auto" w:sz="4" w:space="0"/>
                  </w:tcBorders>
                </w:tcPr>
                <w:p>
                  <w:pPr>
                    <w:pStyle w:val="41"/>
                  </w:pPr>
                  <w:r>
                    <w:t>0.003216</w:t>
                  </w:r>
                </w:p>
              </w:tc>
              <w:tc>
                <w:tcPr>
                  <w:tcW w:w="776" w:type="dxa"/>
                  <w:tcBorders>
                    <w:top w:val="nil"/>
                    <w:left w:val="nil"/>
                    <w:bottom w:val="single" w:color="auto" w:sz="4" w:space="0"/>
                    <w:right w:val="single" w:color="auto" w:sz="4" w:space="0"/>
                  </w:tcBorders>
                </w:tcPr>
                <w:p>
                  <w:pPr>
                    <w:pStyle w:val="41"/>
                  </w:pPr>
                  <w:r>
                    <w:t>0.13</w:t>
                  </w:r>
                </w:p>
              </w:tc>
              <w:tc>
                <w:tcPr>
                  <w:tcW w:w="863" w:type="dxa"/>
                  <w:tcBorders>
                    <w:top w:val="nil"/>
                    <w:left w:val="nil"/>
                    <w:bottom w:val="single" w:color="auto" w:sz="4" w:space="0"/>
                    <w:right w:val="single" w:color="auto" w:sz="4" w:space="0"/>
                  </w:tcBorders>
                  <w:vAlign w:val="center"/>
                </w:tcPr>
                <w:p>
                  <w:pPr>
                    <w:pStyle w:val="41"/>
                  </w:pPr>
                  <w:r>
                    <w:t>1400</w:t>
                  </w:r>
                </w:p>
              </w:tc>
              <w:tc>
                <w:tcPr>
                  <w:tcW w:w="1405" w:type="dxa"/>
                  <w:tcBorders>
                    <w:top w:val="nil"/>
                    <w:left w:val="nil"/>
                    <w:bottom w:val="single" w:color="auto" w:sz="4" w:space="0"/>
                    <w:right w:val="single" w:color="auto" w:sz="4" w:space="0"/>
                  </w:tcBorders>
                </w:tcPr>
                <w:p>
                  <w:pPr>
                    <w:pStyle w:val="41"/>
                  </w:pPr>
                  <w:r>
                    <w:t>0.002917</w:t>
                  </w:r>
                </w:p>
              </w:tc>
              <w:tc>
                <w:tcPr>
                  <w:tcW w:w="776" w:type="dxa"/>
                  <w:tcBorders>
                    <w:top w:val="nil"/>
                    <w:left w:val="nil"/>
                    <w:bottom w:val="single" w:color="auto" w:sz="4" w:space="0"/>
                    <w:right w:val="single" w:color="auto" w:sz="4" w:space="0"/>
                  </w:tcBorders>
                </w:tcPr>
                <w:p>
                  <w:pPr>
                    <w:pStyle w:val="41"/>
                  </w:pPr>
                  <w:r>
                    <w:t>0.24</w:t>
                  </w:r>
                </w:p>
              </w:tc>
            </w:tr>
            <w:tr>
              <w:tblPrEx>
                <w:tblCellMar>
                  <w:top w:w="0" w:type="dxa"/>
                  <w:left w:w="108" w:type="dxa"/>
                  <w:bottom w:w="0" w:type="dxa"/>
                  <w:right w:w="108" w:type="dxa"/>
                </w:tblCellMar>
              </w:tblPrEx>
              <w:trPr>
                <w:trHeight w:val="340" w:hRule="atLeast"/>
              </w:trPr>
              <w:tc>
                <w:tcPr>
                  <w:tcW w:w="862" w:type="dxa"/>
                  <w:tcBorders>
                    <w:top w:val="nil"/>
                    <w:left w:val="single" w:color="auto" w:sz="4" w:space="0"/>
                    <w:bottom w:val="single" w:color="auto" w:sz="4" w:space="0"/>
                    <w:right w:val="single" w:color="auto" w:sz="4" w:space="0"/>
                  </w:tcBorders>
                  <w:noWrap/>
                  <w:vAlign w:val="center"/>
                </w:tcPr>
                <w:p>
                  <w:pPr>
                    <w:pStyle w:val="41"/>
                  </w:pPr>
                  <w:r>
                    <w:t>1500</w:t>
                  </w:r>
                </w:p>
              </w:tc>
              <w:tc>
                <w:tcPr>
                  <w:tcW w:w="1404" w:type="dxa"/>
                  <w:tcBorders>
                    <w:top w:val="nil"/>
                    <w:left w:val="nil"/>
                    <w:bottom w:val="single" w:color="auto" w:sz="4" w:space="0"/>
                    <w:right w:val="single" w:color="auto" w:sz="4" w:space="0"/>
                  </w:tcBorders>
                  <w:noWrap/>
                </w:tcPr>
                <w:p>
                  <w:pPr>
                    <w:pStyle w:val="41"/>
                  </w:pPr>
                  <w:r>
                    <w:t>0.004062</w:t>
                  </w:r>
                </w:p>
              </w:tc>
              <w:tc>
                <w:tcPr>
                  <w:tcW w:w="776" w:type="dxa"/>
                  <w:tcBorders>
                    <w:top w:val="nil"/>
                    <w:left w:val="nil"/>
                    <w:bottom w:val="single" w:color="auto" w:sz="4" w:space="0"/>
                    <w:right w:val="single" w:color="auto" w:sz="4" w:space="0"/>
                  </w:tcBorders>
                  <w:noWrap/>
                </w:tcPr>
                <w:p>
                  <w:pPr>
                    <w:pStyle w:val="41"/>
                  </w:pPr>
                  <w:r>
                    <w:t>0.45</w:t>
                  </w:r>
                </w:p>
              </w:tc>
              <w:tc>
                <w:tcPr>
                  <w:tcW w:w="863" w:type="dxa"/>
                  <w:tcBorders>
                    <w:top w:val="nil"/>
                    <w:left w:val="nil"/>
                    <w:bottom w:val="single" w:color="auto" w:sz="4" w:space="0"/>
                    <w:right w:val="single" w:color="auto" w:sz="4" w:space="0"/>
                  </w:tcBorders>
                  <w:vAlign w:val="center"/>
                </w:tcPr>
                <w:p>
                  <w:pPr>
                    <w:pStyle w:val="41"/>
                  </w:pPr>
                  <w:r>
                    <w:t>1500</w:t>
                  </w:r>
                </w:p>
              </w:tc>
              <w:tc>
                <w:tcPr>
                  <w:tcW w:w="1405" w:type="dxa"/>
                  <w:tcBorders>
                    <w:top w:val="nil"/>
                    <w:left w:val="nil"/>
                    <w:bottom w:val="single" w:color="auto" w:sz="4" w:space="0"/>
                    <w:right w:val="single" w:color="auto" w:sz="4" w:space="0"/>
                  </w:tcBorders>
                </w:tcPr>
                <w:p>
                  <w:pPr>
                    <w:pStyle w:val="41"/>
                  </w:pPr>
                  <w:r>
                    <w:t>0.002911</w:t>
                  </w:r>
                </w:p>
              </w:tc>
              <w:tc>
                <w:tcPr>
                  <w:tcW w:w="776" w:type="dxa"/>
                  <w:tcBorders>
                    <w:top w:val="nil"/>
                    <w:left w:val="nil"/>
                    <w:bottom w:val="single" w:color="auto" w:sz="4" w:space="0"/>
                    <w:right w:val="single" w:color="auto" w:sz="4" w:space="0"/>
                  </w:tcBorders>
                </w:tcPr>
                <w:p>
                  <w:pPr>
                    <w:pStyle w:val="41"/>
                  </w:pPr>
                  <w:r>
                    <w:t>0.12</w:t>
                  </w:r>
                </w:p>
              </w:tc>
              <w:tc>
                <w:tcPr>
                  <w:tcW w:w="863" w:type="dxa"/>
                  <w:tcBorders>
                    <w:top w:val="nil"/>
                    <w:left w:val="nil"/>
                    <w:bottom w:val="single" w:color="auto" w:sz="4" w:space="0"/>
                    <w:right w:val="single" w:color="auto" w:sz="4" w:space="0"/>
                  </w:tcBorders>
                  <w:vAlign w:val="center"/>
                </w:tcPr>
                <w:p>
                  <w:pPr>
                    <w:pStyle w:val="41"/>
                  </w:pPr>
                  <w:r>
                    <w:t>1500</w:t>
                  </w:r>
                </w:p>
              </w:tc>
              <w:tc>
                <w:tcPr>
                  <w:tcW w:w="1405" w:type="dxa"/>
                  <w:tcBorders>
                    <w:top w:val="nil"/>
                    <w:left w:val="nil"/>
                    <w:bottom w:val="single" w:color="auto" w:sz="4" w:space="0"/>
                    <w:right w:val="single" w:color="auto" w:sz="4" w:space="0"/>
                  </w:tcBorders>
                </w:tcPr>
                <w:p>
                  <w:pPr>
                    <w:pStyle w:val="41"/>
                  </w:pPr>
                  <w:r>
                    <w:t>0.00264</w:t>
                  </w:r>
                </w:p>
              </w:tc>
              <w:tc>
                <w:tcPr>
                  <w:tcW w:w="776" w:type="dxa"/>
                  <w:tcBorders>
                    <w:top w:val="nil"/>
                    <w:left w:val="nil"/>
                    <w:bottom w:val="single" w:color="auto" w:sz="4" w:space="0"/>
                    <w:right w:val="single" w:color="auto" w:sz="4" w:space="0"/>
                  </w:tcBorders>
                </w:tcPr>
                <w:p>
                  <w:pPr>
                    <w:pStyle w:val="41"/>
                  </w:pPr>
                  <w:r>
                    <w:t>0.22</w:t>
                  </w:r>
                </w:p>
              </w:tc>
            </w:tr>
          </w:tbl>
          <w:p>
            <w:pPr>
              <w:pStyle w:val="47"/>
            </w:pPr>
            <w:r>
              <w:rPr>
                <w:rFonts w:hint="eastAsia"/>
              </w:rPr>
              <w:t>表</w:t>
            </w:r>
            <w:r>
              <w:t xml:space="preserve">7-4 </w:t>
            </w:r>
            <w:r>
              <w:rPr>
                <w:rFonts w:hint="eastAsia"/>
              </w:rPr>
              <w:t>项目无组织排放大气污染物下风向最大落地浓度</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2302"/>
              <w:gridCol w:w="2448"/>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污染物</w:t>
                  </w:r>
                </w:p>
              </w:tc>
              <w:tc>
                <w:tcPr>
                  <w:tcW w:w="123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下风向预测最大浓度</w:t>
                  </w:r>
                  <w:r>
                    <w:t>C</w:t>
                  </w:r>
                  <w:r>
                    <w:rPr>
                      <w:vertAlign w:val="subscript"/>
                    </w:rPr>
                    <w:t>il</w:t>
                  </w:r>
                  <w:r>
                    <w:t>/</w:t>
                  </w:r>
                  <w:r>
                    <w:rPr>
                      <w:rFonts w:hint="eastAsia"/>
                    </w:rPr>
                    <w:t>（</w:t>
                  </w:r>
                  <w:r>
                    <w:t>mg/m</w:t>
                  </w:r>
                  <w:r>
                    <w:rPr>
                      <w:vertAlign w:val="superscript"/>
                    </w:rPr>
                    <w:t>3</w:t>
                  </w:r>
                  <w:r>
                    <w:rPr>
                      <w:rFonts w:hint="eastAsia"/>
                    </w:rPr>
                    <w:t>）</w:t>
                  </w:r>
                </w:p>
              </w:tc>
              <w:tc>
                <w:tcPr>
                  <w:tcW w:w="131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最大浓度占标率</w:t>
                  </w:r>
                </w:p>
                <w:p>
                  <w:pPr>
                    <w:pStyle w:val="41"/>
                  </w:pPr>
                  <w:r>
                    <w:t>P</w:t>
                  </w:r>
                  <w:r>
                    <w:rPr>
                      <w:vertAlign w:val="subscript"/>
                    </w:rPr>
                    <w:t>il</w:t>
                  </w:r>
                  <w:r>
                    <w:t>/%</w:t>
                  </w:r>
                </w:p>
              </w:tc>
              <w:tc>
                <w:tcPr>
                  <w:tcW w:w="1308"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距污染源中心距离</w:t>
                  </w:r>
                </w:p>
                <w:p>
                  <w:pPr>
                    <w:pStyle w:val="41"/>
                  </w:pPr>
                  <w: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木屑粉尘</w:t>
                  </w:r>
                </w:p>
              </w:tc>
              <w:tc>
                <w:tcPr>
                  <w:tcW w:w="1232" w:type="pct"/>
                  <w:tcBorders>
                    <w:top w:val="single" w:color="auto" w:sz="4" w:space="0"/>
                    <w:left w:val="single" w:color="auto" w:sz="4" w:space="0"/>
                    <w:bottom w:val="single" w:color="auto" w:sz="4" w:space="0"/>
                    <w:right w:val="single" w:color="auto" w:sz="4" w:space="0"/>
                  </w:tcBorders>
                  <w:vAlign w:val="center"/>
                </w:tcPr>
                <w:p>
                  <w:pPr>
                    <w:pStyle w:val="41"/>
                  </w:pPr>
                  <w:r>
                    <w:t>0.03392</w:t>
                  </w:r>
                </w:p>
              </w:tc>
              <w:tc>
                <w:tcPr>
                  <w:tcW w:w="1310" w:type="pct"/>
                  <w:tcBorders>
                    <w:top w:val="single" w:color="auto" w:sz="4" w:space="0"/>
                    <w:left w:val="single" w:color="auto" w:sz="4" w:space="0"/>
                    <w:bottom w:val="single" w:color="auto" w:sz="4" w:space="0"/>
                    <w:right w:val="single" w:color="auto" w:sz="4" w:space="0"/>
                  </w:tcBorders>
                  <w:vAlign w:val="center"/>
                </w:tcPr>
                <w:p>
                  <w:pPr>
                    <w:pStyle w:val="41"/>
                  </w:pPr>
                  <w:r>
                    <w:t>3.77</w:t>
                  </w:r>
                </w:p>
              </w:tc>
              <w:tc>
                <w:tcPr>
                  <w:tcW w:w="1308" w:type="pct"/>
                  <w:tcBorders>
                    <w:top w:val="single" w:color="auto" w:sz="4" w:space="0"/>
                    <w:left w:val="single" w:color="auto" w:sz="4" w:space="0"/>
                    <w:bottom w:val="single" w:color="auto" w:sz="4" w:space="0"/>
                    <w:right w:val="single" w:color="auto" w:sz="4" w:space="0"/>
                  </w:tcBorders>
                  <w:vAlign w:val="center"/>
                </w:tcPr>
                <w:p>
                  <w:pPr>
                    <w:pStyle w:val="41"/>
                  </w:pPr>
                  <w: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甲苯</w:t>
                  </w:r>
                </w:p>
              </w:tc>
              <w:tc>
                <w:tcPr>
                  <w:tcW w:w="1232" w:type="pct"/>
                  <w:tcBorders>
                    <w:top w:val="single" w:color="auto" w:sz="4" w:space="0"/>
                    <w:left w:val="single" w:color="auto" w:sz="4" w:space="0"/>
                    <w:bottom w:val="single" w:color="auto" w:sz="4" w:space="0"/>
                    <w:right w:val="single" w:color="auto" w:sz="4" w:space="0"/>
                  </w:tcBorders>
                  <w:vAlign w:val="center"/>
                </w:tcPr>
                <w:p>
                  <w:pPr>
                    <w:pStyle w:val="41"/>
                  </w:pPr>
                  <w:r>
                    <w:t>0.02431</w:t>
                  </w:r>
                </w:p>
              </w:tc>
              <w:tc>
                <w:tcPr>
                  <w:tcW w:w="1310" w:type="pct"/>
                  <w:tcBorders>
                    <w:top w:val="single" w:color="auto" w:sz="4" w:space="0"/>
                    <w:left w:val="single" w:color="auto" w:sz="4" w:space="0"/>
                    <w:bottom w:val="single" w:color="auto" w:sz="4" w:space="0"/>
                    <w:right w:val="single" w:color="auto" w:sz="4" w:space="0"/>
                  </w:tcBorders>
                  <w:vAlign w:val="center"/>
                </w:tcPr>
                <w:p>
                  <w:pPr>
                    <w:pStyle w:val="41"/>
                  </w:pPr>
                  <w:r>
                    <w:t>1.01</w:t>
                  </w:r>
                </w:p>
              </w:tc>
              <w:tc>
                <w:tcPr>
                  <w:tcW w:w="1308" w:type="pct"/>
                  <w:tcBorders>
                    <w:top w:val="single" w:color="auto" w:sz="4" w:space="0"/>
                    <w:left w:val="single" w:color="auto" w:sz="4" w:space="0"/>
                    <w:bottom w:val="single" w:color="auto" w:sz="4" w:space="0"/>
                    <w:right w:val="single" w:color="auto" w:sz="4" w:space="0"/>
                  </w:tcBorders>
                  <w:vAlign w:val="center"/>
                </w:tcPr>
                <w:p>
                  <w:pPr>
                    <w:pStyle w:val="41"/>
                  </w:pPr>
                  <w: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0"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二甲苯</w:t>
                  </w:r>
                </w:p>
              </w:tc>
              <w:tc>
                <w:tcPr>
                  <w:tcW w:w="1232" w:type="pct"/>
                  <w:tcBorders>
                    <w:top w:val="single" w:color="auto" w:sz="4" w:space="0"/>
                    <w:left w:val="single" w:color="auto" w:sz="4" w:space="0"/>
                    <w:bottom w:val="single" w:color="auto" w:sz="4" w:space="0"/>
                    <w:right w:val="single" w:color="auto" w:sz="4" w:space="0"/>
                  </w:tcBorders>
                  <w:vAlign w:val="center"/>
                </w:tcPr>
                <w:p>
                  <w:pPr>
                    <w:pStyle w:val="41"/>
                  </w:pPr>
                  <w:r>
                    <w:t>0.02205</w:t>
                  </w:r>
                </w:p>
              </w:tc>
              <w:tc>
                <w:tcPr>
                  <w:tcW w:w="1310" w:type="pct"/>
                  <w:tcBorders>
                    <w:top w:val="single" w:color="auto" w:sz="4" w:space="0"/>
                    <w:left w:val="single" w:color="auto" w:sz="4" w:space="0"/>
                    <w:bottom w:val="single" w:color="auto" w:sz="4" w:space="0"/>
                    <w:right w:val="single" w:color="auto" w:sz="4" w:space="0"/>
                  </w:tcBorders>
                  <w:vAlign w:val="center"/>
                </w:tcPr>
                <w:p>
                  <w:pPr>
                    <w:pStyle w:val="41"/>
                  </w:pPr>
                  <w:r>
                    <w:t>1.84</w:t>
                  </w:r>
                </w:p>
              </w:tc>
              <w:tc>
                <w:tcPr>
                  <w:tcW w:w="1308" w:type="pct"/>
                  <w:tcBorders>
                    <w:top w:val="single" w:color="auto" w:sz="4" w:space="0"/>
                    <w:left w:val="single" w:color="auto" w:sz="4" w:space="0"/>
                    <w:bottom w:val="single" w:color="auto" w:sz="4" w:space="0"/>
                    <w:right w:val="single" w:color="auto" w:sz="4" w:space="0"/>
                  </w:tcBorders>
                  <w:vAlign w:val="center"/>
                </w:tcPr>
                <w:p>
                  <w:pPr>
                    <w:pStyle w:val="41"/>
                  </w:pPr>
                  <w:r>
                    <w:t>142</w:t>
                  </w:r>
                </w:p>
              </w:tc>
            </w:tr>
          </w:tbl>
          <w:p>
            <w:pPr>
              <w:pStyle w:val="36"/>
              <w:ind w:firstLine="31680"/>
            </w:pPr>
            <w:r>
              <w:rPr>
                <w:rFonts w:hint="eastAsia"/>
              </w:rPr>
              <w:t>根据表</w:t>
            </w:r>
            <w:r>
              <w:t>7-3</w:t>
            </w:r>
            <w:r>
              <w:rPr>
                <w:rFonts w:hint="eastAsia"/>
              </w:rPr>
              <w:t>和</w:t>
            </w:r>
            <w:r>
              <w:t>7-4</w:t>
            </w:r>
            <w:r>
              <w:rPr>
                <w:rFonts w:hint="eastAsia"/>
              </w:rPr>
              <w:t>的计算结果，木屑粉尘的最大地面浓度占标率</w:t>
            </w:r>
            <w:r>
              <w:t>Pmax&lt;10%</w:t>
            </w:r>
            <w:r>
              <w:rPr>
                <w:rFonts w:hint="eastAsia"/>
              </w:rPr>
              <w:t>，其最大落地浓度位于污染源下风向</w:t>
            </w:r>
            <w:r>
              <w:t>142m</w:t>
            </w:r>
            <w:r>
              <w:rPr>
                <w:rFonts w:hint="eastAsia"/>
              </w:rPr>
              <w:t>处，最大落地浓度为</w:t>
            </w:r>
            <w:r>
              <w:rPr>
                <w:sz w:val="22"/>
                <w:szCs w:val="22"/>
              </w:rPr>
              <w:t>0.03392</w:t>
            </w:r>
            <w:r>
              <w:t>mg/m</w:t>
            </w:r>
            <w:r>
              <w:rPr>
                <w:vertAlign w:val="superscript"/>
              </w:rPr>
              <w:t>3</w:t>
            </w:r>
            <w:r>
              <w:rPr>
                <w:rFonts w:hint="eastAsia"/>
              </w:rPr>
              <w:t>，落地浓度较小，对区域环境的贡献值较低；甲苯的最大地面浓度占标率</w:t>
            </w:r>
            <w:r>
              <w:t>Pmax&lt;10%</w:t>
            </w:r>
            <w:r>
              <w:rPr>
                <w:rFonts w:hint="eastAsia"/>
              </w:rPr>
              <w:t>，其最大落地浓度位于污染源下风向</w:t>
            </w:r>
            <w:r>
              <w:t>142m</w:t>
            </w:r>
            <w:r>
              <w:rPr>
                <w:rFonts w:hint="eastAsia"/>
              </w:rPr>
              <w:t>处，最大落地浓度为</w:t>
            </w:r>
            <w:r>
              <w:rPr>
                <w:szCs w:val="24"/>
              </w:rPr>
              <w:t>0.02431mg/m</w:t>
            </w:r>
            <w:r>
              <w:rPr>
                <w:szCs w:val="24"/>
                <w:vertAlign w:val="superscript"/>
              </w:rPr>
              <w:t>3</w:t>
            </w:r>
            <w:r>
              <w:rPr>
                <w:rFonts w:hint="eastAsia"/>
                <w:szCs w:val="24"/>
              </w:rPr>
              <w:t>，</w:t>
            </w:r>
            <w:r>
              <w:rPr>
                <w:rFonts w:hint="eastAsia"/>
              </w:rPr>
              <w:t>落地浓度较小，对区域环境的贡献值较低；二甲苯的最大地面浓度占标率</w:t>
            </w:r>
            <w:r>
              <w:t>Pmax&lt;10%</w:t>
            </w:r>
            <w:r>
              <w:rPr>
                <w:rFonts w:hint="eastAsia"/>
              </w:rPr>
              <w:t>，其最大落地浓度位于污染源下风向</w:t>
            </w:r>
            <w:r>
              <w:t>142m</w:t>
            </w:r>
            <w:r>
              <w:rPr>
                <w:rFonts w:hint="eastAsia"/>
              </w:rPr>
              <w:t>处，最大落地浓度为</w:t>
            </w:r>
            <w:r>
              <w:rPr>
                <w:szCs w:val="24"/>
              </w:rPr>
              <w:t>0.02205mg/m</w:t>
            </w:r>
            <w:r>
              <w:rPr>
                <w:szCs w:val="24"/>
                <w:vertAlign w:val="superscript"/>
              </w:rPr>
              <w:t>3</w:t>
            </w:r>
            <w:r>
              <w:rPr>
                <w:rFonts w:hint="eastAsia"/>
              </w:rPr>
              <w:t>，落地浓度较小，对区域环境的贡献值较低。距离项目区最近的保护目标为项目区东侧</w:t>
            </w:r>
            <w:r>
              <w:t>200m</w:t>
            </w:r>
            <w:r>
              <w:rPr>
                <w:rFonts w:hint="eastAsia"/>
              </w:rPr>
              <w:t>处的大湾村，其污染物落地浓度分别为：木屑粉尘</w:t>
            </w:r>
            <w:r>
              <w:t>0.03177mg/m</w:t>
            </w:r>
            <w:r>
              <w:rPr>
                <w:vertAlign w:val="superscript"/>
              </w:rPr>
              <w:t>3</w:t>
            </w:r>
            <w:r>
              <w:rPr>
                <w:rFonts w:hint="eastAsia"/>
              </w:rPr>
              <w:t>；甲苯</w:t>
            </w:r>
            <w:r>
              <w:t>0.02277mg/m</w:t>
            </w:r>
            <w:r>
              <w:rPr>
                <w:vertAlign w:val="superscript"/>
              </w:rPr>
              <w:t>3</w:t>
            </w:r>
            <w:r>
              <w:rPr>
                <w:rFonts w:hint="eastAsia"/>
              </w:rPr>
              <w:t>；二甲苯</w:t>
            </w:r>
            <w:r>
              <w:t>0.02065mg/m</w:t>
            </w:r>
            <w:r>
              <w:rPr>
                <w:vertAlign w:val="superscript"/>
              </w:rPr>
              <w:t>3</w:t>
            </w:r>
            <w:r>
              <w:rPr>
                <w:rFonts w:hint="eastAsia"/>
              </w:rPr>
              <w:t>，浓度较低，且大湾村位于项目区上风向，项目区产生的大气污染物对大湾村影响较小。</w:t>
            </w:r>
          </w:p>
          <w:p>
            <w:pPr>
              <w:pStyle w:val="36"/>
              <w:ind w:firstLine="31680"/>
            </w:pPr>
            <w:r>
              <w:rPr>
                <w:rFonts w:hint="eastAsia"/>
              </w:rPr>
              <w:t>根据以上分析项目大气污染对周边保护目标的影响较小，均可以接受。</w:t>
            </w:r>
          </w:p>
          <w:p>
            <w:pPr>
              <w:pStyle w:val="36"/>
              <w:ind w:firstLine="31680"/>
            </w:pPr>
            <w:r>
              <w:rPr>
                <w:rFonts w:hint="eastAsia"/>
              </w:rPr>
              <w:t>（</w:t>
            </w:r>
            <w:r>
              <w:t>3</w:t>
            </w:r>
            <w:r>
              <w:rPr>
                <w:rFonts w:hint="eastAsia"/>
              </w:rPr>
              <w:t>）大气防护距离分析</w:t>
            </w:r>
          </w:p>
          <w:p>
            <w:pPr>
              <w:pStyle w:val="36"/>
              <w:ind w:firstLine="31680"/>
            </w:pPr>
            <w:r>
              <w:rPr>
                <w:rFonts w:hint="eastAsia"/>
              </w:rPr>
              <w:t>根据</w:t>
            </w:r>
            <w:r>
              <w:t>HJ2.2</w:t>
            </w:r>
            <w:r>
              <w:rPr>
                <w:rFonts w:hint="eastAsia"/>
              </w:rPr>
              <w:t>－</w:t>
            </w:r>
            <w:r>
              <w:t>2008</w:t>
            </w:r>
            <w:r>
              <w:rPr>
                <w:rFonts w:hint="eastAsia"/>
              </w:rPr>
              <w:t>《环境影响评价技术导则－大气环境》，本评价采用</w:t>
            </w:r>
            <w:r>
              <w:t>HJ2.2</w:t>
            </w:r>
            <w:r>
              <w:rPr>
                <w:rFonts w:hint="eastAsia"/>
              </w:rPr>
              <w:t>－</w:t>
            </w:r>
            <w:r>
              <w:t>2008</w:t>
            </w:r>
            <w:r>
              <w:rPr>
                <w:rFonts w:hint="eastAsia"/>
              </w:rPr>
              <w:t>推介的国家</w:t>
            </w:r>
            <w:bookmarkStart w:id="3" w:name="_GoBack"/>
            <w:r>
              <w:rPr>
                <w:rFonts w:hint="eastAsia"/>
              </w:rPr>
              <w:t>环保部</w:t>
            </w:r>
            <w:bookmarkEnd w:id="3"/>
            <w:r>
              <w:rPr>
                <w:rFonts w:hint="eastAsia"/>
              </w:rPr>
              <w:t>环境评估中心重点试验室发布的大气环境防护距离的计算模式进行计算。计算主要参数和结果输出见表</w:t>
            </w:r>
            <w:r>
              <w:t>7-5</w:t>
            </w:r>
            <w:r>
              <w:rPr>
                <w:rFonts w:hint="eastAsia"/>
              </w:rPr>
              <w:t>。</w:t>
            </w:r>
          </w:p>
          <w:p>
            <w:pPr>
              <w:pStyle w:val="47"/>
              <w:rPr>
                <w:snapToGrid w:val="0"/>
                <w:kern w:val="0"/>
              </w:rPr>
            </w:pPr>
            <w:bookmarkStart w:id="0" w:name="_Toc363823329"/>
            <w:bookmarkStart w:id="1" w:name="_Toc362794283"/>
            <w:bookmarkStart w:id="2" w:name="_Toc362882196"/>
            <w:r>
              <w:rPr>
                <w:rFonts w:hint="eastAsia"/>
                <w:snapToGrid w:val="0"/>
                <w:kern w:val="0"/>
              </w:rPr>
              <w:t>表</w:t>
            </w:r>
            <w:r>
              <w:rPr>
                <w:snapToGrid w:val="0"/>
                <w:kern w:val="0"/>
              </w:rPr>
              <w:t>7-</w:t>
            </w:r>
            <w:r>
              <w:t>5</w:t>
            </w:r>
            <w:r>
              <w:rPr>
                <w:snapToGrid w:val="0"/>
                <w:kern w:val="0"/>
              </w:rPr>
              <w:t xml:space="preserve"> </w:t>
            </w:r>
            <w:r>
              <w:rPr>
                <w:rFonts w:hint="eastAsia"/>
                <w:snapToGrid w:val="0"/>
                <w:kern w:val="0"/>
              </w:rPr>
              <w:t>计算参数</w:t>
            </w:r>
            <w:bookmarkEnd w:id="0"/>
            <w:bookmarkEnd w:id="1"/>
            <w:bookmarkEnd w:id="2"/>
            <w:r>
              <w:rPr>
                <w:rFonts w:hint="eastAsia"/>
                <w:snapToGrid w:val="0"/>
                <w:kern w:val="0"/>
              </w:rPr>
              <w:t>和结果</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6"/>
              <w:gridCol w:w="1523"/>
              <w:gridCol w:w="1456"/>
              <w:gridCol w:w="1456"/>
              <w:gridCol w:w="1469"/>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1" w:type="pct"/>
                  <w:gridSpan w:val="6"/>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rFonts w:hint="eastAsia"/>
                      <w:snapToGrid w:val="0"/>
                      <w:kern w:val="0"/>
                    </w:rPr>
                    <w:t>选取的主要参数</w:t>
                  </w:r>
                </w:p>
              </w:tc>
              <w:tc>
                <w:tcPr>
                  <w:tcW w:w="779" w:type="pct"/>
                  <w:vMerge w:val="restart"/>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rFonts w:hint="eastAsia"/>
                      <w:snapToGrid w:val="0"/>
                      <w:kern w:val="0"/>
                    </w:rPr>
                    <w:t>计算结果</w:t>
                  </w:r>
                  <w:r>
                    <w:rPr>
                      <w:snapToGrid w:val="0"/>
                      <w:kern w:val="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2" w:type="pct"/>
                  <w:gridSpan w:val="2"/>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rFonts w:hint="eastAsia"/>
                      <w:snapToGrid w:val="0"/>
                      <w:kern w:val="0"/>
                    </w:rPr>
                    <w:t>污染物</w:t>
                  </w:r>
                </w:p>
                <w:p>
                  <w:pPr>
                    <w:pStyle w:val="41"/>
                    <w:rPr>
                      <w:snapToGrid w:val="0"/>
                      <w:kern w:val="0"/>
                    </w:rPr>
                  </w:pPr>
                  <w:r>
                    <w:rPr>
                      <w:snapToGrid w:val="0"/>
                      <w:kern w:val="0"/>
                      <w:lang w:val="en-GB"/>
                    </w:rPr>
                    <w:t>t/a</w:t>
                  </w:r>
                </w:p>
              </w:tc>
              <w:tc>
                <w:tcPr>
                  <w:tcW w:w="815" w:type="pct"/>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rFonts w:hint="eastAsia"/>
                      <w:snapToGrid w:val="0"/>
                      <w:kern w:val="0"/>
                    </w:rPr>
                    <w:t>标准限值</w:t>
                  </w:r>
                  <w:r>
                    <w:rPr>
                      <w:snapToGrid w:val="0"/>
                      <w:kern w:val="0"/>
                    </w:rPr>
                    <w:t>mg/m</w:t>
                  </w:r>
                  <w:r>
                    <w:rPr>
                      <w:snapToGrid w:val="0"/>
                      <w:kern w:val="0"/>
                      <w:vertAlign w:val="superscript"/>
                    </w:rPr>
                    <w:t>3</w:t>
                  </w:r>
                </w:p>
              </w:tc>
              <w:tc>
                <w:tcPr>
                  <w:tcW w:w="779" w:type="pct"/>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rFonts w:hint="eastAsia"/>
                      <w:snapToGrid w:val="0"/>
                      <w:kern w:val="0"/>
                    </w:rPr>
                    <w:t>面源高度</w:t>
                  </w:r>
                  <w:r>
                    <w:rPr>
                      <w:snapToGrid w:val="0"/>
                      <w:kern w:val="0"/>
                    </w:rPr>
                    <w:t>m</w:t>
                  </w:r>
                </w:p>
              </w:tc>
              <w:tc>
                <w:tcPr>
                  <w:tcW w:w="779" w:type="pct"/>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rFonts w:hint="eastAsia"/>
                      <w:snapToGrid w:val="0"/>
                      <w:kern w:val="0"/>
                    </w:rPr>
                    <w:t>面源宽度</w:t>
                  </w:r>
                  <w:r>
                    <w:rPr>
                      <w:snapToGrid w:val="0"/>
                      <w:kern w:val="0"/>
                    </w:rPr>
                    <w:t>m</w:t>
                  </w:r>
                </w:p>
              </w:tc>
              <w:tc>
                <w:tcPr>
                  <w:tcW w:w="785" w:type="pct"/>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rFonts w:hint="eastAsia"/>
                      <w:snapToGrid w:val="0"/>
                      <w:kern w:val="0"/>
                    </w:rPr>
                    <w:t>面源长度</w:t>
                  </w:r>
                  <w:r>
                    <w:rPr>
                      <w:snapToGrid w:val="0"/>
                      <w:kern w:val="0"/>
                    </w:rPr>
                    <w:t>m</w:t>
                  </w:r>
                </w:p>
              </w:tc>
              <w:tc>
                <w:tcPr>
                  <w:tcW w:w="779" w:type="pct"/>
                  <w:vMerge w:val="continue"/>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9" w:type="pct"/>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rFonts w:hint="eastAsia"/>
                      <w:snapToGrid w:val="0"/>
                      <w:kern w:val="0"/>
                    </w:rPr>
                    <w:t>甲苯</w:t>
                  </w:r>
                </w:p>
              </w:tc>
              <w:tc>
                <w:tcPr>
                  <w:tcW w:w="533" w:type="pct"/>
                  <w:tcBorders>
                    <w:top w:val="single" w:color="auto" w:sz="4" w:space="0"/>
                    <w:left w:val="single" w:color="auto" w:sz="4" w:space="0"/>
                    <w:bottom w:val="single" w:color="auto" w:sz="4" w:space="0"/>
                    <w:right w:val="single" w:color="auto" w:sz="4" w:space="0"/>
                  </w:tcBorders>
                  <w:vAlign w:val="center"/>
                </w:tcPr>
                <w:p>
                  <w:pPr>
                    <w:pStyle w:val="41"/>
                  </w:pPr>
                  <w:r>
                    <w:t>0.074</w:t>
                  </w:r>
                </w:p>
              </w:tc>
              <w:tc>
                <w:tcPr>
                  <w:tcW w:w="815" w:type="pct"/>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snapToGrid w:val="0"/>
                      <w:kern w:val="0"/>
                    </w:rPr>
                    <w:t>2.4</w:t>
                  </w:r>
                </w:p>
              </w:tc>
              <w:tc>
                <w:tcPr>
                  <w:tcW w:w="779" w:type="pct"/>
                  <w:vMerge w:val="restart"/>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snapToGrid w:val="0"/>
                      <w:kern w:val="0"/>
                    </w:rPr>
                    <w:t>6</w:t>
                  </w:r>
                </w:p>
              </w:tc>
              <w:tc>
                <w:tcPr>
                  <w:tcW w:w="779" w:type="pct"/>
                  <w:vMerge w:val="restart"/>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snapToGrid w:val="0"/>
                      <w:kern w:val="0"/>
                    </w:rPr>
                    <w:t>20</w:t>
                  </w:r>
                </w:p>
              </w:tc>
              <w:tc>
                <w:tcPr>
                  <w:tcW w:w="785" w:type="pct"/>
                  <w:vMerge w:val="restart"/>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snapToGrid w:val="0"/>
                      <w:kern w:val="0"/>
                    </w:rPr>
                    <w:t>50</w:t>
                  </w:r>
                </w:p>
              </w:tc>
              <w:tc>
                <w:tcPr>
                  <w:tcW w:w="779" w:type="pct"/>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snapToGrid w:val="0"/>
                      <w:kern w:val="0"/>
                    </w:rPr>
                    <w:t>0.496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9" w:type="pct"/>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rFonts w:hint="eastAsia"/>
                      <w:snapToGrid w:val="0"/>
                      <w:kern w:val="0"/>
                    </w:rPr>
                    <w:t>二甲苯</w:t>
                  </w:r>
                </w:p>
              </w:tc>
              <w:tc>
                <w:tcPr>
                  <w:tcW w:w="533" w:type="pct"/>
                  <w:tcBorders>
                    <w:top w:val="single" w:color="auto" w:sz="4" w:space="0"/>
                    <w:left w:val="single" w:color="auto" w:sz="4" w:space="0"/>
                    <w:bottom w:val="single" w:color="auto" w:sz="4" w:space="0"/>
                    <w:right w:val="single" w:color="auto" w:sz="4" w:space="0"/>
                  </w:tcBorders>
                  <w:vAlign w:val="center"/>
                </w:tcPr>
                <w:p>
                  <w:pPr>
                    <w:pStyle w:val="41"/>
                  </w:pPr>
                  <w:r>
                    <w:t>0.067</w:t>
                  </w:r>
                </w:p>
              </w:tc>
              <w:tc>
                <w:tcPr>
                  <w:tcW w:w="815" w:type="pct"/>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snapToGrid w:val="0"/>
                      <w:kern w:val="0"/>
                    </w:rPr>
                    <w:t>1.2</w:t>
                  </w:r>
                </w:p>
              </w:tc>
              <w:tc>
                <w:tcPr>
                  <w:tcW w:w="779" w:type="pct"/>
                  <w:vMerge w:val="continue"/>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p>
              </w:tc>
              <w:tc>
                <w:tcPr>
                  <w:tcW w:w="779" w:type="pct"/>
                  <w:vMerge w:val="continue"/>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p>
              </w:tc>
              <w:tc>
                <w:tcPr>
                  <w:tcW w:w="785" w:type="pct"/>
                  <w:vMerge w:val="continue"/>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p>
              </w:tc>
              <w:tc>
                <w:tcPr>
                  <w:tcW w:w="779" w:type="pct"/>
                  <w:tcBorders>
                    <w:top w:val="single" w:color="auto" w:sz="4" w:space="0"/>
                    <w:left w:val="single" w:color="auto" w:sz="4" w:space="0"/>
                    <w:bottom w:val="single" w:color="auto" w:sz="4" w:space="0"/>
                    <w:right w:val="single" w:color="auto" w:sz="4" w:space="0"/>
                  </w:tcBorders>
                  <w:vAlign w:val="center"/>
                </w:tcPr>
                <w:p>
                  <w:pPr>
                    <w:pStyle w:val="41"/>
                    <w:rPr>
                      <w:snapToGrid w:val="0"/>
                      <w:kern w:val="0"/>
                    </w:rPr>
                  </w:pPr>
                  <w:r>
                    <w:rPr>
                      <w:snapToGrid w:val="0"/>
                      <w:kern w:val="0"/>
                    </w:rPr>
                    <w:t>1.055</w:t>
                  </w:r>
                </w:p>
              </w:tc>
            </w:tr>
          </w:tbl>
          <w:p>
            <w:pPr>
              <w:pStyle w:val="36"/>
              <w:ind w:firstLine="31680"/>
            </w:pPr>
            <w:r>
              <w:rPr>
                <w:rFonts w:hint="eastAsia"/>
              </w:rPr>
              <w:t>从表</w:t>
            </w:r>
            <w:r>
              <w:t>7-5</w:t>
            </w:r>
            <w:r>
              <w:rPr>
                <w:rFonts w:hint="eastAsia"/>
              </w:rPr>
              <w:t>看出，项目无组织排放甲苯计算结果为</w:t>
            </w:r>
            <w:r>
              <w:t>0.496m</w:t>
            </w:r>
            <w:r>
              <w:rPr>
                <w:rFonts w:hint="eastAsia"/>
              </w:rPr>
              <w:t>，无组织排放二甲苯计算结果为</w:t>
            </w:r>
            <w:r>
              <w:t>1.055</w:t>
            </w:r>
            <w:r>
              <w:rPr>
                <w:rFonts w:hint="eastAsia"/>
              </w:rPr>
              <w:t>。位于项目区东侧的石材加工厂距离项目区约为</w:t>
            </w:r>
            <w:r>
              <w:t>1.2m</w:t>
            </w:r>
            <w:r>
              <w:rPr>
                <w:rFonts w:hint="eastAsia"/>
              </w:rPr>
              <w:t>，且油漆废气主要生产车间位于项目区北侧，距离石材加工厂距离约为</w:t>
            </w:r>
            <w:r>
              <w:t>15m</w:t>
            </w:r>
            <w:r>
              <w:rPr>
                <w:rFonts w:hint="eastAsia"/>
              </w:rPr>
              <w:t>，石材加工厂位于项目区侧风向，周边地势开阔，空气流动性较好，油漆废气对石材加工厂影响较小。</w:t>
            </w:r>
          </w:p>
          <w:p>
            <w:pPr>
              <w:pStyle w:val="75"/>
              <w:ind w:firstLine="31680"/>
              <w:rPr>
                <w:color w:val="auto"/>
              </w:rPr>
            </w:pPr>
            <w:r>
              <w:rPr>
                <w:color w:val="auto"/>
              </w:rPr>
              <w:t>2</w:t>
            </w:r>
            <w:r>
              <w:rPr>
                <w:rFonts w:hint="eastAsia"/>
                <w:color w:val="auto"/>
              </w:rPr>
              <w:t>、水环境影响</w:t>
            </w:r>
          </w:p>
          <w:p>
            <w:pPr>
              <w:pStyle w:val="36"/>
              <w:ind w:firstLine="31680"/>
            </w:pPr>
            <w:r>
              <w:rPr>
                <w:rFonts w:hint="eastAsia"/>
              </w:rPr>
              <w:t>根据业主资料及工程分析得知，本项目不产生生产废水。项目区废水主要为办公人员的生活污水，废水产生量为</w:t>
            </w:r>
            <w:r>
              <w:t>0.248m</w:t>
            </w:r>
            <w:r>
              <w:rPr>
                <w:vertAlign w:val="superscript"/>
              </w:rPr>
              <w:t>3</w:t>
            </w:r>
            <w:r>
              <w:t>/d</w:t>
            </w:r>
            <w:r>
              <w:rPr>
                <w:rFonts w:hint="eastAsia"/>
              </w:rPr>
              <w:t>，项目拟建</w:t>
            </w:r>
            <w:r>
              <w:t>1</w:t>
            </w:r>
            <w:r>
              <w:rPr>
                <w:rFonts w:hint="eastAsia"/>
              </w:rPr>
              <w:t>个化粪池，考虑</w:t>
            </w:r>
            <w:r>
              <w:t>1.2</w:t>
            </w:r>
            <w:r>
              <w:rPr>
                <w:rFonts w:hint="eastAsia"/>
              </w:rPr>
              <w:t>以上的安全系数，总容积定为</w:t>
            </w:r>
            <w:r>
              <w:t>1m</w:t>
            </w:r>
            <w:r>
              <w:rPr>
                <w:vertAlign w:val="superscript"/>
              </w:rPr>
              <w:t>3</w:t>
            </w:r>
            <w:r>
              <w:rPr>
                <w:rFonts w:hint="eastAsia"/>
              </w:rPr>
              <w:t>，满足化粪池污水停留</w:t>
            </w:r>
            <w:r>
              <w:t>24h</w:t>
            </w:r>
            <w:r>
              <w:rPr>
                <w:rFonts w:hint="eastAsia"/>
              </w:rPr>
              <w:t>的要求。生活污水收集于化粪池内，定期委托周边村民定期清掏，用于农灌施肥。</w:t>
            </w:r>
          </w:p>
          <w:p>
            <w:pPr>
              <w:pStyle w:val="36"/>
              <w:ind w:firstLine="31680"/>
            </w:pPr>
            <w:r>
              <w:rPr>
                <w:rFonts w:hint="eastAsia"/>
              </w:rPr>
              <w:t>项目区实行雨污分流，雨水通过厂房周围修建的排水沟排水沟排入项目西侧农灌沟内。生活废水采用管道输送收集的方式排入化粪池，同时化粪池采取防水防渗的措施，不会混入雨水沟内。因此项目区可以实现雨污分流，不会导致污水混入雨水沟内外排。</w:t>
            </w:r>
          </w:p>
          <w:p>
            <w:pPr>
              <w:pStyle w:val="36"/>
              <w:ind w:firstLine="31680"/>
            </w:pPr>
            <w:r>
              <w:rPr>
                <w:rFonts w:hint="eastAsia"/>
              </w:rPr>
              <w:t>项目运营期产生的污水经采取上述措施后，对区域地表水基本不产生影响。</w:t>
            </w:r>
          </w:p>
          <w:p>
            <w:pPr>
              <w:pStyle w:val="75"/>
              <w:ind w:firstLine="31680"/>
              <w:rPr>
                <w:color w:val="auto"/>
              </w:rPr>
            </w:pPr>
            <w:r>
              <w:rPr>
                <w:color w:val="auto"/>
              </w:rPr>
              <w:t>3</w:t>
            </w:r>
            <w:r>
              <w:rPr>
                <w:rFonts w:hint="eastAsia"/>
                <w:color w:val="auto"/>
              </w:rPr>
              <w:t>、声环境影响</w:t>
            </w:r>
          </w:p>
          <w:p>
            <w:pPr>
              <w:pStyle w:val="36"/>
              <w:ind w:firstLine="31680"/>
            </w:pPr>
            <w:r>
              <w:rPr>
                <w:rFonts w:hint="eastAsia"/>
              </w:rPr>
              <w:t>项目运营期产生的噪声源强在</w:t>
            </w:r>
            <w:r>
              <w:t>60~70dB</w:t>
            </w:r>
            <w:r>
              <w:rPr>
                <w:rFonts w:hint="eastAsia"/>
              </w:rPr>
              <w:t>（</w:t>
            </w:r>
            <w:r>
              <w:t>A</w:t>
            </w:r>
            <w:r>
              <w:rPr>
                <w:rFonts w:hint="eastAsia"/>
              </w:rPr>
              <w:t>），且集中布置于组装打磨区内，可其视为一个点声源，因此采用噪声叠加公式和噪声点源衰减公式进行声环境影响预测。</w:t>
            </w:r>
          </w:p>
          <w:p>
            <w:pPr>
              <w:pStyle w:val="36"/>
              <w:ind w:firstLine="31680"/>
            </w:pPr>
            <w:r>
              <w:rPr>
                <w:rFonts w:hint="eastAsia"/>
              </w:rPr>
              <w:t>本环评通过导则推荐的噪声预测软件对项目噪声进行影响预测和分析。</w:t>
            </w:r>
          </w:p>
          <w:p>
            <w:pPr>
              <w:pStyle w:val="36"/>
              <w:ind w:firstLine="31680"/>
            </w:pPr>
            <w:r>
              <w:rPr>
                <w:rFonts w:hint="eastAsia"/>
              </w:rPr>
              <w:t>（</w:t>
            </w:r>
            <w:r>
              <w:t>1</w:t>
            </w:r>
            <w:r>
              <w:rPr>
                <w:rFonts w:hint="eastAsia"/>
              </w:rPr>
              <w:t>）施工场界环境噪声排放分析</w:t>
            </w:r>
          </w:p>
          <w:p>
            <w:pPr>
              <w:pStyle w:val="36"/>
              <w:ind w:firstLine="31680"/>
            </w:pPr>
            <w:r>
              <w:rPr>
                <w:rFonts w:hint="eastAsia"/>
              </w:rPr>
              <w:t>根据</w:t>
            </w:r>
            <w:r>
              <w:t>HJ/T2.4-2009</w:t>
            </w:r>
            <w:r>
              <w:rPr>
                <w:rFonts w:hint="eastAsia"/>
              </w:rPr>
              <w:t>《环境影响评价技术导则</w:t>
            </w:r>
            <w:r>
              <w:t>—</w:t>
            </w:r>
            <w:r>
              <w:rPr>
                <w:rFonts w:hint="eastAsia"/>
              </w:rPr>
              <w:t>声环境》，噪声预测计算公如下：</w:t>
            </w:r>
          </w:p>
          <w:p>
            <w:pPr>
              <w:pStyle w:val="57"/>
              <w:spacing w:line="360" w:lineRule="auto"/>
              <w:ind w:firstLine="480"/>
              <w:rPr>
                <w:b/>
                <w:sz w:val="28"/>
              </w:rPr>
            </w:pPr>
            <w:r>
              <w:rPr>
                <w:b/>
                <w:sz w:val="28"/>
              </w:rPr>
              <w:t>L</w:t>
            </w:r>
            <w:r>
              <w:rPr>
                <w:b/>
                <w:sz w:val="28"/>
                <w:vertAlign w:val="subscript"/>
              </w:rPr>
              <w:t>p</w:t>
            </w:r>
            <w:r>
              <w:rPr>
                <w:rFonts w:hint="eastAsia"/>
                <w:b/>
                <w:sz w:val="28"/>
              </w:rPr>
              <w:t>（</w:t>
            </w:r>
            <w:r>
              <w:rPr>
                <w:b/>
                <w:sz w:val="28"/>
              </w:rPr>
              <w:t>r</w:t>
            </w:r>
            <w:r>
              <w:rPr>
                <w:rFonts w:hint="eastAsia"/>
                <w:b/>
                <w:sz w:val="28"/>
              </w:rPr>
              <w:t>）</w:t>
            </w:r>
            <w:r>
              <w:rPr>
                <w:b/>
                <w:sz w:val="28"/>
              </w:rPr>
              <w:t>=L</w:t>
            </w:r>
            <w:r>
              <w:rPr>
                <w:b/>
                <w:sz w:val="28"/>
                <w:vertAlign w:val="subscript"/>
              </w:rPr>
              <w:t>p</w:t>
            </w:r>
            <w:r>
              <w:rPr>
                <w:rFonts w:hint="eastAsia"/>
                <w:b/>
                <w:sz w:val="28"/>
              </w:rPr>
              <w:t>（</w:t>
            </w:r>
            <w:r>
              <w:rPr>
                <w:b/>
                <w:sz w:val="28"/>
              </w:rPr>
              <w:t>r</w:t>
            </w:r>
            <w:r>
              <w:rPr>
                <w:b/>
                <w:sz w:val="28"/>
                <w:vertAlign w:val="subscript"/>
              </w:rPr>
              <w:t>0</w:t>
            </w:r>
            <w:r>
              <w:rPr>
                <w:rFonts w:hint="eastAsia"/>
                <w:b/>
                <w:sz w:val="28"/>
              </w:rPr>
              <w:t>）</w:t>
            </w:r>
            <w:r>
              <w:rPr>
                <w:b/>
                <w:sz w:val="28"/>
              </w:rPr>
              <w:t>-20lg</w:t>
            </w:r>
            <w:r>
              <w:rPr>
                <w:rFonts w:hint="eastAsia"/>
                <w:b/>
                <w:sz w:val="28"/>
              </w:rPr>
              <w:t>（</w:t>
            </w:r>
            <w:r>
              <w:rPr>
                <w:b/>
                <w:sz w:val="28"/>
              </w:rPr>
              <w:t>r/r</w:t>
            </w:r>
            <w:r>
              <w:rPr>
                <w:b/>
                <w:sz w:val="28"/>
                <w:vertAlign w:val="subscript"/>
              </w:rPr>
              <w:t>0</w:t>
            </w:r>
            <w:r>
              <w:rPr>
                <w:rFonts w:hint="eastAsia"/>
                <w:b/>
                <w:sz w:val="28"/>
              </w:rPr>
              <w:t>）</w:t>
            </w:r>
            <w:r>
              <w:rPr>
                <w:b/>
                <w:sz w:val="28"/>
              </w:rPr>
              <w:t>-</w:t>
            </w:r>
            <w:r>
              <w:rPr>
                <w:rFonts w:ascii="Cambria Math" w:hAnsi="Cambria Math" w:cs="Cambria Math"/>
                <w:b/>
                <w:sz w:val="28"/>
              </w:rPr>
              <w:t>△</w:t>
            </w:r>
            <w:r>
              <w:rPr>
                <w:b/>
                <w:sz w:val="28"/>
              </w:rPr>
              <w:t>L</w:t>
            </w:r>
          </w:p>
          <w:p>
            <w:pPr>
              <w:pStyle w:val="36"/>
              <w:ind w:firstLine="31680"/>
            </w:pPr>
            <w:r>
              <w:rPr>
                <w:rFonts w:hint="eastAsia"/>
              </w:rPr>
              <w:t>式中：</w:t>
            </w:r>
          </w:p>
          <w:p>
            <w:pPr>
              <w:pStyle w:val="36"/>
              <w:ind w:firstLine="960" w:firstLineChars="400"/>
            </w:pPr>
            <w:r>
              <w:t>Lp-</w:t>
            </w:r>
            <w:r>
              <w:rPr>
                <w:rFonts w:hint="eastAsia"/>
              </w:rPr>
              <w:t>预测声级值：</w:t>
            </w:r>
            <w:r>
              <w:t>dB(A)             Lp</w:t>
            </w:r>
            <w:r>
              <w:rPr>
                <w:vertAlign w:val="subscript"/>
              </w:rPr>
              <w:t>0</w:t>
            </w:r>
            <w:r>
              <w:t>-</w:t>
            </w:r>
            <w:r>
              <w:rPr>
                <w:rFonts w:hint="eastAsia"/>
              </w:rPr>
              <w:t>参考位置</w:t>
            </w:r>
            <w:r>
              <w:t>r</w:t>
            </w:r>
            <w:r>
              <w:rPr>
                <w:vertAlign w:val="subscript"/>
              </w:rPr>
              <w:t>0</w:t>
            </w:r>
            <w:r>
              <w:rPr>
                <w:rFonts w:hint="eastAsia"/>
              </w:rPr>
              <w:t>处的声级值：</w:t>
            </w:r>
            <w:r>
              <w:t>dB(A)</w:t>
            </w:r>
          </w:p>
          <w:p>
            <w:pPr>
              <w:pStyle w:val="36"/>
              <w:ind w:firstLine="960" w:firstLineChars="400"/>
            </w:pPr>
            <w:r>
              <w:t>r</w:t>
            </w:r>
            <w:r>
              <w:rPr>
                <w:vertAlign w:val="subscript"/>
              </w:rPr>
              <w:t>p</w:t>
            </w:r>
            <w:r>
              <w:t>-</w:t>
            </w:r>
            <w:r>
              <w:rPr>
                <w:rFonts w:hint="eastAsia"/>
              </w:rPr>
              <w:t>预测点与声源之间的距离：</w:t>
            </w:r>
            <w:r>
              <w:t>m    r</w:t>
            </w:r>
            <w:r>
              <w:rPr>
                <w:vertAlign w:val="subscript"/>
              </w:rPr>
              <w:t>0</w:t>
            </w:r>
            <w:r>
              <w:t>-</w:t>
            </w:r>
            <w:r>
              <w:rPr>
                <w:rFonts w:hint="eastAsia"/>
              </w:rPr>
              <w:t>参考声级与点声源间的距离：</w:t>
            </w:r>
            <w:r>
              <w:t>m</w:t>
            </w:r>
          </w:p>
          <w:p>
            <w:pPr>
              <w:pStyle w:val="36"/>
              <w:ind w:firstLine="960" w:firstLineChars="400"/>
            </w:pPr>
            <w:r>
              <w:rPr>
                <w:rFonts w:ascii="Cambria Math" w:hAnsi="Cambria Math" w:cs="Cambria Math"/>
              </w:rPr>
              <w:t>△</w:t>
            </w:r>
            <w:r>
              <w:t>L-</w:t>
            </w:r>
            <w:r>
              <w:rPr>
                <w:rFonts w:hint="eastAsia"/>
              </w:rPr>
              <w:t>附加衰减量：</w:t>
            </w:r>
            <w:r>
              <w:t>dB(A)</w:t>
            </w:r>
          </w:p>
          <w:p>
            <w:pPr>
              <w:pStyle w:val="36"/>
              <w:ind w:firstLine="31680"/>
            </w:pPr>
            <w:r>
              <w:rPr>
                <w:rFonts w:hint="eastAsia"/>
              </w:rPr>
              <w:t>根据项目生产特点，其运营期在周围环境的噪声值如表</w:t>
            </w:r>
            <w:r>
              <w:t>7-6</w:t>
            </w:r>
            <w:r>
              <w:rPr>
                <w:rFonts w:hint="eastAsia"/>
              </w:rPr>
              <w:t>所示。</w:t>
            </w:r>
          </w:p>
          <w:p>
            <w:pPr>
              <w:pStyle w:val="47"/>
            </w:pPr>
            <w:r>
              <w:rPr>
                <w:rFonts w:hint="eastAsia"/>
              </w:rPr>
              <w:t>表</w:t>
            </w:r>
            <w:r>
              <w:t xml:space="preserve">7-6 </w:t>
            </w:r>
            <w:r>
              <w:rPr>
                <w:rFonts w:hint="eastAsia"/>
              </w:rPr>
              <w:t>距声源不同距离预测出的噪声贡献值</w:t>
            </w:r>
            <w:r>
              <w:t xml:space="preserve">  </w:t>
            </w:r>
            <w:r>
              <w:rPr>
                <w:rFonts w:hint="eastAsia"/>
              </w:rPr>
              <w:t>单位：</w:t>
            </w:r>
            <w:r>
              <w:t>dB</w:t>
            </w:r>
            <w:r>
              <w:rPr>
                <w:rFonts w:hint="eastAsia"/>
              </w:rPr>
              <w:t>（</w:t>
            </w:r>
            <w:r>
              <w:t>A</w:t>
            </w:r>
            <w:r>
              <w:rPr>
                <w:rFonts w:hint="eastAsia"/>
              </w:rPr>
              <w:t>）</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807"/>
              <w:gridCol w:w="808"/>
              <w:gridCol w:w="808"/>
              <w:gridCol w:w="808"/>
              <w:gridCol w:w="808"/>
              <w:gridCol w:w="808"/>
              <w:gridCol w:w="815"/>
              <w:gridCol w:w="815"/>
              <w:gridCol w:w="815"/>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设备名称</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1m</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5m</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10m</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15m</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30m</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50m</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100m</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150m</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200m</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打磨机</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70</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56</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50</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46</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40</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36</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30</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26</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24</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木槌</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60</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46</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40</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36</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30</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26</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20</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16</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13</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叠加值</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70.41</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56.41</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50.41</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46.41</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40.41</w:t>
                  </w:r>
                </w:p>
              </w:tc>
              <w:tc>
                <w:tcPr>
                  <w:tcW w:w="432" w:type="pct"/>
                  <w:tcBorders>
                    <w:top w:val="single" w:color="auto" w:sz="4" w:space="0"/>
                    <w:left w:val="single" w:color="auto" w:sz="4" w:space="0"/>
                    <w:bottom w:val="single" w:color="auto" w:sz="4" w:space="0"/>
                    <w:right w:val="single" w:color="auto" w:sz="4" w:space="0"/>
                  </w:tcBorders>
                  <w:vAlign w:val="center"/>
                </w:tcPr>
                <w:p>
                  <w:pPr>
                    <w:pStyle w:val="41"/>
                  </w:pPr>
                  <w:r>
                    <w:t>36.41</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30.41</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26.41</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24.33</w:t>
                  </w:r>
                </w:p>
              </w:tc>
              <w:tc>
                <w:tcPr>
                  <w:tcW w:w="436" w:type="pct"/>
                  <w:tcBorders>
                    <w:top w:val="single" w:color="auto" w:sz="4" w:space="0"/>
                    <w:left w:val="single" w:color="auto" w:sz="4" w:space="0"/>
                    <w:bottom w:val="single" w:color="auto" w:sz="4" w:space="0"/>
                    <w:right w:val="single" w:color="auto" w:sz="4" w:space="0"/>
                  </w:tcBorders>
                  <w:vAlign w:val="center"/>
                </w:tcPr>
                <w:p>
                  <w:pPr>
                    <w:pStyle w:val="41"/>
                  </w:pPr>
                  <w:r>
                    <w:t>20.41</w:t>
                  </w:r>
                </w:p>
              </w:tc>
            </w:tr>
          </w:tbl>
          <w:p>
            <w:pPr>
              <w:pStyle w:val="36"/>
              <w:ind w:firstLine="31680"/>
            </w:pPr>
            <w:r>
              <w:rPr>
                <w:rFonts w:hint="eastAsia"/>
              </w:rPr>
              <w:t>由上表预测结果，结合项目总平面布置图可知，项目区的主要噪音噪声源位于车间东北侧，生产车间距离西面和南面距离较远，距离厂界均在</w:t>
            </w:r>
            <w:r>
              <w:t>10m</w:t>
            </w:r>
            <w:r>
              <w:rPr>
                <w:rFonts w:hint="eastAsia"/>
              </w:rPr>
              <w:t>以上，昼间车间设备生产噪声传播至西、南面厂界的噪声级在</w:t>
            </w:r>
            <w:r>
              <w:t>51dB(A)</w:t>
            </w:r>
            <w:r>
              <w:rPr>
                <w:rFonts w:hint="eastAsia"/>
              </w:rPr>
              <w:t>以下，可达到</w:t>
            </w:r>
            <w:r>
              <w:t>GB12348-2008</w:t>
            </w:r>
            <w:r>
              <w:rPr>
                <w:rFonts w:hint="eastAsia"/>
              </w:rPr>
              <w:t>《工业企业厂界环境噪声排放标准》</w:t>
            </w:r>
            <w:r>
              <w:t>2</w:t>
            </w:r>
            <w:r>
              <w:rPr>
                <w:rFonts w:hint="eastAsia"/>
              </w:rPr>
              <w:t>类标准昼间标准要求。生产车间距离东面和北面厂界均在</w:t>
            </w:r>
            <w:r>
              <w:t>5m</w:t>
            </w:r>
            <w:r>
              <w:rPr>
                <w:rFonts w:hint="eastAsia"/>
              </w:rPr>
              <w:t>以上，噪声级在</w:t>
            </w:r>
            <w:r>
              <w:t>57dB(A)</w:t>
            </w:r>
            <w:r>
              <w:rPr>
                <w:rFonts w:hint="eastAsia"/>
              </w:rPr>
              <w:t>以下噪声排放可达到</w:t>
            </w:r>
            <w:r>
              <w:t>GB12348-2008</w:t>
            </w:r>
            <w:r>
              <w:rPr>
                <w:rFonts w:hint="eastAsia"/>
              </w:rPr>
              <w:t>《工业企业厂界环境噪声排放标准》</w:t>
            </w:r>
            <w:r>
              <w:t>2</w:t>
            </w:r>
            <w:r>
              <w:rPr>
                <w:rFonts w:hint="eastAsia"/>
              </w:rPr>
              <w:t>类标准昼间标准要求。项目夜间不进行生产，无噪声产生。</w:t>
            </w:r>
          </w:p>
          <w:p>
            <w:pPr>
              <w:pStyle w:val="36"/>
              <w:ind w:firstLine="31680"/>
            </w:pPr>
            <w:r>
              <w:rPr>
                <w:rFonts w:hint="eastAsia"/>
              </w:rPr>
              <w:t>大湾村距离项目区约为</w:t>
            </w:r>
            <w:r>
              <w:t>200m</w:t>
            </w:r>
            <w:r>
              <w:rPr>
                <w:rFonts w:hint="eastAsia"/>
              </w:rPr>
              <w:t>，项目区产生的噪声经墙体、建筑物隔音以及距离衰减后，建设项目的设备噪声对周围保护目标的影响较小，不会改变项目所在区域声环境质量现状。</w:t>
            </w:r>
          </w:p>
          <w:p>
            <w:pPr>
              <w:pStyle w:val="36"/>
              <w:ind w:firstLine="31680"/>
            </w:pPr>
            <w:r>
              <w:rPr>
                <w:rFonts w:hint="eastAsia"/>
              </w:rPr>
              <w:t>综上所述，运营期噪声对周围环境影响较小。</w:t>
            </w:r>
          </w:p>
          <w:p>
            <w:pPr>
              <w:pStyle w:val="75"/>
              <w:ind w:firstLine="31680"/>
              <w:rPr>
                <w:color w:val="auto"/>
              </w:rPr>
            </w:pPr>
            <w:r>
              <w:rPr>
                <w:color w:val="auto"/>
              </w:rPr>
              <w:t>4</w:t>
            </w:r>
            <w:r>
              <w:rPr>
                <w:rFonts w:hint="eastAsia"/>
                <w:color w:val="auto"/>
              </w:rPr>
              <w:t>、固体废弃物境影响</w:t>
            </w:r>
          </w:p>
          <w:p>
            <w:pPr>
              <w:pStyle w:val="36"/>
              <w:ind w:firstLine="31680"/>
            </w:pPr>
            <w:r>
              <w:rPr>
                <w:rFonts w:hint="eastAsia"/>
              </w:rPr>
              <w:t>（</w:t>
            </w:r>
            <w:r>
              <w:t>1</w:t>
            </w:r>
            <w:r>
              <w:rPr>
                <w:rFonts w:hint="eastAsia"/>
              </w:rPr>
              <w:t>）生产废料</w:t>
            </w:r>
          </w:p>
          <w:p>
            <w:pPr>
              <w:pStyle w:val="36"/>
              <w:ind w:firstLine="31680"/>
            </w:pPr>
            <w:r>
              <w:rPr>
                <w:rFonts w:hint="eastAsia" w:cs="宋体"/>
              </w:rPr>
              <w:t>①</w:t>
            </w:r>
            <w:r>
              <w:rPr>
                <w:rFonts w:hint="eastAsia"/>
              </w:rPr>
              <w:t>一般固体废物</w:t>
            </w:r>
          </w:p>
          <w:p>
            <w:pPr>
              <w:pStyle w:val="36"/>
              <w:ind w:firstLine="31680"/>
            </w:pPr>
            <w:r>
              <w:rPr>
                <w:rFonts w:hint="eastAsia"/>
              </w:rPr>
              <w:t>项目生产过程中产生的边角料、木屑约</w:t>
            </w:r>
            <w:r>
              <w:t>0.5t/a</w:t>
            </w:r>
            <w:r>
              <w:rPr>
                <w:rFonts w:hint="eastAsia"/>
              </w:rPr>
              <w:t>，外卖周边村民作燃料，得到合理利用，对周围环境造成的影响不大。</w:t>
            </w:r>
          </w:p>
          <w:p>
            <w:pPr>
              <w:pStyle w:val="36"/>
              <w:ind w:firstLine="31680"/>
              <w:rPr>
                <w:szCs w:val="24"/>
              </w:rPr>
            </w:pPr>
            <w:r>
              <w:rPr>
                <w:rFonts w:hint="eastAsia" w:cs="宋体"/>
              </w:rPr>
              <w:t>②</w:t>
            </w:r>
            <w:r>
              <w:rPr>
                <w:rFonts w:hint="eastAsia"/>
              </w:rPr>
              <w:t>危险废物</w:t>
            </w:r>
          </w:p>
          <w:p>
            <w:pPr>
              <w:pStyle w:val="36"/>
              <w:ind w:firstLine="31680"/>
            </w:pPr>
            <w:r>
              <w:rPr>
                <w:rFonts w:hint="eastAsia"/>
              </w:rPr>
              <w:t>项目危废暂存间设置在项目区西北角，紧邻刷漆房，用于临时存放废弃油漆桶、废弃稀释剂桶和废弃油漆刷和抹布等，采取防雨淋、防渗漏的措施，关于危废储存间的要求地面做</w:t>
            </w:r>
            <w:r>
              <w:t>100mm</w:t>
            </w:r>
            <w:r>
              <w:rPr>
                <w:rFonts w:hint="eastAsia"/>
              </w:rPr>
              <w:t>厚度的水泥硬化层外加</w:t>
            </w:r>
            <w:r>
              <w:t>2mm</w:t>
            </w:r>
            <w:r>
              <w:rPr>
                <w:rFonts w:hint="eastAsia"/>
              </w:rPr>
              <w:t>厚度高密度聚乙烯的人工材料，渗透系数≦</w:t>
            </w:r>
            <w:r>
              <w:t>10</w:t>
            </w:r>
            <w:r>
              <w:rPr>
                <w:vertAlign w:val="superscript"/>
              </w:rPr>
              <w:t>-10</w:t>
            </w:r>
            <w:r>
              <w:t>cm/s</w:t>
            </w:r>
            <w:r>
              <w:rPr>
                <w:rFonts w:hint="eastAsia"/>
              </w:rPr>
              <w:t>。危险废物的储存及处理须遵守《</w:t>
            </w:r>
            <w:r>
              <w:rPr>
                <w:rFonts w:hint="eastAsia"/>
                <w:lang w:eastAsia="zh-CN"/>
              </w:rPr>
              <w:t>中华人民共和国固体废物污染环境防治法</w:t>
            </w:r>
            <w:r>
              <w:rPr>
                <w:rFonts w:hint="eastAsia"/>
              </w:rPr>
              <w:t>》、《危险废物转移联单管理办法》，执行</w:t>
            </w:r>
            <w:r>
              <w:t>GB18597-2001</w:t>
            </w:r>
            <w:r>
              <w:rPr>
                <w:rFonts w:hint="eastAsia"/>
              </w:rPr>
              <w:t>《危险废物贮存污染控制标准》，并要求设定专人管理，制定健全的制度，分类存放，设置警示标志，及时交给具有危险废物处置资质的单位回收处理，防止对环境造成严重的污染。</w:t>
            </w:r>
          </w:p>
          <w:p>
            <w:pPr>
              <w:pStyle w:val="36"/>
              <w:ind w:firstLine="31680"/>
            </w:pPr>
            <w:r>
              <w:rPr>
                <w:rFonts w:hint="eastAsia"/>
              </w:rPr>
              <w:t>采取以上措施，项目危险废物得到合理处置，对周围环境造成的影响不大。</w:t>
            </w:r>
          </w:p>
          <w:p>
            <w:pPr>
              <w:pStyle w:val="36"/>
              <w:ind w:firstLine="31680"/>
            </w:pPr>
            <w:r>
              <w:rPr>
                <w:rFonts w:hint="eastAsia"/>
              </w:rPr>
              <w:t>（</w:t>
            </w:r>
            <w:r>
              <w:t>2</w:t>
            </w:r>
            <w:r>
              <w:rPr>
                <w:rFonts w:hint="eastAsia"/>
              </w:rPr>
              <w:t>）生活垃圾</w:t>
            </w:r>
          </w:p>
          <w:p>
            <w:pPr>
              <w:pStyle w:val="36"/>
              <w:ind w:firstLine="31680"/>
            </w:pPr>
            <w:r>
              <w:rPr>
                <w:rFonts w:hint="eastAsia"/>
              </w:rPr>
              <w:t>运营期生产职工产生生活垃圾约</w:t>
            </w:r>
            <w:r>
              <w:t>2.5kg/d</w:t>
            </w:r>
            <w:r>
              <w:rPr>
                <w:rFonts w:hint="eastAsia"/>
              </w:rPr>
              <w:t>，用垃圾桶收集后运输至就近垃圾收集点，由环卫部门定期清运，对周围环境造成的影响不大。</w:t>
            </w:r>
          </w:p>
          <w:p>
            <w:pPr>
              <w:pStyle w:val="36"/>
              <w:ind w:firstLine="31680"/>
            </w:pPr>
            <w:r>
              <w:rPr>
                <w:rFonts w:hint="eastAsia"/>
              </w:rPr>
              <w:t>通过以上措施，建设项目产生的固体废弃物</w:t>
            </w:r>
            <w:r>
              <w:t>100%</w:t>
            </w:r>
            <w:r>
              <w:rPr>
                <w:rFonts w:hint="eastAsia"/>
              </w:rPr>
              <w:t>得到了妥善处置，不向外环境排放，不会对环境产生有害影响。</w:t>
            </w:r>
          </w:p>
          <w:p>
            <w:pPr>
              <w:adjustRightInd w:val="0"/>
              <w:snapToGrid w:val="0"/>
              <w:ind w:firstLine="31680"/>
            </w:pPr>
          </w:p>
          <w:p>
            <w:pPr>
              <w:adjustRightInd w:val="0"/>
              <w:snapToGrid w:val="0"/>
              <w:ind w:firstLine="31680"/>
            </w:pPr>
          </w:p>
          <w:p>
            <w:pPr>
              <w:adjustRightInd w:val="0"/>
              <w:snapToGrid w:val="0"/>
              <w:ind w:firstLine="31680"/>
            </w:pPr>
          </w:p>
          <w:p>
            <w:pPr>
              <w:adjustRightInd w:val="0"/>
              <w:snapToGrid w:val="0"/>
              <w:ind w:firstLine="0" w:firstLineChars="0"/>
            </w:pPr>
          </w:p>
          <w:p>
            <w:pPr>
              <w:adjustRightInd w:val="0"/>
              <w:snapToGrid w:val="0"/>
              <w:ind w:firstLine="0" w:firstLineChars="0"/>
            </w:pPr>
          </w:p>
          <w:p>
            <w:pPr>
              <w:adjustRightInd w:val="0"/>
              <w:snapToGrid w:val="0"/>
              <w:ind w:firstLine="0" w:firstLineChars="0"/>
            </w:pPr>
          </w:p>
          <w:p>
            <w:pPr>
              <w:adjustRightInd w:val="0"/>
              <w:snapToGrid w:val="0"/>
              <w:ind w:firstLine="0" w:firstLineChars="0"/>
            </w:pPr>
          </w:p>
          <w:p>
            <w:pPr>
              <w:adjustRightInd w:val="0"/>
              <w:snapToGrid w:val="0"/>
              <w:ind w:firstLine="0" w:firstLineChars="0"/>
            </w:pPr>
          </w:p>
          <w:p>
            <w:pPr>
              <w:adjustRightInd w:val="0"/>
              <w:snapToGrid w:val="0"/>
              <w:ind w:firstLine="0" w:firstLineChars="0"/>
            </w:pPr>
          </w:p>
          <w:p>
            <w:pPr>
              <w:adjustRightInd w:val="0"/>
              <w:snapToGrid w:val="0"/>
              <w:ind w:firstLine="0" w:firstLineChars="0"/>
            </w:pPr>
          </w:p>
          <w:p>
            <w:pPr>
              <w:adjustRightInd w:val="0"/>
              <w:snapToGrid w:val="0"/>
              <w:ind w:firstLine="0" w:firstLineChars="0"/>
            </w:pPr>
          </w:p>
          <w:p>
            <w:pPr>
              <w:adjustRightInd w:val="0"/>
              <w:snapToGrid w:val="0"/>
              <w:ind w:firstLine="0" w:firstLineChars="0"/>
            </w:pPr>
          </w:p>
          <w:p>
            <w:pPr>
              <w:adjustRightInd w:val="0"/>
              <w:snapToGrid w:val="0"/>
              <w:ind w:firstLine="0" w:firstLineChars="0"/>
            </w:pPr>
          </w:p>
          <w:p>
            <w:pPr>
              <w:adjustRightInd w:val="0"/>
              <w:snapToGrid w:val="0"/>
              <w:ind w:firstLine="0" w:firstLineChars="0"/>
            </w:pPr>
          </w:p>
          <w:p>
            <w:pPr>
              <w:adjustRightInd w:val="0"/>
              <w:snapToGrid w:val="0"/>
              <w:ind w:firstLine="0" w:firstLineChars="0"/>
            </w:pPr>
          </w:p>
          <w:p>
            <w:pPr>
              <w:adjustRightInd w:val="0"/>
              <w:snapToGrid w:val="0"/>
              <w:ind w:firstLine="0" w:firstLineChars="0"/>
            </w:pPr>
          </w:p>
          <w:p>
            <w:pPr>
              <w:adjustRightInd w:val="0"/>
              <w:snapToGrid w:val="0"/>
              <w:ind w:firstLine="0" w:firstLineChars="0"/>
            </w:pPr>
          </w:p>
          <w:p>
            <w:pPr>
              <w:adjustRightInd w:val="0"/>
              <w:snapToGrid w:val="0"/>
              <w:ind w:firstLine="0" w:firstLineChars="0"/>
            </w:pPr>
          </w:p>
          <w:p>
            <w:pPr>
              <w:adjustRightInd w:val="0"/>
              <w:snapToGrid w:val="0"/>
              <w:ind w:firstLine="0" w:firstLineChars="0"/>
            </w:pPr>
          </w:p>
        </w:tc>
        <w:tc>
          <w:tcPr>
            <w:tcW w:w="9570" w:type="dxa"/>
          </w:tcPr>
          <w:p>
            <w:pPr>
              <w:ind w:firstLine="0" w:firstLineChars="0"/>
            </w:pPr>
          </w:p>
        </w:tc>
      </w:tr>
    </w:tbl>
    <w:p>
      <w:pPr>
        <w:pStyle w:val="2"/>
      </w:pPr>
      <w:r>
        <w:rPr>
          <w:rFonts w:hint="eastAsia"/>
        </w:rPr>
        <w:t>表八、建设项目拟采取的防治措施及预期治理效果</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526"/>
        <w:gridCol w:w="1158"/>
        <w:gridCol w:w="1302"/>
        <w:gridCol w:w="2695"/>
        <w:gridCol w:w="3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9" w:type="pct"/>
            <w:gridSpan w:val="2"/>
            <w:tcBorders>
              <w:tl2br w:val="single" w:color="auto" w:sz="4" w:space="0"/>
            </w:tcBorders>
            <w:vAlign w:val="center"/>
          </w:tcPr>
          <w:p>
            <w:pPr>
              <w:pStyle w:val="41"/>
            </w:pPr>
            <w:r>
              <w:t xml:space="preserve">   </w:t>
            </w:r>
            <w:r>
              <w:rPr>
                <w:rFonts w:hint="eastAsia"/>
              </w:rPr>
              <w:t>内容</w:t>
            </w:r>
          </w:p>
          <w:p>
            <w:pPr>
              <w:pStyle w:val="41"/>
              <w:jc w:val="both"/>
              <w:rPr>
                <w:b/>
                <w:szCs w:val="21"/>
              </w:rPr>
            </w:pPr>
            <w:r>
              <w:rPr>
                <w:rFonts w:hint="eastAsia"/>
                <w:szCs w:val="21"/>
              </w:rPr>
              <w:t>类型</w:t>
            </w:r>
          </w:p>
        </w:tc>
        <w:tc>
          <w:tcPr>
            <w:tcW w:w="605" w:type="pct"/>
            <w:vAlign w:val="center"/>
          </w:tcPr>
          <w:p>
            <w:pPr>
              <w:pStyle w:val="41"/>
            </w:pPr>
            <w:r>
              <w:rPr>
                <w:rFonts w:hint="eastAsia"/>
              </w:rPr>
              <w:t>排放源</w:t>
            </w:r>
          </w:p>
        </w:tc>
        <w:tc>
          <w:tcPr>
            <w:tcW w:w="680" w:type="pct"/>
            <w:vAlign w:val="center"/>
          </w:tcPr>
          <w:p>
            <w:pPr>
              <w:pStyle w:val="41"/>
            </w:pPr>
            <w:r>
              <w:rPr>
                <w:rFonts w:hint="eastAsia"/>
              </w:rPr>
              <w:t>污染物</w:t>
            </w:r>
          </w:p>
        </w:tc>
        <w:tc>
          <w:tcPr>
            <w:tcW w:w="1408" w:type="pct"/>
            <w:vAlign w:val="center"/>
          </w:tcPr>
          <w:p>
            <w:pPr>
              <w:pStyle w:val="41"/>
            </w:pPr>
            <w:r>
              <w:rPr>
                <w:rFonts w:hint="eastAsia"/>
              </w:rPr>
              <w:t>防治措施</w:t>
            </w:r>
          </w:p>
        </w:tc>
        <w:tc>
          <w:tcPr>
            <w:tcW w:w="1758" w:type="pct"/>
            <w:vAlign w:val="center"/>
          </w:tcPr>
          <w:p>
            <w:pPr>
              <w:pStyle w:val="41"/>
            </w:pPr>
            <w:r>
              <w:rPr>
                <w:rFonts w:hint="eastAsia"/>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restart"/>
            <w:vAlign w:val="center"/>
          </w:tcPr>
          <w:p>
            <w:pPr>
              <w:pStyle w:val="41"/>
            </w:pPr>
            <w:r>
              <w:rPr>
                <w:rFonts w:hint="eastAsia"/>
              </w:rPr>
              <w:t>大气污染物</w:t>
            </w:r>
          </w:p>
        </w:tc>
        <w:tc>
          <w:tcPr>
            <w:tcW w:w="275" w:type="pct"/>
            <w:vMerge w:val="restart"/>
            <w:vAlign w:val="center"/>
          </w:tcPr>
          <w:p>
            <w:pPr>
              <w:pStyle w:val="41"/>
            </w:pPr>
            <w:r>
              <w:rPr>
                <w:rFonts w:hint="eastAsia"/>
              </w:rPr>
              <w:t>施工期</w:t>
            </w:r>
          </w:p>
        </w:tc>
        <w:tc>
          <w:tcPr>
            <w:tcW w:w="605" w:type="pct"/>
            <w:vAlign w:val="center"/>
          </w:tcPr>
          <w:p>
            <w:pPr>
              <w:pStyle w:val="41"/>
            </w:pPr>
            <w:r>
              <w:rPr>
                <w:rFonts w:hint="eastAsia"/>
              </w:rPr>
              <w:t>施工扬尘</w:t>
            </w:r>
          </w:p>
        </w:tc>
        <w:tc>
          <w:tcPr>
            <w:tcW w:w="680" w:type="pct"/>
            <w:vAlign w:val="center"/>
          </w:tcPr>
          <w:p>
            <w:pPr>
              <w:pStyle w:val="41"/>
            </w:pPr>
            <w:r>
              <w:t>TSP</w:t>
            </w:r>
          </w:p>
        </w:tc>
        <w:tc>
          <w:tcPr>
            <w:tcW w:w="1408" w:type="pct"/>
            <w:vAlign w:val="center"/>
          </w:tcPr>
          <w:p>
            <w:pPr>
              <w:pStyle w:val="41"/>
            </w:pPr>
            <w:r>
              <w:rPr>
                <w:rFonts w:hint="eastAsia"/>
              </w:rPr>
              <w:t>场地洒水，临时覆盖、拦挡</w:t>
            </w:r>
          </w:p>
        </w:tc>
        <w:tc>
          <w:tcPr>
            <w:tcW w:w="1758" w:type="pct"/>
            <w:vAlign w:val="center"/>
          </w:tcPr>
          <w:p>
            <w:pPr>
              <w:pStyle w:val="41"/>
            </w:pPr>
            <w:r>
              <w:rPr>
                <w:rFonts w:hint="eastAsia"/>
              </w:rPr>
              <w:t>满足</w:t>
            </w:r>
            <w:r>
              <w:t xml:space="preserve">GB16297-1996 </w:t>
            </w:r>
            <w:r>
              <w:rPr>
                <w:rFonts w:hint="eastAsia"/>
              </w:rPr>
              <w:t>《大气污染物综合排放标准》无组织排放浓度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continue"/>
            <w:vAlign w:val="center"/>
          </w:tcPr>
          <w:p>
            <w:pPr>
              <w:pStyle w:val="41"/>
            </w:pPr>
          </w:p>
        </w:tc>
        <w:tc>
          <w:tcPr>
            <w:tcW w:w="275" w:type="pct"/>
            <w:vMerge w:val="continue"/>
            <w:vAlign w:val="center"/>
          </w:tcPr>
          <w:p>
            <w:pPr>
              <w:pStyle w:val="41"/>
            </w:pPr>
          </w:p>
        </w:tc>
        <w:tc>
          <w:tcPr>
            <w:tcW w:w="605" w:type="pct"/>
            <w:vAlign w:val="center"/>
          </w:tcPr>
          <w:p>
            <w:pPr>
              <w:pStyle w:val="41"/>
            </w:pPr>
            <w:r>
              <w:rPr>
                <w:rFonts w:hint="eastAsia"/>
              </w:rPr>
              <w:t>焊接废气</w:t>
            </w:r>
          </w:p>
        </w:tc>
        <w:tc>
          <w:tcPr>
            <w:tcW w:w="680" w:type="pct"/>
            <w:vAlign w:val="center"/>
          </w:tcPr>
          <w:p>
            <w:pPr>
              <w:pStyle w:val="41"/>
            </w:pPr>
            <w:r>
              <w:rPr>
                <w:rFonts w:hint="eastAsia"/>
              </w:rPr>
              <w:t>烟尘</w:t>
            </w:r>
          </w:p>
        </w:tc>
        <w:tc>
          <w:tcPr>
            <w:tcW w:w="1408" w:type="pct"/>
            <w:vAlign w:val="center"/>
          </w:tcPr>
          <w:p>
            <w:pPr>
              <w:pStyle w:val="41"/>
            </w:pPr>
            <w:r>
              <w:rPr>
                <w:rFonts w:hint="eastAsia"/>
              </w:rPr>
              <w:t>大气扩散</w:t>
            </w:r>
          </w:p>
        </w:tc>
        <w:tc>
          <w:tcPr>
            <w:tcW w:w="1758" w:type="pct"/>
            <w:vAlign w:val="center"/>
          </w:tcPr>
          <w:p>
            <w:pPr>
              <w:pStyle w:val="41"/>
            </w:pPr>
            <w:r>
              <w:rPr>
                <w:rFonts w:hint="eastAsia"/>
              </w:rPr>
              <w:t>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continue"/>
            <w:vAlign w:val="center"/>
          </w:tcPr>
          <w:p>
            <w:pPr>
              <w:pStyle w:val="41"/>
            </w:pPr>
          </w:p>
        </w:tc>
        <w:tc>
          <w:tcPr>
            <w:tcW w:w="275" w:type="pct"/>
            <w:vMerge w:val="restart"/>
            <w:vAlign w:val="center"/>
          </w:tcPr>
          <w:p>
            <w:pPr>
              <w:pStyle w:val="41"/>
            </w:pPr>
            <w:r>
              <w:rPr>
                <w:rFonts w:hint="eastAsia"/>
              </w:rPr>
              <w:t>运营期</w:t>
            </w:r>
          </w:p>
        </w:tc>
        <w:tc>
          <w:tcPr>
            <w:tcW w:w="605" w:type="pct"/>
            <w:vMerge w:val="restart"/>
            <w:vAlign w:val="center"/>
          </w:tcPr>
          <w:p>
            <w:pPr>
              <w:pStyle w:val="41"/>
              <w:rPr>
                <w:szCs w:val="21"/>
              </w:rPr>
            </w:pPr>
            <w:r>
              <w:rPr>
                <w:rFonts w:hint="eastAsia"/>
                <w:szCs w:val="21"/>
              </w:rPr>
              <w:t>生产车间</w:t>
            </w:r>
          </w:p>
        </w:tc>
        <w:tc>
          <w:tcPr>
            <w:tcW w:w="680" w:type="pct"/>
            <w:vAlign w:val="center"/>
          </w:tcPr>
          <w:p>
            <w:pPr>
              <w:pStyle w:val="41"/>
              <w:rPr>
                <w:szCs w:val="21"/>
              </w:rPr>
            </w:pPr>
            <w:r>
              <w:rPr>
                <w:rFonts w:hint="eastAsia"/>
                <w:szCs w:val="21"/>
              </w:rPr>
              <w:t>粉尘</w:t>
            </w:r>
          </w:p>
        </w:tc>
        <w:tc>
          <w:tcPr>
            <w:tcW w:w="1408" w:type="pct"/>
            <w:vAlign w:val="center"/>
          </w:tcPr>
          <w:p>
            <w:pPr>
              <w:pStyle w:val="41"/>
            </w:pPr>
            <w:r>
              <w:rPr>
                <w:rFonts w:hint="eastAsia"/>
              </w:rPr>
              <w:t>生产期间开窗通风</w:t>
            </w:r>
          </w:p>
        </w:tc>
        <w:tc>
          <w:tcPr>
            <w:tcW w:w="1758" w:type="pct"/>
            <w:vMerge w:val="restart"/>
            <w:vAlign w:val="center"/>
          </w:tcPr>
          <w:p>
            <w:pPr>
              <w:pStyle w:val="41"/>
            </w:pPr>
            <w:r>
              <w:rPr>
                <w:rFonts w:hint="eastAsia"/>
              </w:rPr>
              <w:t>满足</w:t>
            </w:r>
            <w:r>
              <w:t xml:space="preserve">GB16297-1996 </w:t>
            </w:r>
            <w:r>
              <w:rPr>
                <w:rFonts w:hint="eastAsia"/>
              </w:rPr>
              <w:t>《大气污染物综合排放标准》无组织排放浓度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continue"/>
            <w:vAlign w:val="center"/>
          </w:tcPr>
          <w:p>
            <w:pPr>
              <w:pStyle w:val="41"/>
            </w:pPr>
          </w:p>
        </w:tc>
        <w:tc>
          <w:tcPr>
            <w:tcW w:w="275" w:type="pct"/>
            <w:vMerge w:val="continue"/>
            <w:vAlign w:val="center"/>
          </w:tcPr>
          <w:p>
            <w:pPr>
              <w:pStyle w:val="41"/>
            </w:pPr>
          </w:p>
        </w:tc>
        <w:tc>
          <w:tcPr>
            <w:tcW w:w="605" w:type="pct"/>
            <w:vMerge w:val="continue"/>
            <w:vAlign w:val="center"/>
          </w:tcPr>
          <w:p>
            <w:pPr>
              <w:pStyle w:val="41"/>
              <w:rPr>
                <w:szCs w:val="21"/>
              </w:rPr>
            </w:pPr>
          </w:p>
        </w:tc>
        <w:tc>
          <w:tcPr>
            <w:tcW w:w="680" w:type="pct"/>
            <w:vAlign w:val="center"/>
          </w:tcPr>
          <w:p>
            <w:pPr>
              <w:pStyle w:val="41"/>
              <w:rPr>
                <w:szCs w:val="21"/>
              </w:rPr>
            </w:pPr>
            <w:r>
              <w:rPr>
                <w:rFonts w:hint="eastAsia"/>
                <w:szCs w:val="21"/>
              </w:rPr>
              <w:t>甲苯</w:t>
            </w:r>
          </w:p>
        </w:tc>
        <w:tc>
          <w:tcPr>
            <w:tcW w:w="1408" w:type="pct"/>
            <w:vMerge w:val="restart"/>
            <w:vAlign w:val="center"/>
          </w:tcPr>
          <w:p>
            <w:pPr>
              <w:pStyle w:val="41"/>
            </w:pPr>
            <w:r>
              <w:rPr>
                <w:rFonts w:hint="eastAsia"/>
              </w:rPr>
              <w:t>采用活性炭吸附装置吸附，大气稀释，自然扩散</w:t>
            </w:r>
          </w:p>
        </w:tc>
        <w:tc>
          <w:tcPr>
            <w:tcW w:w="175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continue"/>
            <w:vAlign w:val="center"/>
          </w:tcPr>
          <w:p>
            <w:pPr>
              <w:pStyle w:val="41"/>
            </w:pPr>
          </w:p>
        </w:tc>
        <w:tc>
          <w:tcPr>
            <w:tcW w:w="275" w:type="pct"/>
            <w:vMerge w:val="continue"/>
            <w:vAlign w:val="center"/>
          </w:tcPr>
          <w:p>
            <w:pPr>
              <w:pStyle w:val="41"/>
            </w:pPr>
          </w:p>
        </w:tc>
        <w:tc>
          <w:tcPr>
            <w:tcW w:w="605" w:type="pct"/>
            <w:vMerge w:val="continue"/>
            <w:vAlign w:val="center"/>
          </w:tcPr>
          <w:p>
            <w:pPr>
              <w:pStyle w:val="41"/>
              <w:rPr>
                <w:szCs w:val="21"/>
              </w:rPr>
            </w:pPr>
          </w:p>
        </w:tc>
        <w:tc>
          <w:tcPr>
            <w:tcW w:w="680" w:type="pct"/>
            <w:vAlign w:val="center"/>
          </w:tcPr>
          <w:p>
            <w:pPr>
              <w:pStyle w:val="41"/>
              <w:rPr>
                <w:szCs w:val="21"/>
              </w:rPr>
            </w:pPr>
            <w:r>
              <w:rPr>
                <w:rFonts w:hint="eastAsia"/>
                <w:szCs w:val="21"/>
              </w:rPr>
              <w:t>二甲苯</w:t>
            </w:r>
          </w:p>
        </w:tc>
        <w:tc>
          <w:tcPr>
            <w:tcW w:w="1408" w:type="pct"/>
            <w:vMerge w:val="continue"/>
            <w:vAlign w:val="center"/>
          </w:tcPr>
          <w:p>
            <w:pPr>
              <w:pStyle w:val="41"/>
            </w:pPr>
          </w:p>
        </w:tc>
        <w:tc>
          <w:tcPr>
            <w:tcW w:w="175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restart"/>
            <w:vAlign w:val="center"/>
          </w:tcPr>
          <w:p>
            <w:pPr>
              <w:pStyle w:val="41"/>
            </w:pPr>
            <w:r>
              <w:rPr>
                <w:rFonts w:hint="eastAsia"/>
              </w:rPr>
              <w:t>水污染物</w:t>
            </w:r>
          </w:p>
        </w:tc>
        <w:tc>
          <w:tcPr>
            <w:tcW w:w="275" w:type="pct"/>
            <w:vMerge w:val="restart"/>
            <w:vAlign w:val="center"/>
          </w:tcPr>
          <w:p>
            <w:pPr>
              <w:pStyle w:val="41"/>
            </w:pPr>
            <w:r>
              <w:rPr>
                <w:rFonts w:hint="eastAsia"/>
              </w:rPr>
              <w:t>运营期</w:t>
            </w:r>
          </w:p>
        </w:tc>
        <w:tc>
          <w:tcPr>
            <w:tcW w:w="605" w:type="pct"/>
            <w:vMerge w:val="restart"/>
            <w:vAlign w:val="center"/>
          </w:tcPr>
          <w:p>
            <w:pPr>
              <w:pStyle w:val="41"/>
            </w:pPr>
            <w:r>
              <w:rPr>
                <w:rFonts w:hint="eastAsia"/>
              </w:rPr>
              <w:t>综合废水</w:t>
            </w:r>
          </w:p>
        </w:tc>
        <w:tc>
          <w:tcPr>
            <w:tcW w:w="680" w:type="pct"/>
            <w:vAlign w:val="center"/>
          </w:tcPr>
          <w:p>
            <w:pPr>
              <w:pStyle w:val="41"/>
            </w:pPr>
            <w:r>
              <w:t>COD</w:t>
            </w:r>
          </w:p>
        </w:tc>
        <w:tc>
          <w:tcPr>
            <w:tcW w:w="1408" w:type="pct"/>
            <w:vMerge w:val="restart"/>
            <w:vAlign w:val="center"/>
          </w:tcPr>
          <w:p>
            <w:pPr>
              <w:pStyle w:val="41"/>
              <w:rPr>
                <w:szCs w:val="21"/>
                <w:vertAlign w:val="superscript"/>
              </w:rPr>
            </w:pPr>
            <w:r>
              <w:rPr>
                <w:rFonts w:hint="eastAsia"/>
                <w:szCs w:val="21"/>
              </w:rPr>
              <w:t>项目区内生活污水统一经管道收集经自建的化粪池（</w:t>
            </w:r>
            <w:r>
              <w:rPr>
                <w:szCs w:val="21"/>
              </w:rPr>
              <w:t>1m</w:t>
            </w:r>
            <w:r>
              <w:rPr>
                <w:szCs w:val="21"/>
                <w:vertAlign w:val="superscript"/>
              </w:rPr>
              <w:t>3</w:t>
            </w:r>
            <w:r>
              <w:rPr>
                <w:rFonts w:hint="eastAsia"/>
                <w:szCs w:val="21"/>
              </w:rPr>
              <w:t>）预处理后，委托周边农户定期清掏。</w:t>
            </w:r>
          </w:p>
        </w:tc>
        <w:tc>
          <w:tcPr>
            <w:tcW w:w="1758" w:type="pct"/>
            <w:vMerge w:val="restart"/>
            <w:vAlign w:val="center"/>
          </w:tcPr>
          <w:p>
            <w:pPr>
              <w:pStyle w:val="41"/>
              <w:rPr>
                <w:bCs/>
                <w:szCs w:val="21"/>
              </w:rPr>
            </w:pPr>
            <w:r>
              <w:rPr>
                <w:rFonts w:hint="eastAsia"/>
                <w:bCs/>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continue"/>
            <w:vAlign w:val="center"/>
          </w:tcPr>
          <w:p>
            <w:pPr>
              <w:pStyle w:val="41"/>
            </w:pPr>
          </w:p>
        </w:tc>
        <w:tc>
          <w:tcPr>
            <w:tcW w:w="275" w:type="pct"/>
            <w:vMerge w:val="continue"/>
            <w:vAlign w:val="center"/>
          </w:tcPr>
          <w:p>
            <w:pPr>
              <w:pStyle w:val="41"/>
            </w:pPr>
          </w:p>
        </w:tc>
        <w:tc>
          <w:tcPr>
            <w:tcW w:w="605" w:type="pct"/>
            <w:vMerge w:val="continue"/>
            <w:vAlign w:val="center"/>
          </w:tcPr>
          <w:p>
            <w:pPr>
              <w:pStyle w:val="41"/>
            </w:pPr>
          </w:p>
        </w:tc>
        <w:tc>
          <w:tcPr>
            <w:tcW w:w="680" w:type="pct"/>
            <w:vAlign w:val="center"/>
          </w:tcPr>
          <w:p>
            <w:pPr>
              <w:pStyle w:val="41"/>
              <w:rPr>
                <w:bCs/>
                <w:szCs w:val="21"/>
              </w:rPr>
            </w:pPr>
            <w:r>
              <w:rPr>
                <w:bCs/>
                <w:szCs w:val="21"/>
              </w:rPr>
              <w:t>BOD</w:t>
            </w:r>
            <w:r>
              <w:rPr>
                <w:bCs/>
                <w:szCs w:val="21"/>
                <w:vertAlign w:val="subscript"/>
              </w:rPr>
              <w:t>5</w:t>
            </w:r>
          </w:p>
        </w:tc>
        <w:tc>
          <w:tcPr>
            <w:tcW w:w="1408" w:type="pct"/>
            <w:vMerge w:val="continue"/>
            <w:vAlign w:val="center"/>
          </w:tcPr>
          <w:p>
            <w:pPr>
              <w:pStyle w:val="41"/>
              <w:rPr>
                <w:szCs w:val="21"/>
              </w:rPr>
            </w:pPr>
          </w:p>
        </w:tc>
        <w:tc>
          <w:tcPr>
            <w:tcW w:w="1758" w:type="pct"/>
            <w:vMerge w:val="continue"/>
            <w:vAlign w:val="center"/>
          </w:tcPr>
          <w:p>
            <w:pPr>
              <w:pStyle w:val="4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continue"/>
            <w:vAlign w:val="center"/>
          </w:tcPr>
          <w:p>
            <w:pPr>
              <w:pStyle w:val="41"/>
            </w:pPr>
          </w:p>
        </w:tc>
        <w:tc>
          <w:tcPr>
            <w:tcW w:w="275" w:type="pct"/>
            <w:vMerge w:val="continue"/>
            <w:vAlign w:val="center"/>
          </w:tcPr>
          <w:p>
            <w:pPr>
              <w:pStyle w:val="41"/>
            </w:pPr>
          </w:p>
        </w:tc>
        <w:tc>
          <w:tcPr>
            <w:tcW w:w="605" w:type="pct"/>
            <w:vMerge w:val="continue"/>
            <w:vAlign w:val="center"/>
          </w:tcPr>
          <w:p>
            <w:pPr>
              <w:pStyle w:val="41"/>
            </w:pPr>
          </w:p>
        </w:tc>
        <w:tc>
          <w:tcPr>
            <w:tcW w:w="680" w:type="pct"/>
            <w:vAlign w:val="center"/>
          </w:tcPr>
          <w:p>
            <w:pPr>
              <w:pStyle w:val="41"/>
            </w:pPr>
            <w:r>
              <w:t>SS</w:t>
            </w:r>
          </w:p>
        </w:tc>
        <w:tc>
          <w:tcPr>
            <w:tcW w:w="1408" w:type="pct"/>
            <w:vMerge w:val="continue"/>
            <w:vAlign w:val="center"/>
          </w:tcPr>
          <w:p>
            <w:pPr>
              <w:pStyle w:val="41"/>
              <w:rPr>
                <w:szCs w:val="21"/>
              </w:rPr>
            </w:pPr>
          </w:p>
        </w:tc>
        <w:tc>
          <w:tcPr>
            <w:tcW w:w="1758" w:type="pct"/>
            <w:vMerge w:val="continue"/>
            <w:vAlign w:val="center"/>
          </w:tcPr>
          <w:p>
            <w:pPr>
              <w:pStyle w:val="4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74" w:type="pct"/>
            <w:vMerge w:val="continue"/>
            <w:vAlign w:val="center"/>
          </w:tcPr>
          <w:p>
            <w:pPr>
              <w:pStyle w:val="41"/>
            </w:pPr>
          </w:p>
        </w:tc>
        <w:tc>
          <w:tcPr>
            <w:tcW w:w="275" w:type="pct"/>
            <w:vMerge w:val="continue"/>
            <w:vAlign w:val="center"/>
          </w:tcPr>
          <w:p>
            <w:pPr>
              <w:pStyle w:val="41"/>
            </w:pPr>
          </w:p>
        </w:tc>
        <w:tc>
          <w:tcPr>
            <w:tcW w:w="605" w:type="pct"/>
            <w:vMerge w:val="continue"/>
            <w:vAlign w:val="center"/>
          </w:tcPr>
          <w:p>
            <w:pPr>
              <w:pStyle w:val="41"/>
            </w:pPr>
          </w:p>
        </w:tc>
        <w:tc>
          <w:tcPr>
            <w:tcW w:w="680" w:type="pct"/>
            <w:vAlign w:val="center"/>
          </w:tcPr>
          <w:p>
            <w:pPr>
              <w:pStyle w:val="41"/>
            </w:pPr>
            <w:r>
              <w:rPr>
                <w:rFonts w:hint="eastAsia"/>
              </w:rPr>
              <w:t>氨氮</w:t>
            </w:r>
          </w:p>
        </w:tc>
        <w:tc>
          <w:tcPr>
            <w:tcW w:w="1408" w:type="pct"/>
            <w:vMerge w:val="continue"/>
            <w:vAlign w:val="center"/>
          </w:tcPr>
          <w:p>
            <w:pPr>
              <w:pStyle w:val="41"/>
              <w:rPr>
                <w:szCs w:val="21"/>
              </w:rPr>
            </w:pPr>
          </w:p>
        </w:tc>
        <w:tc>
          <w:tcPr>
            <w:tcW w:w="1758" w:type="pct"/>
            <w:vMerge w:val="continue"/>
            <w:vAlign w:val="center"/>
          </w:tcPr>
          <w:p>
            <w:pPr>
              <w:pStyle w:val="4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continue"/>
            <w:vAlign w:val="center"/>
          </w:tcPr>
          <w:p>
            <w:pPr>
              <w:pStyle w:val="41"/>
            </w:pPr>
          </w:p>
        </w:tc>
        <w:tc>
          <w:tcPr>
            <w:tcW w:w="275" w:type="pct"/>
            <w:vMerge w:val="continue"/>
            <w:vAlign w:val="center"/>
          </w:tcPr>
          <w:p>
            <w:pPr>
              <w:pStyle w:val="41"/>
            </w:pPr>
          </w:p>
        </w:tc>
        <w:tc>
          <w:tcPr>
            <w:tcW w:w="605" w:type="pct"/>
            <w:vMerge w:val="continue"/>
            <w:vAlign w:val="center"/>
          </w:tcPr>
          <w:p>
            <w:pPr>
              <w:pStyle w:val="41"/>
            </w:pPr>
          </w:p>
        </w:tc>
        <w:tc>
          <w:tcPr>
            <w:tcW w:w="680" w:type="pct"/>
            <w:vAlign w:val="center"/>
          </w:tcPr>
          <w:p>
            <w:pPr>
              <w:pStyle w:val="41"/>
            </w:pPr>
            <w:r>
              <w:rPr>
                <w:rFonts w:hint="eastAsia"/>
              </w:rPr>
              <w:t>总磷</w:t>
            </w:r>
          </w:p>
        </w:tc>
        <w:tc>
          <w:tcPr>
            <w:tcW w:w="1408" w:type="pct"/>
            <w:vMerge w:val="continue"/>
            <w:vAlign w:val="center"/>
          </w:tcPr>
          <w:p>
            <w:pPr>
              <w:pStyle w:val="41"/>
              <w:rPr>
                <w:szCs w:val="21"/>
              </w:rPr>
            </w:pPr>
          </w:p>
        </w:tc>
        <w:tc>
          <w:tcPr>
            <w:tcW w:w="1758" w:type="pct"/>
            <w:vMerge w:val="continue"/>
            <w:vAlign w:val="center"/>
          </w:tcPr>
          <w:p>
            <w:pPr>
              <w:pStyle w:val="4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continue"/>
            <w:vAlign w:val="center"/>
          </w:tcPr>
          <w:p>
            <w:pPr>
              <w:pStyle w:val="41"/>
            </w:pPr>
          </w:p>
        </w:tc>
        <w:tc>
          <w:tcPr>
            <w:tcW w:w="275" w:type="pct"/>
            <w:vMerge w:val="continue"/>
            <w:vAlign w:val="center"/>
          </w:tcPr>
          <w:p>
            <w:pPr>
              <w:pStyle w:val="41"/>
            </w:pPr>
          </w:p>
        </w:tc>
        <w:tc>
          <w:tcPr>
            <w:tcW w:w="605" w:type="pct"/>
            <w:vMerge w:val="continue"/>
            <w:vAlign w:val="center"/>
          </w:tcPr>
          <w:p>
            <w:pPr>
              <w:pStyle w:val="41"/>
            </w:pPr>
          </w:p>
        </w:tc>
        <w:tc>
          <w:tcPr>
            <w:tcW w:w="680" w:type="pct"/>
            <w:vAlign w:val="center"/>
          </w:tcPr>
          <w:p>
            <w:pPr>
              <w:pStyle w:val="41"/>
            </w:pPr>
            <w:r>
              <w:rPr>
                <w:rFonts w:hint="eastAsia"/>
              </w:rPr>
              <w:t>石油类</w:t>
            </w:r>
          </w:p>
        </w:tc>
        <w:tc>
          <w:tcPr>
            <w:tcW w:w="1408" w:type="pct"/>
            <w:vMerge w:val="continue"/>
            <w:vAlign w:val="center"/>
          </w:tcPr>
          <w:p>
            <w:pPr>
              <w:pStyle w:val="41"/>
              <w:rPr>
                <w:szCs w:val="21"/>
              </w:rPr>
            </w:pPr>
          </w:p>
        </w:tc>
        <w:tc>
          <w:tcPr>
            <w:tcW w:w="1758" w:type="pct"/>
            <w:vMerge w:val="continue"/>
            <w:vAlign w:val="center"/>
          </w:tcPr>
          <w:p>
            <w:pPr>
              <w:pStyle w:val="4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restart"/>
            <w:vAlign w:val="center"/>
          </w:tcPr>
          <w:p>
            <w:pPr>
              <w:pStyle w:val="41"/>
            </w:pPr>
            <w:r>
              <w:rPr>
                <w:rFonts w:hint="eastAsia"/>
              </w:rPr>
              <w:t>固体废弃物</w:t>
            </w:r>
          </w:p>
        </w:tc>
        <w:tc>
          <w:tcPr>
            <w:tcW w:w="275" w:type="pct"/>
            <w:vMerge w:val="restart"/>
            <w:vAlign w:val="center"/>
          </w:tcPr>
          <w:p>
            <w:pPr>
              <w:pStyle w:val="41"/>
            </w:pPr>
            <w:r>
              <w:rPr>
                <w:rFonts w:hint="eastAsia"/>
              </w:rPr>
              <w:t>施工期</w:t>
            </w:r>
          </w:p>
        </w:tc>
        <w:tc>
          <w:tcPr>
            <w:tcW w:w="605" w:type="pct"/>
            <w:vAlign w:val="center"/>
          </w:tcPr>
          <w:p>
            <w:pPr>
              <w:pStyle w:val="41"/>
            </w:pPr>
            <w:r>
              <w:rPr>
                <w:rFonts w:hint="eastAsia"/>
              </w:rPr>
              <w:t>建筑施工</w:t>
            </w:r>
          </w:p>
        </w:tc>
        <w:tc>
          <w:tcPr>
            <w:tcW w:w="680" w:type="pct"/>
            <w:vAlign w:val="center"/>
          </w:tcPr>
          <w:p>
            <w:pPr>
              <w:pStyle w:val="41"/>
            </w:pPr>
            <w:r>
              <w:rPr>
                <w:rFonts w:hint="eastAsia"/>
              </w:rPr>
              <w:t>建筑垃圾</w:t>
            </w:r>
          </w:p>
        </w:tc>
        <w:tc>
          <w:tcPr>
            <w:tcW w:w="1408" w:type="pct"/>
            <w:vAlign w:val="center"/>
          </w:tcPr>
          <w:p>
            <w:pPr>
              <w:pStyle w:val="41"/>
            </w:pPr>
            <w:r>
              <w:rPr>
                <w:rFonts w:hint="eastAsia"/>
              </w:rPr>
              <w:t>妥善堆存、可利用的综合利用，不能利用的应合法外运合法外运</w:t>
            </w:r>
          </w:p>
        </w:tc>
        <w:tc>
          <w:tcPr>
            <w:tcW w:w="1758" w:type="pct"/>
            <w:vAlign w:val="center"/>
          </w:tcPr>
          <w:p>
            <w:pPr>
              <w:pStyle w:val="41"/>
            </w:pPr>
            <w:r>
              <w:rPr>
                <w:rFonts w:hint="eastAsia"/>
              </w:rPr>
              <w:t>处理率</w:t>
            </w: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continue"/>
            <w:vAlign w:val="center"/>
          </w:tcPr>
          <w:p>
            <w:pPr>
              <w:pStyle w:val="41"/>
            </w:pPr>
          </w:p>
        </w:tc>
        <w:tc>
          <w:tcPr>
            <w:tcW w:w="275" w:type="pct"/>
            <w:vMerge w:val="continue"/>
            <w:vAlign w:val="center"/>
          </w:tcPr>
          <w:p>
            <w:pPr>
              <w:pStyle w:val="41"/>
            </w:pPr>
          </w:p>
        </w:tc>
        <w:tc>
          <w:tcPr>
            <w:tcW w:w="605" w:type="pct"/>
            <w:vAlign w:val="center"/>
          </w:tcPr>
          <w:p>
            <w:pPr>
              <w:pStyle w:val="41"/>
            </w:pPr>
            <w:r>
              <w:rPr>
                <w:rFonts w:hint="eastAsia"/>
              </w:rPr>
              <w:t>施工人员</w:t>
            </w:r>
          </w:p>
        </w:tc>
        <w:tc>
          <w:tcPr>
            <w:tcW w:w="680" w:type="pct"/>
            <w:vAlign w:val="center"/>
          </w:tcPr>
          <w:p>
            <w:pPr>
              <w:pStyle w:val="41"/>
            </w:pPr>
            <w:r>
              <w:rPr>
                <w:rFonts w:hint="eastAsia"/>
              </w:rPr>
              <w:t>生活垃圾</w:t>
            </w:r>
          </w:p>
        </w:tc>
        <w:tc>
          <w:tcPr>
            <w:tcW w:w="1408" w:type="pct"/>
            <w:vAlign w:val="center"/>
          </w:tcPr>
          <w:p>
            <w:pPr>
              <w:pStyle w:val="41"/>
            </w:pPr>
            <w:r>
              <w:rPr>
                <w:rFonts w:hint="eastAsia"/>
              </w:rPr>
              <w:t>由垃圾桶收集后，由环卫部门清运</w:t>
            </w:r>
          </w:p>
        </w:tc>
        <w:tc>
          <w:tcPr>
            <w:tcW w:w="1758" w:type="pct"/>
            <w:vAlign w:val="center"/>
          </w:tcPr>
          <w:p>
            <w:pPr>
              <w:pStyle w:val="41"/>
            </w:pPr>
            <w:r>
              <w:rPr>
                <w:rFonts w:hint="eastAsia"/>
              </w:rPr>
              <w:t>处理率</w:t>
            </w: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continue"/>
            <w:vAlign w:val="center"/>
          </w:tcPr>
          <w:p>
            <w:pPr>
              <w:pStyle w:val="41"/>
            </w:pPr>
          </w:p>
        </w:tc>
        <w:tc>
          <w:tcPr>
            <w:tcW w:w="275" w:type="pct"/>
            <w:vMerge w:val="restart"/>
            <w:vAlign w:val="center"/>
          </w:tcPr>
          <w:p>
            <w:pPr>
              <w:pStyle w:val="41"/>
            </w:pPr>
            <w:r>
              <w:rPr>
                <w:rFonts w:hint="eastAsia"/>
              </w:rPr>
              <w:t>运营期</w:t>
            </w:r>
          </w:p>
        </w:tc>
        <w:tc>
          <w:tcPr>
            <w:tcW w:w="605" w:type="pct"/>
            <w:vMerge w:val="restart"/>
            <w:vAlign w:val="center"/>
          </w:tcPr>
          <w:p>
            <w:pPr>
              <w:pStyle w:val="41"/>
            </w:pPr>
            <w:r>
              <w:rPr>
                <w:rFonts w:hint="eastAsia"/>
              </w:rPr>
              <w:t>生产过程</w:t>
            </w:r>
          </w:p>
        </w:tc>
        <w:tc>
          <w:tcPr>
            <w:tcW w:w="680" w:type="pct"/>
            <w:vAlign w:val="center"/>
          </w:tcPr>
          <w:p>
            <w:pPr>
              <w:pStyle w:val="41"/>
            </w:pPr>
            <w:r>
              <w:rPr>
                <w:rFonts w:hint="eastAsia"/>
              </w:rPr>
              <w:t>废弃边角料</w:t>
            </w:r>
          </w:p>
        </w:tc>
        <w:tc>
          <w:tcPr>
            <w:tcW w:w="1408" w:type="pct"/>
            <w:vAlign w:val="center"/>
          </w:tcPr>
          <w:p>
            <w:pPr>
              <w:pStyle w:val="41"/>
            </w:pPr>
            <w:r>
              <w:rPr>
                <w:rFonts w:hint="eastAsia"/>
              </w:rPr>
              <w:t>外卖周边农户做燃料</w:t>
            </w:r>
          </w:p>
        </w:tc>
        <w:tc>
          <w:tcPr>
            <w:tcW w:w="1758" w:type="pct"/>
            <w:vAlign w:val="center"/>
          </w:tcPr>
          <w:p>
            <w:pPr>
              <w:pStyle w:val="41"/>
            </w:pPr>
            <w:r>
              <w:rPr>
                <w:rFonts w:hint="eastAsia"/>
              </w:rPr>
              <w:t>处理率</w:t>
            </w: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continue"/>
            <w:vAlign w:val="center"/>
          </w:tcPr>
          <w:p>
            <w:pPr>
              <w:pStyle w:val="41"/>
            </w:pPr>
          </w:p>
        </w:tc>
        <w:tc>
          <w:tcPr>
            <w:tcW w:w="275" w:type="pct"/>
            <w:vMerge w:val="continue"/>
            <w:vAlign w:val="center"/>
          </w:tcPr>
          <w:p>
            <w:pPr>
              <w:pStyle w:val="41"/>
            </w:pPr>
          </w:p>
        </w:tc>
        <w:tc>
          <w:tcPr>
            <w:tcW w:w="605" w:type="pct"/>
            <w:vMerge w:val="continue"/>
            <w:vAlign w:val="center"/>
          </w:tcPr>
          <w:p>
            <w:pPr>
              <w:pStyle w:val="41"/>
            </w:pPr>
          </w:p>
        </w:tc>
        <w:tc>
          <w:tcPr>
            <w:tcW w:w="680" w:type="pct"/>
            <w:vAlign w:val="center"/>
          </w:tcPr>
          <w:p>
            <w:pPr>
              <w:pStyle w:val="41"/>
            </w:pPr>
            <w:r>
              <w:rPr>
                <w:rFonts w:hint="eastAsia"/>
              </w:rPr>
              <w:t>废弃油漆桶</w:t>
            </w:r>
          </w:p>
        </w:tc>
        <w:tc>
          <w:tcPr>
            <w:tcW w:w="1408" w:type="pct"/>
            <w:vMerge w:val="restart"/>
            <w:vAlign w:val="center"/>
          </w:tcPr>
          <w:p>
            <w:pPr>
              <w:pStyle w:val="41"/>
              <w:rPr>
                <w:szCs w:val="21"/>
              </w:rPr>
            </w:pPr>
            <w:r>
              <w:rPr>
                <w:rFonts w:hint="eastAsia"/>
                <w:szCs w:val="21"/>
              </w:rPr>
              <w:t>交由具有危险废物处置</w:t>
            </w:r>
          </w:p>
          <w:p>
            <w:pPr>
              <w:pStyle w:val="41"/>
            </w:pPr>
            <w:r>
              <w:rPr>
                <w:rFonts w:hint="eastAsia"/>
              </w:rPr>
              <w:t>资质的单位回收处理</w:t>
            </w:r>
          </w:p>
        </w:tc>
        <w:tc>
          <w:tcPr>
            <w:tcW w:w="1758" w:type="pct"/>
            <w:vMerge w:val="restart"/>
            <w:vAlign w:val="center"/>
          </w:tcPr>
          <w:p>
            <w:pPr>
              <w:pStyle w:val="41"/>
            </w:pPr>
            <w:r>
              <w:rPr>
                <w:rFonts w:hint="eastAsia"/>
              </w:rPr>
              <w:t>处理率</w:t>
            </w: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continue"/>
            <w:vAlign w:val="center"/>
          </w:tcPr>
          <w:p>
            <w:pPr>
              <w:pStyle w:val="41"/>
            </w:pPr>
          </w:p>
        </w:tc>
        <w:tc>
          <w:tcPr>
            <w:tcW w:w="275" w:type="pct"/>
            <w:vMerge w:val="continue"/>
            <w:vAlign w:val="center"/>
          </w:tcPr>
          <w:p>
            <w:pPr>
              <w:pStyle w:val="41"/>
            </w:pPr>
          </w:p>
        </w:tc>
        <w:tc>
          <w:tcPr>
            <w:tcW w:w="605" w:type="pct"/>
            <w:vMerge w:val="continue"/>
            <w:vAlign w:val="center"/>
          </w:tcPr>
          <w:p>
            <w:pPr>
              <w:pStyle w:val="41"/>
            </w:pPr>
          </w:p>
        </w:tc>
        <w:tc>
          <w:tcPr>
            <w:tcW w:w="680" w:type="pct"/>
            <w:vAlign w:val="center"/>
          </w:tcPr>
          <w:p>
            <w:pPr>
              <w:pStyle w:val="41"/>
            </w:pPr>
            <w:r>
              <w:rPr>
                <w:rFonts w:hint="eastAsia"/>
              </w:rPr>
              <w:t>废稀释剂桶</w:t>
            </w:r>
          </w:p>
        </w:tc>
        <w:tc>
          <w:tcPr>
            <w:tcW w:w="1408" w:type="pct"/>
            <w:vMerge w:val="continue"/>
            <w:vAlign w:val="center"/>
          </w:tcPr>
          <w:p>
            <w:pPr>
              <w:pStyle w:val="41"/>
              <w:rPr>
                <w:szCs w:val="21"/>
              </w:rPr>
            </w:pPr>
          </w:p>
        </w:tc>
        <w:tc>
          <w:tcPr>
            <w:tcW w:w="175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continue"/>
            <w:vAlign w:val="center"/>
          </w:tcPr>
          <w:p>
            <w:pPr>
              <w:pStyle w:val="41"/>
            </w:pPr>
          </w:p>
        </w:tc>
        <w:tc>
          <w:tcPr>
            <w:tcW w:w="275" w:type="pct"/>
            <w:vMerge w:val="continue"/>
            <w:vAlign w:val="center"/>
          </w:tcPr>
          <w:p>
            <w:pPr>
              <w:pStyle w:val="41"/>
            </w:pPr>
          </w:p>
        </w:tc>
        <w:tc>
          <w:tcPr>
            <w:tcW w:w="605" w:type="pct"/>
            <w:vMerge w:val="continue"/>
            <w:vAlign w:val="center"/>
          </w:tcPr>
          <w:p>
            <w:pPr>
              <w:pStyle w:val="41"/>
            </w:pPr>
          </w:p>
        </w:tc>
        <w:tc>
          <w:tcPr>
            <w:tcW w:w="680" w:type="pct"/>
            <w:vAlign w:val="center"/>
          </w:tcPr>
          <w:p>
            <w:pPr>
              <w:pStyle w:val="41"/>
            </w:pPr>
            <w:r>
              <w:rPr>
                <w:rFonts w:hint="eastAsia"/>
              </w:rPr>
              <w:t>废弃的油漆刷子及粘有油漆的抹布</w:t>
            </w:r>
          </w:p>
        </w:tc>
        <w:tc>
          <w:tcPr>
            <w:tcW w:w="1408" w:type="pct"/>
            <w:vMerge w:val="continue"/>
            <w:vAlign w:val="center"/>
          </w:tcPr>
          <w:p>
            <w:pPr>
              <w:pStyle w:val="41"/>
              <w:rPr>
                <w:szCs w:val="21"/>
              </w:rPr>
            </w:pPr>
          </w:p>
        </w:tc>
        <w:tc>
          <w:tcPr>
            <w:tcW w:w="175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continue"/>
            <w:vAlign w:val="center"/>
          </w:tcPr>
          <w:p>
            <w:pPr>
              <w:pStyle w:val="41"/>
            </w:pPr>
          </w:p>
        </w:tc>
        <w:tc>
          <w:tcPr>
            <w:tcW w:w="275" w:type="pct"/>
            <w:vMerge w:val="continue"/>
            <w:vAlign w:val="center"/>
          </w:tcPr>
          <w:p>
            <w:pPr>
              <w:pStyle w:val="41"/>
            </w:pPr>
          </w:p>
        </w:tc>
        <w:tc>
          <w:tcPr>
            <w:tcW w:w="605" w:type="pct"/>
            <w:vAlign w:val="center"/>
          </w:tcPr>
          <w:p>
            <w:pPr>
              <w:pStyle w:val="41"/>
            </w:pPr>
            <w:r>
              <w:rPr>
                <w:rFonts w:hint="eastAsia"/>
              </w:rPr>
              <w:t>工作人员</w:t>
            </w:r>
          </w:p>
        </w:tc>
        <w:tc>
          <w:tcPr>
            <w:tcW w:w="680" w:type="pct"/>
            <w:vAlign w:val="center"/>
          </w:tcPr>
          <w:p>
            <w:pPr>
              <w:pStyle w:val="41"/>
            </w:pPr>
            <w:r>
              <w:rPr>
                <w:rFonts w:hint="eastAsia"/>
              </w:rPr>
              <w:t>生活垃圾</w:t>
            </w:r>
          </w:p>
        </w:tc>
        <w:tc>
          <w:tcPr>
            <w:tcW w:w="1408" w:type="pct"/>
            <w:vAlign w:val="center"/>
          </w:tcPr>
          <w:p>
            <w:pPr>
              <w:pStyle w:val="41"/>
            </w:pPr>
            <w:r>
              <w:rPr>
                <w:rFonts w:hint="eastAsia"/>
                <w:kern w:val="0"/>
              </w:rPr>
              <w:t>用垃圾桶收集后</w:t>
            </w:r>
            <w:r>
              <w:rPr>
                <w:rFonts w:hint="eastAsia"/>
              </w:rPr>
              <w:t>运输至就近垃圾收集点，</w:t>
            </w:r>
            <w:r>
              <w:rPr>
                <w:rFonts w:hint="eastAsia"/>
                <w:kern w:val="0"/>
              </w:rPr>
              <w:t>由环卫部门定期清运</w:t>
            </w:r>
          </w:p>
        </w:tc>
        <w:tc>
          <w:tcPr>
            <w:tcW w:w="1758" w:type="pct"/>
            <w:vAlign w:val="center"/>
          </w:tcPr>
          <w:p>
            <w:pPr>
              <w:pStyle w:val="41"/>
            </w:pPr>
            <w:r>
              <w:rPr>
                <w:rFonts w:hint="eastAsia"/>
              </w:rPr>
              <w:t>处理率</w:t>
            </w: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restart"/>
            <w:vAlign w:val="center"/>
          </w:tcPr>
          <w:p>
            <w:pPr>
              <w:pStyle w:val="41"/>
            </w:pPr>
            <w:r>
              <w:rPr>
                <w:rFonts w:hint="eastAsia"/>
              </w:rPr>
              <w:t>噪声</w:t>
            </w:r>
          </w:p>
        </w:tc>
        <w:tc>
          <w:tcPr>
            <w:tcW w:w="275" w:type="pct"/>
            <w:vAlign w:val="center"/>
          </w:tcPr>
          <w:p>
            <w:pPr>
              <w:pStyle w:val="41"/>
            </w:pPr>
            <w:r>
              <w:rPr>
                <w:rFonts w:hint="eastAsia"/>
              </w:rPr>
              <w:t>施工期</w:t>
            </w:r>
          </w:p>
        </w:tc>
        <w:tc>
          <w:tcPr>
            <w:tcW w:w="605" w:type="pct"/>
            <w:vAlign w:val="center"/>
          </w:tcPr>
          <w:p>
            <w:pPr>
              <w:pStyle w:val="41"/>
            </w:pPr>
            <w:r>
              <w:rPr>
                <w:rFonts w:hint="eastAsia"/>
              </w:rPr>
              <w:t>施工、进出车辆</w:t>
            </w:r>
          </w:p>
        </w:tc>
        <w:tc>
          <w:tcPr>
            <w:tcW w:w="680" w:type="pct"/>
            <w:vAlign w:val="center"/>
          </w:tcPr>
          <w:p>
            <w:pPr>
              <w:pStyle w:val="41"/>
            </w:pPr>
            <w:r>
              <w:rPr>
                <w:rFonts w:hint="eastAsia"/>
              </w:rPr>
              <w:t>施工噪声</w:t>
            </w:r>
          </w:p>
        </w:tc>
        <w:tc>
          <w:tcPr>
            <w:tcW w:w="1408" w:type="pct"/>
            <w:vAlign w:val="center"/>
          </w:tcPr>
          <w:p>
            <w:pPr>
              <w:pStyle w:val="41"/>
            </w:pPr>
            <w:r>
              <w:rPr>
                <w:rFonts w:hint="eastAsia"/>
              </w:rPr>
              <w:t>距离衰减、拦挡隔声、文明施工、合理安排施工机械、设立投诉电话</w:t>
            </w:r>
          </w:p>
        </w:tc>
        <w:tc>
          <w:tcPr>
            <w:tcW w:w="1758" w:type="pct"/>
            <w:vAlign w:val="center"/>
          </w:tcPr>
          <w:p>
            <w:pPr>
              <w:pStyle w:val="41"/>
              <w:rPr>
                <w:szCs w:val="21"/>
              </w:rPr>
            </w:pPr>
            <w:r>
              <w:rPr>
                <w:rFonts w:hint="eastAsia"/>
                <w:szCs w:val="21"/>
              </w:rPr>
              <w:t>达到</w:t>
            </w:r>
            <w:r>
              <w:rPr>
                <w:szCs w:val="21"/>
              </w:rPr>
              <w:t xml:space="preserve">GB12523-2011 </w:t>
            </w:r>
            <w:r>
              <w:rPr>
                <w:rFonts w:hint="eastAsia"/>
                <w:szCs w:val="21"/>
              </w:rPr>
              <w:t>《建筑施工场界环境噪声排放标准》，不得扰民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 w:type="pct"/>
            <w:vMerge w:val="continue"/>
            <w:vAlign w:val="center"/>
          </w:tcPr>
          <w:p>
            <w:pPr>
              <w:pStyle w:val="41"/>
            </w:pPr>
          </w:p>
        </w:tc>
        <w:tc>
          <w:tcPr>
            <w:tcW w:w="275" w:type="pct"/>
            <w:vAlign w:val="center"/>
          </w:tcPr>
          <w:p>
            <w:pPr>
              <w:pStyle w:val="41"/>
            </w:pPr>
            <w:r>
              <w:rPr>
                <w:rFonts w:hint="eastAsia"/>
              </w:rPr>
              <w:t>运营期</w:t>
            </w:r>
          </w:p>
        </w:tc>
        <w:tc>
          <w:tcPr>
            <w:tcW w:w="605" w:type="pct"/>
            <w:vAlign w:val="center"/>
          </w:tcPr>
          <w:p>
            <w:pPr>
              <w:pStyle w:val="41"/>
              <w:rPr>
                <w:szCs w:val="21"/>
              </w:rPr>
            </w:pPr>
            <w:r>
              <w:rPr>
                <w:rFonts w:hint="eastAsia"/>
                <w:szCs w:val="21"/>
              </w:rPr>
              <w:t>生产设备</w:t>
            </w:r>
          </w:p>
        </w:tc>
        <w:tc>
          <w:tcPr>
            <w:tcW w:w="680" w:type="pct"/>
            <w:vAlign w:val="center"/>
          </w:tcPr>
          <w:p>
            <w:pPr>
              <w:pStyle w:val="41"/>
              <w:rPr>
                <w:szCs w:val="21"/>
              </w:rPr>
            </w:pPr>
            <w:r>
              <w:rPr>
                <w:rFonts w:hint="eastAsia"/>
                <w:szCs w:val="21"/>
              </w:rPr>
              <w:t>生产噪声</w:t>
            </w:r>
          </w:p>
        </w:tc>
        <w:tc>
          <w:tcPr>
            <w:tcW w:w="1408" w:type="pct"/>
            <w:vAlign w:val="center"/>
          </w:tcPr>
          <w:p>
            <w:pPr>
              <w:pStyle w:val="41"/>
            </w:pPr>
            <w:r>
              <w:rPr>
                <w:rFonts w:hint="eastAsia"/>
              </w:rPr>
              <w:t>围墙阻隔，距离衰减，加强管理</w:t>
            </w:r>
          </w:p>
        </w:tc>
        <w:tc>
          <w:tcPr>
            <w:tcW w:w="1758" w:type="pct"/>
            <w:vAlign w:val="center"/>
          </w:tcPr>
          <w:p>
            <w:pPr>
              <w:pStyle w:val="41"/>
              <w:rPr>
                <w:szCs w:val="21"/>
              </w:rPr>
            </w:pPr>
            <w:r>
              <w:rPr>
                <w:rFonts w:hint="eastAsia"/>
                <w:szCs w:val="21"/>
              </w:rPr>
              <w:t>达到《工业企业厂界环境噪声排放标准》（</w:t>
            </w:r>
            <w:r>
              <w:rPr>
                <w:szCs w:val="21"/>
              </w:rPr>
              <w:t>GB12348-2008</w:t>
            </w:r>
            <w:r>
              <w:rPr>
                <w:rFonts w:hint="eastAsia"/>
                <w:szCs w:val="21"/>
              </w:rPr>
              <w:t>）</w:t>
            </w:r>
            <w:r>
              <w:rPr>
                <w:szCs w:val="21"/>
              </w:rPr>
              <w:t>2</w:t>
            </w:r>
            <w:r>
              <w:rPr>
                <w:rFonts w:hint="eastAsia"/>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vAlign w:val="center"/>
          </w:tcPr>
          <w:p>
            <w:pPr>
              <w:pStyle w:val="75"/>
              <w:ind w:firstLine="31680"/>
              <w:rPr>
                <w:color w:val="auto"/>
              </w:rPr>
            </w:pPr>
            <w:r>
              <w:rPr>
                <w:rFonts w:hint="eastAsia"/>
                <w:color w:val="auto"/>
              </w:rPr>
              <w:t>生态保护措施及预期效果：</w:t>
            </w:r>
          </w:p>
          <w:p>
            <w:pPr>
              <w:pStyle w:val="36"/>
              <w:ind w:firstLine="31680"/>
            </w:pPr>
            <w:r>
              <w:rPr>
                <w:rFonts w:hint="eastAsia"/>
              </w:rPr>
              <w:t>项目所在区域属于大湾水电站闲置厂房，区域内生态环境自身调控能力较差，项目区充分利用已有空间进行绿化，不仅美化了项目区内的环境，且对周围环境也起到了一定的改善作用。</w:t>
            </w:r>
          </w:p>
        </w:tc>
      </w:tr>
    </w:tbl>
    <w:p>
      <w:pPr>
        <w:pStyle w:val="2"/>
      </w:pPr>
      <w:r>
        <w:rPr>
          <w:rFonts w:hint="eastAsia"/>
        </w:rPr>
        <w:t>表九、结论</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0" w:type="dxa"/>
          </w:tcPr>
          <w:p>
            <w:pPr>
              <w:pStyle w:val="75"/>
              <w:ind w:firstLine="31680"/>
              <w:rPr>
                <w:color w:val="auto"/>
              </w:rPr>
            </w:pPr>
            <w:r>
              <w:rPr>
                <w:rFonts w:hint="eastAsia"/>
                <w:color w:val="auto"/>
              </w:rPr>
              <w:t>一、结论</w:t>
            </w:r>
          </w:p>
          <w:p>
            <w:pPr>
              <w:pStyle w:val="36"/>
              <w:ind w:firstLine="31680"/>
            </w:pPr>
            <w:r>
              <w:rPr>
                <w:rFonts w:hint="eastAsia"/>
              </w:rPr>
              <w:t>通过对该项目的工程分析和环境影响分析可得如下结论：</w:t>
            </w:r>
          </w:p>
          <w:p>
            <w:pPr>
              <w:pStyle w:val="75"/>
              <w:ind w:firstLine="31680"/>
              <w:rPr>
                <w:color w:val="auto"/>
              </w:rPr>
            </w:pPr>
            <w:r>
              <w:rPr>
                <w:color w:val="auto"/>
              </w:rPr>
              <w:t>1</w:t>
            </w:r>
            <w:r>
              <w:rPr>
                <w:rFonts w:hint="eastAsia"/>
                <w:color w:val="auto"/>
              </w:rPr>
              <w:t>、产业政策合理性结论</w:t>
            </w:r>
          </w:p>
          <w:p>
            <w:pPr>
              <w:pStyle w:val="36"/>
              <w:ind w:firstLine="31680"/>
            </w:pPr>
            <w:r>
              <w:rPr>
                <w:rFonts w:hint="eastAsia"/>
              </w:rPr>
              <w:t>本项目属于</w:t>
            </w:r>
            <w:r>
              <w:t>C2110</w:t>
            </w:r>
            <w:r>
              <w:rPr>
                <w:rFonts w:hint="eastAsia"/>
              </w:rPr>
              <w:t>木制家具制造，产量约为</w:t>
            </w:r>
            <w:r>
              <w:t>1200</w:t>
            </w:r>
            <w:r>
              <w:rPr>
                <w:rFonts w:hint="eastAsia"/>
              </w:rPr>
              <w:t>套</w:t>
            </w:r>
            <w:r>
              <w:t>/a</w:t>
            </w:r>
            <w:r>
              <w:rPr>
                <w:rFonts w:hint="eastAsia"/>
              </w:rPr>
              <w:t>。根据国家发展改革委《国家产业结构调整指导目录（</w:t>
            </w:r>
            <w:r>
              <w:t>2011</w:t>
            </w:r>
            <w:r>
              <w:rPr>
                <w:rFonts w:hint="eastAsia"/>
              </w:rPr>
              <w:t>年本）》（</w:t>
            </w:r>
            <w:r>
              <w:t>2013</w:t>
            </w:r>
            <w:r>
              <w:rPr>
                <w:rFonts w:hint="eastAsia"/>
              </w:rPr>
              <w:t>年修正），本项目不属于指导目录规定的鼓励类、限制类及淘汰类产业，属允许类项目；本项目于</w:t>
            </w:r>
            <w:r>
              <w:t>2016</w:t>
            </w:r>
            <w:r>
              <w:rPr>
                <w:rFonts w:hint="eastAsia"/>
              </w:rPr>
              <w:t>年</w:t>
            </w:r>
            <w:r>
              <w:t>1</w:t>
            </w:r>
            <w:r>
              <w:rPr>
                <w:rFonts w:hint="eastAsia"/>
              </w:rPr>
              <w:t>月</w:t>
            </w:r>
            <w:r>
              <w:t>20</w:t>
            </w:r>
            <w:r>
              <w:rPr>
                <w:rFonts w:hint="eastAsia"/>
              </w:rPr>
              <w:t>日取得了芒市发展和改革局关于芒市华鑫木制品厂迁建项目备案证（芒发改备案</w:t>
            </w:r>
            <w:r>
              <w:t>[2016]10</w:t>
            </w:r>
            <w:r>
              <w:rPr>
                <w:rFonts w:hint="eastAsia"/>
              </w:rPr>
              <w:t>号），项目所选用的生产设备无淘汰类设备。</w:t>
            </w:r>
          </w:p>
          <w:p>
            <w:pPr>
              <w:pStyle w:val="36"/>
              <w:ind w:firstLine="31680"/>
            </w:pPr>
            <w:r>
              <w:rPr>
                <w:rFonts w:hint="eastAsia"/>
              </w:rPr>
              <w:t>综上本项目符合国家及地方现有产业政策。</w:t>
            </w:r>
          </w:p>
          <w:p>
            <w:pPr>
              <w:pStyle w:val="75"/>
              <w:ind w:firstLine="31680"/>
              <w:rPr>
                <w:color w:val="auto"/>
              </w:rPr>
            </w:pPr>
            <w:r>
              <w:rPr>
                <w:color w:val="auto"/>
              </w:rPr>
              <w:t>2</w:t>
            </w:r>
            <w:r>
              <w:rPr>
                <w:rFonts w:hint="eastAsia"/>
                <w:color w:val="auto"/>
              </w:rPr>
              <w:t>、关于规划</w:t>
            </w:r>
          </w:p>
          <w:p>
            <w:pPr>
              <w:pStyle w:val="36"/>
              <w:ind w:firstLine="31680"/>
              <w:rPr>
                <w:bCs/>
              </w:rPr>
            </w:pPr>
            <w:r>
              <w:rPr>
                <w:rFonts w:hint="eastAsia"/>
              </w:rPr>
              <w:t>本项目位于德宏州芒市芒市镇大湾村大湾畜牧场西侧，项目租用大湾水电有限公司闲置空地及厂房，经核对芒市总体规划，该用地在芒市城市总体规划范围内，但不属于城乡建设用地，不影响芒市城市总体规划。</w:t>
            </w:r>
            <w:r>
              <w:rPr>
                <w:rFonts w:hint="eastAsia"/>
                <w:bCs/>
              </w:rPr>
              <w:t>建设项目与《德宏州域城镇体系规划（</w:t>
            </w:r>
            <w:r>
              <w:rPr>
                <w:bCs/>
              </w:rPr>
              <w:t>2011—2030</w:t>
            </w:r>
            <w:r>
              <w:rPr>
                <w:rFonts w:hint="eastAsia"/>
                <w:bCs/>
              </w:rPr>
              <w:t>）》的总体规划定位分析不冲突，建设项目符合相关规划要求。</w:t>
            </w:r>
          </w:p>
          <w:p>
            <w:pPr>
              <w:pStyle w:val="75"/>
              <w:ind w:firstLine="31680"/>
              <w:rPr>
                <w:color w:val="auto"/>
              </w:rPr>
            </w:pPr>
            <w:r>
              <w:rPr>
                <w:color w:val="auto"/>
              </w:rPr>
              <w:t>3</w:t>
            </w:r>
            <w:r>
              <w:rPr>
                <w:rFonts w:hint="eastAsia"/>
                <w:color w:val="auto"/>
              </w:rPr>
              <w:t>、关于选址</w:t>
            </w:r>
          </w:p>
          <w:p>
            <w:pPr>
              <w:pStyle w:val="36"/>
              <w:ind w:firstLine="31680"/>
            </w:pPr>
            <w:r>
              <w:rPr>
                <w:rFonts w:hint="eastAsia"/>
              </w:rPr>
              <w:t>本项目位于德宏州芒市芒市镇大湾村，项目周围</w:t>
            </w:r>
            <w:r>
              <w:t>200</w:t>
            </w:r>
            <w:r>
              <w:rPr>
                <w:rFonts w:hint="eastAsia"/>
              </w:rPr>
              <w:t>米范围内无自然保护区、风景名胜区、生态功能保护区等需特殊保护的环境敏感区，以及天然林、重要湿地等生态敏感区与脆弱区。项目区域交通、环卫等城市公用基础建设基本完善，水、电供应有保障，为项目建设堤供了良好的条件。从项目周边土地利用及功能布局看，项目所在区域周围，项目区周边为水泥制品厂和石材加工厂，相互影响不大，项目与周边环境相容。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pPr>
              <w:pStyle w:val="36"/>
              <w:ind w:firstLine="31680"/>
              <w:rPr>
                <w:bCs/>
              </w:rPr>
            </w:pPr>
            <w:r>
              <w:rPr>
                <w:rFonts w:hint="eastAsia"/>
                <w:bCs/>
              </w:rPr>
              <w:t>综上所述，本项目的建设选址合理。</w:t>
            </w:r>
          </w:p>
          <w:p>
            <w:pPr>
              <w:pStyle w:val="75"/>
              <w:ind w:firstLine="31680"/>
              <w:rPr>
                <w:color w:val="auto"/>
              </w:rPr>
            </w:pPr>
            <w:r>
              <w:rPr>
                <w:color w:val="auto"/>
              </w:rPr>
              <w:t>4</w:t>
            </w:r>
            <w:r>
              <w:rPr>
                <w:rFonts w:hint="eastAsia"/>
                <w:color w:val="auto"/>
              </w:rPr>
              <w:t>、环境影响分析</w:t>
            </w:r>
          </w:p>
          <w:p>
            <w:pPr>
              <w:pStyle w:val="75"/>
              <w:ind w:firstLine="31680"/>
              <w:rPr>
                <w:color w:val="auto"/>
              </w:rPr>
            </w:pPr>
            <w:r>
              <w:rPr>
                <w:rFonts w:hint="eastAsia"/>
                <w:color w:val="auto"/>
              </w:rPr>
              <w:t>施工期</w:t>
            </w:r>
          </w:p>
          <w:p>
            <w:pPr>
              <w:pStyle w:val="36"/>
              <w:ind w:firstLine="31680"/>
            </w:pPr>
            <w:r>
              <w:rPr>
                <w:rFonts w:hint="eastAsia"/>
              </w:rPr>
              <w:t>施工期间，产生的污染物主要为施工废水、扬尘、焊接烟尘、施工噪声和固体废弃物。扬尘经过大气扩散、洒水降尘等措施，对环境影响较小；施工废水沉淀后用于水泥砂浆等建材的拌合使用的过程中消耗，不外排，对环境影响较小；焊接烟尘排放量小，经大气扩散后，对环境影响较小，噪声经合理安排施工时间、安装施工挡板等措施，可降低对周围环境的影响；固废分类收集并妥善处置。施工期的环境影响是短暂的、环境可接受的，随着施工期的结束而消失。</w:t>
            </w:r>
          </w:p>
          <w:p>
            <w:pPr>
              <w:pStyle w:val="75"/>
              <w:ind w:firstLine="31680"/>
              <w:rPr>
                <w:color w:val="auto"/>
              </w:rPr>
            </w:pPr>
            <w:r>
              <w:rPr>
                <w:rFonts w:hint="eastAsia"/>
                <w:color w:val="auto"/>
              </w:rPr>
              <w:t>运营期</w:t>
            </w:r>
          </w:p>
          <w:p>
            <w:pPr>
              <w:pStyle w:val="36"/>
              <w:ind w:firstLine="31680"/>
            </w:pPr>
            <w:r>
              <w:rPr>
                <w:rFonts w:hint="eastAsia"/>
              </w:rPr>
              <w:t>运营期间，产生的污染物主要为废气、废水、噪声和固废。本项目运营期的水污染源主要为工作人员所产生的生活污水，经管道统一收集于化粪池内（</w:t>
            </w:r>
            <w:r>
              <w:t>1m</w:t>
            </w:r>
            <w:r>
              <w:rPr>
                <w:vertAlign w:val="superscript"/>
              </w:rPr>
              <w:t>3</w:t>
            </w:r>
            <w:r>
              <w:rPr>
                <w:rFonts w:hint="eastAsia"/>
              </w:rPr>
              <w:t>），定期委托周边村民定期清掏，用于农灌施肥，项目运营期间产生的废水得到妥善处置，不直接排放到地表水体中，对周围环境影响较小。废气主要为木屑粉尘和油漆废气，油漆废气采用活性炭吸附装置吸附，大气稀释，自然扩散；木屑粉尘开窗通风，经大气扩散后</w:t>
            </w:r>
            <w:r>
              <w:rPr>
                <w:rFonts w:hint="eastAsia"/>
                <w:iCs/>
              </w:rPr>
              <w:t>，对环境影响可接受。</w:t>
            </w:r>
            <w:r>
              <w:rPr>
                <w:rFonts w:hint="eastAsia"/>
              </w:rPr>
              <w:t>噪声主要为生产噪声，经墙体阻隔、距离衰减后对环境影响小。固废主要为废弃边角料、废弃油漆桶及生活垃圾，废弃边角料外卖于周边农户，不外排；废弃油漆桶分类存放，及时交给具有危险废物处置资质的单位回收处理；用垃圾桶收集后运输至就近垃圾收集点，由环卫部门定期清运。项目运营期固废处置率</w:t>
            </w:r>
            <w:r>
              <w:t>100%</w:t>
            </w:r>
            <w:r>
              <w:rPr>
                <w:rFonts w:hint="eastAsia"/>
              </w:rPr>
              <w:t>，对环境影响小。</w:t>
            </w:r>
          </w:p>
          <w:p>
            <w:pPr>
              <w:pStyle w:val="75"/>
              <w:ind w:firstLine="31680"/>
              <w:rPr>
                <w:color w:val="auto"/>
              </w:rPr>
            </w:pPr>
            <w:r>
              <w:rPr>
                <w:color w:val="auto"/>
              </w:rPr>
              <w:t>5</w:t>
            </w:r>
            <w:r>
              <w:rPr>
                <w:rFonts w:hint="eastAsia"/>
                <w:color w:val="auto"/>
              </w:rPr>
              <w:t>、综合评价结论</w:t>
            </w:r>
          </w:p>
          <w:p>
            <w:pPr>
              <w:pStyle w:val="36"/>
              <w:ind w:firstLine="31680"/>
            </w:pPr>
            <w:r>
              <w:rPr>
                <w:rFonts w:hint="eastAsia"/>
                <w:bCs/>
              </w:rPr>
              <w:t>芒市华鑫木制品厂</w:t>
            </w:r>
            <w:r>
              <w:rPr>
                <w:rFonts w:hint="eastAsia"/>
              </w:rPr>
              <w:t>迁建项目符合国家产业政策，符合清洁生产要求，选址、布局合理。运营期主要环境空气污染源为木屑粉尘和油漆废气，属无组织排放，项目区加强通风，经大气扩散后各项环境空气污染物均可达标排放，对周围环境造成的影响不大。运营期生产噪声经墙体阻隔、距离衰减后达标排放；废水及固体废物等，在采取相应的环保措施后均合理处置、利用，不外排，对周围环境造成的影响不大。项目在严格遵守各项安全操作规程和制度的情况下，安全生产可靠。区域环境可满足环境保护目标要求，从环境保护的角度看，项目建设可行。</w:t>
            </w:r>
          </w:p>
          <w:p>
            <w:pPr>
              <w:pStyle w:val="75"/>
              <w:ind w:firstLine="31680"/>
              <w:rPr>
                <w:color w:val="auto"/>
              </w:rPr>
            </w:pPr>
            <w:r>
              <w:rPr>
                <w:rFonts w:hint="eastAsia"/>
                <w:color w:val="auto"/>
              </w:rPr>
              <w:t>二、建议</w:t>
            </w:r>
          </w:p>
          <w:p>
            <w:pPr>
              <w:pStyle w:val="36"/>
              <w:ind w:firstLine="31680"/>
            </w:pPr>
            <w:r>
              <w:rPr>
                <w:rFonts w:hint="eastAsia"/>
              </w:rPr>
              <w:t>为确保项目建设及运行过程中对周围环境造成的污染影响最小化，本环评提出如下建议：</w:t>
            </w:r>
          </w:p>
          <w:p>
            <w:pPr>
              <w:pStyle w:val="36"/>
              <w:ind w:firstLine="31680"/>
            </w:pPr>
            <w:r>
              <w:t>1</w:t>
            </w:r>
            <w:r>
              <w:rPr>
                <w:rFonts w:hint="eastAsia"/>
              </w:rPr>
              <w:t>、建议在打磨工序的区域上方增加集气罩，进一步收集打磨过程中产生的木屑粉尘，减少木屑粉尘无组织排放量；</w:t>
            </w:r>
          </w:p>
          <w:p>
            <w:pPr>
              <w:pStyle w:val="36"/>
              <w:ind w:firstLine="31680"/>
            </w:pPr>
            <w:r>
              <w:t>2</w:t>
            </w:r>
            <w:r>
              <w:rPr>
                <w:rFonts w:hint="eastAsia"/>
              </w:rPr>
              <w:t>、加强化粪池的管理，定期清污，清淤周期不得超过设计周期；</w:t>
            </w:r>
          </w:p>
          <w:p>
            <w:pPr>
              <w:pStyle w:val="36"/>
              <w:ind w:firstLine="31680"/>
            </w:pPr>
            <w:r>
              <w:t>3</w:t>
            </w:r>
            <w:r>
              <w:rPr>
                <w:rFonts w:hint="eastAsia"/>
              </w:rPr>
              <w:t>、加强环保宣传教育，加强员工的节能环保意识。</w:t>
            </w:r>
          </w:p>
          <w:p>
            <w:pPr>
              <w:pStyle w:val="36"/>
              <w:ind w:firstLine="31680"/>
            </w:pPr>
            <w:r>
              <w:t>4</w:t>
            </w:r>
            <w:r>
              <w:rPr>
                <w:rFonts w:hint="eastAsia"/>
              </w:rPr>
              <w:t>、加强环境风险防范意识，做好具体的风险应急措施。</w:t>
            </w:r>
          </w:p>
          <w:p>
            <w:pPr>
              <w:ind w:firstLine="31680"/>
              <w:jc w:val="left"/>
            </w:pPr>
            <w:r>
              <w:t>5</w:t>
            </w:r>
            <w:r>
              <w:rPr>
                <w:rFonts w:hint="eastAsia"/>
              </w:rPr>
              <w:t>、在厂区设置明显的警示牌，告诫禁止明火、禁止吸烟，做好消防安全，防范因火灾引起的次生环境污染和灾害。</w:t>
            </w:r>
          </w:p>
          <w:p>
            <w:pPr>
              <w:pStyle w:val="75"/>
              <w:ind w:firstLine="31680"/>
              <w:rPr>
                <w:rFonts w:ascii="宋体"/>
                <w:bCs/>
                <w:color w:val="auto"/>
              </w:rPr>
            </w:pPr>
            <w:r>
              <w:rPr>
                <w:rFonts w:hint="eastAsia" w:ascii="宋体" w:hAnsi="宋体"/>
                <w:bCs/>
                <w:color w:val="auto"/>
              </w:rPr>
              <w:t>三、环境监理、监测</w:t>
            </w:r>
          </w:p>
          <w:p>
            <w:pPr>
              <w:pStyle w:val="75"/>
              <w:ind w:firstLine="31680"/>
              <w:rPr>
                <w:color w:val="auto"/>
              </w:rPr>
            </w:pPr>
            <w:r>
              <w:rPr>
                <w:color w:val="auto"/>
              </w:rPr>
              <w:t>1</w:t>
            </w:r>
            <w:r>
              <w:rPr>
                <w:rFonts w:hint="eastAsia"/>
                <w:color w:val="auto"/>
              </w:rPr>
              <w:t>、环境监理</w:t>
            </w:r>
          </w:p>
          <w:p>
            <w:pPr>
              <w:pStyle w:val="36"/>
              <w:ind w:firstLine="31680"/>
            </w:pPr>
            <w:r>
              <w:rPr>
                <w:rFonts w:hint="eastAsia"/>
              </w:rPr>
              <w:t>环境监理是环境保护工作的重要内容，环境监理工作应贯穿工程建设的全过程，以保证工程期间环境保护工作的顺利开展及环境保护措施的有效实施。本项目施工期已结束，因此不在列出本工程的环境监理计划表。</w:t>
            </w:r>
          </w:p>
          <w:p>
            <w:pPr>
              <w:pStyle w:val="36"/>
              <w:ind w:firstLine="31680"/>
            </w:pPr>
            <w:r>
              <w:rPr>
                <w:rFonts w:hint="eastAsia"/>
              </w:rPr>
              <w:t>为便于建设项目运营期的环境管理，建设项目运营期监测计划见表</w:t>
            </w:r>
            <w:r>
              <w:t>9-1</w:t>
            </w:r>
            <w:r>
              <w:rPr>
                <w:rFonts w:hint="eastAsia"/>
              </w:rPr>
              <w:t>。</w:t>
            </w:r>
          </w:p>
          <w:p>
            <w:pPr>
              <w:pStyle w:val="47"/>
            </w:pPr>
            <w:r>
              <w:rPr>
                <w:rFonts w:hint="eastAsia"/>
              </w:rPr>
              <w:t>表</w:t>
            </w:r>
            <w:r>
              <w:t xml:space="preserve">9-1 </w:t>
            </w:r>
            <w:r>
              <w:rPr>
                <w:rFonts w:hint="eastAsia"/>
              </w:rPr>
              <w:t>项目环境监测计划表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162"/>
              <w:gridCol w:w="1161"/>
              <w:gridCol w:w="1303"/>
              <w:gridCol w:w="1161"/>
              <w:gridCol w:w="3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序号</w:t>
                  </w:r>
                </w:p>
              </w:tc>
              <w:tc>
                <w:tcPr>
                  <w:tcW w:w="62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监测项目</w:t>
                  </w:r>
                </w:p>
              </w:tc>
              <w:tc>
                <w:tcPr>
                  <w:tcW w:w="62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监测点位</w:t>
                  </w:r>
                </w:p>
              </w:tc>
              <w:tc>
                <w:tcPr>
                  <w:tcW w:w="69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监测参数</w:t>
                  </w:r>
                </w:p>
              </w:tc>
              <w:tc>
                <w:tcPr>
                  <w:tcW w:w="62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监测频率</w:t>
                  </w:r>
                </w:p>
              </w:tc>
              <w:tc>
                <w:tcPr>
                  <w:tcW w:w="205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2" w:type="pct"/>
                  <w:vMerge w:val="restart"/>
                  <w:tcBorders>
                    <w:top w:val="single" w:color="auto" w:sz="4" w:space="0"/>
                    <w:left w:val="single" w:color="auto" w:sz="4" w:space="0"/>
                    <w:bottom w:val="single" w:color="auto" w:sz="4" w:space="0"/>
                    <w:right w:val="single" w:color="auto" w:sz="4" w:space="0"/>
                  </w:tcBorders>
                  <w:vAlign w:val="center"/>
                </w:tcPr>
                <w:p>
                  <w:pPr>
                    <w:pStyle w:val="41"/>
                  </w:pPr>
                  <w:r>
                    <w:t>1</w:t>
                  </w:r>
                </w:p>
              </w:tc>
              <w:tc>
                <w:tcPr>
                  <w:tcW w:w="622"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废气</w:t>
                  </w:r>
                </w:p>
              </w:tc>
              <w:tc>
                <w:tcPr>
                  <w:tcW w:w="621"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厂界四周</w:t>
                  </w:r>
                </w:p>
              </w:tc>
              <w:tc>
                <w:tcPr>
                  <w:tcW w:w="69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粉尘</w:t>
                  </w:r>
                </w:p>
              </w:tc>
              <w:tc>
                <w:tcPr>
                  <w:tcW w:w="621" w:type="pct"/>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按国家规定执行</w:t>
                  </w:r>
                </w:p>
              </w:tc>
              <w:tc>
                <w:tcPr>
                  <w:tcW w:w="205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bCs/>
                    </w:rPr>
                    <w:t>达到《大气污染物综合排放标准》（</w:t>
                  </w:r>
                  <w:r>
                    <w:rPr>
                      <w:bCs/>
                    </w:rPr>
                    <w:t>GB16297-1996</w:t>
                  </w:r>
                  <w:r>
                    <w:rPr>
                      <w:rFonts w:hint="eastAsia"/>
                      <w:bCs/>
                    </w:rPr>
                    <w:t>）表</w:t>
                  </w:r>
                  <w:r>
                    <w:rPr>
                      <w:bCs/>
                    </w:rPr>
                    <w:t>2</w:t>
                  </w:r>
                  <w:r>
                    <w:rPr>
                      <w:rFonts w:hint="eastAsia"/>
                      <w:bCs/>
                    </w:rPr>
                    <w:t>中颗粒物（其它）无组织排放标准限值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2"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22"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9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甲苯</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2057" w:type="pct"/>
                  <w:tcBorders>
                    <w:top w:val="single" w:color="auto" w:sz="4" w:space="0"/>
                    <w:left w:val="single" w:color="auto" w:sz="4" w:space="0"/>
                    <w:bottom w:val="single" w:color="auto" w:sz="4" w:space="0"/>
                    <w:right w:val="single" w:color="auto" w:sz="4" w:space="0"/>
                  </w:tcBorders>
                  <w:vAlign w:val="center"/>
                </w:tcPr>
                <w:p>
                  <w:pPr>
                    <w:pStyle w:val="41"/>
                    <w:rPr>
                      <w:szCs w:val="21"/>
                    </w:rPr>
                  </w:pPr>
                  <w:r>
                    <w:rPr>
                      <w:rFonts w:hint="eastAsia"/>
                      <w:bCs/>
                    </w:rPr>
                    <w:t>达到《大气污染物综合排放标准》（</w:t>
                  </w:r>
                  <w:r>
                    <w:rPr>
                      <w:bCs/>
                    </w:rPr>
                    <w:t>GB16297-1996</w:t>
                  </w:r>
                  <w:r>
                    <w:rPr>
                      <w:rFonts w:hint="eastAsia"/>
                      <w:bCs/>
                    </w:rPr>
                    <w:t>）表</w:t>
                  </w:r>
                  <w:r>
                    <w:rPr>
                      <w:bCs/>
                    </w:rPr>
                    <w:t>2</w:t>
                  </w:r>
                  <w:r>
                    <w:rPr>
                      <w:rFonts w:hint="eastAsia"/>
                      <w:bCs/>
                    </w:rPr>
                    <w:t>中甲苯无组织排放标准限值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2"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22"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69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二甲苯</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2057" w:type="pct"/>
                  <w:tcBorders>
                    <w:top w:val="single" w:color="auto" w:sz="4" w:space="0"/>
                    <w:left w:val="single" w:color="auto" w:sz="4" w:space="0"/>
                    <w:bottom w:val="single" w:color="auto" w:sz="4" w:space="0"/>
                    <w:right w:val="single" w:color="auto" w:sz="4" w:space="0"/>
                  </w:tcBorders>
                  <w:vAlign w:val="center"/>
                </w:tcPr>
                <w:p>
                  <w:pPr>
                    <w:pStyle w:val="41"/>
                    <w:rPr>
                      <w:szCs w:val="21"/>
                    </w:rPr>
                  </w:pPr>
                  <w:r>
                    <w:rPr>
                      <w:rFonts w:hint="eastAsia"/>
                      <w:bCs/>
                    </w:rPr>
                    <w:t>达到《大气污染物综合排放标准》（</w:t>
                  </w:r>
                  <w:r>
                    <w:rPr>
                      <w:bCs/>
                    </w:rPr>
                    <w:t>GB16297-1996</w:t>
                  </w:r>
                  <w:r>
                    <w:rPr>
                      <w:rFonts w:hint="eastAsia"/>
                      <w:bCs/>
                    </w:rPr>
                    <w:t>）表</w:t>
                  </w:r>
                  <w:r>
                    <w:rPr>
                      <w:bCs/>
                    </w:rPr>
                    <w:t>2</w:t>
                  </w:r>
                  <w:r>
                    <w:rPr>
                      <w:rFonts w:hint="eastAsia"/>
                      <w:bCs/>
                    </w:rPr>
                    <w:t>中二甲苯无组织排放标准限值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pPr>
                    <w:pStyle w:val="41"/>
                  </w:pPr>
                  <w:r>
                    <w:t>2</w:t>
                  </w:r>
                </w:p>
              </w:tc>
              <w:tc>
                <w:tcPr>
                  <w:tcW w:w="622"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噪声</w:t>
                  </w:r>
                </w:p>
              </w:tc>
              <w:tc>
                <w:tcPr>
                  <w:tcW w:w="621"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厂界四周</w:t>
                  </w:r>
                </w:p>
              </w:tc>
              <w:tc>
                <w:tcPr>
                  <w:tcW w:w="69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等效声级</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2057" w:type="pct"/>
                  <w:tcBorders>
                    <w:top w:val="single" w:color="auto" w:sz="4" w:space="0"/>
                    <w:left w:val="single" w:color="auto" w:sz="4" w:space="0"/>
                    <w:bottom w:val="single" w:color="auto" w:sz="4" w:space="0"/>
                    <w:right w:val="single" w:color="auto" w:sz="4" w:space="0"/>
                  </w:tcBorders>
                  <w:vAlign w:val="center"/>
                </w:tcPr>
                <w:p>
                  <w:pPr>
                    <w:pStyle w:val="41"/>
                  </w:pPr>
                  <w:r>
                    <w:rPr>
                      <w:rFonts w:hint="eastAsia"/>
                      <w:szCs w:val="21"/>
                    </w:rPr>
                    <w:t>《工业企业厂界环境噪声排放标准》</w:t>
                  </w:r>
                  <w:r>
                    <w:rPr>
                      <w:szCs w:val="21"/>
                    </w:rPr>
                    <w:t>(GB12348-2008)2</w:t>
                  </w:r>
                  <w:r>
                    <w:rPr>
                      <w:rFonts w:hint="eastAsia"/>
                      <w:szCs w:val="21"/>
                    </w:rPr>
                    <w:t>类标准</w:t>
                  </w:r>
                </w:p>
              </w:tc>
            </w:tr>
          </w:tbl>
          <w:p>
            <w:pPr>
              <w:pStyle w:val="36"/>
              <w:ind w:firstLine="31680"/>
            </w:pPr>
            <w:r>
              <w:rPr>
                <w:rFonts w:hint="eastAsia"/>
              </w:rPr>
              <w:t>将每年的监测数据如实上报当地环保部门，以便有针对性地督促检查环保设施的实际运转情况，从而提出有效的改进措施。</w:t>
            </w:r>
          </w:p>
          <w:p>
            <w:pPr>
              <w:pStyle w:val="36"/>
              <w:ind w:firstLine="31680"/>
              <w:rPr>
                <w:b/>
                <w:bCs/>
              </w:rPr>
            </w:pPr>
            <w:r>
              <w:rPr>
                <w:rFonts w:hint="eastAsia"/>
                <w:b/>
                <w:bCs/>
              </w:rPr>
              <w:t>四、环境监察</w:t>
            </w:r>
          </w:p>
          <w:p>
            <w:pPr>
              <w:pStyle w:val="36"/>
              <w:ind w:firstLine="31680"/>
            </w:pPr>
            <w:r>
              <w:rPr>
                <w:rFonts w:hint="eastAsia"/>
              </w:rPr>
              <w:t>根据本项目的建设特点，建议芒市环境监察大队对芒市景强竹木制品有限公司</w:t>
            </w:r>
            <w:r>
              <w:t>“</w:t>
            </w:r>
            <w:r>
              <w:rPr>
                <w:rFonts w:hint="eastAsia"/>
              </w:rPr>
              <w:t>芒市景强竹木制品有限公司锯材加工项目</w:t>
            </w:r>
            <w:r>
              <w:t>”</w:t>
            </w:r>
            <w:r>
              <w:rPr>
                <w:rFonts w:hint="eastAsia"/>
              </w:rPr>
              <w:t>进行建设项目与</w:t>
            </w:r>
            <w:r>
              <w:t>“</w:t>
            </w:r>
            <w:r>
              <w:rPr>
                <w:rFonts w:hint="eastAsia"/>
              </w:rPr>
              <w:t>三同时</w:t>
            </w:r>
            <w:r>
              <w:t>”</w:t>
            </w:r>
            <w:r>
              <w:rPr>
                <w:rFonts w:hint="eastAsia"/>
              </w:rPr>
              <w:t>环境监察，具体监察计划见表</w:t>
            </w:r>
            <w:r>
              <w:t>9-2</w:t>
            </w:r>
            <w:r>
              <w:rPr>
                <w:rFonts w:hint="eastAsia"/>
              </w:rPr>
              <w:t>。</w:t>
            </w:r>
          </w:p>
          <w:p>
            <w:pPr>
              <w:pStyle w:val="47"/>
              <w:rPr>
                <w:snapToGrid w:val="0"/>
                <w:kern w:val="0"/>
              </w:rPr>
            </w:pPr>
          </w:p>
          <w:p>
            <w:pPr>
              <w:pStyle w:val="47"/>
              <w:rPr>
                <w:snapToGrid w:val="0"/>
                <w:kern w:val="0"/>
              </w:rPr>
            </w:pPr>
          </w:p>
          <w:p>
            <w:pPr>
              <w:pStyle w:val="47"/>
              <w:rPr>
                <w:snapToGrid w:val="0"/>
                <w:kern w:val="0"/>
              </w:rPr>
            </w:pPr>
            <w:r>
              <w:rPr>
                <w:rFonts w:hint="eastAsia"/>
                <w:snapToGrid w:val="0"/>
                <w:kern w:val="0"/>
              </w:rPr>
              <w:t>表</w:t>
            </w:r>
            <w:r>
              <w:rPr>
                <w:snapToGrid w:val="0"/>
                <w:kern w:val="0"/>
              </w:rPr>
              <w:t xml:space="preserve">9-2 </w:t>
            </w:r>
            <w:r>
              <w:rPr>
                <w:rFonts w:hint="eastAsia"/>
                <w:snapToGrid w:val="0"/>
                <w:kern w:val="0"/>
              </w:rPr>
              <w:t>项目环境监察计划一览表</w:t>
            </w:r>
          </w:p>
          <w:tbl>
            <w:tblPr>
              <w:tblStyle w:val="2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7"/>
              <w:gridCol w:w="5078"/>
              <w:gridCol w:w="1452"/>
              <w:gridCol w:w="1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14" w:type="pct"/>
                  <w:tcBorders>
                    <w:top w:val="single" w:color="000000" w:sz="4" w:space="0"/>
                    <w:left w:val="single" w:color="000000" w:sz="4" w:space="0"/>
                    <w:bottom w:val="single" w:color="000000" w:sz="4" w:space="0"/>
                    <w:right w:val="single" w:color="000000" w:sz="4" w:space="0"/>
                  </w:tcBorders>
                  <w:vAlign w:val="center"/>
                </w:tcPr>
                <w:p>
                  <w:pPr>
                    <w:pStyle w:val="41"/>
                    <w:rPr>
                      <w:snapToGrid w:val="0"/>
                      <w:kern w:val="0"/>
                    </w:rPr>
                  </w:pPr>
                  <w:r>
                    <w:rPr>
                      <w:rFonts w:hint="eastAsia"/>
                      <w:snapToGrid w:val="0"/>
                      <w:kern w:val="0"/>
                    </w:rPr>
                    <w:t>工程进度</w:t>
                  </w:r>
                </w:p>
              </w:tc>
              <w:tc>
                <w:tcPr>
                  <w:tcW w:w="2717" w:type="pct"/>
                  <w:tcBorders>
                    <w:top w:val="single" w:color="000000" w:sz="4" w:space="0"/>
                    <w:left w:val="single" w:color="000000" w:sz="4" w:space="0"/>
                    <w:bottom w:val="single" w:color="000000" w:sz="4" w:space="0"/>
                    <w:right w:val="single" w:color="000000" w:sz="4" w:space="0"/>
                  </w:tcBorders>
                  <w:vAlign w:val="center"/>
                </w:tcPr>
                <w:p>
                  <w:pPr>
                    <w:pStyle w:val="41"/>
                    <w:rPr>
                      <w:snapToGrid w:val="0"/>
                      <w:kern w:val="0"/>
                    </w:rPr>
                  </w:pPr>
                  <w:r>
                    <w:rPr>
                      <w:rFonts w:hint="eastAsia"/>
                      <w:snapToGrid w:val="0"/>
                      <w:kern w:val="0"/>
                    </w:rPr>
                    <w:t>监察内容</w:t>
                  </w:r>
                </w:p>
              </w:tc>
              <w:tc>
                <w:tcPr>
                  <w:tcW w:w="777" w:type="pct"/>
                  <w:tcBorders>
                    <w:top w:val="single" w:color="000000" w:sz="4" w:space="0"/>
                    <w:left w:val="single" w:color="000000" w:sz="4" w:space="0"/>
                    <w:bottom w:val="single" w:color="000000" w:sz="4" w:space="0"/>
                    <w:right w:val="single" w:color="000000" w:sz="4" w:space="0"/>
                  </w:tcBorders>
                  <w:vAlign w:val="center"/>
                </w:tcPr>
                <w:p>
                  <w:pPr>
                    <w:pStyle w:val="41"/>
                    <w:rPr>
                      <w:snapToGrid w:val="0"/>
                      <w:kern w:val="0"/>
                    </w:rPr>
                  </w:pPr>
                  <w:r>
                    <w:rPr>
                      <w:rFonts w:hint="eastAsia"/>
                      <w:snapToGrid w:val="0"/>
                      <w:kern w:val="0"/>
                    </w:rPr>
                    <w:t>执行单位</w:t>
                  </w:r>
                </w:p>
              </w:tc>
              <w:tc>
                <w:tcPr>
                  <w:tcW w:w="892" w:type="pct"/>
                  <w:tcBorders>
                    <w:top w:val="single" w:color="000000" w:sz="4" w:space="0"/>
                    <w:left w:val="single" w:color="000000" w:sz="4" w:space="0"/>
                    <w:bottom w:val="single" w:color="000000" w:sz="4" w:space="0"/>
                    <w:right w:val="single" w:color="000000" w:sz="4" w:space="0"/>
                  </w:tcBorders>
                  <w:vAlign w:val="center"/>
                </w:tcPr>
                <w:p>
                  <w:pPr>
                    <w:pStyle w:val="41"/>
                    <w:rPr>
                      <w:snapToGrid w:val="0"/>
                      <w:kern w:val="0"/>
                    </w:rPr>
                  </w:pPr>
                  <w:r>
                    <w:rPr>
                      <w:rFonts w:hint="eastAsia"/>
                      <w:snapToGrid w:val="0"/>
                      <w:kern w:val="0"/>
                    </w:rPr>
                    <w:t>监察部门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14" w:type="pct"/>
                  <w:tcBorders>
                    <w:top w:val="single" w:color="000000" w:sz="4" w:space="0"/>
                    <w:left w:val="single" w:color="000000" w:sz="4" w:space="0"/>
                    <w:bottom w:val="single" w:color="000000" w:sz="4" w:space="0"/>
                    <w:right w:val="single" w:color="000000" w:sz="4" w:space="0"/>
                  </w:tcBorders>
                  <w:vAlign w:val="center"/>
                </w:tcPr>
                <w:p>
                  <w:pPr>
                    <w:pStyle w:val="41"/>
                    <w:rPr>
                      <w:snapToGrid w:val="0"/>
                      <w:kern w:val="0"/>
                    </w:rPr>
                  </w:pPr>
                  <w:r>
                    <w:rPr>
                      <w:rFonts w:hint="eastAsia"/>
                      <w:snapToGrid w:val="0"/>
                      <w:kern w:val="0"/>
                    </w:rPr>
                    <w:t>运营期</w:t>
                  </w:r>
                </w:p>
              </w:tc>
              <w:tc>
                <w:tcPr>
                  <w:tcW w:w="2717" w:type="pct"/>
                  <w:tcBorders>
                    <w:top w:val="single" w:color="000000" w:sz="4" w:space="0"/>
                    <w:left w:val="single" w:color="000000" w:sz="4" w:space="0"/>
                    <w:bottom w:val="single" w:color="000000" w:sz="4" w:space="0"/>
                    <w:right w:val="single" w:color="000000" w:sz="4" w:space="0"/>
                  </w:tcBorders>
                  <w:vAlign w:val="center"/>
                </w:tcPr>
                <w:p>
                  <w:pPr>
                    <w:pStyle w:val="41"/>
                    <w:rPr>
                      <w:snapToGrid w:val="0"/>
                      <w:kern w:val="0"/>
                    </w:rPr>
                  </w:pPr>
                  <w:r>
                    <w:rPr>
                      <w:snapToGrid w:val="0"/>
                      <w:kern w:val="0"/>
                    </w:rPr>
                    <w:t>1</w:t>
                  </w:r>
                  <w:r>
                    <w:rPr>
                      <w:rFonts w:hint="eastAsia"/>
                      <w:snapToGrid w:val="0"/>
                      <w:kern w:val="0"/>
                    </w:rPr>
                    <w:t>、环保设施运转效果如何，是否进行了环保设置竣工验收；</w:t>
                  </w:r>
                </w:p>
                <w:p>
                  <w:pPr>
                    <w:pStyle w:val="41"/>
                    <w:rPr>
                      <w:snapToGrid w:val="0"/>
                      <w:kern w:val="0"/>
                    </w:rPr>
                  </w:pPr>
                  <w:r>
                    <w:rPr>
                      <w:snapToGrid w:val="0"/>
                      <w:kern w:val="0"/>
                    </w:rPr>
                    <w:t>2</w:t>
                  </w:r>
                  <w:r>
                    <w:rPr>
                      <w:rFonts w:hint="eastAsia"/>
                      <w:snapToGrid w:val="0"/>
                      <w:kern w:val="0"/>
                    </w:rPr>
                    <w:t>、强化环保设施管理，定期检查，排出故障，确保环保设施正常运行。</w:t>
                  </w:r>
                </w:p>
              </w:tc>
              <w:tc>
                <w:tcPr>
                  <w:tcW w:w="777" w:type="pct"/>
                  <w:tcBorders>
                    <w:top w:val="single" w:color="000000" w:sz="4" w:space="0"/>
                    <w:left w:val="single" w:color="000000" w:sz="4" w:space="0"/>
                    <w:bottom w:val="single" w:color="000000" w:sz="4" w:space="0"/>
                    <w:right w:val="single" w:color="000000" w:sz="4" w:space="0"/>
                  </w:tcBorders>
                  <w:vAlign w:val="center"/>
                </w:tcPr>
                <w:p>
                  <w:pPr>
                    <w:pStyle w:val="41"/>
                    <w:rPr>
                      <w:snapToGrid w:val="0"/>
                      <w:kern w:val="0"/>
                    </w:rPr>
                  </w:pPr>
                  <w:r>
                    <w:rPr>
                      <w:rFonts w:hint="eastAsia"/>
                      <w:snapToGrid w:val="0"/>
                      <w:kern w:val="0"/>
                    </w:rPr>
                    <w:t>建设单位</w:t>
                  </w:r>
                </w:p>
              </w:tc>
              <w:tc>
                <w:tcPr>
                  <w:tcW w:w="892" w:type="pct"/>
                  <w:tcBorders>
                    <w:top w:val="single" w:color="000000" w:sz="4" w:space="0"/>
                    <w:left w:val="single" w:color="000000" w:sz="4" w:space="0"/>
                    <w:bottom w:val="single" w:color="auto" w:sz="4" w:space="0"/>
                    <w:right w:val="single" w:color="000000" w:sz="4" w:space="0"/>
                  </w:tcBorders>
                  <w:vAlign w:val="center"/>
                </w:tcPr>
                <w:p>
                  <w:pPr>
                    <w:pStyle w:val="41"/>
                    <w:rPr>
                      <w:snapToGrid w:val="0"/>
                      <w:kern w:val="0"/>
                    </w:rPr>
                  </w:pPr>
                  <w:r>
                    <w:rPr>
                      <w:rFonts w:hint="eastAsia"/>
                      <w:snapToGrid w:val="0"/>
                      <w:kern w:val="0"/>
                    </w:rPr>
                    <w:t>芒市环保局</w:t>
                  </w:r>
                </w:p>
              </w:tc>
            </w:tr>
          </w:tbl>
          <w:p>
            <w:pPr>
              <w:pStyle w:val="36"/>
              <w:ind w:firstLine="31680"/>
              <w:rPr>
                <w:b/>
              </w:rPr>
            </w:pPr>
            <w:r>
              <w:rPr>
                <w:rFonts w:hint="eastAsia"/>
                <w:b/>
              </w:rPr>
              <w:t>五、环境保护竣工验收</w:t>
            </w:r>
          </w:p>
          <w:p>
            <w:pPr>
              <w:pStyle w:val="36"/>
              <w:ind w:firstLine="31680"/>
            </w:pPr>
            <w:r>
              <w:rPr>
                <w:rFonts w:hint="eastAsia"/>
              </w:rPr>
              <w:t>环境保护竣工验收见表</w:t>
            </w:r>
            <w:r>
              <w:t>9-3</w:t>
            </w:r>
            <w:r>
              <w:rPr>
                <w:rFonts w:hint="eastAsia"/>
              </w:rPr>
              <w:t>。</w:t>
            </w:r>
          </w:p>
          <w:p>
            <w:pPr>
              <w:pStyle w:val="47"/>
            </w:pPr>
            <w:r>
              <w:rPr>
                <w:rFonts w:hint="eastAsia"/>
              </w:rPr>
              <w:t>表</w:t>
            </w:r>
            <w:r>
              <w:t>9-3 “</w:t>
            </w:r>
            <w:r>
              <w:rPr>
                <w:rFonts w:hint="eastAsia"/>
              </w:rPr>
              <w:t>三同时</w:t>
            </w:r>
            <w:r>
              <w:t>”</w:t>
            </w:r>
            <w:r>
              <w:rPr>
                <w:rFonts w:hint="eastAsia"/>
              </w:rPr>
              <w:t>竣工验收一览表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09"/>
              <w:gridCol w:w="2551"/>
              <w:gridCol w:w="1276"/>
              <w:gridCol w:w="3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41"/>
                    <w:rPr>
                      <w:bCs/>
                      <w:sz w:val="24"/>
                    </w:rPr>
                  </w:pPr>
                  <w:r>
                    <w:rPr>
                      <w:rFonts w:hint="eastAsia"/>
                    </w:rPr>
                    <w:t>项目</w:t>
                  </w:r>
                </w:p>
              </w:tc>
              <w:tc>
                <w:tcPr>
                  <w:tcW w:w="1309" w:type="dxa"/>
                  <w:tcBorders>
                    <w:top w:val="single" w:color="auto" w:sz="4" w:space="0"/>
                    <w:left w:val="single" w:color="auto" w:sz="4" w:space="0"/>
                    <w:bottom w:val="single" w:color="auto" w:sz="4" w:space="0"/>
                    <w:right w:val="single" w:color="auto" w:sz="4" w:space="0"/>
                  </w:tcBorders>
                  <w:vAlign w:val="center"/>
                </w:tcPr>
                <w:p>
                  <w:pPr>
                    <w:pStyle w:val="41"/>
                    <w:rPr>
                      <w:bCs/>
                      <w:sz w:val="24"/>
                    </w:rPr>
                  </w:pPr>
                  <w:r>
                    <w:rPr>
                      <w:rFonts w:hint="eastAsia"/>
                    </w:rPr>
                    <w:t>处理对象</w:t>
                  </w:r>
                </w:p>
              </w:tc>
              <w:tc>
                <w:tcPr>
                  <w:tcW w:w="2551" w:type="dxa"/>
                  <w:tcBorders>
                    <w:top w:val="single" w:color="auto" w:sz="4" w:space="0"/>
                    <w:left w:val="single" w:color="auto" w:sz="4" w:space="0"/>
                    <w:bottom w:val="single" w:color="auto" w:sz="4" w:space="0"/>
                    <w:right w:val="single" w:color="auto" w:sz="4" w:space="0"/>
                  </w:tcBorders>
                  <w:vAlign w:val="center"/>
                </w:tcPr>
                <w:p>
                  <w:pPr>
                    <w:pStyle w:val="41"/>
                    <w:rPr>
                      <w:bCs/>
                      <w:sz w:val="24"/>
                    </w:rPr>
                  </w:pPr>
                  <w:r>
                    <w:rPr>
                      <w:rFonts w:hint="eastAsia"/>
                    </w:rPr>
                    <w:t>处理措施</w:t>
                  </w:r>
                </w:p>
              </w:tc>
              <w:tc>
                <w:tcPr>
                  <w:tcW w:w="1276" w:type="dxa"/>
                  <w:tcBorders>
                    <w:top w:val="single" w:color="auto" w:sz="4" w:space="0"/>
                    <w:left w:val="single" w:color="auto" w:sz="4" w:space="0"/>
                    <w:bottom w:val="single" w:color="auto" w:sz="4" w:space="0"/>
                    <w:right w:val="single" w:color="auto" w:sz="4" w:space="0"/>
                  </w:tcBorders>
                  <w:vAlign w:val="center"/>
                </w:tcPr>
                <w:p>
                  <w:pPr>
                    <w:pStyle w:val="41"/>
                    <w:rPr>
                      <w:bCs/>
                      <w:sz w:val="24"/>
                    </w:rPr>
                  </w:pPr>
                  <w:r>
                    <w:rPr>
                      <w:rFonts w:hint="eastAsia"/>
                    </w:rPr>
                    <w:t>处理效果</w:t>
                  </w:r>
                </w:p>
              </w:tc>
              <w:tc>
                <w:tcPr>
                  <w:tcW w:w="3430" w:type="dxa"/>
                  <w:tcBorders>
                    <w:top w:val="single" w:color="auto" w:sz="4" w:space="0"/>
                    <w:left w:val="single" w:color="auto" w:sz="4" w:space="0"/>
                    <w:bottom w:val="single" w:color="auto" w:sz="4" w:space="0"/>
                    <w:right w:val="single" w:color="auto" w:sz="4" w:space="0"/>
                  </w:tcBorders>
                  <w:vAlign w:val="center"/>
                </w:tcPr>
                <w:p>
                  <w:pPr>
                    <w:pStyle w:val="41"/>
                    <w:rPr>
                      <w:bCs/>
                      <w:sz w:val="24"/>
                    </w:rPr>
                  </w:pPr>
                  <w:r>
                    <w:rPr>
                      <w:rFonts w:hint="eastAsia"/>
                    </w:rPr>
                    <w:t>验收内容及标准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废气</w:t>
                  </w:r>
                </w:p>
              </w:tc>
              <w:tc>
                <w:tcPr>
                  <w:tcW w:w="1309"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木屑粉尘</w:t>
                  </w:r>
                </w:p>
              </w:tc>
              <w:tc>
                <w:tcPr>
                  <w:tcW w:w="2551"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开窗透气，加强通风</w:t>
                  </w:r>
                </w:p>
              </w:tc>
              <w:tc>
                <w:tcPr>
                  <w:tcW w:w="1276"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达标排放</w:t>
                  </w:r>
                </w:p>
              </w:tc>
              <w:tc>
                <w:tcPr>
                  <w:tcW w:w="3430"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bCs/>
                    </w:rPr>
                    <w:t>达到《大气污染物综合排放标准》（</w:t>
                  </w:r>
                  <w:r>
                    <w:rPr>
                      <w:bCs/>
                    </w:rPr>
                    <w:t>GB16297-1996</w:t>
                  </w:r>
                  <w:r>
                    <w:rPr>
                      <w:rFonts w:hint="eastAsia"/>
                      <w:bCs/>
                    </w:rPr>
                    <w:t>）表</w:t>
                  </w:r>
                  <w:r>
                    <w:rPr>
                      <w:bCs/>
                    </w:rPr>
                    <w:t>2</w:t>
                  </w:r>
                  <w:r>
                    <w:rPr>
                      <w:rFonts w:hint="eastAsia"/>
                      <w:bCs/>
                    </w:rPr>
                    <w:t>中颗粒物（其它）无组织排放标准限值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309"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甲苯</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采用活性炭吸附装置进行吸附，吸附效率≧</w:t>
                  </w:r>
                  <w:r>
                    <w:t>60%</w:t>
                  </w:r>
                  <w:r>
                    <w:rPr>
                      <w:rFonts w:hint="eastAsia"/>
                    </w:rPr>
                    <w:t>，后经大气稀释，自然扩散</w:t>
                  </w:r>
                </w:p>
              </w:tc>
              <w:tc>
                <w:tcPr>
                  <w:tcW w:w="1276"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达标排放</w:t>
                  </w:r>
                </w:p>
              </w:tc>
              <w:tc>
                <w:tcPr>
                  <w:tcW w:w="3430" w:type="dxa"/>
                  <w:tcBorders>
                    <w:top w:val="single" w:color="auto" w:sz="4" w:space="0"/>
                    <w:left w:val="single" w:color="auto" w:sz="4" w:space="0"/>
                    <w:bottom w:val="single" w:color="auto" w:sz="4" w:space="0"/>
                    <w:right w:val="single" w:color="auto" w:sz="4" w:space="0"/>
                  </w:tcBorders>
                  <w:vAlign w:val="center"/>
                </w:tcPr>
                <w:p>
                  <w:pPr>
                    <w:pStyle w:val="41"/>
                    <w:rPr>
                      <w:szCs w:val="21"/>
                    </w:rPr>
                  </w:pPr>
                  <w:r>
                    <w:rPr>
                      <w:rFonts w:hint="eastAsia"/>
                      <w:bCs/>
                    </w:rPr>
                    <w:t>达到《大气污染物综合排放标准》（</w:t>
                  </w:r>
                  <w:r>
                    <w:rPr>
                      <w:bCs/>
                    </w:rPr>
                    <w:t>GB16297-1996</w:t>
                  </w:r>
                  <w:r>
                    <w:rPr>
                      <w:rFonts w:hint="eastAsia"/>
                      <w:bCs/>
                    </w:rPr>
                    <w:t>）表</w:t>
                  </w:r>
                  <w:r>
                    <w:rPr>
                      <w:bCs/>
                    </w:rPr>
                    <w:t>2</w:t>
                  </w:r>
                  <w:r>
                    <w:rPr>
                      <w:rFonts w:hint="eastAsia"/>
                      <w:bCs/>
                    </w:rPr>
                    <w:t>中甲苯无组织排放标准限值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309"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二甲苯</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276"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达标排放</w:t>
                  </w:r>
                </w:p>
              </w:tc>
              <w:tc>
                <w:tcPr>
                  <w:tcW w:w="3430" w:type="dxa"/>
                  <w:tcBorders>
                    <w:top w:val="single" w:color="auto" w:sz="4" w:space="0"/>
                    <w:left w:val="single" w:color="auto" w:sz="4" w:space="0"/>
                    <w:bottom w:val="single" w:color="auto" w:sz="4" w:space="0"/>
                    <w:right w:val="single" w:color="auto" w:sz="4" w:space="0"/>
                  </w:tcBorders>
                  <w:vAlign w:val="center"/>
                </w:tcPr>
                <w:p>
                  <w:pPr>
                    <w:pStyle w:val="41"/>
                    <w:rPr>
                      <w:szCs w:val="21"/>
                    </w:rPr>
                  </w:pPr>
                  <w:r>
                    <w:rPr>
                      <w:rFonts w:hint="eastAsia"/>
                      <w:bCs/>
                    </w:rPr>
                    <w:t>达到《大气污染物综合排放标准》（</w:t>
                  </w:r>
                  <w:r>
                    <w:rPr>
                      <w:bCs/>
                    </w:rPr>
                    <w:t>GB16297-1996</w:t>
                  </w:r>
                  <w:r>
                    <w:rPr>
                      <w:rFonts w:hint="eastAsia"/>
                      <w:bCs/>
                    </w:rPr>
                    <w:t>）表</w:t>
                  </w:r>
                  <w:r>
                    <w:rPr>
                      <w:bCs/>
                    </w:rPr>
                    <w:t>2</w:t>
                  </w:r>
                  <w:r>
                    <w:rPr>
                      <w:rFonts w:hint="eastAsia"/>
                      <w:bCs/>
                    </w:rPr>
                    <w:t>中二甲苯无组织排放标准限值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废水</w:t>
                  </w:r>
                </w:p>
              </w:tc>
              <w:tc>
                <w:tcPr>
                  <w:tcW w:w="1309"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生活废水</w:t>
                  </w:r>
                </w:p>
              </w:tc>
              <w:tc>
                <w:tcPr>
                  <w:tcW w:w="2551"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化粪池</w:t>
                  </w:r>
                  <w:r>
                    <w:t>1</w:t>
                  </w:r>
                  <w:r>
                    <w:rPr>
                      <w:rFonts w:hint="eastAsia"/>
                    </w:rPr>
                    <w:t>个，容积为</w:t>
                  </w:r>
                  <w:r>
                    <w:t>1m³</w:t>
                  </w:r>
                </w:p>
              </w:tc>
              <w:tc>
                <w:tcPr>
                  <w:tcW w:w="1276"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废水不外排</w:t>
                  </w:r>
                </w:p>
              </w:tc>
              <w:tc>
                <w:tcPr>
                  <w:tcW w:w="3430"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废水不外排，用于农灌施肥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噪声</w:t>
                  </w:r>
                </w:p>
              </w:tc>
              <w:tc>
                <w:tcPr>
                  <w:tcW w:w="1309"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设备噪声</w:t>
                  </w:r>
                </w:p>
              </w:tc>
              <w:tc>
                <w:tcPr>
                  <w:tcW w:w="2551"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墙体阻隔、距离衰减</w:t>
                  </w:r>
                </w:p>
              </w:tc>
              <w:tc>
                <w:tcPr>
                  <w:tcW w:w="1276"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达标排放</w:t>
                  </w:r>
                </w:p>
              </w:tc>
              <w:tc>
                <w:tcPr>
                  <w:tcW w:w="3430"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《工业企业厂界环境噪声排放标准》</w:t>
                  </w:r>
                  <w:r>
                    <w:t>(GB12348- 2008)2</w:t>
                  </w:r>
                  <w:r>
                    <w:rPr>
                      <w:rFonts w:hint="eastAsia"/>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固废</w:t>
                  </w:r>
                </w:p>
              </w:tc>
              <w:tc>
                <w:tcPr>
                  <w:tcW w:w="1309"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废弃油漆桶</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危废暂存间采取防雨淋、防渗漏的措施，渗透系数≦</w:t>
                  </w:r>
                  <w:r>
                    <w:t>10</w:t>
                  </w:r>
                  <w:r>
                    <w:rPr>
                      <w:vertAlign w:val="superscript"/>
                    </w:rPr>
                    <w:t>-10</w:t>
                  </w:r>
                  <w:r>
                    <w:t>cm/s</w:t>
                  </w:r>
                  <w:r>
                    <w:rPr>
                      <w:rFonts w:hint="eastAsia"/>
                    </w:rPr>
                    <w:t>，并且悬挂标识牌</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处置率</w:t>
                  </w:r>
                  <w:r>
                    <w:t>100%</w:t>
                  </w:r>
                </w:p>
              </w:tc>
              <w:tc>
                <w:tcPr>
                  <w:tcW w:w="3430" w:type="dxa"/>
                  <w:vMerge w:val="restart"/>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处置率</w:t>
                  </w: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309"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废稀释剂桶</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3430" w:type="dxa"/>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309"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废弃的油漆刷子及粘有油漆的抹布</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3430" w:type="dxa"/>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309"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废弃边角料</w:t>
                  </w:r>
                </w:p>
              </w:tc>
              <w:tc>
                <w:tcPr>
                  <w:tcW w:w="2551"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外卖</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3430" w:type="dxa"/>
                  <w:vMerge w:val="continue"/>
                  <w:tcBorders>
                    <w:top w:val="single" w:color="auto" w:sz="4" w:space="0"/>
                    <w:left w:val="single" w:color="auto" w:sz="4" w:space="0"/>
                    <w:bottom w:val="single" w:color="auto" w:sz="4" w:space="0"/>
                    <w:right w:val="single" w:color="auto" w:sz="4" w:space="0"/>
                  </w:tcBorders>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1309"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生活垃圾</w:t>
                  </w:r>
                </w:p>
              </w:tc>
              <w:tc>
                <w:tcPr>
                  <w:tcW w:w="2551" w:type="dxa"/>
                  <w:tcBorders>
                    <w:top w:val="single" w:color="auto" w:sz="4" w:space="0"/>
                    <w:left w:val="single" w:color="auto" w:sz="4" w:space="0"/>
                    <w:bottom w:val="single" w:color="auto" w:sz="4" w:space="0"/>
                    <w:right w:val="single" w:color="auto" w:sz="4" w:space="0"/>
                  </w:tcBorders>
                  <w:vAlign w:val="center"/>
                </w:tcPr>
                <w:p>
                  <w:pPr>
                    <w:pStyle w:val="41"/>
                  </w:pPr>
                  <w:r>
                    <w:rPr>
                      <w:rFonts w:hint="eastAsia"/>
                    </w:rPr>
                    <w:t>大垃圾收集桶</w:t>
                  </w:r>
                  <w:r>
                    <w:t>1</w:t>
                  </w:r>
                  <w:r>
                    <w:rPr>
                      <w:rFonts w:hint="eastAsia"/>
                    </w:rPr>
                    <w:t>个</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pStyle w:val="41"/>
                  </w:pPr>
                </w:p>
              </w:tc>
              <w:tc>
                <w:tcPr>
                  <w:tcW w:w="3430" w:type="dxa"/>
                  <w:vMerge w:val="continue"/>
                  <w:tcBorders>
                    <w:top w:val="single" w:color="auto" w:sz="4" w:space="0"/>
                    <w:left w:val="single" w:color="auto" w:sz="4" w:space="0"/>
                    <w:bottom w:val="single" w:color="auto" w:sz="4" w:space="0"/>
                    <w:right w:val="single" w:color="auto" w:sz="4" w:space="0"/>
                  </w:tcBorders>
                  <w:vAlign w:val="center"/>
                </w:tcPr>
                <w:p>
                  <w:pPr>
                    <w:pStyle w:val="41"/>
                  </w:pPr>
                </w:p>
              </w:tc>
            </w:tr>
          </w:tbl>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tc>
      </w:tr>
    </w:tbl>
    <w:p>
      <w:pPr>
        <w:ind w:firstLine="31680"/>
      </w:pPr>
      <w:r>
        <w:br w:type="page"/>
      </w:r>
    </w:p>
    <w:tbl>
      <w:tblPr>
        <w:tblStyle w:val="2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56" w:type="dxa"/>
          </w:tcPr>
          <w:p>
            <w:pPr>
              <w:widowControl/>
              <w:spacing w:beforeLines="100"/>
              <w:ind w:firstLine="0" w:firstLineChars="0"/>
              <w:jc w:val="left"/>
              <w:rPr>
                <w:b/>
                <w:sz w:val="28"/>
                <w:szCs w:val="28"/>
              </w:rPr>
            </w:pPr>
            <w:r>
              <w:rPr>
                <w:rFonts w:hint="eastAsia"/>
                <w:b/>
                <w:sz w:val="28"/>
                <w:szCs w:val="28"/>
              </w:rPr>
              <w:t>预审意见：</w:t>
            </w: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rPr>
                <w:b/>
              </w:rPr>
            </w:pPr>
            <w:r>
              <w:t xml:space="preserve">                                                    </w:t>
            </w:r>
            <w:r>
              <w:rPr>
                <w:rFonts w:hint="eastAsia"/>
                <w:b/>
              </w:rPr>
              <w:t>公</w:t>
            </w:r>
            <w:r>
              <w:rPr>
                <w:b/>
              </w:rPr>
              <w:t xml:space="preserve">  </w:t>
            </w:r>
            <w:r>
              <w:rPr>
                <w:rFonts w:hint="eastAsia"/>
                <w:b/>
              </w:rPr>
              <w:t>章</w:t>
            </w:r>
          </w:p>
          <w:p>
            <w:pPr>
              <w:ind w:firstLine="0" w:firstLineChars="0"/>
              <w:rPr>
                <w:b/>
              </w:rPr>
            </w:pPr>
            <w:r>
              <w:rPr>
                <w:rFonts w:hint="eastAsia"/>
                <w:b/>
              </w:rPr>
              <w:t>经办人：</w:t>
            </w:r>
            <w:r>
              <w:rPr>
                <w:b/>
              </w:rPr>
              <w:t xml:space="preserve">                                      </w:t>
            </w:r>
          </w:p>
          <w:p>
            <w:pPr>
              <w:ind w:firstLine="6575" w:firstLineChars="2729"/>
              <w:rPr>
                <w:b/>
              </w:rPr>
            </w:pPr>
            <w:r>
              <w:rPr>
                <w:rFonts w:hint="eastAsia"/>
                <w:b/>
              </w:rPr>
              <w:t>年</w:t>
            </w:r>
            <w:r>
              <w:rPr>
                <w:b/>
              </w:rPr>
              <w:t xml:space="preserve">  </w:t>
            </w:r>
            <w:r>
              <w:rPr>
                <w:rFonts w:hint="eastAsia"/>
                <w:b/>
              </w:rPr>
              <w:t>月</w:t>
            </w:r>
            <w:r>
              <w:rPr>
                <w:b/>
              </w:rPr>
              <w:t xml:space="preserve">  </w:t>
            </w:r>
            <w:r>
              <w:rPr>
                <w:rFonts w:hint="eastAsia"/>
                <w:b/>
              </w:rPr>
              <w:t>日</w:t>
            </w:r>
          </w:p>
          <w:p>
            <w:pPr>
              <w:ind w:firstLine="0" w:firstLineChars="0"/>
              <w:jc w:val="right"/>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6" w:type="dxa"/>
          </w:tcPr>
          <w:p>
            <w:pPr>
              <w:ind w:firstLine="0" w:firstLineChars="0"/>
              <w:rPr>
                <w:b/>
              </w:rPr>
            </w:pPr>
            <w:r>
              <w:rPr>
                <w:rFonts w:hint="eastAsia"/>
                <w:b/>
              </w:rPr>
              <w:t>下一级环境保护行政主管部门审查意见：</w:t>
            </w:r>
          </w:p>
          <w:p>
            <w:pPr>
              <w:ind w:firstLine="31680"/>
              <w:rPr>
                <w:sz w:val="28"/>
              </w:rPr>
            </w:pPr>
          </w:p>
          <w:p>
            <w:pPr>
              <w:ind w:firstLine="31680"/>
              <w:rPr>
                <w:sz w:val="28"/>
              </w:rPr>
            </w:pPr>
          </w:p>
          <w:p>
            <w:pPr>
              <w:ind w:firstLine="31680"/>
              <w:rPr>
                <w:sz w:val="28"/>
              </w:rPr>
            </w:pPr>
          </w:p>
          <w:p>
            <w:pPr>
              <w:ind w:firstLine="31680"/>
              <w:rPr>
                <w:sz w:val="28"/>
              </w:rPr>
            </w:pPr>
          </w:p>
          <w:p>
            <w:pPr>
              <w:ind w:firstLine="31680"/>
              <w:rPr>
                <w:sz w:val="28"/>
              </w:rPr>
            </w:pPr>
          </w:p>
          <w:p>
            <w:pPr>
              <w:ind w:firstLine="31680"/>
              <w:rPr>
                <w:b/>
              </w:rPr>
            </w:pPr>
          </w:p>
          <w:p>
            <w:pPr>
              <w:ind w:firstLine="31680"/>
              <w:rPr>
                <w:b/>
              </w:rPr>
            </w:pPr>
          </w:p>
          <w:p>
            <w:pPr>
              <w:ind w:firstLine="31680"/>
              <w:rPr>
                <w:b/>
              </w:rPr>
            </w:pPr>
          </w:p>
          <w:p>
            <w:pPr>
              <w:ind w:firstLine="6809" w:firstLineChars="2826"/>
              <w:rPr>
                <w:b/>
              </w:rPr>
            </w:pPr>
            <w:r>
              <w:rPr>
                <w:rFonts w:hint="eastAsia"/>
                <w:b/>
              </w:rPr>
              <w:t>公</w:t>
            </w:r>
            <w:r>
              <w:rPr>
                <w:b/>
              </w:rPr>
              <w:t xml:space="preserve">  </w:t>
            </w:r>
            <w:r>
              <w:rPr>
                <w:rFonts w:hint="eastAsia"/>
                <w:b/>
              </w:rPr>
              <w:t>章</w:t>
            </w:r>
          </w:p>
          <w:p>
            <w:pPr>
              <w:ind w:firstLine="0" w:firstLineChars="0"/>
              <w:rPr>
                <w:b/>
              </w:rPr>
            </w:pPr>
            <w:r>
              <w:rPr>
                <w:rFonts w:hint="eastAsia"/>
                <w:b/>
              </w:rPr>
              <w:t>经办人：</w:t>
            </w:r>
            <w:r>
              <w:rPr>
                <w:b/>
              </w:rPr>
              <w:t xml:space="preserve">                                    </w:t>
            </w:r>
          </w:p>
          <w:p>
            <w:pPr>
              <w:ind w:firstLine="6211" w:firstLineChars="2578"/>
              <w:rPr>
                <w:b/>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pPr>
              <w:ind w:right="480" w:firstLine="6375" w:firstLineChars="2646"/>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jc w:val="center"/>
        </w:trPr>
        <w:tc>
          <w:tcPr>
            <w:tcW w:w="9356" w:type="dxa"/>
          </w:tcPr>
          <w:p>
            <w:pPr>
              <w:widowControl/>
              <w:spacing w:beforeLines="100"/>
              <w:ind w:firstLine="0" w:firstLineChars="0"/>
              <w:jc w:val="left"/>
              <w:rPr>
                <w:b/>
                <w:sz w:val="28"/>
                <w:szCs w:val="28"/>
              </w:rPr>
            </w:pPr>
            <w:r>
              <w:rPr>
                <w:rFonts w:hint="eastAsia"/>
                <w:b/>
                <w:sz w:val="28"/>
                <w:szCs w:val="28"/>
              </w:rPr>
              <w:t>审批意见：</w:t>
            </w: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pPr>
          </w:p>
          <w:p>
            <w:pPr>
              <w:ind w:firstLine="31680"/>
            </w:pPr>
            <w:r>
              <w:t xml:space="preserve">                           </w:t>
            </w:r>
          </w:p>
          <w:p>
            <w:pPr>
              <w:ind w:firstLine="31680"/>
            </w:pPr>
            <w:r>
              <w:t xml:space="preserve">                     </w:t>
            </w:r>
          </w:p>
          <w:p>
            <w:pPr>
              <w:ind w:firstLine="31680"/>
              <w:rPr>
                <w:b/>
              </w:rPr>
            </w:pPr>
            <w:r>
              <w:rPr>
                <w:b/>
              </w:rPr>
              <w:t xml:space="preserve">                                                </w:t>
            </w:r>
            <w:r>
              <w:rPr>
                <w:rFonts w:hint="eastAsia"/>
                <w:b/>
              </w:rPr>
              <w:t>公</w:t>
            </w:r>
            <w:r>
              <w:rPr>
                <w:b/>
              </w:rPr>
              <w:t xml:space="preserve">  </w:t>
            </w:r>
            <w:r>
              <w:rPr>
                <w:rFonts w:hint="eastAsia"/>
                <w:b/>
              </w:rPr>
              <w:t>章</w:t>
            </w:r>
          </w:p>
          <w:p>
            <w:pPr>
              <w:ind w:firstLine="0" w:firstLineChars="0"/>
              <w:rPr>
                <w:b/>
              </w:rPr>
            </w:pPr>
            <w:r>
              <w:rPr>
                <w:rFonts w:hint="eastAsia"/>
                <w:b/>
              </w:rPr>
              <w:t>经办人：</w:t>
            </w:r>
            <w:r>
              <w:rPr>
                <w:b/>
              </w:rPr>
              <w:t xml:space="preserve">                                              </w:t>
            </w:r>
          </w:p>
          <w:p>
            <w:pPr>
              <w:ind w:firstLine="5857" w:firstLineChars="2431"/>
              <w:rPr>
                <w:b/>
              </w:rPr>
            </w:pPr>
            <w:r>
              <w:rPr>
                <w:rFonts w:hint="eastAsia"/>
                <w:b/>
              </w:rPr>
              <w:t>年</w:t>
            </w:r>
            <w:r>
              <w:rPr>
                <w:b/>
              </w:rPr>
              <w:t xml:space="preserve">    </w:t>
            </w:r>
            <w:r>
              <w:rPr>
                <w:rFonts w:hint="eastAsia"/>
                <w:b/>
              </w:rPr>
              <w:t>月</w:t>
            </w:r>
            <w:r>
              <w:rPr>
                <w:b/>
              </w:rPr>
              <w:t xml:space="preserve">    </w:t>
            </w:r>
            <w:r>
              <w:rPr>
                <w:rFonts w:hint="eastAsia"/>
                <w:b/>
              </w:rPr>
              <w:t>日</w:t>
            </w:r>
          </w:p>
          <w:p>
            <w:pPr>
              <w:ind w:firstLine="0" w:firstLineChars="0"/>
              <w:rPr>
                <w:b/>
              </w:rPr>
            </w:pPr>
          </w:p>
        </w:tc>
      </w:tr>
    </w:tbl>
    <w:p>
      <w:pPr>
        <w:ind w:firstLine="0" w:firstLineChars="0"/>
      </w:pPr>
    </w:p>
    <w:sectPr>
      <w:footerReference r:id="rId11" w:type="default"/>
      <w:pgSz w:w="11906" w:h="16838"/>
      <w:pgMar w:top="1440" w:right="1134" w:bottom="1440" w:left="1418"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1680"/>
      <w:jc w:val="center"/>
    </w:pPr>
  </w:p>
  <w:p>
    <w:pPr>
      <w:pStyle w:val="16"/>
      <w:ind w:firstLine="199" w:firstLineChars="1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16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16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1680"/>
      <w:jc w:val="center"/>
    </w:pPr>
    <w:r>
      <w:fldChar w:fldCharType="begin"/>
    </w:r>
    <w:r>
      <w:instrText xml:space="preserve">PAGE   \* MERGEFORMAT</w:instrText>
    </w:r>
    <w:r>
      <w:fldChar w:fldCharType="separate"/>
    </w:r>
    <w:r>
      <w:rPr>
        <w:lang w:val="zh-CN"/>
      </w:rPr>
      <w:t>42</w:t>
    </w:r>
    <w:r>
      <w:rPr>
        <w:lang w:val="zh-CN"/>
      </w:rPr>
      <w:fldChar w:fldCharType="end"/>
    </w:r>
  </w:p>
  <w:p>
    <w:pPr>
      <w:pStyle w:val="16"/>
      <w:ind w:firstLine="199" w:firstLineChars="1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16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16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E86"/>
    <w:rsid w:val="00004B95"/>
    <w:rsid w:val="00124078"/>
    <w:rsid w:val="0012498C"/>
    <w:rsid w:val="00151299"/>
    <w:rsid w:val="00170423"/>
    <w:rsid w:val="00190933"/>
    <w:rsid w:val="00194FF9"/>
    <w:rsid w:val="001A76DD"/>
    <w:rsid w:val="001B44AA"/>
    <w:rsid w:val="001D014B"/>
    <w:rsid w:val="00237C45"/>
    <w:rsid w:val="00245FC1"/>
    <w:rsid w:val="00263072"/>
    <w:rsid w:val="00263787"/>
    <w:rsid w:val="0028395B"/>
    <w:rsid w:val="0028729F"/>
    <w:rsid w:val="00290518"/>
    <w:rsid w:val="002D484C"/>
    <w:rsid w:val="002E35D6"/>
    <w:rsid w:val="002E79FB"/>
    <w:rsid w:val="002F766D"/>
    <w:rsid w:val="00302312"/>
    <w:rsid w:val="00303FB3"/>
    <w:rsid w:val="00332F3A"/>
    <w:rsid w:val="00334066"/>
    <w:rsid w:val="00353030"/>
    <w:rsid w:val="003B4B02"/>
    <w:rsid w:val="003E1C11"/>
    <w:rsid w:val="003F026D"/>
    <w:rsid w:val="00416BC3"/>
    <w:rsid w:val="00421B2B"/>
    <w:rsid w:val="00447DC6"/>
    <w:rsid w:val="00450CAF"/>
    <w:rsid w:val="004738F4"/>
    <w:rsid w:val="00482824"/>
    <w:rsid w:val="00494670"/>
    <w:rsid w:val="004A5495"/>
    <w:rsid w:val="004F195B"/>
    <w:rsid w:val="005010FA"/>
    <w:rsid w:val="00503810"/>
    <w:rsid w:val="00512D5F"/>
    <w:rsid w:val="00515A0F"/>
    <w:rsid w:val="00571203"/>
    <w:rsid w:val="005718C0"/>
    <w:rsid w:val="00587191"/>
    <w:rsid w:val="005B451F"/>
    <w:rsid w:val="005C6213"/>
    <w:rsid w:val="005E6368"/>
    <w:rsid w:val="00615B95"/>
    <w:rsid w:val="00640B31"/>
    <w:rsid w:val="006D6F71"/>
    <w:rsid w:val="006F67F1"/>
    <w:rsid w:val="00710976"/>
    <w:rsid w:val="007432A6"/>
    <w:rsid w:val="007453CD"/>
    <w:rsid w:val="00776BBD"/>
    <w:rsid w:val="007F7C90"/>
    <w:rsid w:val="00841710"/>
    <w:rsid w:val="00881064"/>
    <w:rsid w:val="0089316D"/>
    <w:rsid w:val="00893EC5"/>
    <w:rsid w:val="008B0A26"/>
    <w:rsid w:val="008B3868"/>
    <w:rsid w:val="008D0E63"/>
    <w:rsid w:val="0090024E"/>
    <w:rsid w:val="00904EA4"/>
    <w:rsid w:val="00953C22"/>
    <w:rsid w:val="00962C38"/>
    <w:rsid w:val="00990F12"/>
    <w:rsid w:val="00A17040"/>
    <w:rsid w:val="00A43B9D"/>
    <w:rsid w:val="00A55B84"/>
    <w:rsid w:val="00A7784F"/>
    <w:rsid w:val="00A96E9C"/>
    <w:rsid w:val="00AB35A6"/>
    <w:rsid w:val="00AE1E86"/>
    <w:rsid w:val="00AE75D2"/>
    <w:rsid w:val="00B028A7"/>
    <w:rsid w:val="00B2271D"/>
    <w:rsid w:val="00B31262"/>
    <w:rsid w:val="00B60389"/>
    <w:rsid w:val="00B61B2C"/>
    <w:rsid w:val="00B91E89"/>
    <w:rsid w:val="00B9201F"/>
    <w:rsid w:val="00B946CB"/>
    <w:rsid w:val="00B97967"/>
    <w:rsid w:val="00BF082D"/>
    <w:rsid w:val="00C063C4"/>
    <w:rsid w:val="00C22D38"/>
    <w:rsid w:val="00C54B58"/>
    <w:rsid w:val="00C736A0"/>
    <w:rsid w:val="00C84026"/>
    <w:rsid w:val="00C90009"/>
    <w:rsid w:val="00C950FD"/>
    <w:rsid w:val="00CC34C9"/>
    <w:rsid w:val="00CD5B4C"/>
    <w:rsid w:val="00D03192"/>
    <w:rsid w:val="00D041CF"/>
    <w:rsid w:val="00D21CB9"/>
    <w:rsid w:val="00D956E4"/>
    <w:rsid w:val="00DA3D55"/>
    <w:rsid w:val="00DA6817"/>
    <w:rsid w:val="00DC004C"/>
    <w:rsid w:val="00DC42F8"/>
    <w:rsid w:val="00DE645E"/>
    <w:rsid w:val="00E06114"/>
    <w:rsid w:val="00E07D7D"/>
    <w:rsid w:val="00E12DA0"/>
    <w:rsid w:val="00E16440"/>
    <w:rsid w:val="00E20F08"/>
    <w:rsid w:val="00E64449"/>
    <w:rsid w:val="00E70BB3"/>
    <w:rsid w:val="00E72620"/>
    <w:rsid w:val="00E93ACF"/>
    <w:rsid w:val="00E9657F"/>
    <w:rsid w:val="00EC4435"/>
    <w:rsid w:val="00EF0204"/>
    <w:rsid w:val="00F03D52"/>
    <w:rsid w:val="00F24019"/>
    <w:rsid w:val="00F417D1"/>
    <w:rsid w:val="00F708BC"/>
    <w:rsid w:val="00F72D15"/>
    <w:rsid w:val="00FA32A7"/>
    <w:rsid w:val="00FD3229"/>
    <w:rsid w:val="00FD665F"/>
    <w:rsid w:val="00FE2005"/>
    <w:rsid w:val="00FE491D"/>
    <w:rsid w:val="00FF0BEA"/>
    <w:rsid w:val="19EE6DAA"/>
    <w:rsid w:val="2E333CE2"/>
    <w:rsid w:val="53AD0977"/>
    <w:rsid w:val="5EF961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35"/>
        <o:r id="V:Rule2" type="connector" idref="#AutoShape 36"/>
        <o:r id="V:Rule3" type="connector" idref="#AutoShape 37"/>
        <o:r id="V:Rule4" type="connector" idref="#AutoShape 38"/>
        <o:r id="V:Rule5" type="connector" idref="#AutoShape 39"/>
        <o:r id="V:Rule6" type="connector" idref="#AutoShape 40"/>
        <o:r id="V:Rule7" type="connector" idref="#AutoShape 41"/>
        <o:r id="V:Rule8" type="connector" idref="#AutoShape 46"/>
        <o:r id="V:Rule9" type="connector" idref="#AutoShape 47"/>
        <o:r id="V:Rule10" type="connector" idref="#AutoShape 48"/>
        <o:r id="V:Rule11" type="connector" idref="#AutoShape 49"/>
        <o:r id="V:Rule12" type="connector" idref="#AutoShape 9"/>
        <o:r id="V:Rule13" type="connector" idref="#AutoShape 10"/>
        <o:r id="V:Rule14" type="connector" idref="#AutoShape 11"/>
        <o:r id="V:Rule15" type="connector" idref="#AutoShape 12"/>
        <o:r id="V:Rule16" type="connector" idref="#AutoShape 13"/>
        <o:r id="V:Rule17" type="connector" idref="#AutoShape 14"/>
        <o:r id="V:Rule18" type="connector" idref="#AutoShape 16"/>
        <o:r id="V:Rule19" type="connector" idref="#AutoShape 17"/>
        <o:r id="V:Rule20" type="connector" idref="#AutoShape 21"/>
        <o:r id="V:Rule21" type="connector" idref="#AutoShape 22"/>
        <o:r id="V:Rule22" type="connector" idref="#AutoShape 25"/>
        <o:r id="V:Rule23" type="connector" idref="#AutoShape 58"/>
        <o:r id="V:Rule24" type="connector" idref="#AutoShape 59"/>
        <o:r id="V:Rule25" type="connector" idref="#AutoShape 60"/>
        <o:r id="V:Rule26" type="connector" idref="#AutoShape 61"/>
        <o:r id="V:Rule27" type="connector" idref="#AutoShape 66"/>
        <o:r id="V:Rule28" type="connector" idref="#AutoShape 67"/>
        <o:r id="V:Rule29" type="connector" idref="#AutoShape 70"/>
        <o:r id="V:Rule30" type="connector" idref="#AutoShape 7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7"/>
    <w:qFormat/>
    <w:uiPriority w:val="99"/>
    <w:pPr>
      <w:keepNext/>
      <w:keepLines/>
      <w:pageBreakBefore/>
      <w:spacing w:line="240" w:lineRule="auto"/>
      <w:ind w:firstLine="0" w:firstLineChars="0"/>
      <w:outlineLvl w:val="0"/>
    </w:pPr>
    <w:rPr>
      <w:b/>
      <w:bCs/>
      <w:kern w:val="44"/>
      <w:sz w:val="30"/>
      <w:szCs w:val="44"/>
    </w:rPr>
  </w:style>
  <w:style w:type="paragraph" w:styleId="3">
    <w:name w:val="heading 2"/>
    <w:basedOn w:val="1"/>
    <w:next w:val="1"/>
    <w:link w:val="28"/>
    <w:qFormat/>
    <w:uiPriority w:val="99"/>
    <w:pPr>
      <w:keepNext/>
      <w:keepLines/>
      <w:spacing w:before="200"/>
      <w:outlineLvl w:val="1"/>
    </w:pPr>
    <w:rPr>
      <w:rFonts w:ascii="Cambria" w:hAnsi="Cambria"/>
      <w:b/>
      <w:bCs/>
      <w:color w:val="2DA2BF"/>
      <w:kern w:val="0"/>
      <w:sz w:val="26"/>
      <w:szCs w:val="26"/>
    </w:rPr>
  </w:style>
  <w:style w:type="paragraph" w:styleId="4">
    <w:name w:val="heading 3"/>
    <w:basedOn w:val="1"/>
    <w:next w:val="1"/>
    <w:link w:val="29"/>
    <w:qFormat/>
    <w:uiPriority w:val="99"/>
    <w:pPr>
      <w:keepNext/>
      <w:keepLines/>
      <w:spacing w:before="260" w:after="260" w:line="416" w:lineRule="atLeast"/>
      <w:outlineLvl w:val="2"/>
    </w:pPr>
    <w:rPr>
      <w:b/>
      <w:bCs/>
      <w:sz w:val="32"/>
      <w:szCs w:val="32"/>
    </w:rPr>
  </w:style>
  <w:style w:type="paragraph" w:styleId="5">
    <w:name w:val="heading 4"/>
    <w:basedOn w:val="1"/>
    <w:next w:val="1"/>
    <w:link w:val="30"/>
    <w:qFormat/>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link w:val="31"/>
    <w:qFormat/>
    <w:uiPriority w:val="99"/>
    <w:pPr>
      <w:keepNext/>
      <w:keepLines/>
      <w:spacing w:before="280" w:after="290" w:line="376" w:lineRule="auto"/>
      <w:outlineLvl w:val="4"/>
    </w:pPr>
    <w:rPr>
      <w:b/>
      <w:bCs/>
      <w:sz w:val="28"/>
      <w:szCs w:val="28"/>
    </w:rPr>
  </w:style>
  <w:style w:type="paragraph" w:styleId="7">
    <w:name w:val="heading 6"/>
    <w:basedOn w:val="1"/>
    <w:next w:val="1"/>
    <w:link w:val="32"/>
    <w:qFormat/>
    <w:uiPriority w:val="99"/>
    <w:pPr>
      <w:keepNext/>
      <w:keepLines/>
      <w:spacing w:before="240" w:after="64" w:line="320" w:lineRule="auto"/>
      <w:outlineLvl w:val="5"/>
    </w:pPr>
    <w:rPr>
      <w:rFonts w:ascii="Cambria" w:hAnsi="Cambria"/>
      <w:b/>
      <w:bCs/>
    </w:rPr>
  </w:style>
  <w:style w:type="paragraph" w:styleId="8">
    <w:name w:val="heading 7"/>
    <w:basedOn w:val="1"/>
    <w:next w:val="1"/>
    <w:link w:val="33"/>
    <w:qFormat/>
    <w:uiPriority w:val="99"/>
    <w:pPr>
      <w:keepNext/>
      <w:keepLines/>
      <w:spacing w:before="240" w:after="64" w:line="320" w:lineRule="auto"/>
      <w:outlineLvl w:val="6"/>
    </w:pPr>
    <w:rPr>
      <w:b/>
      <w:bCs/>
    </w:rPr>
  </w:style>
  <w:style w:type="paragraph" w:styleId="9">
    <w:name w:val="heading 8"/>
    <w:basedOn w:val="1"/>
    <w:next w:val="1"/>
    <w:link w:val="34"/>
    <w:qFormat/>
    <w:uiPriority w:val="99"/>
    <w:pPr>
      <w:keepNext/>
      <w:keepLines/>
      <w:spacing w:before="240" w:after="64" w:line="320" w:lineRule="auto"/>
      <w:outlineLvl w:val="7"/>
    </w:pPr>
    <w:rPr>
      <w:rFonts w:ascii="Cambria" w:hAnsi="Cambria"/>
    </w:rPr>
  </w:style>
  <w:style w:type="paragraph" w:styleId="10">
    <w:name w:val="heading 9"/>
    <w:basedOn w:val="1"/>
    <w:next w:val="1"/>
    <w:link w:val="35"/>
    <w:qFormat/>
    <w:uiPriority w:val="99"/>
    <w:pPr>
      <w:keepNext/>
      <w:keepLines/>
      <w:spacing w:before="240" w:after="64" w:line="320" w:lineRule="auto"/>
      <w:outlineLvl w:val="8"/>
    </w:pPr>
    <w:rPr>
      <w:rFonts w:ascii="Cambria" w:hAnsi="Cambria"/>
      <w:sz w:val="21"/>
      <w:szCs w:val="21"/>
    </w:rPr>
  </w:style>
  <w:style w:type="character" w:default="1" w:styleId="23">
    <w:name w:val="Default Paragraph Font"/>
    <w:semiHidden/>
    <w:qFormat/>
    <w:uiPriority w:val="99"/>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54"/>
    <w:qFormat/>
    <w:uiPriority w:val="99"/>
    <w:rPr>
      <w:rFonts w:ascii="Cambria" w:hAnsi="Cambria" w:eastAsia="黑体"/>
      <w:sz w:val="20"/>
      <w:szCs w:val="20"/>
    </w:rPr>
  </w:style>
  <w:style w:type="paragraph" w:styleId="12">
    <w:name w:val="Document Map"/>
    <w:basedOn w:val="1"/>
    <w:link w:val="88"/>
    <w:semiHidden/>
    <w:qFormat/>
    <w:uiPriority w:val="99"/>
    <w:rPr>
      <w:rFonts w:ascii="宋体"/>
      <w:sz w:val="18"/>
      <w:szCs w:val="18"/>
    </w:rPr>
  </w:style>
  <w:style w:type="paragraph" w:styleId="13">
    <w:name w:val="annotation text"/>
    <w:basedOn w:val="1"/>
    <w:link w:val="86"/>
    <w:semiHidden/>
    <w:qFormat/>
    <w:uiPriority w:val="99"/>
    <w:pPr>
      <w:jc w:val="left"/>
    </w:pPr>
  </w:style>
  <w:style w:type="paragraph" w:styleId="14">
    <w:name w:val="Body Text"/>
    <w:basedOn w:val="1"/>
    <w:link w:val="40"/>
    <w:semiHidden/>
    <w:uiPriority w:val="99"/>
    <w:pPr>
      <w:spacing w:after="120"/>
    </w:pPr>
  </w:style>
  <w:style w:type="paragraph" w:styleId="15">
    <w:name w:val="Balloon Text"/>
    <w:basedOn w:val="1"/>
    <w:link w:val="85"/>
    <w:semiHidden/>
    <w:qFormat/>
    <w:uiPriority w:val="99"/>
    <w:pPr>
      <w:spacing w:line="240" w:lineRule="auto"/>
    </w:pPr>
    <w:rPr>
      <w:sz w:val="18"/>
      <w:szCs w:val="18"/>
    </w:rPr>
  </w:style>
  <w:style w:type="paragraph" w:styleId="16">
    <w:name w:val="footer"/>
    <w:basedOn w:val="1"/>
    <w:link w:val="84"/>
    <w:qFormat/>
    <w:uiPriority w:val="99"/>
    <w:pPr>
      <w:tabs>
        <w:tab w:val="center" w:pos="4153"/>
        <w:tab w:val="right" w:pos="8306"/>
      </w:tabs>
      <w:snapToGrid w:val="0"/>
      <w:spacing w:line="240" w:lineRule="auto"/>
      <w:jc w:val="left"/>
    </w:pPr>
    <w:rPr>
      <w:sz w:val="18"/>
      <w:szCs w:val="18"/>
    </w:rPr>
  </w:style>
  <w:style w:type="paragraph" w:styleId="17">
    <w:name w:val="header"/>
    <w:basedOn w:val="1"/>
    <w:link w:val="83"/>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Subtitle"/>
    <w:basedOn w:val="1"/>
    <w:next w:val="1"/>
    <w:link w:val="56"/>
    <w:qFormat/>
    <w:uiPriority w:val="99"/>
    <w:pPr>
      <w:ind w:firstLine="200" w:firstLineChars="200"/>
    </w:pPr>
    <w:rPr>
      <w:rFonts w:ascii="Cambria" w:hAnsi="Cambria"/>
      <w:i/>
      <w:iCs/>
      <w:color w:val="2DA2BF"/>
      <w:spacing w:val="15"/>
      <w:kern w:val="0"/>
    </w:rPr>
  </w:style>
  <w:style w:type="paragraph" w:styleId="19">
    <w:name w:val="Title"/>
    <w:basedOn w:val="1"/>
    <w:link w:val="55"/>
    <w:qFormat/>
    <w:uiPriority w:val="99"/>
    <w:pPr>
      <w:adjustRightInd w:val="0"/>
      <w:spacing w:line="480" w:lineRule="atLeast"/>
      <w:jc w:val="left"/>
    </w:pPr>
    <w:rPr>
      <w:rFonts w:ascii="宋体" w:hAnsi="Arial"/>
      <w:kern w:val="28"/>
      <w:szCs w:val="20"/>
    </w:rPr>
  </w:style>
  <w:style w:type="paragraph" w:styleId="20">
    <w:name w:val="annotation subject"/>
    <w:basedOn w:val="13"/>
    <w:next w:val="13"/>
    <w:link w:val="87"/>
    <w:semiHidden/>
    <w:qFormat/>
    <w:uiPriority w:val="99"/>
    <w:rPr>
      <w:b/>
      <w:bCs/>
    </w:rPr>
  </w:style>
  <w:style w:type="table" w:styleId="22">
    <w:name w:val="Table Grid"/>
    <w:basedOn w:val="21"/>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99"/>
    <w:rPr>
      <w:rFonts w:eastAsia="宋体" w:cs="Times New Roman"/>
      <w:b/>
      <w:color w:val="auto"/>
      <w:sz w:val="28"/>
      <w:u w:val="none"/>
      <w:vertAlign w:val="baseline"/>
    </w:rPr>
  </w:style>
  <w:style w:type="character" w:styleId="25">
    <w:name w:val="Emphasis"/>
    <w:basedOn w:val="23"/>
    <w:qFormat/>
    <w:uiPriority w:val="99"/>
    <w:rPr>
      <w:rFonts w:ascii="Times New Roman" w:hAnsi="Times New Roman" w:eastAsia="宋体" w:cs="Times New Roman"/>
      <w:b/>
      <w:color w:val="auto"/>
      <w:sz w:val="24"/>
    </w:rPr>
  </w:style>
  <w:style w:type="character" w:styleId="26">
    <w:name w:val="annotation reference"/>
    <w:basedOn w:val="23"/>
    <w:semiHidden/>
    <w:uiPriority w:val="99"/>
    <w:rPr>
      <w:rFonts w:cs="Times New Roman"/>
      <w:sz w:val="21"/>
      <w:szCs w:val="21"/>
    </w:rPr>
  </w:style>
  <w:style w:type="character" w:customStyle="1" w:styleId="27">
    <w:name w:val="Heading 1 Char"/>
    <w:basedOn w:val="23"/>
    <w:link w:val="2"/>
    <w:qFormat/>
    <w:locked/>
    <w:uiPriority w:val="99"/>
    <w:rPr>
      <w:b/>
      <w:kern w:val="44"/>
      <w:sz w:val="44"/>
    </w:rPr>
  </w:style>
  <w:style w:type="character" w:customStyle="1" w:styleId="28">
    <w:name w:val="Heading 2 Char"/>
    <w:basedOn w:val="23"/>
    <w:link w:val="3"/>
    <w:qFormat/>
    <w:locked/>
    <w:uiPriority w:val="99"/>
    <w:rPr>
      <w:rFonts w:ascii="Cambria" w:hAnsi="Cambria" w:eastAsia="宋体"/>
      <w:b/>
      <w:color w:val="2DA2BF"/>
      <w:sz w:val="26"/>
    </w:rPr>
  </w:style>
  <w:style w:type="character" w:customStyle="1" w:styleId="29">
    <w:name w:val="Heading 3 Char"/>
    <w:basedOn w:val="23"/>
    <w:link w:val="4"/>
    <w:qFormat/>
    <w:locked/>
    <w:uiPriority w:val="99"/>
    <w:rPr>
      <w:b/>
      <w:kern w:val="2"/>
      <w:sz w:val="32"/>
    </w:rPr>
  </w:style>
  <w:style w:type="character" w:customStyle="1" w:styleId="30">
    <w:name w:val="Heading 4 Char"/>
    <w:basedOn w:val="23"/>
    <w:link w:val="5"/>
    <w:semiHidden/>
    <w:qFormat/>
    <w:locked/>
    <w:uiPriority w:val="99"/>
    <w:rPr>
      <w:rFonts w:ascii="Cambria" w:hAnsi="Cambria" w:eastAsia="宋体"/>
      <w:b/>
      <w:kern w:val="2"/>
      <w:sz w:val="28"/>
    </w:rPr>
  </w:style>
  <w:style w:type="character" w:customStyle="1" w:styleId="31">
    <w:name w:val="Heading 5 Char"/>
    <w:basedOn w:val="23"/>
    <w:link w:val="6"/>
    <w:semiHidden/>
    <w:locked/>
    <w:uiPriority w:val="99"/>
    <w:rPr>
      <w:b/>
      <w:kern w:val="2"/>
      <w:sz w:val="28"/>
    </w:rPr>
  </w:style>
  <w:style w:type="character" w:customStyle="1" w:styleId="32">
    <w:name w:val="Heading 6 Char"/>
    <w:basedOn w:val="23"/>
    <w:link w:val="7"/>
    <w:semiHidden/>
    <w:qFormat/>
    <w:locked/>
    <w:uiPriority w:val="99"/>
    <w:rPr>
      <w:rFonts w:ascii="Cambria" w:hAnsi="Cambria" w:eastAsia="宋体"/>
      <w:b/>
      <w:kern w:val="2"/>
      <w:sz w:val="24"/>
    </w:rPr>
  </w:style>
  <w:style w:type="character" w:customStyle="1" w:styleId="33">
    <w:name w:val="Heading 7 Char"/>
    <w:basedOn w:val="23"/>
    <w:link w:val="8"/>
    <w:semiHidden/>
    <w:qFormat/>
    <w:locked/>
    <w:uiPriority w:val="99"/>
    <w:rPr>
      <w:b/>
      <w:kern w:val="2"/>
      <w:sz w:val="24"/>
    </w:rPr>
  </w:style>
  <w:style w:type="character" w:customStyle="1" w:styleId="34">
    <w:name w:val="Heading 8 Char"/>
    <w:basedOn w:val="23"/>
    <w:link w:val="9"/>
    <w:semiHidden/>
    <w:qFormat/>
    <w:locked/>
    <w:uiPriority w:val="99"/>
    <w:rPr>
      <w:rFonts w:ascii="Cambria" w:hAnsi="Cambria" w:eastAsia="宋体"/>
      <w:kern w:val="2"/>
      <w:sz w:val="24"/>
    </w:rPr>
  </w:style>
  <w:style w:type="character" w:customStyle="1" w:styleId="35">
    <w:name w:val="Heading 9 Char"/>
    <w:basedOn w:val="23"/>
    <w:link w:val="10"/>
    <w:semiHidden/>
    <w:qFormat/>
    <w:locked/>
    <w:uiPriority w:val="99"/>
    <w:rPr>
      <w:rFonts w:ascii="Cambria" w:hAnsi="Cambria" w:eastAsia="宋体"/>
      <w:kern w:val="2"/>
      <w:sz w:val="21"/>
    </w:rPr>
  </w:style>
  <w:style w:type="paragraph" w:customStyle="1" w:styleId="36">
    <w:name w:val="1环评正文"/>
    <w:basedOn w:val="1"/>
    <w:link w:val="37"/>
    <w:qFormat/>
    <w:uiPriority w:val="99"/>
    <w:pPr>
      <w:ind w:firstLine="480"/>
    </w:pPr>
    <w:rPr>
      <w:kern w:val="0"/>
      <w:szCs w:val="28"/>
    </w:rPr>
  </w:style>
  <w:style w:type="character" w:customStyle="1" w:styleId="37">
    <w:name w:val="1环评正文 Char"/>
    <w:link w:val="36"/>
    <w:qFormat/>
    <w:locked/>
    <w:uiPriority w:val="99"/>
    <w:rPr>
      <w:snapToGrid w:val="0"/>
      <w:sz w:val="28"/>
    </w:rPr>
  </w:style>
  <w:style w:type="paragraph" w:customStyle="1" w:styleId="38">
    <w:name w:val="无间隔1"/>
    <w:basedOn w:val="14"/>
    <w:link w:val="39"/>
    <w:uiPriority w:val="99"/>
    <w:pPr>
      <w:spacing w:after="0"/>
    </w:pPr>
  </w:style>
  <w:style w:type="character" w:customStyle="1" w:styleId="39">
    <w:name w:val="无间隔 Char"/>
    <w:link w:val="38"/>
    <w:qFormat/>
    <w:locked/>
    <w:uiPriority w:val="99"/>
    <w:rPr>
      <w:kern w:val="2"/>
      <w:sz w:val="24"/>
    </w:rPr>
  </w:style>
  <w:style w:type="character" w:customStyle="1" w:styleId="40">
    <w:name w:val="Body Text Char"/>
    <w:basedOn w:val="23"/>
    <w:link w:val="14"/>
    <w:semiHidden/>
    <w:qFormat/>
    <w:locked/>
    <w:uiPriority w:val="99"/>
    <w:rPr>
      <w:rFonts w:cs="Times New Roman"/>
    </w:rPr>
  </w:style>
  <w:style w:type="paragraph" w:customStyle="1" w:styleId="41">
    <w:name w:val="表格内容"/>
    <w:basedOn w:val="1"/>
    <w:link w:val="42"/>
    <w:qFormat/>
    <w:uiPriority w:val="99"/>
    <w:pPr>
      <w:spacing w:line="240" w:lineRule="auto"/>
      <w:ind w:firstLine="0" w:firstLineChars="0"/>
      <w:jc w:val="center"/>
    </w:pPr>
    <w:rPr>
      <w:sz w:val="21"/>
      <w:szCs w:val="22"/>
    </w:rPr>
  </w:style>
  <w:style w:type="character" w:customStyle="1" w:styleId="42">
    <w:name w:val="表格内容 Char"/>
    <w:link w:val="41"/>
    <w:locked/>
    <w:uiPriority w:val="99"/>
    <w:rPr>
      <w:kern w:val="2"/>
      <w:sz w:val="22"/>
    </w:rPr>
  </w:style>
  <w:style w:type="paragraph" w:customStyle="1" w:styleId="43">
    <w:name w:val="正文2"/>
    <w:basedOn w:val="1"/>
    <w:link w:val="44"/>
    <w:qFormat/>
    <w:uiPriority w:val="99"/>
    <w:pPr>
      <w:adjustRightInd w:val="0"/>
      <w:snapToGrid w:val="0"/>
    </w:pPr>
  </w:style>
  <w:style w:type="character" w:customStyle="1" w:styleId="44">
    <w:name w:val="正文2 Char"/>
    <w:link w:val="43"/>
    <w:qFormat/>
    <w:locked/>
    <w:uiPriority w:val="99"/>
    <w:rPr>
      <w:kern w:val="2"/>
      <w:sz w:val="24"/>
    </w:rPr>
  </w:style>
  <w:style w:type="paragraph" w:customStyle="1" w:styleId="45">
    <w:name w:val="副标题2"/>
    <w:basedOn w:val="1"/>
    <w:link w:val="46"/>
    <w:qFormat/>
    <w:uiPriority w:val="99"/>
    <w:pPr>
      <w:adjustRightInd w:val="0"/>
      <w:snapToGrid w:val="0"/>
      <w:spacing w:beforeLines="50"/>
      <w:ind w:firstLine="0" w:firstLineChars="0"/>
    </w:pPr>
    <w:rPr>
      <w:b/>
      <w:sz w:val="28"/>
      <w:szCs w:val="21"/>
    </w:rPr>
  </w:style>
  <w:style w:type="character" w:customStyle="1" w:styleId="46">
    <w:name w:val="副标题2 Char"/>
    <w:link w:val="45"/>
    <w:qFormat/>
    <w:locked/>
    <w:uiPriority w:val="99"/>
    <w:rPr>
      <w:b/>
      <w:kern w:val="2"/>
      <w:sz w:val="21"/>
    </w:rPr>
  </w:style>
  <w:style w:type="paragraph" w:customStyle="1" w:styleId="47">
    <w:name w:val="表的标题"/>
    <w:basedOn w:val="1"/>
    <w:link w:val="48"/>
    <w:qFormat/>
    <w:uiPriority w:val="99"/>
    <w:pPr>
      <w:adjustRightInd w:val="0"/>
      <w:snapToGrid w:val="0"/>
      <w:spacing w:line="240" w:lineRule="auto"/>
      <w:ind w:firstLine="0" w:firstLineChars="0"/>
      <w:jc w:val="center"/>
    </w:pPr>
    <w:rPr>
      <w:b/>
    </w:rPr>
  </w:style>
  <w:style w:type="character" w:customStyle="1" w:styleId="48">
    <w:name w:val="表的标题 Char"/>
    <w:link w:val="47"/>
    <w:qFormat/>
    <w:locked/>
    <w:uiPriority w:val="99"/>
    <w:rPr>
      <w:b/>
      <w:kern w:val="2"/>
      <w:sz w:val="24"/>
    </w:rPr>
  </w:style>
  <w:style w:type="paragraph" w:customStyle="1" w:styleId="49">
    <w:name w:val="表格表头"/>
    <w:basedOn w:val="1"/>
    <w:link w:val="50"/>
    <w:uiPriority w:val="99"/>
    <w:pPr>
      <w:widowControl/>
      <w:snapToGrid w:val="0"/>
      <w:ind w:firstLine="0" w:firstLineChars="0"/>
      <w:jc w:val="center"/>
    </w:pPr>
    <w:rPr>
      <w:b/>
      <w:color w:val="FF0000"/>
    </w:rPr>
  </w:style>
  <w:style w:type="character" w:customStyle="1" w:styleId="50">
    <w:name w:val="表格表头 Char"/>
    <w:link w:val="49"/>
    <w:qFormat/>
    <w:locked/>
    <w:uiPriority w:val="99"/>
    <w:rPr>
      <w:b/>
      <w:color w:val="FF0000"/>
      <w:kern w:val="2"/>
      <w:sz w:val="24"/>
    </w:rPr>
  </w:style>
  <w:style w:type="paragraph" w:customStyle="1" w:styleId="51">
    <w:name w:val="正文0"/>
    <w:basedOn w:val="1"/>
    <w:link w:val="52"/>
    <w:uiPriority w:val="99"/>
    <w:pPr>
      <w:ind w:firstLine="480"/>
    </w:pPr>
    <w:rPr>
      <w:bCs/>
      <w:color w:val="92D050"/>
      <w:kern w:val="0"/>
      <w:shd w:val="clear" w:color="auto" w:fill="FFFFFF"/>
    </w:rPr>
  </w:style>
  <w:style w:type="character" w:customStyle="1" w:styleId="52">
    <w:name w:val="正文0 Char"/>
    <w:link w:val="51"/>
    <w:qFormat/>
    <w:locked/>
    <w:uiPriority w:val="99"/>
    <w:rPr>
      <w:color w:val="92D050"/>
      <w:sz w:val="24"/>
    </w:rPr>
  </w:style>
  <w:style w:type="paragraph" w:customStyle="1" w:styleId="53">
    <w:name w:val="表格字体"/>
    <w:basedOn w:val="1"/>
    <w:qFormat/>
    <w:uiPriority w:val="99"/>
    <w:pPr>
      <w:widowControl/>
      <w:spacing w:line="240" w:lineRule="auto"/>
      <w:ind w:firstLine="0" w:firstLineChars="0"/>
      <w:jc w:val="center"/>
    </w:pPr>
    <w:rPr>
      <w:sz w:val="21"/>
    </w:rPr>
  </w:style>
  <w:style w:type="character" w:customStyle="1" w:styleId="54">
    <w:name w:val="Caption Char"/>
    <w:link w:val="11"/>
    <w:qFormat/>
    <w:locked/>
    <w:uiPriority w:val="99"/>
    <w:rPr>
      <w:rFonts w:ascii="Cambria" w:hAnsi="Cambria" w:eastAsia="黑体"/>
      <w:kern w:val="2"/>
    </w:rPr>
  </w:style>
  <w:style w:type="character" w:customStyle="1" w:styleId="55">
    <w:name w:val="Title Char"/>
    <w:basedOn w:val="23"/>
    <w:link w:val="19"/>
    <w:qFormat/>
    <w:locked/>
    <w:uiPriority w:val="99"/>
    <w:rPr>
      <w:rFonts w:ascii="宋体" w:hAnsi="Arial"/>
      <w:kern w:val="28"/>
      <w:sz w:val="24"/>
    </w:rPr>
  </w:style>
  <w:style w:type="character" w:customStyle="1" w:styleId="56">
    <w:name w:val="Subtitle Char"/>
    <w:basedOn w:val="23"/>
    <w:link w:val="18"/>
    <w:locked/>
    <w:uiPriority w:val="99"/>
    <w:rPr>
      <w:rFonts w:ascii="Cambria" w:hAnsi="Cambria" w:eastAsia="宋体"/>
      <w:i/>
      <w:color w:val="2DA2BF"/>
      <w:spacing w:val="15"/>
      <w:sz w:val="24"/>
    </w:rPr>
  </w:style>
  <w:style w:type="paragraph" w:styleId="57">
    <w:name w:val="No Spacing"/>
    <w:qFormat/>
    <w:uiPriority w:val="99"/>
    <w:pPr>
      <w:widowControl w:val="0"/>
      <w:jc w:val="center"/>
    </w:pPr>
    <w:rPr>
      <w:rFonts w:ascii="Times New Roman" w:hAnsi="Times New Roman" w:eastAsia="宋体" w:cs="Times New Roman"/>
      <w:kern w:val="2"/>
      <w:sz w:val="21"/>
      <w:szCs w:val="24"/>
      <w:lang w:val="en-US" w:eastAsia="zh-CN" w:bidi="ar-SA"/>
    </w:rPr>
  </w:style>
  <w:style w:type="paragraph" w:styleId="58">
    <w:name w:val="List Paragraph"/>
    <w:basedOn w:val="1"/>
    <w:qFormat/>
    <w:uiPriority w:val="99"/>
    <w:pPr>
      <w:ind w:firstLine="420"/>
    </w:pPr>
  </w:style>
  <w:style w:type="paragraph" w:styleId="59">
    <w:name w:val="Quote"/>
    <w:basedOn w:val="1"/>
    <w:next w:val="1"/>
    <w:link w:val="60"/>
    <w:qFormat/>
    <w:uiPriority w:val="99"/>
    <w:rPr>
      <w:i/>
      <w:iCs/>
      <w:color w:val="000000"/>
      <w:kern w:val="0"/>
      <w:sz w:val="20"/>
      <w:szCs w:val="20"/>
    </w:rPr>
  </w:style>
  <w:style w:type="character" w:customStyle="1" w:styleId="60">
    <w:name w:val="Quote Char"/>
    <w:basedOn w:val="23"/>
    <w:link w:val="59"/>
    <w:qFormat/>
    <w:locked/>
    <w:uiPriority w:val="99"/>
    <w:rPr>
      <w:i/>
      <w:color w:val="000000"/>
    </w:rPr>
  </w:style>
  <w:style w:type="paragraph" w:styleId="61">
    <w:name w:val="Intense Quote"/>
    <w:basedOn w:val="1"/>
    <w:next w:val="1"/>
    <w:link w:val="62"/>
    <w:qFormat/>
    <w:uiPriority w:val="99"/>
    <w:pPr>
      <w:pBdr>
        <w:bottom w:val="single" w:color="4F81BD" w:sz="4" w:space="4"/>
      </w:pBdr>
      <w:spacing w:before="200" w:after="280"/>
      <w:ind w:left="936" w:right="936"/>
    </w:pPr>
    <w:rPr>
      <w:b/>
      <w:bCs/>
      <w:i/>
      <w:iCs/>
      <w:color w:val="4F81BD"/>
    </w:rPr>
  </w:style>
  <w:style w:type="character" w:customStyle="1" w:styleId="62">
    <w:name w:val="Intense Quote Char"/>
    <w:basedOn w:val="23"/>
    <w:link w:val="61"/>
    <w:qFormat/>
    <w:locked/>
    <w:uiPriority w:val="99"/>
    <w:rPr>
      <w:b/>
      <w:i/>
      <w:color w:val="4F81BD"/>
      <w:kern w:val="2"/>
      <w:sz w:val="24"/>
    </w:rPr>
  </w:style>
  <w:style w:type="character" w:customStyle="1" w:styleId="63">
    <w:name w:val="Subtle Emphasis"/>
    <w:basedOn w:val="23"/>
    <w:qFormat/>
    <w:uiPriority w:val="99"/>
    <w:rPr>
      <w:i/>
      <w:color w:val="808080"/>
    </w:rPr>
  </w:style>
  <w:style w:type="character" w:customStyle="1" w:styleId="64">
    <w:name w:val="Intense Emphasis"/>
    <w:basedOn w:val="23"/>
    <w:qFormat/>
    <w:uiPriority w:val="99"/>
    <w:rPr>
      <w:b/>
      <w:i/>
      <w:color w:val="2DA2BF"/>
    </w:rPr>
  </w:style>
  <w:style w:type="character" w:customStyle="1" w:styleId="65">
    <w:name w:val="Subtle Reference"/>
    <w:basedOn w:val="23"/>
    <w:qFormat/>
    <w:uiPriority w:val="99"/>
    <w:rPr>
      <w:smallCaps/>
      <w:color w:val="C0504D"/>
      <w:u w:val="single"/>
    </w:rPr>
  </w:style>
  <w:style w:type="character" w:customStyle="1" w:styleId="66">
    <w:name w:val="Intense Reference"/>
    <w:basedOn w:val="23"/>
    <w:qFormat/>
    <w:uiPriority w:val="99"/>
    <w:rPr>
      <w:b/>
      <w:smallCaps/>
      <w:color w:val="C0504D"/>
      <w:spacing w:val="5"/>
      <w:u w:val="single"/>
    </w:rPr>
  </w:style>
  <w:style w:type="character" w:customStyle="1" w:styleId="67">
    <w:name w:val="Book Title"/>
    <w:basedOn w:val="23"/>
    <w:qFormat/>
    <w:uiPriority w:val="99"/>
    <w:rPr>
      <w:b/>
      <w:smallCaps/>
      <w:spacing w:val="5"/>
    </w:rPr>
  </w:style>
  <w:style w:type="paragraph" w:customStyle="1" w:styleId="68">
    <w:name w:val="TOC Heading"/>
    <w:basedOn w:val="2"/>
    <w:next w:val="1"/>
    <w:qFormat/>
    <w:uiPriority w:val="99"/>
    <w:pPr>
      <w:pageBreakBefore w:val="0"/>
      <w:spacing w:before="340" w:after="330" w:line="578" w:lineRule="auto"/>
      <w:outlineLvl w:val="9"/>
    </w:pPr>
    <w:rPr>
      <w:sz w:val="44"/>
    </w:rPr>
  </w:style>
  <w:style w:type="paragraph" w:customStyle="1" w:styleId="69">
    <w:name w:val="正文a"/>
    <w:basedOn w:val="1"/>
    <w:link w:val="70"/>
    <w:uiPriority w:val="99"/>
    <w:pPr>
      <w:spacing w:beforeLines="20" w:afterLines="15" w:line="240" w:lineRule="auto"/>
      <w:ind w:firstLine="0" w:firstLineChars="0"/>
      <w:jc w:val="center"/>
    </w:pPr>
    <w:rPr>
      <w:b/>
    </w:rPr>
  </w:style>
  <w:style w:type="character" w:customStyle="1" w:styleId="70">
    <w:name w:val="正文a Char"/>
    <w:link w:val="69"/>
    <w:qFormat/>
    <w:locked/>
    <w:uiPriority w:val="99"/>
    <w:rPr>
      <w:b/>
      <w:kern w:val="2"/>
      <w:sz w:val="24"/>
    </w:rPr>
  </w:style>
  <w:style w:type="paragraph" w:customStyle="1" w:styleId="71">
    <w:name w:val="表后标题"/>
    <w:basedOn w:val="38"/>
    <w:next w:val="69"/>
    <w:link w:val="72"/>
    <w:qFormat/>
    <w:uiPriority w:val="99"/>
    <w:pPr>
      <w:spacing w:beforeLines="50"/>
      <w:jc w:val="left"/>
    </w:pPr>
    <w:rPr>
      <w:b/>
    </w:rPr>
  </w:style>
  <w:style w:type="character" w:customStyle="1" w:styleId="72">
    <w:name w:val="表后标题 Char"/>
    <w:link w:val="71"/>
    <w:qFormat/>
    <w:locked/>
    <w:uiPriority w:val="99"/>
    <w:rPr>
      <w:b/>
      <w:kern w:val="2"/>
      <w:sz w:val="24"/>
    </w:rPr>
  </w:style>
  <w:style w:type="paragraph" w:customStyle="1" w:styleId="73">
    <w:name w:val="F正文"/>
    <w:basedOn w:val="1"/>
    <w:link w:val="74"/>
    <w:qFormat/>
    <w:uiPriority w:val="99"/>
    <w:pPr>
      <w:framePr w:wrap="notBeside" w:vAnchor="text" w:hAnchor="text" w:y="1"/>
    </w:pPr>
    <w:rPr>
      <w:color w:val="000000"/>
      <w:kern w:val="0"/>
    </w:rPr>
  </w:style>
  <w:style w:type="character" w:customStyle="1" w:styleId="74">
    <w:name w:val="F正文 Char"/>
    <w:link w:val="73"/>
    <w:qFormat/>
    <w:locked/>
    <w:uiPriority w:val="99"/>
    <w:rPr>
      <w:color w:val="000000"/>
      <w:sz w:val="24"/>
    </w:rPr>
  </w:style>
  <w:style w:type="paragraph" w:customStyle="1" w:styleId="75">
    <w:name w:val="标题2"/>
    <w:basedOn w:val="1"/>
    <w:link w:val="76"/>
    <w:uiPriority w:val="99"/>
    <w:rPr>
      <w:b/>
      <w:color w:val="000000"/>
    </w:rPr>
  </w:style>
  <w:style w:type="character" w:customStyle="1" w:styleId="76">
    <w:name w:val="标题2 Char"/>
    <w:link w:val="75"/>
    <w:qFormat/>
    <w:locked/>
    <w:uiPriority w:val="99"/>
    <w:rPr>
      <w:b/>
      <w:color w:val="000000"/>
      <w:kern w:val="2"/>
      <w:sz w:val="24"/>
    </w:rPr>
  </w:style>
  <w:style w:type="paragraph" w:customStyle="1" w:styleId="77">
    <w:name w:val="表头或表尾"/>
    <w:basedOn w:val="38"/>
    <w:next w:val="69"/>
    <w:link w:val="78"/>
    <w:qFormat/>
    <w:uiPriority w:val="99"/>
    <w:pPr>
      <w:adjustRightInd w:val="0"/>
      <w:snapToGrid w:val="0"/>
      <w:spacing w:beforeLines="20"/>
      <w:jc w:val="center"/>
    </w:pPr>
    <w:rPr>
      <w:b/>
    </w:rPr>
  </w:style>
  <w:style w:type="character" w:customStyle="1" w:styleId="78">
    <w:name w:val="表头或表尾 Char"/>
    <w:link w:val="77"/>
    <w:locked/>
    <w:uiPriority w:val="99"/>
    <w:rPr>
      <w:b/>
      <w:kern w:val="2"/>
      <w:sz w:val="24"/>
    </w:rPr>
  </w:style>
  <w:style w:type="character" w:customStyle="1" w:styleId="79">
    <w:name w:val="表格文字 Char Char"/>
    <w:link w:val="80"/>
    <w:locked/>
    <w:uiPriority w:val="99"/>
    <w:rPr>
      <w:kern w:val="2"/>
      <w:position w:val="-28"/>
      <w:sz w:val="24"/>
    </w:rPr>
  </w:style>
  <w:style w:type="paragraph" w:customStyle="1" w:styleId="80">
    <w:name w:val="表格文字"/>
    <w:basedOn w:val="1"/>
    <w:link w:val="79"/>
    <w:qFormat/>
    <w:uiPriority w:val="99"/>
    <w:pPr>
      <w:adjustRightInd w:val="0"/>
      <w:spacing w:line="440" w:lineRule="atLeast"/>
      <w:ind w:firstLine="0" w:firstLineChars="0"/>
      <w:jc w:val="center"/>
      <w:textAlignment w:val="baseline"/>
    </w:pPr>
    <w:rPr>
      <w:position w:val="-28"/>
      <w:szCs w:val="20"/>
    </w:rPr>
  </w:style>
  <w:style w:type="paragraph" w:customStyle="1" w:styleId="81">
    <w:name w:val="样式 标题 1 + 四号 段前: 0 磅 段后: 0 磅 行距: 1.5 倍行距"/>
    <w:basedOn w:val="2"/>
    <w:qFormat/>
    <w:uiPriority w:val="99"/>
    <w:pPr>
      <w:pageBreakBefore w:val="0"/>
      <w:spacing w:line="360" w:lineRule="auto"/>
      <w:jc w:val="left"/>
    </w:pPr>
    <w:rPr>
      <w:rFonts w:cs="宋体"/>
      <w:szCs w:val="20"/>
    </w:rPr>
  </w:style>
  <w:style w:type="paragraph" w:customStyle="1" w:styleId="82">
    <w:name w:val="小标题"/>
    <w:basedOn w:val="38"/>
    <w:next w:val="69"/>
    <w:qFormat/>
    <w:uiPriority w:val="99"/>
    <w:pPr>
      <w:spacing w:beforeLines="20"/>
      <w:ind w:firstLine="100" w:firstLineChars="100"/>
      <w:jc w:val="left"/>
    </w:pPr>
    <w:rPr>
      <w:b/>
      <w:kern w:val="0"/>
      <w:szCs w:val="20"/>
    </w:rPr>
  </w:style>
  <w:style w:type="character" w:customStyle="1" w:styleId="83">
    <w:name w:val="Header Char"/>
    <w:basedOn w:val="23"/>
    <w:link w:val="17"/>
    <w:qFormat/>
    <w:locked/>
    <w:uiPriority w:val="99"/>
    <w:rPr>
      <w:rFonts w:cs="Times New Roman"/>
      <w:kern w:val="2"/>
      <w:sz w:val="18"/>
      <w:szCs w:val="18"/>
    </w:rPr>
  </w:style>
  <w:style w:type="character" w:customStyle="1" w:styleId="84">
    <w:name w:val="Footer Char"/>
    <w:basedOn w:val="23"/>
    <w:link w:val="16"/>
    <w:qFormat/>
    <w:locked/>
    <w:uiPriority w:val="99"/>
    <w:rPr>
      <w:rFonts w:cs="Times New Roman"/>
      <w:kern w:val="2"/>
      <w:sz w:val="18"/>
      <w:szCs w:val="18"/>
    </w:rPr>
  </w:style>
  <w:style w:type="character" w:customStyle="1" w:styleId="85">
    <w:name w:val="Balloon Text Char"/>
    <w:basedOn w:val="23"/>
    <w:link w:val="15"/>
    <w:semiHidden/>
    <w:qFormat/>
    <w:locked/>
    <w:uiPriority w:val="99"/>
    <w:rPr>
      <w:rFonts w:cs="Times New Roman"/>
      <w:kern w:val="2"/>
      <w:sz w:val="18"/>
      <w:szCs w:val="18"/>
    </w:rPr>
  </w:style>
  <w:style w:type="character" w:customStyle="1" w:styleId="86">
    <w:name w:val="Comment Text Char"/>
    <w:basedOn w:val="23"/>
    <w:link w:val="13"/>
    <w:semiHidden/>
    <w:qFormat/>
    <w:locked/>
    <w:uiPriority w:val="99"/>
    <w:rPr>
      <w:rFonts w:cs="Times New Roman"/>
      <w:kern w:val="2"/>
      <w:sz w:val="24"/>
      <w:szCs w:val="24"/>
    </w:rPr>
  </w:style>
  <w:style w:type="character" w:customStyle="1" w:styleId="87">
    <w:name w:val="Comment Subject Char"/>
    <w:basedOn w:val="86"/>
    <w:link w:val="20"/>
    <w:semiHidden/>
    <w:qFormat/>
    <w:locked/>
    <w:uiPriority w:val="99"/>
    <w:rPr>
      <w:b/>
      <w:bCs/>
    </w:rPr>
  </w:style>
  <w:style w:type="character" w:customStyle="1" w:styleId="88">
    <w:name w:val="Document Map Char"/>
    <w:basedOn w:val="23"/>
    <w:link w:val="12"/>
    <w:semiHidden/>
    <w:locked/>
    <w:uiPriority w:val="99"/>
    <w:rPr>
      <w:rFonts w:ascii="宋体" w:cs="Times New Roman"/>
      <w:kern w:val="2"/>
      <w:sz w:val="18"/>
      <w:szCs w:val="18"/>
    </w:rPr>
  </w:style>
  <w:style w:type="paragraph" w:customStyle="1" w:styleId="89">
    <w:name w:val="reader-word-layer"/>
    <w:basedOn w:val="1"/>
    <w:qFormat/>
    <w:uiPriority w:val="99"/>
    <w:pPr>
      <w:widowControl/>
      <w:spacing w:before="100" w:beforeAutospacing="1" w:after="100" w:afterAutospacing="1" w:line="240" w:lineRule="auto"/>
      <w:ind w:firstLine="0" w:firstLineChars="0"/>
      <w:jc w:val="left"/>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26"/>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51"/>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iceant</Company>
  <Pages>43</Pages>
  <Words>4551</Words>
  <Characters>25947</Characters>
  <Lines>0</Lines>
  <Paragraphs>0</Paragraphs>
  <TotalTime>1413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2016-06-12T06:07:00Z</dcterms:created>
  <dc:creator>win</dc:creator>
  <cp:lastModifiedBy>鹿</cp:lastModifiedBy>
  <dcterms:modified xsi:type="dcterms:W3CDTF">2023-09-08T02:17:53Z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C0D92198DEBE4FD5949E7B6E1C029C6E</vt:lpwstr>
  </property>
</Properties>
</file>