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b/>
          <w:bCs/>
        </w:rPr>
        <w:drawing>
          <wp:anchor distT="0" distB="0" distL="114300" distR="114300" simplePos="0" relativeHeight="251659264" behindDoc="1" locked="0" layoutInCell="1" allowOverlap="1">
            <wp:simplePos x="0" y="0"/>
            <wp:positionH relativeFrom="column">
              <wp:posOffset>114300</wp:posOffset>
            </wp:positionH>
            <wp:positionV relativeFrom="paragraph">
              <wp:posOffset>51435</wp:posOffset>
            </wp:positionV>
            <wp:extent cx="4269740" cy="5548630"/>
            <wp:effectExtent l="0" t="0" r="54610" b="52070"/>
            <wp:wrapTight wrapText="bothSides">
              <wp:wrapPolygon>
                <wp:start x="0" y="0"/>
                <wp:lineTo x="0" y="21506"/>
                <wp:lineTo x="21491" y="21506"/>
                <wp:lineTo x="21491" y="0"/>
                <wp:lineTo x="0" y="0"/>
              </wp:wrapPolygon>
            </wp:wrapTight>
            <wp:docPr id="30" name="图片 30" descr="办理流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办理流程_01"/>
                    <pic:cNvPicPr>
                      <a:picLocks noChangeAspect="1"/>
                    </pic:cNvPicPr>
                  </pic:nvPicPr>
                  <pic:blipFill>
                    <a:blip r:embed="rId4"/>
                    <a:stretch>
                      <a:fillRect/>
                    </a:stretch>
                  </pic:blipFill>
                  <pic:spPr>
                    <a:xfrm>
                      <a:off x="0" y="0"/>
                      <a:ext cx="4269740" cy="5548630"/>
                    </a:xfrm>
                    <a:prstGeom prst="rect">
                      <a:avLst/>
                    </a:prstGeom>
                  </pic:spPr>
                </pic:pic>
              </a:graphicData>
            </a:graphic>
          </wp:anchor>
        </w:drawing>
      </w:r>
      <w:r>
        <w:rPr>
          <w:rFonts w:hint="eastAsia"/>
          <w:b/>
          <w:bCs/>
        </w:rPr>
        <w:t>宅基地使用权及房屋所有权首次登记</w:t>
      </w:r>
      <w:r>
        <w:rPr>
          <w:b/>
          <w:bCs/>
        </w:rPr>
        <w:t>办事指南</w:t>
      </w:r>
      <w:r>
        <w:rPr>
          <w:rFonts w:hint="eastAsia"/>
          <w:b/>
          <w:bCs/>
        </w:rPr>
        <w:t>流程示意图</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jc w:val="center"/>
        <w:rPr>
          <w:sz w:val="28"/>
          <w:szCs w:val="28"/>
        </w:rPr>
      </w:pPr>
      <w:r>
        <w:rPr>
          <w:rFonts w:hint="eastAsia"/>
          <w:sz w:val="28"/>
          <w:szCs w:val="28"/>
        </w:rPr>
        <w:t>宅基地使用权及房屋所有权首次登记</w:t>
      </w:r>
      <w:r>
        <w:rPr>
          <w:sz w:val="28"/>
          <w:szCs w:val="28"/>
        </w:rPr>
        <w:t>办事指南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lang w:eastAsia="zh-CN"/>
        </w:rPr>
        <w:t>2020年3月</w:t>
      </w:r>
      <w:bookmarkStart w:id="0" w:name="_GoBack"/>
      <w:bookmarkEnd w:id="0"/>
      <w:r>
        <w:rPr>
          <w:rFonts w:hint="eastAsia"/>
          <w:sz w:val="24"/>
          <w:szCs w:val="24"/>
        </w:rPr>
        <w:t xml:space="preserve"> 01 日发</w:t>
      </w:r>
    </w:p>
    <w:p>
      <w:pPr>
        <w:rPr>
          <w:b/>
          <w:bCs/>
        </w:rPr>
      </w:pPr>
    </w:p>
    <w:p>
      <w:pPr>
        <w:rPr>
          <w:b/>
          <w:bCs/>
        </w:rPr>
      </w:pPr>
    </w:p>
    <w:p>
      <w:pPr>
        <w:rPr>
          <w:b/>
          <w:bCs/>
        </w:rPr>
      </w:pPr>
    </w:p>
    <w:p>
      <w:pPr>
        <w:rPr>
          <w:b/>
          <w:bCs/>
        </w:rPr>
      </w:pPr>
    </w:p>
    <w:p>
      <w:pPr>
        <w:rPr>
          <w:b/>
          <w:bCs/>
        </w:rPr>
      </w:pPr>
    </w:p>
    <w:p>
      <w:pPr>
        <w:numPr>
          <w:ilvl w:val="0"/>
          <w:numId w:val="2"/>
        </w:numPr>
        <w:ind w:firstLine="420" w:firstLineChars="200"/>
        <w:rPr>
          <w:rFonts w:ascii="黑体" w:hAnsi="黑体" w:eastAsia="黑体" w:cs="黑体"/>
        </w:rPr>
      </w:pPr>
      <w:r>
        <w:rPr>
          <w:rFonts w:hint="eastAsia" w:ascii="黑体" w:hAnsi="黑体" w:eastAsia="黑体" w:cs="黑体"/>
        </w:rPr>
        <w:t>受理范围</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依法取得宅基地使用权，可以单独申请宅基地使用权登记。依法利用宅基地建造住房及其附属设施的，可以申请宅基地使用权及房屋所有权登记。</w:t>
      </w:r>
    </w:p>
    <w:p>
      <w:pPr>
        <w:spacing w:line="260" w:lineRule="exact"/>
        <w:ind w:firstLine="420" w:firstLineChars="200"/>
        <w:rPr>
          <w:rFonts w:asciiTheme="minorEastAsia" w:hAnsiTheme="minorEastAsia" w:eastAsiaTheme="minorEastAsia" w:cstheme="minorEastAsia"/>
        </w:rPr>
      </w:pPr>
      <w:r>
        <w:rPr>
          <w:rFonts w:hint="eastAsia" w:ascii="黑体" w:hAnsi="黑体" w:eastAsia="黑体"/>
          <w:szCs w:val="21"/>
        </w:rPr>
        <w:t>二、登记条件</w:t>
      </w:r>
    </w:p>
    <w:p>
      <w:pPr>
        <w:numPr>
          <w:ilvl w:val="0"/>
          <w:numId w:val="3"/>
        </w:numPr>
        <w:spacing w:line="260" w:lineRule="exact"/>
        <w:ind w:firstLine="422" w:firstLineChars="200"/>
        <w:rPr>
          <w:b/>
          <w:szCs w:val="21"/>
        </w:rPr>
      </w:pPr>
      <w:r>
        <w:rPr>
          <w:rFonts w:hint="eastAsia"/>
          <w:b/>
          <w:szCs w:val="21"/>
        </w:rPr>
        <w:t>予以登记的条件：</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申请宅基地使用权登记的主体为用地批准文件记载的宅基地使用权人。申请宅基地使用权及房屋所有权登记的主体为用地批准文件记载的宅基地使用权人。</w:t>
      </w:r>
    </w:p>
    <w:p>
      <w:pPr>
        <w:spacing w:line="260" w:lineRule="exact"/>
        <w:ind w:firstLine="422" w:firstLineChars="200"/>
        <w:rPr>
          <w:rFonts w:asciiTheme="minorEastAsia" w:hAnsiTheme="minorEastAsia" w:eastAsiaTheme="minorEastAsia" w:cstheme="minorEastAsia"/>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1.申请人未按照不动产登记机构要求进一步补充材料的；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2.申请人、委托代理人身份证明材料以及授权</w:t>
      </w:r>
      <w:r>
        <w:rPr>
          <w:rFonts w:hint="eastAsia" w:asciiTheme="minorEastAsia" w:hAnsiTheme="minorEastAsia" w:eastAsiaTheme="minorEastAsia" w:cstheme="minorEastAsia"/>
          <w:bCs/>
          <w:szCs w:val="21"/>
          <w:lang w:eastAsia="zh-CN"/>
        </w:rPr>
        <w:t>委托</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托书与申请人不一致的；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3.申请登记的不动产不符合不动产单元设定条件的；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4.申请登记的事项与权属来源材料或者登记原因文件不一致的；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5.申请登记的事项与不动产登记簿的记载相冲突的；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6.不动产存在权属争议的，但申请异议登记除外；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7.未依法缴纳土地出让价款、土地租金、海域使用金或者相关税费的；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8.申请登记的不动产权利超过规定期限的；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9.不动产被依法查封期间，权利人处分该不动产申请登记的；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10.未经预告登记权利人书面同意，当事人处分该不动产申请登记的；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受理地点：德宏州芒市政务服务中心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5"/>
        <w:tblpPr w:leftFromText="180" w:rightFromText="180" w:vertAnchor="text" w:horzAnchor="page" w:tblpX="6043" w:tblpY="196"/>
        <w:tblOverlap w:val="never"/>
        <w:tblW w:w="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270"/>
        <w:gridCol w:w="567"/>
        <w:gridCol w:w="425"/>
        <w:gridCol w:w="709"/>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27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425"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65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27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不动产登记申请书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restart"/>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复印件应选用A4纸张，同时加盖公章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27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申请人身份证明</w:t>
            </w:r>
            <w:r>
              <w:rPr>
                <w:rFonts w:hint="eastAsia" w:asciiTheme="minorEastAsia" w:hAnsiTheme="minorEastAsia" w:eastAsiaTheme="minorEastAsia" w:cstheme="minorEastAsia"/>
                <w:sz w:val="15"/>
                <w:szCs w:val="15"/>
              </w:rPr>
              <w:t>（</w:t>
            </w:r>
            <w:r>
              <w:rPr>
                <w:rFonts w:hint="eastAsia" w:ascii="宋体" w:hAnsi="宋体" w:cs="宋体"/>
                <w:sz w:val="15"/>
                <w:szCs w:val="15"/>
              </w:rPr>
              <w:t>身份证、结婚证或离婚证或户口簿、公司需营业执照、统一社会信用代码证、法人身份证、授权委托书、委托人身份证</w:t>
            </w:r>
            <w:r>
              <w:rPr>
                <w:rFonts w:hint="eastAsia" w:asciiTheme="minorEastAsia" w:hAnsiTheme="minorEastAsia" w:eastAsiaTheme="minorEastAsia" w:cstheme="minorEastAsia"/>
                <w:sz w:val="15"/>
                <w:szCs w:val="15"/>
              </w:rPr>
              <w:t>）</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c>
          <w:tcPr>
            <w:tcW w:w="227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有批准权的人民政府批准用地的文件等权属来源材料</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c>
          <w:tcPr>
            <w:tcW w:w="227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不动产权籍调查成果</w:t>
            </w:r>
          </w:p>
        </w:tc>
        <w:tc>
          <w:tcPr>
            <w:tcW w:w="1701" w:type="dxa"/>
            <w:gridSpan w:val="3"/>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具有测绘资质条件的中介机</w:t>
            </w:r>
            <w:r>
              <w:rPr>
                <w:rFonts w:hint="eastAsia" w:asciiTheme="minorEastAsia" w:hAnsiTheme="minorEastAsia" w:eastAsiaTheme="minorEastAsia" w:cstheme="minorEastAsia"/>
                <w:sz w:val="15"/>
                <w:szCs w:val="15"/>
                <w:lang w:eastAsia="zh-CN"/>
              </w:rPr>
              <w:t>构提</w:t>
            </w:r>
            <w:r>
              <w:rPr>
                <w:rFonts w:hint="eastAsia" w:asciiTheme="minorEastAsia" w:hAnsiTheme="minorEastAsia" w:eastAsiaTheme="minorEastAsia" w:cstheme="minorEastAsia"/>
                <w:sz w:val="15"/>
                <w:szCs w:val="15"/>
              </w:rPr>
              <w:t>供</w:t>
            </w:r>
            <w:r>
              <w:rPr>
                <w:rFonts w:asciiTheme="minorEastAsia" w:hAnsiTheme="minorEastAsia" w:eastAsiaTheme="minorEastAsia" w:cstheme="minorEastAsia"/>
                <w:sz w:val="15"/>
                <w:szCs w:val="15"/>
              </w:rPr>
              <w:t>不动产权籍调查成果</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c>
          <w:tcPr>
            <w:tcW w:w="4621" w:type="dxa"/>
            <w:gridSpan w:val="5"/>
            <w:vAlign w:val="center"/>
          </w:tcPr>
          <w:p>
            <w:pPr>
              <w:jc w:val="left"/>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法律</w:t>
            </w:r>
            <w:r>
              <w:rPr>
                <w:rFonts w:hint="eastAsia" w:asciiTheme="minorEastAsia" w:hAnsiTheme="minorEastAsia" w:eastAsiaTheme="minorEastAsia" w:cstheme="minorEastAsia"/>
                <w:sz w:val="15"/>
                <w:szCs w:val="15"/>
              </w:rPr>
              <w:t>、</w:t>
            </w:r>
            <w:r>
              <w:rPr>
                <w:rFonts w:asciiTheme="minorEastAsia" w:hAnsiTheme="minorEastAsia" w:eastAsiaTheme="minorEastAsia" w:cstheme="minorEastAsia"/>
                <w:sz w:val="15"/>
                <w:szCs w:val="15"/>
              </w:rPr>
              <w:t>行政法规以及</w:t>
            </w:r>
            <w:r>
              <w:rPr>
                <w:rFonts w:hint="eastAsia" w:asciiTheme="minorEastAsia" w:hAnsiTheme="minorEastAsia" w:eastAsiaTheme="minorEastAsia" w:cstheme="minorEastAsia"/>
                <w:sz w:val="15"/>
                <w:szCs w:val="15"/>
              </w:rPr>
              <w:t>《实施细则》规定的其他材料</w:t>
            </w:r>
          </w:p>
        </w:tc>
      </w:tr>
    </w:tbl>
    <w:p>
      <w:pPr>
        <w:spacing w:line="260" w:lineRule="exact"/>
        <w:ind w:firstLine="420" w:firstLineChars="200"/>
        <w:rPr>
          <w:rFonts w:asciiTheme="minorEastAsia" w:hAnsiTheme="minorEastAsia" w:eastAsiaTheme="minorEastAsia" w:cstheme="minorEastAsia"/>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rPr>
        <w:t>5</w:t>
      </w:r>
      <w:r>
        <w:rPr>
          <w:rFonts w:asciiTheme="minorEastAsia" w:hAnsiTheme="minorEastAsia" w:eastAsiaTheme="minorEastAsia" w:cstheme="minorEastAsia"/>
        </w:rPr>
        <w:t>个工作日</w:t>
      </w:r>
      <w:r>
        <w:rPr>
          <w:rFonts w:hint="eastAsia" w:asciiTheme="minorEastAsia" w:hAnsiTheme="minorEastAsia" w:eastAsiaTheme="minorEastAsia" w:cstheme="minorEastAsia"/>
        </w:rPr>
        <w:t>，补件时限不计算在内。</w:t>
      </w:r>
    </w:p>
    <w:p>
      <w:pPr>
        <w:rPr>
          <w:rFonts w:asciiTheme="minorEastAsia" w:hAnsiTheme="minorEastAsia" w:eastAsiaTheme="minorEastAsia" w:cstheme="minorEastAsia"/>
        </w:rPr>
      </w:pPr>
      <w:r>
        <w:rPr>
          <w:rFonts w:asciiTheme="minorEastAsia" w:hAnsiTheme="minorEastAsia" w:eastAsiaTheme="minorEastAsia" w:cstheme="minorEastAsia"/>
        </w:rPr>
        <w:t>（不含批量件）。</w:t>
      </w:r>
    </w:p>
    <w:p>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法定办理时限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30个工作日，补件时限不计算在内。</w:t>
      </w:r>
    </w:p>
    <w:p>
      <w:pPr>
        <w:numPr>
          <w:ilvl w:val="0"/>
          <w:numId w:val="4"/>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登记费：10元／件。</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收费依据《国家发展改革委、财政部关于不动产登记收费标准等有关问题的通知》（发改价格规〔2016﹞2559号、《财政部 国家发展改革委关于减免部分行政事业性收费有关政策的通知》财税〔2019﹞45号文件、《云南省财政厅 云南省发展和改革委员会关于转发免征</w:t>
      </w:r>
      <w:r>
        <w:rPr>
          <w:rFonts w:hint="eastAsia" w:asciiTheme="minorEastAsia" w:hAnsiTheme="minorEastAsia" w:eastAsiaTheme="minorEastAsia" w:cstheme="minorEastAsia"/>
          <w:szCs w:val="21"/>
          <w:lang w:eastAsia="zh-CN"/>
        </w:rPr>
        <w:t>易地</w:t>
      </w:r>
      <w:r>
        <w:rPr>
          <w:rFonts w:hint="eastAsia" w:asciiTheme="minorEastAsia" w:hAnsiTheme="minorEastAsia" w:eastAsiaTheme="minorEastAsia" w:cstheme="minorEastAsia"/>
          <w:szCs w:val="21"/>
        </w:rPr>
        <w:t>扶贫搬迁有关政府性基金和行政事业性收费政策的通知》云财非税〔2019﹞16号文件。</w:t>
      </w:r>
    </w:p>
    <w:p>
      <w:pPr>
        <w:spacing w:line="260" w:lineRule="exact"/>
        <w:ind w:firstLine="420" w:firstLineChars="200"/>
        <w:rPr>
          <w:rFonts w:ascii="黑体" w:hAnsi="黑体" w:eastAsia="黑体"/>
          <w:szCs w:val="21"/>
        </w:rPr>
      </w:pPr>
      <w:r>
        <w:rPr>
          <w:rFonts w:hint="eastAsia" w:ascii="黑体" w:hAnsi="黑体" w:eastAsia="黑体"/>
          <w:szCs w:val="21"/>
        </w:rPr>
        <w:t>七、登记决定及送达方式</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办理结果：颁发</w:t>
      </w:r>
      <w:r>
        <w:rPr>
          <w:rFonts w:hint="eastAsia" w:asciiTheme="minorEastAsia" w:hAnsiTheme="minorEastAsia" w:eastAsiaTheme="minorEastAsia" w:cstheme="minorEastAsia"/>
        </w:rPr>
        <w:t>不动产权证书</w:t>
      </w:r>
      <w:r>
        <w:rPr>
          <w:rFonts w:asciiTheme="minorEastAsia" w:hAnsiTheme="minorEastAsia" w:eastAsiaTheme="minorEastAsia" w:cstheme="minorEastAsia"/>
        </w:rPr>
        <w:t>。</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送达方式：到芒市政务服务中心</w:t>
      </w:r>
      <w:r>
        <w:rPr>
          <w:rFonts w:hint="eastAsia" w:asciiTheme="minorEastAsia" w:hAnsiTheme="minorEastAsia" w:eastAsiaTheme="minorEastAsia" w:cstheme="minorEastAsia"/>
          <w:lang w:eastAsia="zh-CN"/>
        </w:rPr>
        <w:t>二楼</w:t>
      </w:r>
      <w:r>
        <w:rPr>
          <w:rFonts w:asciiTheme="minorEastAsia" w:hAnsiTheme="minorEastAsia" w:eastAsiaTheme="minorEastAsia" w:cstheme="minorEastAsia"/>
        </w:rPr>
        <w:t>芒市不动产登记中心直接领取。</w:t>
      </w:r>
    </w:p>
    <w:p>
      <w:pPr>
        <w:spacing w:line="260" w:lineRule="exact"/>
        <w:ind w:firstLine="420" w:firstLineChars="200"/>
        <w:rPr>
          <w:rFonts w:ascii="黑体" w:hAnsi="黑体" w:eastAsia="黑体"/>
          <w:szCs w:val="21"/>
        </w:rPr>
      </w:pPr>
      <w:r>
        <w:rPr>
          <w:rFonts w:hint="eastAsia" w:ascii="黑体" w:hAnsi="黑体" w:eastAsia="黑体"/>
          <w:szCs w:val="21"/>
        </w:rPr>
        <w:t>八、咨询</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1.咨询方式</w:t>
      </w:r>
    </w:p>
    <w:p>
      <w:pPr>
        <w:ind w:firstLine="404" w:firstLineChars="200"/>
        <w:rPr>
          <w:rFonts w:ascii="宋体" w:hAnsi="宋体"/>
          <w:spacing w:val="-4"/>
          <w:szCs w:val="21"/>
        </w:rPr>
      </w:pPr>
      <w:r>
        <w:rPr>
          <w:rFonts w:hint="eastAsia" w:ascii="宋体" w:hAnsi="宋体"/>
          <w:spacing w:val="-4"/>
          <w:szCs w:val="21"/>
        </w:rPr>
        <w:t>（1）窗口咨询：芒市政务服务中心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numPr>
          <w:ilvl w:val="0"/>
          <w:numId w:val="5"/>
        </w:numPr>
        <w:rPr>
          <w:rFonts w:hint="default" w:ascii="宋体" w:hAnsi="宋体"/>
          <w:spacing w:val="-4"/>
          <w:szCs w:val="21"/>
          <w:lang w:val="en-US"/>
        </w:rPr>
      </w:pPr>
      <w:r>
        <w:rPr>
          <w:rFonts w:hint="eastAsia" w:ascii="宋体" w:hAnsi="宋体"/>
          <w:spacing w:val="-4"/>
          <w:szCs w:val="21"/>
        </w:rPr>
        <w:t>电话咨询：0692-</w:t>
      </w:r>
      <w:r>
        <w:rPr>
          <w:rFonts w:hint="eastAsia" w:ascii="宋体" w:hAnsi="宋体"/>
          <w:spacing w:val="-4"/>
          <w:szCs w:val="21"/>
          <w:lang w:val="en-US" w:eastAsia="zh-CN"/>
        </w:rPr>
        <w:t>2991728</w:t>
      </w:r>
    </w:p>
    <w:p>
      <w:pPr>
        <w:adjustRightInd w:val="0"/>
        <w:snapToGrid w:val="0"/>
        <w:spacing w:line="260" w:lineRule="exact"/>
        <w:ind w:firstLine="420" w:firstLineChars="200"/>
        <w:jc w:val="left"/>
        <w:rPr>
          <w:rFonts w:asciiTheme="minorEastAsia" w:hAnsiTheme="minorEastAsia" w:eastAsiaTheme="minorEastAsia" w:cstheme="minorEastAsia"/>
          <w:bCs/>
          <w:szCs w:val="21"/>
        </w:rPr>
      </w:pPr>
      <w:r>
        <w:rPr>
          <w:rFonts w:hint="eastAsia" w:ascii="黑体" w:hAnsi="黑体" w:eastAsia="黑体"/>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ind w:firstLine="404" w:firstLineChars="200"/>
        <w:rPr>
          <w:rFonts w:ascii="宋体" w:hAnsi="宋体"/>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BB"/>
    <w:multiLevelType w:val="singleLevel"/>
    <w:tmpl w:val="09052CBB"/>
    <w:lvl w:ilvl="0" w:tentative="0">
      <w:start w:val="6"/>
      <w:numFmt w:val="chineseCounting"/>
      <w:suff w:val="nothing"/>
      <w:lvlText w:val="%1、"/>
      <w:lvlJc w:val="left"/>
      <w:rPr>
        <w:rFonts w:hint="eastAsia"/>
      </w:rPr>
    </w:lvl>
  </w:abstractNum>
  <w:abstractNum w:abstractNumId="1">
    <w:nsid w:val="11848BD4"/>
    <w:multiLevelType w:val="singleLevel"/>
    <w:tmpl w:val="11848BD4"/>
    <w:lvl w:ilvl="0" w:tentative="0">
      <w:start w:val="1"/>
      <w:numFmt w:val="chineseCounting"/>
      <w:suff w:val="nothing"/>
      <w:lvlText w:val="（%1）"/>
      <w:lvlJc w:val="left"/>
      <w:rPr>
        <w:rFonts w:hint="eastAsia"/>
      </w:rPr>
    </w:lvl>
  </w:abstractNum>
  <w:abstractNum w:abstractNumId="2">
    <w:nsid w:val="14C27A63"/>
    <w:multiLevelType w:val="singleLevel"/>
    <w:tmpl w:val="14C27A63"/>
    <w:lvl w:ilvl="0" w:tentative="0">
      <w:start w:val="1"/>
      <w:numFmt w:val="chineseCounting"/>
      <w:suff w:val="nothing"/>
      <w:lvlText w:val="%1、"/>
      <w:lvlJc w:val="left"/>
      <w:rPr>
        <w:rFonts w:hint="eastAsia"/>
      </w:rPr>
    </w:lvl>
  </w:abstractNum>
  <w:abstractNum w:abstractNumId="3">
    <w:nsid w:val="4B733A5F"/>
    <w:multiLevelType w:val="multilevel"/>
    <w:tmpl w:val="4B733A5F"/>
    <w:lvl w:ilvl="0" w:tentative="0">
      <w:start w:val="1"/>
      <w:numFmt w:val="decimal"/>
      <w:pStyle w:val="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4">
    <w:nsid w:val="56FBC5B2"/>
    <w:multiLevelType w:val="singleLevel"/>
    <w:tmpl w:val="56FBC5B2"/>
    <w:lvl w:ilvl="0" w:tentative="0">
      <w:start w:val="2"/>
      <w:numFmt w:val="decimal"/>
      <w:suff w:val="nothing"/>
      <w:lvlText w:val="（%1）"/>
      <w:lvlJc w:val="left"/>
      <w:pPr>
        <w:ind w:left="388" w:firstLine="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5M2JmMGZjZjM3NjFiNTA4ZTQ2ZGE5NGJiMjc1NTkifQ=="/>
  </w:docVars>
  <w:rsids>
    <w:rsidRoot w:val="661A238D"/>
    <w:rsid w:val="001245F3"/>
    <w:rsid w:val="00131FF2"/>
    <w:rsid w:val="00147098"/>
    <w:rsid w:val="001D6925"/>
    <w:rsid w:val="00294A41"/>
    <w:rsid w:val="003D1D2E"/>
    <w:rsid w:val="00403C06"/>
    <w:rsid w:val="00434BFC"/>
    <w:rsid w:val="0047148B"/>
    <w:rsid w:val="004F7446"/>
    <w:rsid w:val="00536ED5"/>
    <w:rsid w:val="0055639A"/>
    <w:rsid w:val="005B077B"/>
    <w:rsid w:val="005C0781"/>
    <w:rsid w:val="006F737F"/>
    <w:rsid w:val="00724A7C"/>
    <w:rsid w:val="007E0CAC"/>
    <w:rsid w:val="0081281C"/>
    <w:rsid w:val="00837EE8"/>
    <w:rsid w:val="008B6310"/>
    <w:rsid w:val="00A46E07"/>
    <w:rsid w:val="00B163AD"/>
    <w:rsid w:val="00B2046F"/>
    <w:rsid w:val="00B766BC"/>
    <w:rsid w:val="00BF1BA2"/>
    <w:rsid w:val="00C16F42"/>
    <w:rsid w:val="00D30F40"/>
    <w:rsid w:val="00EA282A"/>
    <w:rsid w:val="00F35560"/>
    <w:rsid w:val="00F41C97"/>
    <w:rsid w:val="00F4488D"/>
    <w:rsid w:val="00F6599B"/>
    <w:rsid w:val="04407132"/>
    <w:rsid w:val="051E30D6"/>
    <w:rsid w:val="07807418"/>
    <w:rsid w:val="088003AD"/>
    <w:rsid w:val="0B832689"/>
    <w:rsid w:val="11A33503"/>
    <w:rsid w:val="145B3DB8"/>
    <w:rsid w:val="15434617"/>
    <w:rsid w:val="17064F93"/>
    <w:rsid w:val="18F261CB"/>
    <w:rsid w:val="19C7118A"/>
    <w:rsid w:val="1BD963A7"/>
    <w:rsid w:val="1C2553A2"/>
    <w:rsid w:val="1C6A2D21"/>
    <w:rsid w:val="1CE86080"/>
    <w:rsid w:val="1DD901B8"/>
    <w:rsid w:val="1F4E2C5C"/>
    <w:rsid w:val="216612D6"/>
    <w:rsid w:val="21680606"/>
    <w:rsid w:val="22105382"/>
    <w:rsid w:val="242245D3"/>
    <w:rsid w:val="255667ED"/>
    <w:rsid w:val="2B597DB2"/>
    <w:rsid w:val="2C417C7B"/>
    <w:rsid w:val="2C7012E8"/>
    <w:rsid w:val="31EE7226"/>
    <w:rsid w:val="33A1022C"/>
    <w:rsid w:val="368C4679"/>
    <w:rsid w:val="370F3162"/>
    <w:rsid w:val="394C7ABD"/>
    <w:rsid w:val="396C2F18"/>
    <w:rsid w:val="3A195219"/>
    <w:rsid w:val="3AC66CB1"/>
    <w:rsid w:val="3C202737"/>
    <w:rsid w:val="3C7B2762"/>
    <w:rsid w:val="3DBF59F1"/>
    <w:rsid w:val="3EF630D7"/>
    <w:rsid w:val="400B3B08"/>
    <w:rsid w:val="4360346E"/>
    <w:rsid w:val="4577445E"/>
    <w:rsid w:val="457B65AD"/>
    <w:rsid w:val="48013A40"/>
    <w:rsid w:val="484D3F1A"/>
    <w:rsid w:val="4D5B0AE3"/>
    <w:rsid w:val="4E0F0CF6"/>
    <w:rsid w:val="4FBC2B14"/>
    <w:rsid w:val="512D43AE"/>
    <w:rsid w:val="52007457"/>
    <w:rsid w:val="57D9164A"/>
    <w:rsid w:val="5D5D1E2B"/>
    <w:rsid w:val="5DA50CB6"/>
    <w:rsid w:val="5EF33E24"/>
    <w:rsid w:val="630360DB"/>
    <w:rsid w:val="65356DA7"/>
    <w:rsid w:val="65A23C00"/>
    <w:rsid w:val="661A238D"/>
    <w:rsid w:val="68AC7904"/>
    <w:rsid w:val="6B9278DF"/>
    <w:rsid w:val="6C275F83"/>
    <w:rsid w:val="6E14706C"/>
    <w:rsid w:val="70384EB9"/>
    <w:rsid w:val="720F3426"/>
    <w:rsid w:val="7239484D"/>
    <w:rsid w:val="741C7977"/>
    <w:rsid w:val="74C72DF3"/>
    <w:rsid w:val="755D0DA2"/>
    <w:rsid w:val="75CB2AE1"/>
    <w:rsid w:val="772B13D3"/>
    <w:rsid w:val="78264FB2"/>
    <w:rsid w:val="79A4739F"/>
    <w:rsid w:val="7BCB4F1C"/>
    <w:rsid w:val="7F287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示例×："/>
    <w:basedOn w:val="1"/>
    <w:qFormat/>
    <w:uiPriority w:val="0"/>
    <w:pPr>
      <w:widowControl/>
      <w:numPr>
        <w:ilvl w:val="0"/>
        <w:numId w:val="1"/>
      </w:numPr>
    </w:pPr>
    <w:rPr>
      <w:rFonts w:ascii="宋体" w:hAnsi="Times New Roman"/>
      <w:kern w:val="0"/>
      <w:sz w:val="18"/>
      <w:szCs w:val="18"/>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1160</Words>
  <Characters>1229</Characters>
  <Lines>1</Lines>
  <Paragraphs>2</Paragraphs>
  <TotalTime>0</TotalTime>
  <ScaleCrop>false</ScaleCrop>
  <LinksUpToDate>false</LinksUpToDate>
  <CharactersWithSpaces>1234</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2025-09-15T08:54:05Z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35A4933E3876444FB3AA970163236968_13</vt:lpwstr>
  </property>
</Properties>
</file>