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b/>
          <w:bCs/>
        </w:rPr>
        <w:t>国有建设用地使用权</w:t>
      </w:r>
      <w:r>
        <w:rPr>
          <w:b/>
          <w:bCs/>
        </w:rPr>
        <w:t>及房屋所有权</w:t>
      </w:r>
      <w:r>
        <w:rPr>
          <w:rFonts w:hint="eastAsia"/>
          <w:b/>
          <w:bCs/>
        </w:rPr>
        <w:t>转移</w:t>
      </w:r>
      <w:r>
        <w:rPr>
          <w:b/>
          <w:bCs/>
        </w:rPr>
        <w:t>登记办事指南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国有建设用地使用权及房屋所有权转移</w:t>
      </w:r>
      <w:r>
        <w:rPr>
          <w:sz w:val="28"/>
          <w:szCs w:val="28"/>
        </w:rPr>
        <w:t>登记办事指南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lang w:eastAsia="zh-CN"/>
        </w:rPr>
        <w:t>2020年3月1日</w:t>
      </w:r>
      <w:bookmarkStart w:id="0" w:name="_GoBack"/>
      <w:bookmarkEnd w:id="0"/>
      <w:r>
        <w:rPr>
          <w:rFonts w:hint="eastAsia"/>
          <w:sz w:val="24"/>
          <w:szCs w:val="24"/>
        </w:rPr>
        <w:t>发</w:t>
      </w:r>
    </w:p>
    <w:p>
      <w:pPr>
        <w:rPr>
          <w:b/>
          <w:bCs/>
        </w:rPr>
      </w:pPr>
    </w:p>
    <w:p>
      <w:pPr>
        <w:rPr>
          <w:b/>
          <w:bCs/>
        </w:rPr>
      </w:pPr>
    </w:p>
    <w:p>
      <w:pPr>
        <w:rPr>
          <w:b/>
          <w:bCs/>
        </w:rPr>
      </w:pPr>
    </w:p>
    <w:p>
      <w:pPr>
        <w:ind w:firstLine="420" w:firstLineChars="200"/>
        <w:rPr>
          <w:rFonts w:ascii="黑体" w:hAnsi="黑体" w:eastAsia="黑体" w:cs="黑体"/>
        </w:rPr>
      </w:pPr>
      <w:r>
        <w:rPr>
          <w:rFonts w:hint="eastAsia" w:ascii="黑体" w:hAnsi="黑体" w:eastAsia="黑体" w:cs="黑体"/>
        </w:rPr>
        <w:t>一、受理范围</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1</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买卖</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互换</w:t>
      </w:r>
      <w:r>
        <w:rPr>
          <w:rFonts w:hint="eastAsia" w:asciiTheme="minorEastAsia" w:hAnsiTheme="minorEastAsia" w:eastAsiaTheme="minorEastAsia" w:cstheme="minorEastAsia"/>
          <w:bCs/>
          <w:szCs w:val="21"/>
          <w:lang w:eastAsia="zh-CN"/>
        </w:rPr>
        <w:t>。赠予</w:t>
      </w:r>
      <w:r>
        <w:rPr>
          <w:rFonts w:asciiTheme="minorEastAsia" w:hAnsiTheme="minorEastAsia" w:eastAsiaTheme="minorEastAsia" w:cstheme="minorEastAsia"/>
          <w:bCs/>
          <w:szCs w:val="21"/>
        </w:rPr>
        <w:t>的；</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2</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继承或受遗赠的；</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作价出资（入股）的；</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4</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法人或其他组织合并</w:t>
      </w:r>
      <w:r>
        <w:rPr>
          <w:rFonts w:hint="eastAsia" w:asciiTheme="minorEastAsia" w:hAnsiTheme="minorEastAsia" w:eastAsiaTheme="minorEastAsia" w:cstheme="minorEastAsia"/>
          <w:bCs/>
          <w:szCs w:val="21"/>
          <w:lang w:eastAsia="zh-CN"/>
        </w:rPr>
        <w:t>。</w:t>
      </w:r>
      <w:r>
        <w:rPr>
          <w:rFonts w:asciiTheme="minorEastAsia" w:hAnsiTheme="minorEastAsia" w:eastAsiaTheme="minorEastAsia" w:cstheme="minorEastAsia"/>
          <w:bCs/>
          <w:szCs w:val="21"/>
        </w:rPr>
        <w:t xml:space="preserve">分立等导致权属发生转移的； </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5</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共有人增加或者减少以及共有份额变化的；</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分割</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合并导致权属发生转移的；</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7</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因人民法院</w:t>
      </w:r>
      <w:r>
        <w:rPr>
          <w:rFonts w:hint="eastAsia" w:asciiTheme="minorEastAsia" w:hAnsiTheme="minorEastAsia" w:eastAsiaTheme="minorEastAsia" w:cstheme="minorEastAsia"/>
          <w:bCs/>
          <w:szCs w:val="21"/>
          <w:lang w:eastAsia="zh-CN"/>
        </w:rPr>
        <w:t>。</w:t>
      </w:r>
      <w:r>
        <w:rPr>
          <w:rFonts w:asciiTheme="minorEastAsia" w:hAnsiTheme="minorEastAsia" w:eastAsiaTheme="minorEastAsia" w:cstheme="minorEastAsia"/>
          <w:bCs/>
          <w:szCs w:val="21"/>
        </w:rPr>
        <w:t>仲裁委员会的生效法律文书等导致国有建设用地使用权及房屋所有权发生转移的；</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8</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法律</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二、登记条件</w:t>
      </w:r>
    </w:p>
    <w:p>
      <w:pPr>
        <w:spacing w:line="260" w:lineRule="exact"/>
        <w:ind w:firstLine="422" w:firstLineChars="200"/>
        <w:rPr>
          <w:b/>
          <w:szCs w:val="21"/>
        </w:rPr>
      </w:pPr>
      <w:r>
        <w:rPr>
          <w:rFonts w:hint="eastAsia"/>
          <w:b/>
          <w:szCs w:val="21"/>
        </w:rPr>
        <w:t>（一）予以登记的条件：</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国有建设用地使用权及房屋所有权由当事人双方共同申请的。</w:t>
      </w:r>
    </w:p>
    <w:p>
      <w:pPr>
        <w:spacing w:line="260" w:lineRule="exact"/>
        <w:ind w:firstLine="422" w:firstLineChars="200"/>
        <w:rPr>
          <w:b/>
          <w:szCs w:val="21"/>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w:t>
      </w:r>
      <w:r>
        <w:rPr>
          <w:rFonts w:hint="eastAsia" w:asciiTheme="minorEastAsia" w:hAnsiTheme="minorEastAsia" w:eastAsiaTheme="minorEastAsia" w:cstheme="minorEastAsia"/>
          <w:bCs/>
          <w:szCs w:val="21"/>
          <w:lang w:eastAsia="zh-CN"/>
        </w:rPr>
        <w:t>委托</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9.不动产被依法查封期间，权利人处分该不动产申请登记的；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5"/>
        <w:tblpPr w:leftFromText="180" w:rightFromText="180" w:vertAnchor="text" w:horzAnchor="page" w:tblpXSpec="center" w:tblpY="108"/>
        <w:tblOverlap w:val="never"/>
        <w:tblW w:w="5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
        <w:gridCol w:w="2764"/>
        <w:gridCol w:w="567"/>
        <w:gridCol w:w="284"/>
        <w:gridCol w:w="708"/>
        <w:gridCol w:w="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序号</w:t>
            </w:r>
          </w:p>
        </w:tc>
        <w:tc>
          <w:tcPr>
            <w:tcW w:w="2764"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材料名称</w:t>
            </w:r>
          </w:p>
        </w:tc>
        <w:tc>
          <w:tcPr>
            <w:tcW w:w="567" w:type="dxa"/>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材料形式</w:t>
            </w:r>
          </w:p>
        </w:tc>
        <w:tc>
          <w:tcPr>
            <w:tcW w:w="284" w:type="dxa"/>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份数</w:t>
            </w:r>
          </w:p>
        </w:tc>
        <w:tc>
          <w:tcPr>
            <w:tcW w:w="708" w:type="dxa"/>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材料来源</w:t>
            </w:r>
          </w:p>
        </w:tc>
        <w:tc>
          <w:tcPr>
            <w:tcW w:w="367" w:type="dxa"/>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1</w:t>
            </w:r>
          </w:p>
        </w:tc>
        <w:tc>
          <w:tcPr>
            <w:tcW w:w="2764" w:type="dxa"/>
            <w:vAlign w:val="center"/>
          </w:tcPr>
          <w:p>
            <w:pPr>
              <w:jc w:val="center"/>
              <w:rPr>
                <w:rFonts w:asciiTheme="minorEastAsia" w:hAnsiTheme="minorEastAsia" w:eastAsiaTheme="minorEastAsia" w:cstheme="minorEastAsia"/>
                <w:sz w:val="13"/>
                <w:szCs w:val="13"/>
              </w:rPr>
            </w:pPr>
            <w:r>
              <w:rPr>
                <w:rFonts w:asciiTheme="minorEastAsia" w:hAnsiTheme="minorEastAsia" w:eastAsiaTheme="minorEastAsia" w:cstheme="minorEastAsia"/>
                <w:sz w:val="13"/>
                <w:szCs w:val="13"/>
              </w:rPr>
              <w:t>不动产登记申请书</w:t>
            </w:r>
          </w:p>
        </w:tc>
        <w:tc>
          <w:tcPr>
            <w:tcW w:w="567"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原件</w:t>
            </w:r>
          </w:p>
        </w:tc>
        <w:tc>
          <w:tcPr>
            <w:tcW w:w="284"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1</w:t>
            </w:r>
          </w:p>
        </w:tc>
        <w:tc>
          <w:tcPr>
            <w:tcW w:w="708"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申请人自备</w:t>
            </w:r>
          </w:p>
        </w:tc>
        <w:tc>
          <w:tcPr>
            <w:tcW w:w="367" w:type="dxa"/>
            <w:vMerge w:val="restart"/>
            <w:vAlign w:val="center"/>
          </w:tcPr>
          <w:p>
            <w:pPr>
              <w:jc w:val="center"/>
              <w:rPr>
                <w:rFonts w:asciiTheme="minorEastAsia" w:hAnsiTheme="minorEastAsia" w:eastAsiaTheme="minorEastAsia" w:cstheme="minorEastAsia"/>
                <w:sz w:val="13"/>
                <w:szCs w:val="13"/>
              </w:rPr>
            </w:pPr>
            <w:r>
              <w:rPr>
                <w:rFonts w:asciiTheme="minorEastAsia" w:hAnsiTheme="minorEastAsia" w:eastAsiaTheme="minorEastAsia" w:cstheme="minorEastAsia"/>
                <w:sz w:val="13"/>
                <w:szCs w:val="13"/>
              </w:rPr>
              <w:t>复印件应选用A4纸张，同时加盖公章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2</w:t>
            </w:r>
          </w:p>
        </w:tc>
        <w:tc>
          <w:tcPr>
            <w:tcW w:w="2764" w:type="dxa"/>
            <w:vAlign w:val="center"/>
          </w:tcPr>
          <w:p>
            <w:pPr>
              <w:jc w:val="center"/>
              <w:rPr>
                <w:rFonts w:asciiTheme="minorEastAsia" w:hAnsiTheme="minorEastAsia" w:eastAsiaTheme="minorEastAsia" w:cstheme="minorEastAsia"/>
                <w:sz w:val="13"/>
                <w:szCs w:val="13"/>
              </w:rPr>
            </w:pPr>
            <w:r>
              <w:rPr>
                <w:rFonts w:asciiTheme="minorEastAsia" w:hAnsiTheme="minorEastAsia" w:eastAsiaTheme="minorEastAsia" w:cstheme="minorEastAsia"/>
                <w:sz w:val="13"/>
                <w:szCs w:val="13"/>
              </w:rPr>
              <w:t>申请人身份证明</w:t>
            </w:r>
            <w:r>
              <w:rPr>
                <w:rFonts w:hint="eastAsia" w:asciiTheme="minorEastAsia" w:hAnsiTheme="minorEastAsia" w:eastAsiaTheme="minorEastAsia" w:cstheme="minorEastAsia"/>
                <w:sz w:val="13"/>
                <w:szCs w:val="13"/>
              </w:rPr>
              <w:t>（</w:t>
            </w:r>
            <w:r>
              <w:rPr>
                <w:rFonts w:hint="eastAsia" w:ascii="宋体" w:hAnsi="宋体" w:cs="宋体"/>
                <w:sz w:val="13"/>
                <w:szCs w:val="13"/>
              </w:rPr>
              <w:t>身份证、结婚证或离婚证或户口簿、</w:t>
            </w:r>
            <w:r>
              <w:rPr>
                <w:rFonts w:hint="eastAsia" w:ascii="宋体" w:hAnsi="宋体" w:cs="宋体"/>
                <w:sz w:val="13"/>
                <w:szCs w:val="13"/>
                <w:lang w:eastAsia="zh-CN"/>
              </w:rPr>
              <w:t>公司</w:t>
            </w:r>
            <w:r>
              <w:rPr>
                <w:rFonts w:hint="eastAsia" w:ascii="宋体" w:hAnsi="宋体" w:cs="宋体"/>
                <w:sz w:val="13"/>
                <w:szCs w:val="13"/>
              </w:rPr>
              <w:t>营业执照、统一社会信用代码证、法人身份证、授权委托书、委托人身份证等原件</w:t>
            </w:r>
            <w:r>
              <w:rPr>
                <w:rFonts w:hint="eastAsia" w:asciiTheme="minorEastAsia" w:hAnsiTheme="minorEastAsia" w:eastAsiaTheme="minorEastAsia" w:cstheme="minorEastAsia"/>
                <w:sz w:val="13"/>
                <w:szCs w:val="13"/>
              </w:rPr>
              <w:t>）</w:t>
            </w:r>
          </w:p>
        </w:tc>
        <w:tc>
          <w:tcPr>
            <w:tcW w:w="567"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原件</w:t>
            </w:r>
          </w:p>
        </w:tc>
        <w:tc>
          <w:tcPr>
            <w:tcW w:w="284"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1</w:t>
            </w:r>
          </w:p>
        </w:tc>
        <w:tc>
          <w:tcPr>
            <w:tcW w:w="708"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申请人自备</w:t>
            </w:r>
          </w:p>
        </w:tc>
        <w:tc>
          <w:tcPr>
            <w:tcW w:w="367" w:type="dxa"/>
            <w:vMerge w:val="continue"/>
            <w:vAlign w:val="center"/>
          </w:tcPr>
          <w:p>
            <w:pPr>
              <w:jc w:val="center"/>
              <w:rPr>
                <w:rFonts w:asciiTheme="minorEastAsia" w:hAnsiTheme="minorEastAsia" w:eastAsiaTheme="minorEastAsia" w:cstheme="minorEastAsia"/>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3</w:t>
            </w:r>
          </w:p>
        </w:tc>
        <w:tc>
          <w:tcPr>
            <w:tcW w:w="2764"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不动产权属证书（土地证和房产证或不动产权证）</w:t>
            </w:r>
          </w:p>
        </w:tc>
        <w:tc>
          <w:tcPr>
            <w:tcW w:w="567"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原件</w:t>
            </w:r>
          </w:p>
        </w:tc>
        <w:tc>
          <w:tcPr>
            <w:tcW w:w="284"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1</w:t>
            </w:r>
          </w:p>
        </w:tc>
        <w:tc>
          <w:tcPr>
            <w:tcW w:w="708"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申请人自备</w:t>
            </w:r>
          </w:p>
        </w:tc>
        <w:tc>
          <w:tcPr>
            <w:tcW w:w="367" w:type="dxa"/>
            <w:vMerge w:val="continue"/>
            <w:vAlign w:val="center"/>
          </w:tcPr>
          <w:p>
            <w:pPr>
              <w:jc w:val="center"/>
              <w:rPr>
                <w:rFonts w:asciiTheme="minorEastAsia" w:hAnsiTheme="minorEastAsia" w:eastAsiaTheme="minorEastAsia" w:cstheme="minorEastAsia"/>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Merge w:val="restart"/>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4</w:t>
            </w:r>
          </w:p>
        </w:tc>
        <w:tc>
          <w:tcPr>
            <w:tcW w:w="2764"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国有建设用地使用权及房屋所有权转移的材料</w:t>
            </w:r>
          </w:p>
        </w:tc>
        <w:tc>
          <w:tcPr>
            <w:tcW w:w="567"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原件</w:t>
            </w:r>
          </w:p>
        </w:tc>
        <w:tc>
          <w:tcPr>
            <w:tcW w:w="284"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1</w:t>
            </w:r>
          </w:p>
        </w:tc>
        <w:tc>
          <w:tcPr>
            <w:tcW w:w="708"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申请人自备</w:t>
            </w:r>
          </w:p>
        </w:tc>
        <w:tc>
          <w:tcPr>
            <w:tcW w:w="367" w:type="dxa"/>
            <w:vMerge w:val="continue"/>
            <w:vAlign w:val="center"/>
          </w:tcPr>
          <w:p>
            <w:pPr>
              <w:jc w:val="center"/>
              <w:rPr>
                <w:rFonts w:asciiTheme="minorEastAsia" w:hAnsiTheme="minorEastAsia" w:eastAsiaTheme="minorEastAsia" w:cstheme="minorEastAsia"/>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Merge w:val="continue"/>
            <w:vAlign w:val="center"/>
          </w:tcPr>
          <w:p>
            <w:pPr>
              <w:jc w:val="center"/>
              <w:rPr>
                <w:rFonts w:asciiTheme="minorEastAsia" w:hAnsiTheme="minorEastAsia" w:eastAsiaTheme="minorEastAsia" w:cstheme="minorEastAsia"/>
                <w:sz w:val="13"/>
                <w:szCs w:val="13"/>
              </w:rPr>
            </w:pPr>
          </w:p>
        </w:tc>
        <w:tc>
          <w:tcPr>
            <w:tcW w:w="4323" w:type="dxa"/>
            <w:gridSpan w:val="4"/>
            <w:vAlign w:val="center"/>
          </w:tcPr>
          <w:p>
            <w:pP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国有建设用地使用权及房屋所有权转移的材料，包括：</w:t>
            </w:r>
          </w:p>
          <w:p>
            <w:pP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（1）买卖的，提交买卖合同；互换的，提交互换协议；</w:t>
            </w:r>
            <w:r>
              <w:rPr>
                <w:rFonts w:hint="eastAsia" w:asciiTheme="minorEastAsia" w:hAnsiTheme="minorEastAsia" w:eastAsiaTheme="minorEastAsia" w:cstheme="minorEastAsia"/>
                <w:sz w:val="13"/>
                <w:szCs w:val="13"/>
                <w:lang w:eastAsia="zh-CN"/>
              </w:rPr>
              <w:t>赠予</w:t>
            </w:r>
            <w:r>
              <w:rPr>
                <w:rFonts w:hint="eastAsia" w:asciiTheme="minorEastAsia" w:hAnsiTheme="minorEastAsia" w:eastAsiaTheme="minorEastAsia" w:cstheme="minorEastAsia"/>
                <w:sz w:val="13"/>
                <w:szCs w:val="13"/>
              </w:rPr>
              <w:t>的提交</w:t>
            </w:r>
            <w:r>
              <w:rPr>
                <w:rFonts w:hint="eastAsia" w:asciiTheme="minorEastAsia" w:hAnsiTheme="minorEastAsia" w:eastAsiaTheme="minorEastAsia" w:cstheme="minorEastAsia"/>
                <w:sz w:val="13"/>
                <w:szCs w:val="13"/>
                <w:lang w:eastAsia="zh-CN"/>
              </w:rPr>
              <w:t>赠予</w:t>
            </w:r>
            <w:r>
              <w:rPr>
                <w:rFonts w:hint="eastAsia" w:asciiTheme="minorEastAsia" w:hAnsiTheme="minorEastAsia" w:eastAsiaTheme="minorEastAsia" w:cstheme="minorEastAsia"/>
                <w:sz w:val="13"/>
                <w:szCs w:val="13"/>
              </w:rPr>
              <w:t>合同；（2）因继承、受遗赠取得的，按照本规范1.8.6的规定提交材料；（3）作价出资（入股）的，提交作价出资（入股）协议；（4）法人或其他组织合并、分立导致权属发生转移的，提交法人或其他组织合并、分立的材料以及不动产权属转移的材料；（5）共有人增加或者减少的，提交共有人增加或者减少的协议；共有份额变化的，提交份额转移协议；（6）不动产分割、合并导致权属发生转移的，提交分割或合并协议书，或者记载有关分割或合并内容的生效法律文书。实体分割或合并的，还应提交有权部门同意实体分割或合并的批准文件以及分割或合并后的不动产权籍调查表、宗地图、宗地界址点坐标等不动产权籍调查成果； （7）因人民法院、仲裁委员会的生效法律文书等导致权属发生变化的，提交人民法院、仲裁委员会的生效法律文书等材料；</w:t>
            </w:r>
          </w:p>
        </w:tc>
        <w:tc>
          <w:tcPr>
            <w:tcW w:w="367" w:type="dxa"/>
            <w:vMerge w:val="continue"/>
            <w:vAlign w:val="center"/>
          </w:tcPr>
          <w:p>
            <w:pPr>
              <w:jc w:val="center"/>
              <w:rPr>
                <w:rFonts w:asciiTheme="minorEastAsia" w:hAnsiTheme="minorEastAsia" w:eastAsiaTheme="minorEastAsia" w:cstheme="minorEastAsia"/>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5</w:t>
            </w:r>
          </w:p>
        </w:tc>
        <w:tc>
          <w:tcPr>
            <w:tcW w:w="2764"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已经办理预告登记的，提交不动产登记证明</w:t>
            </w:r>
          </w:p>
        </w:tc>
        <w:tc>
          <w:tcPr>
            <w:tcW w:w="567"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原件</w:t>
            </w:r>
          </w:p>
        </w:tc>
        <w:tc>
          <w:tcPr>
            <w:tcW w:w="284"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1</w:t>
            </w:r>
          </w:p>
        </w:tc>
        <w:tc>
          <w:tcPr>
            <w:tcW w:w="708"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申请人自备</w:t>
            </w:r>
          </w:p>
        </w:tc>
        <w:tc>
          <w:tcPr>
            <w:tcW w:w="367" w:type="dxa"/>
            <w:vAlign w:val="center"/>
          </w:tcPr>
          <w:p>
            <w:pPr>
              <w:jc w:val="center"/>
              <w:rPr>
                <w:rFonts w:asciiTheme="minorEastAsia" w:hAnsiTheme="minorEastAsia" w:eastAsiaTheme="minorEastAsia" w:cstheme="minorEastAsia"/>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6</w:t>
            </w:r>
          </w:p>
        </w:tc>
        <w:tc>
          <w:tcPr>
            <w:tcW w:w="2764"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划拨国有建设用地使用权及房屋所有权转移的，还应提交有批准权的人民政府的批准文件</w:t>
            </w:r>
          </w:p>
        </w:tc>
        <w:tc>
          <w:tcPr>
            <w:tcW w:w="567"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原件</w:t>
            </w:r>
          </w:p>
        </w:tc>
        <w:tc>
          <w:tcPr>
            <w:tcW w:w="284"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1</w:t>
            </w:r>
          </w:p>
        </w:tc>
        <w:tc>
          <w:tcPr>
            <w:tcW w:w="708"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申请人自备</w:t>
            </w:r>
          </w:p>
        </w:tc>
        <w:tc>
          <w:tcPr>
            <w:tcW w:w="367" w:type="dxa"/>
            <w:vAlign w:val="center"/>
          </w:tcPr>
          <w:p>
            <w:pPr>
              <w:jc w:val="center"/>
              <w:rPr>
                <w:rFonts w:asciiTheme="minorEastAsia" w:hAnsiTheme="minorEastAsia" w:eastAsiaTheme="minorEastAsia" w:cstheme="minorEastAsia"/>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7</w:t>
            </w:r>
          </w:p>
        </w:tc>
        <w:tc>
          <w:tcPr>
            <w:tcW w:w="2764"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依法需要补交土地出让价款、缴纳税费的，还应提交土地出让价款缴纳凭证、税费凭证</w:t>
            </w:r>
          </w:p>
        </w:tc>
        <w:tc>
          <w:tcPr>
            <w:tcW w:w="567"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原件</w:t>
            </w:r>
          </w:p>
        </w:tc>
        <w:tc>
          <w:tcPr>
            <w:tcW w:w="284"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1</w:t>
            </w:r>
          </w:p>
        </w:tc>
        <w:tc>
          <w:tcPr>
            <w:tcW w:w="708"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申请人自备</w:t>
            </w:r>
          </w:p>
        </w:tc>
        <w:tc>
          <w:tcPr>
            <w:tcW w:w="367" w:type="dxa"/>
            <w:vAlign w:val="center"/>
          </w:tcPr>
          <w:p>
            <w:pPr>
              <w:jc w:val="center"/>
              <w:rPr>
                <w:rFonts w:asciiTheme="minorEastAsia" w:hAnsiTheme="minorEastAsia" w:eastAsiaTheme="minorEastAsia" w:cstheme="minorEastAsia"/>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21" w:type="dxa"/>
            <w:vAlign w:val="center"/>
          </w:tcPr>
          <w:p>
            <w:pPr>
              <w:jc w:val="center"/>
              <w:rPr>
                <w:rFonts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8</w:t>
            </w:r>
          </w:p>
        </w:tc>
        <w:tc>
          <w:tcPr>
            <w:tcW w:w="4690" w:type="dxa"/>
            <w:gridSpan w:val="5"/>
            <w:vAlign w:val="center"/>
          </w:tcPr>
          <w:p>
            <w:pPr>
              <w:jc w:val="left"/>
              <w:rPr>
                <w:rFonts w:asciiTheme="minorEastAsia" w:hAnsiTheme="minorEastAsia" w:eastAsiaTheme="minorEastAsia" w:cstheme="minorEastAsia"/>
                <w:sz w:val="13"/>
                <w:szCs w:val="13"/>
              </w:rPr>
            </w:pPr>
            <w:r>
              <w:rPr>
                <w:rFonts w:asciiTheme="minorEastAsia" w:hAnsiTheme="minorEastAsia" w:eastAsiaTheme="minorEastAsia" w:cstheme="minorEastAsia"/>
                <w:sz w:val="13"/>
                <w:szCs w:val="13"/>
              </w:rPr>
              <w:t>法律、行政法规以及《实施细则》规定的其他材料。</w:t>
            </w:r>
          </w:p>
        </w:tc>
      </w:tr>
    </w:tbl>
    <w:p>
      <w:pPr>
        <w:spacing w:line="260" w:lineRule="exact"/>
        <w:ind w:firstLine="420" w:firstLineChars="200"/>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rPr>
        <w:t>5</w:t>
      </w:r>
      <w:r>
        <w:rPr>
          <w:rFonts w:asciiTheme="minorEastAsia" w:hAnsiTheme="minorEastAsia" w:eastAsiaTheme="minorEastAsia" w:cstheme="minorEastAsia"/>
        </w:rPr>
        <w:t>个工作日</w:t>
      </w:r>
      <w:r>
        <w:rPr>
          <w:rFonts w:hint="eastAsia" w:asciiTheme="minorEastAsia" w:hAnsiTheme="minorEastAsia" w:eastAsiaTheme="minorEastAsia" w:cstheme="minorEastAsia"/>
        </w:rPr>
        <w:t>，补件时限不计算在内。</w:t>
      </w:r>
      <w:r>
        <w:rPr>
          <w:rFonts w:asciiTheme="minorEastAsia" w:hAnsiTheme="minorEastAsia" w:eastAsiaTheme="minorEastAsia" w:cstheme="minorEastAsia"/>
        </w:rPr>
        <w:t>（不含批量件）。</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法定办理时限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30个工作日，补件时限不计算在内。</w:t>
      </w:r>
    </w:p>
    <w:p>
      <w:pPr>
        <w:numPr>
          <w:ilvl w:val="0"/>
          <w:numId w:val="2"/>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登记费：住宅80元／件，非住宅550元／件。</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收费依据《国家发展改革委、财政部关于不动产登记收费标准等有关问题的通知》（发改价格规〔2016﹞2559号、《财政部 国家发展改革委关于减免部分行政事业性收费有关政策的通知》财税〔2019﹞45号文件</w:t>
      </w:r>
      <w:r>
        <w:rPr>
          <w:rFonts w:hint="eastAsia" w:asciiTheme="minorEastAsia" w:hAnsiTheme="minorEastAsia" w:eastAsiaTheme="minorEastAsia" w:cstheme="minorEastAsia"/>
          <w:szCs w:val="21"/>
          <w:lang w:eastAsia="zh-CN"/>
        </w:rPr>
        <w:t>。</w:t>
      </w:r>
    </w:p>
    <w:p>
      <w:pPr>
        <w:pStyle w:val="8"/>
        <w:numPr>
          <w:ilvl w:val="0"/>
          <w:numId w:val="0"/>
        </w:numPr>
        <w:adjustRightInd w:val="0"/>
        <w:snapToGrid w:val="0"/>
        <w:spacing w:line="260" w:lineRule="exact"/>
        <w:ind w:firstLine="411" w:firstLineChars="196"/>
        <w:jc w:val="left"/>
        <w:rPr>
          <w:rFonts w:ascii="黑体" w:hAnsi="黑体" w:eastAsia="黑体"/>
          <w:kern w:val="2"/>
          <w:sz w:val="21"/>
          <w:szCs w:val="21"/>
        </w:rPr>
      </w:pPr>
      <w:r>
        <w:rPr>
          <w:rFonts w:hint="eastAsia" w:ascii="黑体" w:hAnsi="黑体" w:eastAsia="黑体"/>
          <w:kern w:val="2"/>
          <w:sz w:val="21"/>
          <w:szCs w:val="21"/>
        </w:rPr>
        <w:t>七、登记决定及送达方式</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办理结果：颁发</w:t>
      </w:r>
      <w:r>
        <w:rPr>
          <w:rFonts w:hint="eastAsia" w:asciiTheme="minorEastAsia" w:hAnsiTheme="minorEastAsia" w:eastAsiaTheme="minorEastAsia" w:cstheme="minorEastAsia"/>
          <w:bCs/>
          <w:szCs w:val="21"/>
        </w:rPr>
        <w:t>不动产权证书</w:t>
      </w:r>
      <w:r>
        <w:rPr>
          <w:rFonts w:asciiTheme="minorEastAsia" w:hAnsiTheme="minorEastAsia" w:eastAsiaTheme="minorEastAsia" w:cstheme="minorEastAsia"/>
          <w:bCs/>
          <w:szCs w:val="21"/>
        </w:rPr>
        <w:t>。</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送达方式：到芒市政务服务中心</w:t>
      </w:r>
      <w:r>
        <w:rPr>
          <w:rFonts w:hint="eastAsia" w:asciiTheme="minorEastAsia" w:hAnsiTheme="minorEastAsia" w:eastAsiaTheme="minorEastAsia" w:cstheme="minorEastAsia"/>
          <w:bCs/>
          <w:szCs w:val="21"/>
          <w:lang w:eastAsia="zh-CN"/>
        </w:rPr>
        <w:t>二楼</w:t>
      </w:r>
      <w:r>
        <w:rPr>
          <w:rFonts w:asciiTheme="minorEastAsia" w:hAnsiTheme="minorEastAsia" w:eastAsiaTheme="minorEastAsia" w:cstheme="minorEastAsia"/>
          <w:bCs/>
          <w:szCs w:val="21"/>
        </w:rPr>
        <w:t>芒市不动产登记中心直接领取。</w:t>
      </w:r>
    </w:p>
    <w:p>
      <w:pPr>
        <w:spacing w:line="260" w:lineRule="exact"/>
        <w:ind w:firstLine="420" w:firstLineChars="200"/>
        <w:rPr>
          <w:rFonts w:ascii="黑体" w:hAnsi="黑体" w:eastAsia="黑体"/>
          <w:szCs w:val="21"/>
        </w:rPr>
      </w:pPr>
      <w:r>
        <w:rPr>
          <w:rFonts w:hint="eastAsia" w:ascii="黑体" w:hAnsi="黑体" w:eastAsia="黑体"/>
          <w:szCs w:val="21"/>
        </w:rPr>
        <w:t>八、咨询</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1.咨询方式</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（1）窗口咨询：芒市政务服务中心</w:t>
      </w:r>
      <w:r>
        <w:rPr>
          <w:rFonts w:hint="eastAsia" w:asciiTheme="minorEastAsia" w:hAnsiTheme="minorEastAsia" w:eastAsiaTheme="minorEastAsia" w:cstheme="minorEastAsia"/>
          <w:bCs/>
          <w:szCs w:val="21"/>
          <w:lang w:eastAsia="zh-CN"/>
        </w:rPr>
        <w:t>二楼</w:t>
      </w:r>
      <w:r>
        <w:rPr>
          <w:rFonts w:hint="eastAsia" w:asciiTheme="minorEastAsia" w:hAnsiTheme="minorEastAsia" w:eastAsiaTheme="minorEastAsia" w:cstheme="minorEastAsia"/>
          <w:bCs/>
          <w:szCs w:val="21"/>
        </w:rPr>
        <w:t>芒市不动产登记中心。</w:t>
      </w:r>
    </w:p>
    <w:p>
      <w:pPr>
        <w:spacing w:line="26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rPr>
        <w:t>（2）电话咨询：0692-</w:t>
      </w:r>
      <w:r>
        <w:rPr>
          <w:rFonts w:hint="eastAsia" w:asciiTheme="minorEastAsia" w:hAnsiTheme="minorEastAsia" w:eastAsiaTheme="minorEastAsia" w:cstheme="minorEastAsia"/>
          <w:bCs/>
          <w:szCs w:val="21"/>
          <w:lang w:val="en-US" w:eastAsia="zh-CN"/>
        </w:rPr>
        <w:t>2991728</w:t>
      </w:r>
    </w:p>
    <w:p>
      <w:pPr>
        <w:adjustRightInd w:val="0"/>
        <w:snapToGrid w:val="0"/>
        <w:spacing w:line="260" w:lineRule="exact"/>
        <w:ind w:firstLine="420" w:firstLineChars="200"/>
        <w:jc w:val="left"/>
        <w:rPr>
          <w:rFonts w:asciiTheme="minorEastAsia" w:hAnsiTheme="minorEastAsia" w:eastAsiaTheme="minorEastAsia" w:cstheme="minorEastAsia"/>
          <w:bCs/>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spacing w:line="260" w:lineRule="exact"/>
        <w:ind w:firstLine="420" w:firstLineChars="200"/>
        <w:rPr>
          <w:rFonts w:asciiTheme="minorEastAsia" w:hAnsiTheme="minorEastAsia" w:eastAsiaTheme="minorEastAsia" w:cstheme="minorEastAsia"/>
          <w:bCs/>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BB"/>
    <w:multiLevelType w:val="singleLevel"/>
    <w:tmpl w:val="09052CBB"/>
    <w:lvl w:ilvl="0" w:tentative="0">
      <w:start w:val="6"/>
      <w:numFmt w:val="chineseCounting"/>
      <w:suff w:val="nothing"/>
      <w:lvlText w:val="%1、"/>
      <w:lvlJc w:val="left"/>
      <w:rPr>
        <w:rFonts w:hint="eastAsia"/>
      </w:rPr>
    </w:lvl>
  </w:abstractNum>
  <w:abstractNum w:abstractNumId="1">
    <w:nsid w:val="4B733A5F"/>
    <w:multiLevelType w:val="multilevel"/>
    <w:tmpl w:val="4B733A5F"/>
    <w:lvl w:ilvl="0" w:tentative="0">
      <w:start w:val="1"/>
      <w:numFmt w:val="decimal"/>
      <w:pStyle w:val="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5M2JmMGZjZjM3NjFiNTA4ZTQ2ZGE5NGJiMjc1NTkifQ=="/>
  </w:docVars>
  <w:rsids>
    <w:rsidRoot w:val="661A238D"/>
    <w:rsid w:val="00013469"/>
    <w:rsid w:val="00174254"/>
    <w:rsid w:val="00280ADC"/>
    <w:rsid w:val="003052D4"/>
    <w:rsid w:val="005C0665"/>
    <w:rsid w:val="00680A72"/>
    <w:rsid w:val="007D5C02"/>
    <w:rsid w:val="00801238"/>
    <w:rsid w:val="0086139E"/>
    <w:rsid w:val="009456B6"/>
    <w:rsid w:val="00976EC1"/>
    <w:rsid w:val="009D7FEE"/>
    <w:rsid w:val="00AB147E"/>
    <w:rsid w:val="00B15D3B"/>
    <w:rsid w:val="00CE0211"/>
    <w:rsid w:val="00CF1BE7"/>
    <w:rsid w:val="00D433F3"/>
    <w:rsid w:val="00DC0EC9"/>
    <w:rsid w:val="04407132"/>
    <w:rsid w:val="051E30D6"/>
    <w:rsid w:val="07807418"/>
    <w:rsid w:val="07E27342"/>
    <w:rsid w:val="088003AD"/>
    <w:rsid w:val="0B832689"/>
    <w:rsid w:val="145B3DB8"/>
    <w:rsid w:val="16D845B9"/>
    <w:rsid w:val="17064F93"/>
    <w:rsid w:val="19C7118A"/>
    <w:rsid w:val="1C2553A2"/>
    <w:rsid w:val="1C6457EB"/>
    <w:rsid w:val="1C6A2D21"/>
    <w:rsid w:val="1CE86080"/>
    <w:rsid w:val="1DD901B8"/>
    <w:rsid w:val="216612D6"/>
    <w:rsid w:val="21680606"/>
    <w:rsid w:val="220F6268"/>
    <w:rsid w:val="242245D3"/>
    <w:rsid w:val="255667ED"/>
    <w:rsid w:val="26607A45"/>
    <w:rsid w:val="28630108"/>
    <w:rsid w:val="2B597DB2"/>
    <w:rsid w:val="31EE7226"/>
    <w:rsid w:val="33A1022C"/>
    <w:rsid w:val="35D206BB"/>
    <w:rsid w:val="368C4679"/>
    <w:rsid w:val="3A195219"/>
    <w:rsid w:val="3AC66CB1"/>
    <w:rsid w:val="3B450899"/>
    <w:rsid w:val="3C202737"/>
    <w:rsid w:val="3C7B2762"/>
    <w:rsid w:val="3D8864CA"/>
    <w:rsid w:val="3DBF59F1"/>
    <w:rsid w:val="3EF630D7"/>
    <w:rsid w:val="4360346E"/>
    <w:rsid w:val="4577445E"/>
    <w:rsid w:val="48013A40"/>
    <w:rsid w:val="484D3F1A"/>
    <w:rsid w:val="49673926"/>
    <w:rsid w:val="4FBC2B14"/>
    <w:rsid w:val="512D43AE"/>
    <w:rsid w:val="57D9164A"/>
    <w:rsid w:val="5D5D1E2B"/>
    <w:rsid w:val="5DA50CB6"/>
    <w:rsid w:val="5EF33E24"/>
    <w:rsid w:val="600261FE"/>
    <w:rsid w:val="62DA43CA"/>
    <w:rsid w:val="63FC3F0D"/>
    <w:rsid w:val="65356DA7"/>
    <w:rsid w:val="65A23C00"/>
    <w:rsid w:val="661A238D"/>
    <w:rsid w:val="6B9278DF"/>
    <w:rsid w:val="6C275F83"/>
    <w:rsid w:val="6CA87D2B"/>
    <w:rsid w:val="6CDE70D3"/>
    <w:rsid w:val="720F3426"/>
    <w:rsid w:val="7239484D"/>
    <w:rsid w:val="741C7977"/>
    <w:rsid w:val="74C72DF3"/>
    <w:rsid w:val="75CB2AE1"/>
    <w:rsid w:val="772B13D3"/>
    <w:rsid w:val="78264FB2"/>
    <w:rsid w:val="79A4739F"/>
    <w:rsid w:val="7F28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示例×："/>
    <w:basedOn w:val="1"/>
    <w:qFormat/>
    <w:uiPriority w:val="0"/>
    <w:pPr>
      <w:widowControl/>
      <w:numPr>
        <w:ilvl w:val="0"/>
        <w:numId w:val="1"/>
      </w:numPr>
    </w:pPr>
    <w:rPr>
      <w:rFonts w:ascii="宋体" w:hAnsi="Times New Roman"/>
      <w:kern w:val="0"/>
      <w:sz w:val="18"/>
      <w:szCs w:val="18"/>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1680</Words>
  <Characters>1759</Characters>
  <Lines>2</Lines>
  <Paragraphs>3</Paragraphs>
  <TotalTime>0</TotalTime>
  <ScaleCrop>false</ScaleCrop>
  <LinksUpToDate>false</LinksUpToDate>
  <CharactersWithSpaces>1763</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2025-09-15T08:50:47Z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54E930F006184116BE2EACA2BA565162_13</vt:lpwstr>
  </property>
</Properties>
</file>