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</wp:posOffset>
            </wp:positionV>
            <wp:extent cx="4269740" cy="5548630"/>
            <wp:effectExtent l="0" t="0" r="54610" b="52070"/>
            <wp:wrapTight wrapText="bothSides">
              <wp:wrapPolygon>
                <wp:start x="0" y="0"/>
                <wp:lineTo x="0" y="21506"/>
                <wp:lineTo x="21491" y="21506"/>
                <wp:lineTo x="21491" y="0"/>
                <wp:lineTo x="0" y="0"/>
              </wp:wrapPolygon>
            </wp:wrapTight>
            <wp:docPr id="30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国有建设用地使用权</w:t>
      </w:r>
      <w:r>
        <w:rPr>
          <w:b/>
          <w:bCs/>
        </w:rPr>
        <w:t>及房屋所有权首次登记办事指南</w:t>
      </w:r>
      <w:r>
        <w:rPr>
          <w:rFonts w:hint="eastAsia"/>
          <w:b/>
          <w:bCs/>
        </w:rPr>
        <w:t>流程示意图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国有建设用地使用权及房屋所有权首次</w:t>
      </w:r>
      <w:r>
        <w:rPr>
          <w:sz w:val="28"/>
          <w:szCs w:val="28"/>
        </w:rPr>
        <w:t>登记办事指南</w:t>
      </w:r>
      <w:r>
        <w:rPr>
          <w:rFonts w:hint="eastAsia"/>
          <w:sz w:val="28"/>
          <w:szCs w:val="28"/>
        </w:rPr>
        <w:t>（简版）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芒市不动产登记中心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2020年3月1日</w:t>
      </w:r>
      <w:bookmarkStart w:id="0" w:name="_GoBack"/>
      <w:bookmarkEnd w:id="0"/>
      <w:r>
        <w:rPr>
          <w:rFonts w:hint="eastAsia"/>
          <w:sz w:val="24"/>
          <w:szCs w:val="24"/>
        </w:rPr>
        <w:t>发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numPr>
          <w:ilvl w:val="0"/>
          <w:numId w:val="2"/>
        </w:numPr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受理范围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依法利用国有建设用地建造房屋的。</w:t>
      </w:r>
    </w:p>
    <w:p>
      <w:pPr>
        <w:numPr>
          <w:ilvl w:val="0"/>
          <w:numId w:val="2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登记条件</w:t>
      </w:r>
    </w:p>
    <w:p>
      <w:pPr>
        <w:numPr>
          <w:ilvl w:val="0"/>
          <w:numId w:val="3"/>
        </w:num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予以登记的条件：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依法利用国有建设用地建造房屋的。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（二）不予登记的情形：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1.申请人未按照不动产登记机构要求进一步补充材料的；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2.申请人、委托代理人身份证明材料以及授权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委托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托书与申请人不一致的；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3.申请登记的不动产不符合不动产单元设定条件的；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4.申请登记的事项与权属来源材料或者登记原因文件不一致的；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5.申请登记的事项与不动产登记簿的记载相冲突的；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6.不动产存在权属争议的，但申请异议登记除外；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7.未依法缴纳土地出让价款、土地租金、海域使用金或者相关税费的；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8.申请登记的不动产权利超过规定期限的；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9.不动产被依法查封期间，权利人处分该不动产申请登记的；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10.未经预告登记权利人书面同意，当事人处分该不动产申请登记的；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11.法律、行政法规规定的其他情形。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三、受理形式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受理形式：窗口受理。 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受理地点：德宏州芒市政务服务中心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受理时间：周一至周五：8:30—11:30；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14:30—17:30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温馨提示：法定节假日的工作时间，以芒市人民政府出示的官方公告为准。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tbl>
      <w:tblPr>
        <w:tblStyle w:val="5"/>
        <w:tblpPr w:leftFromText="180" w:rightFromText="180" w:vertAnchor="text" w:horzAnchor="page" w:tblpX="6043" w:tblpY="196"/>
        <w:tblOverlap w:val="never"/>
        <w:tblW w:w="5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2270"/>
        <w:gridCol w:w="567"/>
        <w:gridCol w:w="425"/>
        <w:gridCol w:w="709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序号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材料名称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材料形式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份数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材料来源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不动产登记申请书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复印件应选用A4纸张，同时加盖公章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申请人身份证明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</w:rPr>
              <w:t>身份证、结婚证或离婚证或户口簿、公司需营业执照、统一社会信用代码证、法人身份证、授权委托书、委托人身份证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3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不动产权属证书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（土地证或不动产权属证书）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4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建设工程符合规划的材料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（建设工程规划许可证、施工许可证）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规划部门提供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5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房屋已经竣工的材料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（建设工程规划核实意见书）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规划部门提供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6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不动产权籍调查成果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（权籍调查表、测量报告、宗地图、房屋分户图、宗地界址点坐标等）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具有测绘资质的调查单位提供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7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建筑物区分所有的，确认建筑区划内属于业主共有的道路、绿地、其他公共场所、公用设施和物业服务用房等材料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规划部门提供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8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、</w:t>
            </w: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行政法规以及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《实施细则》规定的其他材料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相关行政机构提供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</w:tbl>
    <w:p>
      <w:pPr>
        <w:spacing w:line="260" w:lineRule="exact"/>
        <w:ind w:firstLine="630" w:firstLineChars="300"/>
        <w:rPr>
          <w:rFonts w:asciiTheme="minorEastAsia" w:hAnsiTheme="minorEastAsia" w:eastAsiaTheme="minorEastAsia" w:cstheme="minorEastAsia"/>
        </w:rPr>
      </w:pP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五、办结时限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承诺办理时限：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</w:rPr>
        <w:t>个工作日</w:t>
      </w:r>
      <w:r>
        <w:rPr>
          <w:rFonts w:hint="eastAsia" w:asciiTheme="minorEastAsia" w:hAnsiTheme="minorEastAsia" w:eastAsiaTheme="minorEastAsia" w:cstheme="minorEastAsia"/>
        </w:rPr>
        <w:t>，补件时限不计算在内。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（不含批量件）。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法定办理时限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30个工作日，补件时限不计算在内。</w:t>
      </w:r>
    </w:p>
    <w:p>
      <w:pPr>
        <w:numPr>
          <w:ilvl w:val="0"/>
          <w:numId w:val="4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收费标准</w:t>
      </w:r>
    </w:p>
    <w:p>
      <w:pPr>
        <w:spacing w:line="26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黑体" w:hAnsi="黑体" w:eastAsia="黑体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登记费：住宅80元／件，非住宅550元／件。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收费依据《国家发展改革委、财政部关于不动产登记收费标准等有关问题的通知》（发改价格规〔2016﹞2559号、《财政部 国家发展改革委关于减免部分行政事业性收费有关政策的通知》财税〔2019﹞45号文件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260" w:lineRule="exact"/>
        <w:ind w:firstLine="411" w:firstLineChars="196"/>
        <w:jc w:val="left"/>
        <w:rPr>
          <w:rFonts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七、登记决定及送达方式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办理结果：颁发</w:t>
      </w:r>
      <w:r>
        <w:rPr>
          <w:rFonts w:hint="eastAsia" w:asciiTheme="minorEastAsia" w:hAnsiTheme="minorEastAsia" w:eastAsiaTheme="minorEastAsia" w:cstheme="minorEastAsia"/>
        </w:rPr>
        <w:t>不动产权证书</w:t>
      </w:r>
      <w:r>
        <w:rPr>
          <w:rFonts w:asciiTheme="minorEastAsia" w:hAnsiTheme="minorEastAsia" w:eastAsiaTheme="minorEastAsia" w:cstheme="minorEastAsia"/>
        </w:rPr>
        <w:t>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送达方式：到芒市政务服务中心</w:t>
      </w:r>
      <w:r>
        <w:rPr>
          <w:rFonts w:hint="eastAsia" w:asciiTheme="minorEastAsia" w:hAnsiTheme="minorEastAsia" w:eastAsiaTheme="minorEastAsia" w:cstheme="minorEastAsia"/>
          <w:lang w:eastAsia="zh-CN"/>
        </w:rPr>
        <w:t>二楼</w:t>
      </w:r>
      <w:r>
        <w:rPr>
          <w:rFonts w:asciiTheme="minorEastAsia" w:hAnsiTheme="minorEastAsia" w:eastAsiaTheme="minorEastAsia" w:cstheme="minorEastAsia"/>
        </w:rPr>
        <w:t>芒市不动产登记中心直接领取。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八、咨询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1.咨询方式</w:t>
      </w:r>
    </w:p>
    <w:p>
      <w:pPr>
        <w:ind w:firstLine="404" w:firstLineChars="200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（1）窗口咨询：芒市政务服务中心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芒市不动产登记中心。</w:t>
      </w:r>
    </w:p>
    <w:p>
      <w:pPr>
        <w:numPr>
          <w:ilvl w:val="0"/>
          <w:numId w:val="5"/>
        </w:numPr>
        <w:rPr>
          <w:rFonts w:hint="default" w:ascii="宋体" w:hAnsi="宋体"/>
          <w:spacing w:val="-4"/>
          <w:szCs w:val="21"/>
          <w:lang w:val="en-US"/>
        </w:rPr>
      </w:pPr>
      <w:r>
        <w:rPr>
          <w:rFonts w:hint="eastAsia" w:ascii="宋体" w:hAnsi="宋体"/>
          <w:spacing w:val="-4"/>
          <w:szCs w:val="21"/>
        </w:rPr>
        <w:t>电话咨询：0692-</w:t>
      </w:r>
      <w:r>
        <w:rPr>
          <w:rFonts w:hint="eastAsia" w:ascii="宋体" w:hAnsi="宋体"/>
          <w:spacing w:val="-4"/>
          <w:szCs w:val="21"/>
          <w:lang w:val="en-US" w:eastAsia="zh-CN"/>
        </w:rPr>
        <w:t>2991728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="黑体" w:hAnsi="黑体" w:eastAsia="黑体"/>
          <w:szCs w:val="21"/>
        </w:rPr>
        <w:t>九、监督投诉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窗口投诉：芒市政务中心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电话投诉：2272789</w:t>
      </w:r>
    </w:p>
    <w:p>
      <w:pPr>
        <w:ind w:firstLine="404" w:firstLineChars="200"/>
        <w:rPr>
          <w:rFonts w:ascii="宋体" w:hAnsi="宋体"/>
          <w:spacing w:val="-4"/>
          <w:szCs w:val="21"/>
        </w:rPr>
      </w:pPr>
    </w:p>
    <w:sectPr>
      <w:pgSz w:w="16103" w:h="11850" w:orient="landscape"/>
      <w:pgMar w:top="283" w:right="283" w:bottom="283" w:left="283" w:header="851" w:footer="992" w:gutter="0"/>
      <w:cols w:equalWidth="0" w:num="3">
        <w:col w:w="4801" w:space="425"/>
        <w:col w:w="5084" w:space="425"/>
        <w:col w:w="480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52CBB"/>
    <w:multiLevelType w:val="singleLevel"/>
    <w:tmpl w:val="09052C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848BD4"/>
    <w:multiLevelType w:val="singleLevel"/>
    <w:tmpl w:val="11848B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4C27A63"/>
    <w:multiLevelType w:val="singleLevel"/>
    <w:tmpl w:val="14C27A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733A5F"/>
    <w:multiLevelType w:val="multilevel"/>
    <w:tmpl w:val="4B733A5F"/>
    <w:lvl w:ilvl="0" w:tentative="0">
      <w:start w:val="1"/>
      <w:numFmt w:val="decimal"/>
      <w:pStyle w:val="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4">
    <w:nsid w:val="56FBC5B2"/>
    <w:multiLevelType w:val="singleLevel"/>
    <w:tmpl w:val="56FBC5B2"/>
    <w:lvl w:ilvl="0" w:tentative="0">
      <w:start w:val="2"/>
      <w:numFmt w:val="decimal"/>
      <w:suff w:val="nothing"/>
      <w:lvlText w:val="（%1）"/>
      <w:lvlJc w:val="left"/>
      <w:pPr>
        <w:ind w:left="388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661A238D"/>
    <w:rsid w:val="001245F3"/>
    <w:rsid w:val="00147098"/>
    <w:rsid w:val="001D6925"/>
    <w:rsid w:val="00294A41"/>
    <w:rsid w:val="003555D2"/>
    <w:rsid w:val="004F7446"/>
    <w:rsid w:val="0055639A"/>
    <w:rsid w:val="005C0781"/>
    <w:rsid w:val="006F737F"/>
    <w:rsid w:val="0081281C"/>
    <w:rsid w:val="00837EE8"/>
    <w:rsid w:val="008B6310"/>
    <w:rsid w:val="0091249C"/>
    <w:rsid w:val="00A46E07"/>
    <w:rsid w:val="00AF6DC1"/>
    <w:rsid w:val="00B2046F"/>
    <w:rsid w:val="00B766BC"/>
    <w:rsid w:val="00C16F42"/>
    <w:rsid w:val="00C9588A"/>
    <w:rsid w:val="00E57BA9"/>
    <w:rsid w:val="00F35560"/>
    <w:rsid w:val="00F41C97"/>
    <w:rsid w:val="00F4488D"/>
    <w:rsid w:val="00F6599B"/>
    <w:rsid w:val="015830E1"/>
    <w:rsid w:val="03D65F15"/>
    <w:rsid w:val="04407132"/>
    <w:rsid w:val="051E30D6"/>
    <w:rsid w:val="05F81B4B"/>
    <w:rsid w:val="07807418"/>
    <w:rsid w:val="088003AD"/>
    <w:rsid w:val="09F83048"/>
    <w:rsid w:val="0B832689"/>
    <w:rsid w:val="11A33503"/>
    <w:rsid w:val="145B3DB8"/>
    <w:rsid w:val="15434617"/>
    <w:rsid w:val="17064F93"/>
    <w:rsid w:val="18F261CB"/>
    <w:rsid w:val="19C7118A"/>
    <w:rsid w:val="1BD963A7"/>
    <w:rsid w:val="1C2553A2"/>
    <w:rsid w:val="1C6A2D21"/>
    <w:rsid w:val="1CE86080"/>
    <w:rsid w:val="1DD901B8"/>
    <w:rsid w:val="1F4E2C5C"/>
    <w:rsid w:val="20291824"/>
    <w:rsid w:val="216612D6"/>
    <w:rsid w:val="21680606"/>
    <w:rsid w:val="22105382"/>
    <w:rsid w:val="242245D3"/>
    <w:rsid w:val="255667ED"/>
    <w:rsid w:val="2B597DB2"/>
    <w:rsid w:val="2C417C7B"/>
    <w:rsid w:val="2C7012E8"/>
    <w:rsid w:val="31EE7226"/>
    <w:rsid w:val="33A1022C"/>
    <w:rsid w:val="368C4679"/>
    <w:rsid w:val="370F3162"/>
    <w:rsid w:val="394C7ABD"/>
    <w:rsid w:val="39DC604F"/>
    <w:rsid w:val="3A195219"/>
    <w:rsid w:val="3AC66CB1"/>
    <w:rsid w:val="3C202737"/>
    <w:rsid w:val="3C7B2762"/>
    <w:rsid w:val="3DBF59F1"/>
    <w:rsid w:val="3EF630D7"/>
    <w:rsid w:val="400B3B08"/>
    <w:rsid w:val="4360346E"/>
    <w:rsid w:val="4577445E"/>
    <w:rsid w:val="457B65AD"/>
    <w:rsid w:val="48013A40"/>
    <w:rsid w:val="484D3F1A"/>
    <w:rsid w:val="4D5B0AE3"/>
    <w:rsid w:val="4FBC2B14"/>
    <w:rsid w:val="512D43AE"/>
    <w:rsid w:val="57D9164A"/>
    <w:rsid w:val="5D5D1E2B"/>
    <w:rsid w:val="5DA50CB6"/>
    <w:rsid w:val="5EF33E24"/>
    <w:rsid w:val="65356DA7"/>
    <w:rsid w:val="65A23C00"/>
    <w:rsid w:val="661A238D"/>
    <w:rsid w:val="690F64AF"/>
    <w:rsid w:val="6B9278DF"/>
    <w:rsid w:val="6C275F83"/>
    <w:rsid w:val="6D577CFF"/>
    <w:rsid w:val="6E14706C"/>
    <w:rsid w:val="6FB92BDB"/>
    <w:rsid w:val="70384EB9"/>
    <w:rsid w:val="720F3426"/>
    <w:rsid w:val="7239484D"/>
    <w:rsid w:val="741C7977"/>
    <w:rsid w:val="74C72DF3"/>
    <w:rsid w:val="755D0DA2"/>
    <w:rsid w:val="75CB2AE1"/>
    <w:rsid w:val="772B13D3"/>
    <w:rsid w:val="78264FB2"/>
    <w:rsid w:val="79A4739F"/>
    <w:rsid w:val="7F2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 w:hAnsi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1240</Characters>
  <Lines>10</Lines>
  <Paragraphs>2</Paragraphs>
  <TotalTime>0</TotalTime>
  <ScaleCrop>false</ScaleCrop>
  <LinksUpToDate>false</LinksUpToDate>
  <CharactersWithSpaces>1246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2019-08-05T11:45:00Z</dcterms:created>
  <dc:creator>*^斌^*</dc:creator>
  <cp:lastModifiedBy>腾勇灵</cp:lastModifiedBy>
  <dcterms:modified xsi:type="dcterms:W3CDTF">2025-09-15T08:50:10Z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36109247BB4B4AC88F0EA898F0306510_13</vt:lpwstr>
  </property>
</Properties>
</file>