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rPr>
      </w:pPr>
      <w:r>
        <w:drawing>
          <wp:anchor distT="0" distB="0" distL="114300" distR="114300" simplePos="0" relativeHeight="251659264" behindDoc="1" locked="0" layoutInCell="1" allowOverlap="1">
            <wp:simplePos x="0" y="0"/>
            <wp:positionH relativeFrom="column">
              <wp:posOffset>114300</wp:posOffset>
            </wp:positionH>
            <wp:positionV relativeFrom="paragraph">
              <wp:posOffset>51435</wp:posOffset>
            </wp:positionV>
            <wp:extent cx="4269740" cy="5548630"/>
            <wp:effectExtent l="0" t="0" r="54610" b="52070"/>
            <wp:wrapTight wrapText="bothSides">
              <wp:wrapPolygon>
                <wp:start x="0" y="0"/>
                <wp:lineTo x="0" y="21506"/>
                <wp:lineTo x="21491" y="21506"/>
                <wp:lineTo x="21491" y="0"/>
                <wp:lineTo x="0" y="0"/>
              </wp:wrapPolygon>
            </wp:wrapTight>
            <wp:docPr id="30" name="图片 30" descr="办理流程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办理流程_01"/>
                    <pic:cNvPicPr>
                      <a:picLocks noChangeAspect="1"/>
                    </pic:cNvPicPr>
                  </pic:nvPicPr>
                  <pic:blipFill>
                    <a:blip r:embed="rId4"/>
                    <a:stretch>
                      <a:fillRect/>
                    </a:stretch>
                  </pic:blipFill>
                  <pic:spPr>
                    <a:xfrm>
                      <a:off x="0" y="0"/>
                      <a:ext cx="4269740" cy="5548630"/>
                    </a:xfrm>
                    <a:prstGeom prst="rect">
                      <a:avLst/>
                    </a:prstGeom>
                  </pic:spPr>
                </pic:pic>
              </a:graphicData>
            </a:graphic>
          </wp:anchor>
        </w:drawing>
      </w:r>
      <w:r>
        <w:rPr>
          <w:rFonts w:hint="eastAsia"/>
          <w:b/>
          <w:bCs/>
        </w:rPr>
        <w:t>抵押权首次</w:t>
      </w:r>
      <w:r>
        <w:rPr>
          <w:b/>
          <w:bCs/>
        </w:rPr>
        <w:t>登记办事指南</w:t>
      </w:r>
      <w:r>
        <w:rPr>
          <w:rFonts w:hint="eastAsia"/>
          <w:b/>
          <w:bCs/>
        </w:rPr>
        <w:t>流程示意图</w:t>
      </w: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ind w:firstLine="280" w:firstLineChars="100"/>
        <w:rPr>
          <w:sz w:val="28"/>
          <w:szCs w:val="28"/>
        </w:rPr>
      </w:pPr>
    </w:p>
    <w:p>
      <w:pPr>
        <w:ind w:firstLine="280" w:firstLineChars="100"/>
        <w:rPr>
          <w:sz w:val="28"/>
          <w:szCs w:val="28"/>
        </w:rPr>
      </w:pPr>
    </w:p>
    <w:p>
      <w:pPr>
        <w:ind w:firstLine="280" w:firstLineChars="100"/>
        <w:rPr>
          <w:sz w:val="28"/>
          <w:szCs w:val="28"/>
        </w:rPr>
      </w:pPr>
    </w:p>
    <w:p>
      <w:pPr>
        <w:ind w:firstLine="280" w:firstLineChars="100"/>
        <w:rPr>
          <w:sz w:val="28"/>
          <w:szCs w:val="28"/>
        </w:rPr>
      </w:pPr>
    </w:p>
    <w:p>
      <w:pPr>
        <w:ind w:firstLine="280" w:firstLineChars="100"/>
        <w:jc w:val="center"/>
        <w:rPr>
          <w:sz w:val="28"/>
          <w:szCs w:val="28"/>
        </w:rPr>
      </w:pPr>
      <w:r>
        <w:rPr>
          <w:rFonts w:hint="eastAsia"/>
          <w:sz w:val="28"/>
          <w:szCs w:val="28"/>
        </w:rPr>
        <w:t>抵押权首次登记</w:t>
      </w:r>
      <w:r>
        <w:rPr>
          <w:sz w:val="28"/>
          <w:szCs w:val="28"/>
        </w:rPr>
        <w:t>办事指南</w:t>
      </w:r>
      <w:r>
        <w:rPr>
          <w:rFonts w:hint="eastAsia"/>
          <w:sz w:val="28"/>
          <w:szCs w:val="28"/>
        </w:rPr>
        <w:t>（简版）</w:t>
      </w: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sz w:val="24"/>
          <w:szCs w:val="24"/>
        </w:rPr>
      </w:pPr>
      <w:r>
        <w:rPr>
          <w:rFonts w:hint="eastAsia"/>
          <w:sz w:val="24"/>
          <w:szCs w:val="24"/>
        </w:rPr>
        <w:t>芒市不动产登记中心</w:t>
      </w:r>
    </w:p>
    <w:p>
      <w:pPr>
        <w:jc w:val="center"/>
        <w:rPr>
          <w:sz w:val="24"/>
          <w:szCs w:val="24"/>
        </w:rPr>
      </w:pPr>
      <w:r>
        <w:rPr>
          <w:rFonts w:hint="eastAsia"/>
          <w:sz w:val="24"/>
          <w:szCs w:val="24"/>
        </w:rPr>
        <w:t>2020年03月01 日发</w:t>
      </w:r>
    </w:p>
    <w:p>
      <w:pPr>
        <w:rPr>
          <w:b/>
          <w:bCs/>
        </w:rPr>
      </w:pPr>
    </w:p>
    <w:p>
      <w:pPr>
        <w:rPr>
          <w:b/>
          <w:bCs/>
        </w:rPr>
      </w:pPr>
    </w:p>
    <w:p>
      <w:pPr>
        <w:rPr>
          <w:b/>
          <w:bCs/>
        </w:rPr>
      </w:pPr>
    </w:p>
    <w:p>
      <w:pPr>
        <w:rPr>
          <w:rFonts w:hint="eastAsia"/>
          <w:b/>
          <w:bCs/>
        </w:rPr>
      </w:pPr>
    </w:p>
    <w:p>
      <w:pPr>
        <w:rPr>
          <w:rFonts w:hint="eastAsia"/>
          <w:b/>
          <w:bCs/>
        </w:rPr>
      </w:pPr>
    </w:p>
    <w:p>
      <w:pPr>
        <w:rPr>
          <w:b/>
          <w:bCs/>
        </w:rPr>
      </w:pPr>
    </w:p>
    <w:p>
      <w:pPr>
        <w:rPr>
          <w:b/>
          <w:bCs/>
        </w:rPr>
      </w:pPr>
    </w:p>
    <w:p>
      <w:pPr>
        <w:ind w:firstLine="420" w:firstLineChars="200"/>
        <w:rPr>
          <w:rFonts w:ascii="黑体" w:hAnsi="黑体" w:eastAsia="黑体" w:cs="黑体"/>
        </w:rPr>
      </w:pPr>
      <w:r>
        <w:rPr>
          <w:rFonts w:hint="eastAsia" w:ascii="黑体" w:hAnsi="黑体" w:eastAsia="黑体" w:cs="黑体"/>
        </w:rPr>
        <w:t>一、受理范围</w:t>
      </w:r>
    </w:p>
    <w:p>
      <w:pPr>
        <w:spacing w:line="260" w:lineRule="exact"/>
        <w:ind w:firstLine="420" w:firstLineChars="200"/>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1</w:t>
      </w:r>
      <w:r>
        <w:rPr>
          <w:rFonts w:hint="eastAsia" w:asciiTheme="minorEastAsia" w:hAnsiTheme="minorEastAsia" w:eastAsiaTheme="minorEastAsia" w:cstheme="minorEastAsia"/>
          <w:bCs/>
          <w:szCs w:val="21"/>
        </w:rPr>
        <w:t>.</w:t>
      </w:r>
      <w:r>
        <w:rPr>
          <w:rFonts w:asciiTheme="minorEastAsia" w:hAnsiTheme="minorEastAsia" w:eastAsiaTheme="minorEastAsia" w:cstheme="minorEastAsia"/>
          <w:bCs/>
          <w:szCs w:val="21"/>
        </w:rPr>
        <w:t>建设用地使用权；</w:t>
      </w:r>
    </w:p>
    <w:p>
      <w:pPr>
        <w:spacing w:line="260" w:lineRule="exact"/>
        <w:ind w:firstLine="420" w:firstLineChars="200"/>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2</w:t>
      </w:r>
      <w:r>
        <w:rPr>
          <w:rFonts w:hint="eastAsia" w:asciiTheme="minorEastAsia" w:hAnsiTheme="minorEastAsia" w:eastAsiaTheme="minorEastAsia" w:cstheme="minorEastAsia"/>
          <w:bCs/>
          <w:szCs w:val="21"/>
        </w:rPr>
        <w:t>.</w:t>
      </w:r>
      <w:r>
        <w:rPr>
          <w:rFonts w:asciiTheme="minorEastAsia" w:hAnsiTheme="minorEastAsia" w:eastAsiaTheme="minorEastAsia" w:cstheme="minorEastAsia"/>
          <w:bCs/>
          <w:szCs w:val="21"/>
        </w:rPr>
        <w:t>建筑物和其他土地附着物；</w:t>
      </w:r>
    </w:p>
    <w:p>
      <w:pPr>
        <w:spacing w:line="260" w:lineRule="exact"/>
        <w:ind w:firstLine="420" w:firstLineChars="200"/>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3</w:t>
      </w:r>
      <w:r>
        <w:rPr>
          <w:rFonts w:hint="eastAsia" w:asciiTheme="minorEastAsia" w:hAnsiTheme="minorEastAsia" w:eastAsiaTheme="minorEastAsia" w:cstheme="minorEastAsia"/>
          <w:bCs/>
          <w:szCs w:val="21"/>
        </w:rPr>
        <w:t>.</w:t>
      </w:r>
      <w:r>
        <w:rPr>
          <w:rFonts w:asciiTheme="minorEastAsia" w:hAnsiTheme="minorEastAsia" w:eastAsiaTheme="minorEastAsia" w:cstheme="minorEastAsia"/>
          <w:bCs/>
          <w:szCs w:val="21"/>
        </w:rPr>
        <w:t>海域使用权；</w:t>
      </w:r>
    </w:p>
    <w:p>
      <w:pPr>
        <w:spacing w:line="260" w:lineRule="exact"/>
        <w:ind w:firstLine="420" w:firstLineChars="200"/>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4</w:t>
      </w:r>
      <w:r>
        <w:rPr>
          <w:rFonts w:hint="eastAsia" w:asciiTheme="minorEastAsia" w:hAnsiTheme="minorEastAsia" w:eastAsiaTheme="minorEastAsia" w:cstheme="minorEastAsia"/>
          <w:bCs/>
          <w:szCs w:val="21"/>
        </w:rPr>
        <w:t>.</w:t>
      </w:r>
      <w:r>
        <w:rPr>
          <w:rFonts w:asciiTheme="minorEastAsia" w:hAnsiTheme="minorEastAsia" w:eastAsiaTheme="minorEastAsia" w:cstheme="minorEastAsia"/>
          <w:bCs/>
          <w:szCs w:val="21"/>
        </w:rPr>
        <w:t>以招标</w:t>
      </w:r>
      <w:r>
        <w:rPr>
          <w:rFonts w:hint="eastAsia" w:asciiTheme="minorEastAsia" w:hAnsiTheme="minorEastAsia" w:eastAsiaTheme="minorEastAsia" w:cstheme="minorEastAsia"/>
          <w:bCs/>
          <w:szCs w:val="21"/>
        </w:rPr>
        <w:t>.</w:t>
      </w:r>
      <w:r>
        <w:rPr>
          <w:rFonts w:asciiTheme="minorEastAsia" w:hAnsiTheme="minorEastAsia" w:eastAsiaTheme="minorEastAsia" w:cstheme="minorEastAsia"/>
          <w:bCs/>
          <w:szCs w:val="21"/>
        </w:rPr>
        <w:t>拍卖</w:t>
      </w:r>
      <w:r>
        <w:rPr>
          <w:rFonts w:hint="eastAsia" w:asciiTheme="minorEastAsia" w:hAnsiTheme="minorEastAsia" w:eastAsiaTheme="minorEastAsia" w:cstheme="minorEastAsia"/>
          <w:bCs/>
          <w:szCs w:val="21"/>
          <w:lang w:eastAsia="zh-CN"/>
        </w:rPr>
        <w:t>。</w:t>
      </w:r>
      <w:bookmarkStart w:id="0" w:name="_GoBack"/>
      <w:bookmarkEnd w:id="0"/>
      <w:r>
        <w:rPr>
          <w:rFonts w:asciiTheme="minorEastAsia" w:hAnsiTheme="minorEastAsia" w:eastAsiaTheme="minorEastAsia" w:cstheme="minorEastAsia"/>
          <w:bCs/>
          <w:szCs w:val="21"/>
        </w:rPr>
        <w:t>公开协商等方式取得荒地等的土地承包经营权；</w:t>
      </w:r>
    </w:p>
    <w:p>
      <w:pPr>
        <w:spacing w:line="260" w:lineRule="exact"/>
        <w:ind w:firstLine="420" w:firstLineChars="200"/>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5</w:t>
      </w:r>
      <w:r>
        <w:rPr>
          <w:rFonts w:hint="eastAsia" w:asciiTheme="minorEastAsia" w:hAnsiTheme="minorEastAsia" w:eastAsiaTheme="minorEastAsia" w:cstheme="minorEastAsia"/>
          <w:bCs/>
          <w:szCs w:val="21"/>
        </w:rPr>
        <w:t>.</w:t>
      </w:r>
      <w:r>
        <w:rPr>
          <w:rFonts w:asciiTheme="minorEastAsia" w:hAnsiTheme="minorEastAsia" w:eastAsiaTheme="minorEastAsia" w:cstheme="minorEastAsia"/>
          <w:bCs/>
          <w:szCs w:val="21"/>
        </w:rPr>
        <w:t>正在建造的建筑物；</w:t>
      </w:r>
    </w:p>
    <w:p>
      <w:pPr>
        <w:spacing w:line="260" w:lineRule="exact"/>
        <w:ind w:firstLine="420" w:firstLineChars="200"/>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6</w:t>
      </w:r>
      <w:r>
        <w:rPr>
          <w:rFonts w:hint="eastAsia" w:asciiTheme="minorEastAsia" w:hAnsiTheme="minorEastAsia" w:eastAsiaTheme="minorEastAsia" w:cstheme="minorEastAsia"/>
          <w:bCs/>
          <w:szCs w:val="21"/>
        </w:rPr>
        <w:t>.</w:t>
      </w:r>
      <w:r>
        <w:rPr>
          <w:rFonts w:asciiTheme="minorEastAsia" w:hAnsiTheme="minorEastAsia" w:eastAsiaTheme="minorEastAsia" w:cstheme="minorEastAsia"/>
          <w:bCs/>
          <w:szCs w:val="21"/>
        </w:rPr>
        <w:t>法律</w:t>
      </w:r>
      <w:r>
        <w:rPr>
          <w:rFonts w:hint="eastAsia" w:asciiTheme="minorEastAsia" w:hAnsiTheme="minorEastAsia" w:eastAsiaTheme="minorEastAsia" w:cstheme="minorEastAsia"/>
          <w:bCs/>
          <w:szCs w:val="21"/>
        </w:rPr>
        <w:t>.</w:t>
      </w:r>
      <w:r>
        <w:rPr>
          <w:rFonts w:asciiTheme="minorEastAsia" w:hAnsiTheme="minorEastAsia" w:eastAsiaTheme="minorEastAsia" w:cstheme="minorEastAsia"/>
          <w:bCs/>
          <w:szCs w:val="21"/>
        </w:rPr>
        <w:t>行政法规未禁止抵押的其他不动产。</w:t>
      </w:r>
    </w:p>
    <w:p>
      <w:pPr>
        <w:spacing w:line="260" w:lineRule="exact"/>
        <w:ind w:firstLine="420" w:firstLineChars="200"/>
        <w:rPr>
          <w:rFonts w:ascii="黑体" w:hAnsi="黑体" w:eastAsia="黑体"/>
          <w:szCs w:val="21"/>
        </w:rPr>
      </w:pPr>
      <w:r>
        <w:rPr>
          <w:rFonts w:hint="eastAsia" w:ascii="黑体" w:hAnsi="黑体" w:eastAsia="黑体"/>
          <w:szCs w:val="21"/>
        </w:rPr>
        <w:t>二、登记条件</w:t>
      </w:r>
    </w:p>
    <w:p>
      <w:pPr>
        <w:spacing w:line="260" w:lineRule="exact"/>
        <w:ind w:firstLine="422" w:firstLineChars="200"/>
        <w:rPr>
          <w:rFonts w:asciiTheme="minorEastAsia" w:hAnsiTheme="minorEastAsia" w:eastAsiaTheme="minorEastAsia" w:cstheme="minorEastAsia"/>
        </w:rPr>
      </w:pPr>
      <w:r>
        <w:rPr>
          <w:rFonts w:hint="eastAsia"/>
          <w:b/>
          <w:szCs w:val="21"/>
        </w:rPr>
        <w:t>（一）予以登记的条件：</w:t>
      </w:r>
    </w:p>
    <w:p>
      <w:pPr>
        <w:spacing w:line="2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在借贷、买卖等民事活动中，自然人、法人或其他组织为保障其债权实现，依法设立不动产抵押权的，可以由抵押人和抵押权人共同申请办理不动产抵押登记。以建设用地使用权、海域使用权抵押的，该土地、海域上的建筑物、构筑物一并抵押；以建筑物、构筑物抵押的，该建筑物、构筑物占用范围内的建设用地使用权、海域使用权一并抵押。</w:t>
      </w:r>
    </w:p>
    <w:p>
      <w:pPr>
        <w:spacing w:line="2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1.为担保债务的履行，债务人或者第三人不转移不动产的占有，将该不动产抵押给债权人的，当事人可以申请一般抵押权首次登记；</w:t>
      </w:r>
    </w:p>
    <w:p>
      <w:pPr>
        <w:spacing w:line="2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2.为担保债务的履行，债务人或者第三人对一定期间内将要连续发生的债权提供担保不动产的，当事人可以申请最高额抵押权首次登记；</w:t>
      </w:r>
    </w:p>
    <w:p>
      <w:pPr>
        <w:spacing w:line="2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3.以正在建造的建筑物设定抵押的，当事人可以申请建设用地使用权及在建建筑物抵押权首次登记。</w:t>
      </w:r>
    </w:p>
    <w:p>
      <w:pPr>
        <w:spacing w:line="260" w:lineRule="exact"/>
        <w:ind w:firstLine="422" w:firstLineChars="200"/>
        <w:rPr>
          <w:b/>
          <w:szCs w:val="21"/>
        </w:rPr>
      </w:pPr>
      <w:r>
        <w:rPr>
          <w:rFonts w:hint="eastAsia"/>
          <w:b/>
          <w:szCs w:val="21"/>
        </w:rPr>
        <w:t>（二）不予登记的情形：</w:t>
      </w:r>
    </w:p>
    <w:p>
      <w:pPr>
        <w:spacing w:line="260" w:lineRule="exact"/>
        <w:ind w:firstLine="420" w:firstLineChars="200"/>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对于法律禁止抵押的下列财产，不动产登记机构不得办理不动产抵押登记：</w:t>
      </w:r>
    </w:p>
    <w:p>
      <w:pPr>
        <w:spacing w:line="260" w:lineRule="exact"/>
        <w:ind w:firstLine="420" w:firstLineChars="200"/>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1</w:t>
      </w:r>
      <w:r>
        <w:rPr>
          <w:rFonts w:hint="eastAsia" w:asciiTheme="minorEastAsia" w:hAnsiTheme="minorEastAsia" w:eastAsiaTheme="minorEastAsia" w:cstheme="minorEastAsia"/>
          <w:bCs/>
          <w:szCs w:val="21"/>
        </w:rPr>
        <w:t>.</w:t>
      </w:r>
      <w:r>
        <w:rPr>
          <w:rFonts w:asciiTheme="minorEastAsia" w:hAnsiTheme="minorEastAsia" w:eastAsiaTheme="minorEastAsia" w:cstheme="minorEastAsia"/>
          <w:bCs/>
          <w:szCs w:val="21"/>
        </w:rPr>
        <w:t>土地所有权、海域所有权；</w:t>
      </w:r>
    </w:p>
    <w:p>
      <w:pPr>
        <w:spacing w:line="260" w:lineRule="exact"/>
        <w:ind w:firstLine="420" w:firstLineChars="200"/>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2</w:t>
      </w:r>
      <w:r>
        <w:rPr>
          <w:rFonts w:hint="eastAsia" w:asciiTheme="minorEastAsia" w:hAnsiTheme="minorEastAsia" w:eastAsiaTheme="minorEastAsia" w:cstheme="minorEastAsia"/>
          <w:bCs/>
          <w:szCs w:val="21"/>
        </w:rPr>
        <w:t>.</w:t>
      </w:r>
      <w:r>
        <w:rPr>
          <w:rFonts w:asciiTheme="minorEastAsia" w:hAnsiTheme="minorEastAsia" w:eastAsiaTheme="minorEastAsia" w:cstheme="minorEastAsia"/>
          <w:bCs/>
          <w:szCs w:val="21"/>
        </w:rPr>
        <w:t>耕地、宅基地等集体所有的土地使用权，但法律规定可以抵押的除外；</w:t>
      </w:r>
    </w:p>
    <w:p>
      <w:pPr>
        <w:spacing w:line="260" w:lineRule="exact"/>
        <w:ind w:firstLine="420" w:firstLineChars="200"/>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3</w:t>
      </w:r>
      <w:r>
        <w:rPr>
          <w:rFonts w:hint="eastAsia" w:asciiTheme="minorEastAsia" w:hAnsiTheme="minorEastAsia" w:eastAsiaTheme="minorEastAsia" w:cstheme="minorEastAsia"/>
          <w:bCs/>
          <w:szCs w:val="21"/>
        </w:rPr>
        <w:t>.</w:t>
      </w:r>
      <w:r>
        <w:rPr>
          <w:rFonts w:asciiTheme="minorEastAsia" w:hAnsiTheme="minorEastAsia" w:eastAsiaTheme="minorEastAsia" w:cstheme="minorEastAsia"/>
          <w:bCs/>
          <w:szCs w:val="21"/>
        </w:rPr>
        <w:t>学校、幼儿园、医院等以公益为目的的事业单位、社会团体的教育设施、医疗卫生设施和其他社会公益设施；</w:t>
      </w:r>
    </w:p>
    <w:p>
      <w:pPr>
        <w:spacing w:line="260" w:lineRule="exact"/>
        <w:ind w:firstLine="420" w:firstLineChars="200"/>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4</w:t>
      </w:r>
      <w:r>
        <w:rPr>
          <w:rFonts w:hint="eastAsia" w:asciiTheme="minorEastAsia" w:hAnsiTheme="minorEastAsia" w:eastAsiaTheme="minorEastAsia" w:cstheme="minorEastAsia"/>
          <w:bCs/>
          <w:szCs w:val="21"/>
        </w:rPr>
        <w:t>.</w:t>
      </w:r>
      <w:r>
        <w:rPr>
          <w:rFonts w:asciiTheme="minorEastAsia" w:hAnsiTheme="minorEastAsia" w:eastAsiaTheme="minorEastAsia" w:cstheme="minorEastAsia"/>
          <w:bCs/>
          <w:szCs w:val="21"/>
        </w:rPr>
        <w:t>所有权、使用权不明或者有争议的不动产；</w:t>
      </w:r>
    </w:p>
    <w:p>
      <w:pPr>
        <w:spacing w:line="260" w:lineRule="exact"/>
        <w:ind w:firstLine="420" w:firstLineChars="200"/>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5</w:t>
      </w:r>
      <w:r>
        <w:rPr>
          <w:rFonts w:hint="eastAsia" w:asciiTheme="minorEastAsia" w:hAnsiTheme="minorEastAsia" w:eastAsiaTheme="minorEastAsia" w:cstheme="minorEastAsia"/>
          <w:bCs/>
          <w:szCs w:val="21"/>
        </w:rPr>
        <w:t>.</w:t>
      </w:r>
      <w:r>
        <w:rPr>
          <w:rFonts w:asciiTheme="minorEastAsia" w:hAnsiTheme="minorEastAsia" w:eastAsiaTheme="minorEastAsia" w:cstheme="minorEastAsia"/>
          <w:bCs/>
          <w:szCs w:val="21"/>
        </w:rPr>
        <w:t>依法被查封的不动产；</w:t>
      </w:r>
    </w:p>
    <w:p>
      <w:pPr>
        <w:spacing w:line="260" w:lineRule="exact"/>
        <w:ind w:firstLine="420" w:firstLineChars="200"/>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6</w:t>
      </w:r>
      <w:r>
        <w:rPr>
          <w:rFonts w:hint="eastAsia" w:asciiTheme="minorEastAsia" w:hAnsiTheme="minorEastAsia" w:eastAsiaTheme="minorEastAsia" w:cstheme="minorEastAsia"/>
          <w:bCs/>
          <w:szCs w:val="21"/>
        </w:rPr>
        <w:t>.</w:t>
      </w:r>
      <w:r>
        <w:rPr>
          <w:rFonts w:asciiTheme="minorEastAsia" w:hAnsiTheme="minorEastAsia" w:eastAsiaTheme="minorEastAsia" w:cstheme="minorEastAsia"/>
          <w:bCs/>
          <w:szCs w:val="21"/>
        </w:rPr>
        <w:t>法律、行政法规规定不得抵押的其他不动产。</w:t>
      </w:r>
    </w:p>
    <w:p>
      <w:pPr>
        <w:spacing w:line="260" w:lineRule="exact"/>
        <w:ind w:firstLine="420" w:firstLineChars="200"/>
        <w:rPr>
          <w:rFonts w:ascii="黑体" w:hAnsi="黑体" w:eastAsia="黑体"/>
          <w:szCs w:val="21"/>
        </w:rPr>
      </w:pPr>
      <w:r>
        <w:rPr>
          <w:rFonts w:hint="eastAsia" w:ascii="黑体" w:hAnsi="黑体" w:eastAsia="黑体"/>
          <w:szCs w:val="21"/>
        </w:rPr>
        <w:t>三、受理形式</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 xml:space="preserve">受理形式：窗口受理。 </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受理地点：芒市政务服务中心</w:t>
      </w:r>
      <w:r>
        <w:rPr>
          <w:rFonts w:hint="eastAsia" w:ascii="宋体" w:hAnsi="宋体"/>
          <w:spacing w:val="-4"/>
          <w:szCs w:val="21"/>
          <w:lang w:eastAsia="zh-CN"/>
        </w:rPr>
        <w:t>二楼</w:t>
      </w:r>
      <w:r>
        <w:rPr>
          <w:rFonts w:hint="eastAsia" w:ascii="宋体" w:hAnsi="宋体"/>
          <w:spacing w:val="-4"/>
          <w:szCs w:val="21"/>
        </w:rPr>
        <w:t>芒市不动产登记中心窗口。</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受理时间：周一至周五：8:30—11:30；</w:t>
      </w:r>
    </w:p>
    <w:p>
      <w:pPr>
        <w:spacing w:line="26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14:30—17:30</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温馨提示：法定节假日的工作时间，以芒市人民政府出示的官方公告为准。</w:t>
      </w:r>
    </w:p>
    <w:p>
      <w:pPr>
        <w:adjustRightInd w:val="0"/>
        <w:snapToGrid w:val="0"/>
        <w:spacing w:line="260" w:lineRule="exact"/>
        <w:ind w:firstLine="420" w:firstLineChars="200"/>
        <w:jc w:val="left"/>
        <w:rPr>
          <w:rFonts w:ascii="黑体" w:hAnsi="黑体" w:eastAsia="黑体"/>
          <w:szCs w:val="21"/>
        </w:rPr>
      </w:pPr>
      <w:r>
        <w:rPr>
          <w:rFonts w:hint="eastAsia" w:ascii="黑体" w:hAnsi="黑体" w:eastAsia="黑体"/>
          <w:szCs w:val="21"/>
        </w:rPr>
        <w:t>四、申请材料</w:t>
      </w:r>
    </w:p>
    <w:tbl>
      <w:tblPr>
        <w:tblStyle w:val="5"/>
        <w:tblpPr w:leftFromText="180" w:rightFromText="180" w:vertAnchor="text" w:horzAnchor="page" w:tblpX="5772" w:tblpY="246"/>
        <w:tblOverlap w:val="never"/>
        <w:tblW w:w="5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2410"/>
        <w:gridCol w:w="567"/>
        <w:gridCol w:w="283"/>
        <w:gridCol w:w="709"/>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序号</w:t>
            </w:r>
          </w:p>
        </w:tc>
        <w:tc>
          <w:tcPr>
            <w:tcW w:w="241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材料名称</w:t>
            </w:r>
          </w:p>
        </w:tc>
        <w:tc>
          <w:tcPr>
            <w:tcW w:w="567"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材料形式</w:t>
            </w:r>
          </w:p>
        </w:tc>
        <w:tc>
          <w:tcPr>
            <w:tcW w:w="283"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份数</w:t>
            </w:r>
          </w:p>
        </w:tc>
        <w:tc>
          <w:tcPr>
            <w:tcW w:w="709"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材料来源</w:t>
            </w:r>
          </w:p>
        </w:tc>
        <w:tc>
          <w:tcPr>
            <w:tcW w:w="65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2410" w:type="dxa"/>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不动产登记申请书</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3"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restart"/>
            <w:vAlign w:val="center"/>
          </w:tcPr>
          <w:p>
            <w:pPr>
              <w:numPr>
                <w:ilvl w:val="0"/>
                <w:numId w:val="2"/>
              </w:num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复印件应选用A4纸张，同时加盖公章</w:t>
            </w:r>
            <w:r>
              <w:rPr>
                <w:rFonts w:hint="eastAsia" w:asciiTheme="minorEastAsia" w:hAnsiTheme="minorEastAsia" w:eastAsiaTheme="minorEastAsia" w:cstheme="minorEastAsia"/>
                <w:sz w:val="15"/>
                <w:szCs w:val="15"/>
              </w:rPr>
              <w:t>。</w:t>
            </w:r>
          </w:p>
          <w:p>
            <w:pP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c>
          <w:tcPr>
            <w:tcW w:w="2410" w:type="dxa"/>
            <w:vAlign w:val="center"/>
          </w:tcPr>
          <w:p>
            <w:pP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申请人身份证明</w:t>
            </w:r>
            <w:r>
              <w:rPr>
                <w:rFonts w:hint="eastAsia" w:asciiTheme="minorEastAsia" w:hAnsiTheme="minorEastAsia" w:eastAsiaTheme="minorEastAsia" w:cstheme="minorEastAsia"/>
                <w:sz w:val="15"/>
                <w:szCs w:val="15"/>
              </w:rPr>
              <w:t>（</w:t>
            </w:r>
            <w:r>
              <w:rPr>
                <w:rFonts w:hint="eastAsia" w:ascii="宋体" w:hAnsi="宋体" w:cs="宋体"/>
                <w:sz w:val="15"/>
                <w:szCs w:val="15"/>
              </w:rPr>
              <w:t>身份证、结婚证或离婚证或户口簿、公司需营业执照、统一社会信用代码证、法人身份证、授权委托书、委托人身份证</w:t>
            </w:r>
            <w:r>
              <w:rPr>
                <w:rFonts w:hint="eastAsia" w:asciiTheme="minorEastAsia" w:hAnsiTheme="minorEastAsia" w:eastAsiaTheme="minorEastAsia" w:cstheme="minorEastAsia"/>
                <w:sz w:val="15"/>
                <w:szCs w:val="15"/>
              </w:rPr>
              <w:t>）</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3"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3</w:t>
            </w:r>
          </w:p>
        </w:tc>
        <w:tc>
          <w:tcPr>
            <w:tcW w:w="2410" w:type="dxa"/>
            <w:vAlign w:val="center"/>
          </w:tcPr>
          <w:p>
            <w:pP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不动产权属证书</w:t>
            </w:r>
            <w:r>
              <w:rPr>
                <w:rFonts w:hint="eastAsia" w:asciiTheme="minorEastAsia" w:hAnsiTheme="minorEastAsia" w:eastAsiaTheme="minorEastAsia" w:cstheme="minorEastAsia"/>
                <w:sz w:val="15"/>
                <w:szCs w:val="15"/>
              </w:rPr>
              <w:t>（土地证或房产证或不动产权属证书）</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3"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c>
          <w:tcPr>
            <w:tcW w:w="2410" w:type="dxa"/>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主债权合同</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3"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5</w:t>
            </w:r>
          </w:p>
        </w:tc>
        <w:tc>
          <w:tcPr>
            <w:tcW w:w="2410" w:type="dxa"/>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抵押合同或最高额抵押合同</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3"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6</w:t>
            </w:r>
          </w:p>
        </w:tc>
        <w:tc>
          <w:tcPr>
            <w:tcW w:w="2410" w:type="dxa"/>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抵押物价值确认书</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3"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7</w:t>
            </w:r>
          </w:p>
        </w:tc>
        <w:tc>
          <w:tcPr>
            <w:tcW w:w="241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下列情形还应当提交以下材料</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3"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vAlign w:val="center"/>
          </w:tcPr>
          <w:p>
            <w:pPr>
              <w:jc w:val="center"/>
              <w:rPr>
                <w:rFonts w:asciiTheme="minorEastAsia" w:hAnsiTheme="minorEastAsia" w:eastAsiaTheme="minorEastAsia" w:cstheme="minorEastAsia"/>
                <w:sz w:val="15"/>
                <w:szCs w:val="15"/>
              </w:rPr>
            </w:pPr>
          </w:p>
        </w:tc>
        <w:tc>
          <w:tcPr>
            <w:tcW w:w="3969" w:type="dxa"/>
            <w:gridSpan w:val="4"/>
            <w:vAlign w:val="center"/>
          </w:tcPr>
          <w:p>
            <w:pP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下列情形还应当提交以下材料：</w:t>
            </w:r>
            <w:r>
              <w:rPr>
                <w:rFonts w:asciiTheme="minorEastAsia" w:hAnsiTheme="minorEastAsia" w:eastAsiaTheme="minorEastAsia" w:cstheme="minorEastAsia"/>
                <w:sz w:val="15"/>
                <w:szCs w:val="15"/>
              </w:rPr>
              <w:t>（1）同意将最高额抵押权设立前已经存在的债权转入最高额抵押担保的债权范围的，应当提交已存在债权的合同以及当事人同意将该债权纳入最高额抵押权担保范围的书面材料；（2）在建建筑物抵押的，应当提交建设工程规划许可证；</w:t>
            </w:r>
          </w:p>
        </w:tc>
        <w:tc>
          <w:tcPr>
            <w:tcW w:w="650"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8</w:t>
            </w:r>
          </w:p>
        </w:tc>
        <w:tc>
          <w:tcPr>
            <w:tcW w:w="2410" w:type="dxa"/>
            <w:vAlign w:val="center"/>
          </w:tcPr>
          <w:p>
            <w:pP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法律、</w:t>
            </w:r>
            <w:r>
              <w:rPr>
                <w:rFonts w:asciiTheme="minorEastAsia" w:hAnsiTheme="minorEastAsia" w:eastAsiaTheme="minorEastAsia" w:cstheme="minorEastAsia"/>
                <w:sz w:val="15"/>
                <w:szCs w:val="15"/>
              </w:rPr>
              <w:t>行政法规以及</w:t>
            </w:r>
            <w:r>
              <w:rPr>
                <w:rFonts w:hint="eastAsia" w:asciiTheme="minorEastAsia" w:hAnsiTheme="minorEastAsia" w:eastAsiaTheme="minorEastAsia" w:cstheme="minorEastAsia"/>
                <w:sz w:val="15"/>
                <w:szCs w:val="15"/>
              </w:rPr>
              <w:t>《实施细则》规定的其他材料</w:t>
            </w:r>
          </w:p>
        </w:tc>
        <w:tc>
          <w:tcPr>
            <w:tcW w:w="567" w:type="dxa"/>
            <w:vAlign w:val="center"/>
          </w:tcPr>
          <w:p>
            <w:pP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3" w:type="dxa"/>
            <w:vAlign w:val="center"/>
          </w:tcPr>
          <w:p>
            <w:pP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continue"/>
            <w:vAlign w:val="center"/>
          </w:tcPr>
          <w:p>
            <w:pPr>
              <w:jc w:val="center"/>
              <w:rPr>
                <w:rFonts w:asciiTheme="minorEastAsia" w:hAnsiTheme="minorEastAsia" w:eastAsiaTheme="minorEastAsia" w:cstheme="minorEastAsia"/>
                <w:sz w:val="15"/>
                <w:szCs w:val="15"/>
              </w:rPr>
            </w:pPr>
          </w:p>
        </w:tc>
      </w:tr>
    </w:tbl>
    <w:p>
      <w:pPr>
        <w:rPr>
          <w:rFonts w:asciiTheme="minorEastAsia" w:hAnsiTheme="minorEastAsia" w:eastAsiaTheme="minorEastAsia" w:cstheme="minorEastAsia"/>
        </w:rPr>
      </w:pPr>
    </w:p>
    <w:p>
      <w:pPr>
        <w:spacing w:line="260" w:lineRule="exact"/>
        <w:ind w:firstLine="420" w:firstLineChars="200"/>
        <w:rPr>
          <w:rFonts w:ascii="黑体" w:hAnsi="黑体" w:eastAsia="黑体"/>
          <w:szCs w:val="21"/>
        </w:rPr>
      </w:pPr>
      <w:r>
        <w:rPr>
          <w:rFonts w:hint="eastAsia" w:ascii="黑体" w:hAnsi="黑体" w:eastAsia="黑体"/>
          <w:szCs w:val="21"/>
        </w:rPr>
        <w:t>五、办结时限</w:t>
      </w:r>
    </w:p>
    <w:p>
      <w:pPr>
        <w:ind w:firstLine="420" w:firstLineChars="200"/>
        <w:rPr>
          <w:rFonts w:asciiTheme="minorEastAsia" w:hAnsiTheme="minorEastAsia" w:eastAsiaTheme="minorEastAsia" w:cstheme="minorEastAsia"/>
        </w:rPr>
      </w:pPr>
      <w:r>
        <w:rPr>
          <w:rFonts w:asciiTheme="minorEastAsia" w:hAnsiTheme="minorEastAsia" w:eastAsiaTheme="minorEastAsia" w:cstheme="minorEastAsia"/>
        </w:rPr>
        <w:t>承诺办理时限：</w:t>
      </w:r>
      <w:r>
        <w:rPr>
          <w:rFonts w:hint="eastAsia" w:asciiTheme="minorEastAsia" w:hAnsiTheme="minorEastAsia" w:eastAsiaTheme="minorEastAsia" w:cstheme="minorEastAsia"/>
        </w:rPr>
        <w:t>2</w:t>
      </w:r>
      <w:r>
        <w:rPr>
          <w:rFonts w:asciiTheme="minorEastAsia" w:hAnsiTheme="minorEastAsia" w:eastAsiaTheme="minorEastAsia" w:cstheme="minorEastAsia"/>
        </w:rPr>
        <w:t>个工作日</w:t>
      </w:r>
      <w:r>
        <w:rPr>
          <w:rFonts w:hint="eastAsia" w:asciiTheme="minorEastAsia" w:hAnsiTheme="minorEastAsia" w:eastAsiaTheme="minorEastAsia" w:cstheme="minorEastAsia"/>
        </w:rPr>
        <w:t>，补件时限不计算在内。</w:t>
      </w:r>
    </w:p>
    <w:p>
      <w:pPr>
        <w:rPr>
          <w:rFonts w:asciiTheme="minorEastAsia" w:hAnsiTheme="minorEastAsia" w:eastAsiaTheme="minorEastAsia" w:cstheme="minorEastAsia"/>
        </w:rPr>
      </w:pPr>
      <w:r>
        <w:rPr>
          <w:rFonts w:asciiTheme="minorEastAsia" w:hAnsiTheme="minorEastAsia" w:eastAsiaTheme="minorEastAsia" w:cstheme="minorEastAsia"/>
        </w:rPr>
        <w:t>（不含批量件）。</w:t>
      </w:r>
    </w:p>
    <w:p>
      <w:pPr>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法定办理时限</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30个工作日，补件时限不计算在内。</w:t>
      </w:r>
    </w:p>
    <w:p>
      <w:pPr>
        <w:numPr>
          <w:ilvl w:val="0"/>
          <w:numId w:val="3"/>
        </w:numPr>
        <w:spacing w:line="260" w:lineRule="exact"/>
        <w:ind w:firstLine="420" w:firstLineChars="200"/>
        <w:rPr>
          <w:rFonts w:ascii="黑体" w:hAnsi="黑体" w:eastAsia="黑体"/>
          <w:szCs w:val="21"/>
        </w:rPr>
      </w:pPr>
      <w:r>
        <w:rPr>
          <w:rFonts w:hint="eastAsia" w:ascii="黑体" w:hAnsi="黑体" w:eastAsia="黑体"/>
          <w:szCs w:val="21"/>
        </w:rPr>
        <w:t>收费标准</w:t>
      </w:r>
    </w:p>
    <w:p>
      <w:pPr>
        <w:spacing w:line="2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登记费：住宅80元／件，非住宅550元／件。</w:t>
      </w:r>
    </w:p>
    <w:p>
      <w:pPr>
        <w:spacing w:line="2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收费依据《国家发展改革委、财政部关于不动产登记收费标准等有关问题的通知》（发改价格规〔2016﹞2559号、《财政部 国家发展改革委关于减免部分行政事业性收费有关政策的通知》财税〔2019﹞45号文件</w:t>
      </w:r>
      <w:r>
        <w:rPr>
          <w:rFonts w:hint="eastAsia" w:asciiTheme="minorEastAsia" w:hAnsiTheme="minorEastAsia" w:eastAsiaTheme="minorEastAsia" w:cstheme="minorEastAsia"/>
          <w:szCs w:val="21"/>
          <w:lang w:eastAsia="zh-CN"/>
        </w:rPr>
        <w:t>。</w:t>
      </w:r>
    </w:p>
    <w:p>
      <w:pPr>
        <w:pStyle w:val="8"/>
        <w:numPr>
          <w:ilvl w:val="0"/>
          <w:numId w:val="0"/>
        </w:numPr>
        <w:adjustRightInd w:val="0"/>
        <w:snapToGrid w:val="0"/>
        <w:spacing w:line="260" w:lineRule="exact"/>
        <w:ind w:firstLine="411" w:firstLineChars="196"/>
        <w:jc w:val="left"/>
        <w:rPr>
          <w:rFonts w:ascii="黑体" w:hAnsi="黑体" w:eastAsia="黑体"/>
          <w:kern w:val="2"/>
          <w:sz w:val="21"/>
          <w:szCs w:val="21"/>
        </w:rPr>
      </w:pPr>
      <w:r>
        <w:rPr>
          <w:rFonts w:hint="eastAsia" w:ascii="黑体" w:hAnsi="黑体" w:eastAsia="黑体"/>
          <w:kern w:val="2"/>
          <w:sz w:val="21"/>
          <w:szCs w:val="21"/>
        </w:rPr>
        <w:t>七、登记决定及送达方式</w:t>
      </w:r>
    </w:p>
    <w:p>
      <w:pPr>
        <w:spacing w:line="260" w:lineRule="exact"/>
        <w:ind w:firstLine="420" w:firstLineChars="200"/>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办理结果：颁发</w:t>
      </w:r>
      <w:r>
        <w:rPr>
          <w:rFonts w:hint="eastAsia" w:asciiTheme="minorEastAsia" w:hAnsiTheme="minorEastAsia" w:eastAsiaTheme="minorEastAsia" w:cstheme="minorEastAsia"/>
          <w:bCs/>
          <w:szCs w:val="21"/>
        </w:rPr>
        <w:t>不动产权证书</w:t>
      </w:r>
      <w:r>
        <w:rPr>
          <w:rFonts w:asciiTheme="minorEastAsia" w:hAnsiTheme="minorEastAsia" w:eastAsiaTheme="minorEastAsia" w:cstheme="minorEastAsia"/>
          <w:bCs/>
          <w:szCs w:val="21"/>
        </w:rPr>
        <w:t>。</w:t>
      </w:r>
    </w:p>
    <w:p>
      <w:pPr>
        <w:spacing w:line="260" w:lineRule="exact"/>
        <w:ind w:firstLine="420" w:firstLineChars="200"/>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送达方式：到芒市政务服务中心</w:t>
      </w:r>
      <w:r>
        <w:rPr>
          <w:rFonts w:hint="eastAsia" w:asciiTheme="minorEastAsia" w:hAnsiTheme="minorEastAsia" w:eastAsiaTheme="minorEastAsia" w:cstheme="minorEastAsia"/>
          <w:bCs/>
          <w:szCs w:val="21"/>
          <w:lang w:eastAsia="zh-CN"/>
        </w:rPr>
        <w:t>二楼</w:t>
      </w:r>
      <w:r>
        <w:rPr>
          <w:rFonts w:asciiTheme="minorEastAsia" w:hAnsiTheme="minorEastAsia" w:eastAsiaTheme="minorEastAsia" w:cstheme="minorEastAsia"/>
          <w:bCs/>
          <w:szCs w:val="21"/>
        </w:rPr>
        <w:t>芒市不动产登记中心直接领取。</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八、咨询</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1.咨询方式</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（1）窗口咨询：芒市政务服务中心</w:t>
      </w:r>
      <w:r>
        <w:rPr>
          <w:rFonts w:hint="eastAsia" w:asciiTheme="minorEastAsia" w:hAnsiTheme="minorEastAsia" w:eastAsiaTheme="minorEastAsia" w:cstheme="minorEastAsia"/>
          <w:bCs/>
          <w:szCs w:val="21"/>
          <w:lang w:eastAsia="zh-CN"/>
        </w:rPr>
        <w:t>二楼</w:t>
      </w:r>
      <w:r>
        <w:rPr>
          <w:rFonts w:hint="eastAsia" w:asciiTheme="minorEastAsia" w:hAnsiTheme="minorEastAsia" w:eastAsiaTheme="minorEastAsia" w:cstheme="minorEastAsia"/>
          <w:bCs/>
          <w:szCs w:val="21"/>
        </w:rPr>
        <w:t>芒市不动产登记中心。</w:t>
      </w:r>
    </w:p>
    <w:p>
      <w:pPr>
        <w:numPr>
          <w:ilvl w:val="0"/>
          <w:numId w:val="4"/>
        </w:numPr>
        <w:rPr>
          <w:rFonts w:hint="default" w:ascii="宋体" w:hAnsi="宋体"/>
          <w:spacing w:val="-4"/>
          <w:szCs w:val="21"/>
          <w:lang w:val="en-US"/>
        </w:rPr>
      </w:pPr>
      <w:r>
        <w:rPr>
          <w:rFonts w:hint="eastAsia" w:asciiTheme="minorEastAsia" w:hAnsiTheme="minorEastAsia" w:eastAsiaTheme="minorEastAsia" w:cstheme="minorEastAsia"/>
          <w:bCs/>
          <w:szCs w:val="21"/>
        </w:rPr>
        <w:t>（2）电话咨询：0692-</w:t>
      </w:r>
      <w:r>
        <w:rPr>
          <w:rFonts w:hint="eastAsia" w:ascii="宋体" w:hAnsi="宋体"/>
          <w:spacing w:val="-4"/>
          <w:szCs w:val="21"/>
          <w:lang w:val="en-US" w:eastAsia="zh-CN"/>
        </w:rPr>
        <w:t>2991728</w:t>
      </w:r>
    </w:p>
    <w:p>
      <w:pPr>
        <w:adjustRightInd w:val="0"/>
        <w:snapToGrid w:val="0"/>
        <w:spacing w:line="260" w:lineRule="exact"/>
        <w:ind w:firstLine="420" w:firstLineChars="200"/>
        <w:jc w:val="left"/>
        <w:rPr>
          <w:rFonts w:asciiTheme="minorEastAsia" w:hAnsiTheme="minorEastAsia" w:eastAsiaTheme="minorEastAsia" w:cstheme="minorEastAsia"/>
          <w:bCs/>
          <w:szCs w:val="21"/>
        </w:rPr>
      </w:pPr>
      <w:r>
        <w:rPr>
          <w:rFonts w:hint="eastAsia" w:ascii="黑体" w:hAnsi="黑体" w:eastAsia="黑体"/>
          <w:szCs w:val="21"/>
        </w:rPr>
        <w:t>九、监督投诉</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窗口投诉：芒市政务中心</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电话投诉：2272789</w:t>
      </w:r>
    </w:p>
    <w:p>
      <w:pPr>
        <w:ind w:firstLine="404" w:firstLineChars="200"/>
        <w:rPr>
          <w:rFonts w:ascii="宋体" w:hAnsi="宋体"/>
          <w:spacing w:val="-4"/>
          <w:szCs w:val="21"/>
        </w:rPr>
      </w:pPr>
    </w:p>
    <w:p>
      <w:pPr>
        <w:ind w:left="388"/>
        <w:rPr>
          <w:rFonts w:ascii="宋体" w:hAnsi="宋体"/>
          <w:color w:val="FF0000"/>
          <w:spacing w:val="-4"/>
          <w:szCs w:val="21"/>
        </w:rPr>
      </w:pPr>
    </w:p>
    <w:p>
      <w:pPr>
        <w:spacing w:line="260" w:lineRule="exact"/>
        <w:ind w:firstLine="404" w:firstLineChars="200"/>
        <w:rPr>
          <w:rFonts w:ascii="宋体" w:hAnsi="宋体"/>
          <w:spacing w:val="-4"/>
          <w:szCs w:val="21"/>
        </w:rPr>
      </w:pPr>
    </w:p>
    <w:sectPr>
      <w:pgSz w:w="16103" w:h="11850" w:orient="landscape"/>
      <w:pgMar w:top="283" w:right="283" w:bottom="283" w:left="283" w:header="851" w:footer="992" w:gutter="0"/>
      <w:cols w:equalWidth="0" w:num="3">
        <w:col w:w="4801" w:space="425"/>
        <w:col w:w="5084" w:space="425"/>
        <w:col w:w="4801"/>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0455AB"/>
    <w:multiLevelType w:val="singleLevel"/>
    <w:tmpl w:val="B80455AB"/>
    <w:lvl w:ilvl="0" w:tentative="0">
      <w:start w:val="1"/>
      <w:numFmt w:val="decimal"/>
      <w:suff w:val="nothing"/>
      <w:lvlText w:val="%1、"/>
      <w:lvlJc w:val="left"/>
    </w:lvl>
  </w:abstractNum>
  <w:abstractNum w:abstractNumId="1">
    <w:nsid w:val="09052CBB"/>
    <w:multiLevelType w:val="singleLevel"/>
    <w:tmpl w:val="09052CBB"/>
    <w:lvl w:ilvl="0" w:tentative="0">
      <w:start w:val="6"/>
      <w:numFmt w:val="chineseCounting"/>
      <w:suff w:val="nothing"/>
      <w:lvlText w:val="%1、"/>
      <w:lvlJc w:val="left"/>
      <w:rPr>
        <w:rFonts w:hint="eastAsia"/>
      </w:rPr>
    </w:lvl>
  </w:abstractNum>
  <w:abstractNum w:abstractNumId="2">
    <w:nsid w:val="4B733A5F"/>
    <w:multiLevelType w:val="multilevel"/>
    <w:tmpl w:val="4B733A5F"/>
    <w:lvl w:ilvl="0" w:tentative="0">
      <w:start w:val="1"/>
      <w:numFmt w:val="decimal"/>
      <w:pStyle w:val="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3">
    <w:nsid w:val="56FBC5B2"/>
    <w:multiLevelType w:val="singleLevel"/>
    <w:tmpl w:val="56FBC5B2"/>
    <w:lvl w:ilvl="0" w:tentative="0">
      <w:start w:val="2"/>
      <w:numFmt w:val="decimal"/>
      <w:suff w:val="nothing"/>
      <w:lvlText w:val="（%1）"/>
      <w:lvlJc w:val="left"/>
      <w:pPr>
        <w:ind w:left="388" w:firstLine="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c5M2JmMGZjZjM3NjFiNTA4ZTQ2ZGE5NGJiMjc1NTkifQ=="/>
  </w:docVars>
  <w:rsids>
    <w:rsidRoot w:val="661A238D"/>
    <w:rsid w:val="00070E2F"/>
    <w:rsid w:val="0007449A"/>
    <w:rsid w:val="000F6D67"/>
    <w:rsid w:val="002D5C6B"/>
    <w:rsid w:val="00313CDC"/>
    <w:rsid w:val="004F20CD"/>
    <w:rsid w:val="005473CD"/>
    <w:rsid w:val="00601EC3"/>
    <w:rsid w:val="00626D93"/>
    <w:rsid w:val="00706A42"/>
    <w:rsid w:val="007127FA"/>
    <w:rsid w:val="007218DA"/>
    <w:rsid w:val="00852862"/>
    <w:rsid w:val="00886E8F"/>
    <w:rsid w:val="009056C5"/>
    <w:rsid w:val="00A42C51"/>
    <w:rsid w:val="00A5717A"/>
    <w:rsid w:val="00A6510D"/>
    <w:rsid w:val="00C77A40"/>
    <w:rsid w:val="00FB75FE"/>
    <w:rsid w:val="04407132"/>
    <w:rsid w:val="051E30D6"/>
    <w:rsid w:val="07807418"/>
    <w:rsid w:val="07BF0200"/>
    <w:rsid w:val="088003AD"/>
    <w:rsid w:val="090E0762"/>
    <w:rsid w:val="0B832689"/>
    <w:rsid w:val="105205DF"/>
    <w:rsid w:val="145B3DB8"/>
    <w:rsid w:val="145E5C36"/>
    <w:rsid w:val="17064F93"/>
    <w:rsid w:val="19C7118A"/>
    <w:rsid w:val="1C2553A2"/>
    <w:rsid w:val="1C6457EB"/>
    <w:rsid w:val="1C6A2D21"/>
    <w:rsid w:val="1CE86080"/>
    <w:rsid w:val="1D0116F4"/>
    <w:rsid w:val="1DD901B8"/>
    <w:rsid w:val="216612D6"/>
    <w:rsid w:val="21680606"/>
    <w:rsid w:val="242245D3"/>
    <w:rsid w:val="255667ED"/>
    <w:rsid w:val="27975D88"/>
    <w:rsid w:val="2B597DB2"/>
    <w:rsid w:val="31EE7226"/>
    <w:rsid w:val="33A1022C"/>
    <w:rsid w:val="368340C8"/>
    <w:rsid w:val="368C4679"/>
    <w:rsid w:val="3A195219"/>
    <w:rsid w:val="3AC66CB1"/>
    <w:rsid w:val="3B450899"/>
    <w:rsid w:val="3C202737"/>
    <w:rsid w:val="3C7B2762"/>
    <w:rsid w:val="3DBF59F1"/>
    <w:rsid w:val="3E0B0D6C"/>
    <w:rsid w:val="3EF630D7"/>
    <w:rsid w:val="4360346E"/>
    <w:rsid w:val="4577445E"/>
    <w:rsid w:val="48013A40"/>
    <w:rsid w:val="484D3F1A"/>
    <w:rsid w:val="49A1653F"/>
    <w:rsid w:val="4FBC2B14"/>
    <w:rsid w:val="512D43AE"/>
    <w:rsid w:val="53EA28DD"/>
    <w:rsid w:val="57D9164A"/>
    <w:rsid w:val="57EB5559"/>
    <w:rsid w:val="5BC25CE7"/>
    <w:rsid w:val="5BD02A66"/>
    <w:rsid w:val="5BE5087F"/>
    <w:rsid w:val="5D5D1E2B"/>
    <w:rsid w:val="5D9B0958"/>
    <w:rsid w:val="5DA50CB6"/>
    <w:rsid w:val="5EF33E24"/>
    <w:rsid w:val="62CF2FA8"/>
    <w:rsid w:val="65356DA7"/>
    <w:rsid w:val="656242D2"/>
    <w:rsid w:val="65A23C00"/>
    <w:rsid w:val="661A238D"/>
    <w:rsid w:val="688F7CA3"/>
    <w:rsid w:val="6B9278DF"/>
    <w:rsid w:val="6C275F83"/>
    <w:rsid w:val="720F3426"/>
    <w:rsid w:val="7239484D"/>
    <w:rsid w:val="741C7977"/>
    <w:rsid w:val="74C72DF3"/>
    <w:rsid w:val="75CB2AE1"/>
    <w:rsid w:val="772B13D3"/>
    <w:rsid w:val="77952EF7"/>
    <w:rsid w:val="78264FB2"/>
    <w:rsid w:val="79A4739F"/>
    <w:rsid w:val="7F287E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段"/>
    <w:link w:val="1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8">
    <w:name w:val="示例×："/>
    <w:basedOn w:val="1"/>
    <w:qFormat/>
    <w:uiPriority w:val="0"/>
    <w:pPr>
      <w:widowControl/>
      <w:numPr>
        <w:ilvl w:val="0"/>
        <w:numId w:val="1"/>
      </w:numPr>
    </w:pPr>
    <w:rPr>
      <w:rFonts w:ascii="宋体" w:hAnsi="Times New Roman"/>
      <w:kern w:val="0"/>
      <w:sz w:val="18"/>
      <w:szCs w:val="18"/>
    </w:rPr>
  </w:style>
  <w:style w:type="character" w:customStyle="1" w:styleId="9">
    <w:name w:val="页眉 Char"/>
    <w:basedOn w:val="6"/>
    <w:link w:val="3"/>
    <w:qFormat/>
    <w:uiPriority w:val="0"/>
    <w:rPr>
      <w:kern w:val="2"/>
      <w:sz w:val="18"/>
      <w:szCs w:val="18"/>
    </w:rPr>
  </w:style>
  <w:style w:type="character" w:customStyle="1" w:styleId="10">
    <w:name w:val="页脚 Char"/>
    <w:basedOn w:val="6"/>
    <w:link w:val="2"/>
    <w:qFormat/>
    <w:uiPriority w:val="0"/>
    <w:rPr>
      <w:kern w:val="2"/>
      <w:sz w:val="18"/>
      <w:szCs w:val="18"/>
    </w:rPr>
  </w:style>
  <w:style w:type="character" w:customStyle="1" w:styleId="11">
    <w:name w:val="段 Char"/>
    <w:link w:val="7"/>
    <w:qFormat/>
    <w:uiPriority w:val="0"/>
    <w:rPr>
      <w:rFonts w:ascii="宋体" w:hAnsi="Times New Roman"/>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1439</Words>
  <Characters>1508</Characters>
  <Lines>2</Lines>
  <Paragraphs>3</Paragraphs>
  <TotalTime>0</TotalTime>
  <ScaleCrop>false</ScaleCrop>
  <LinksUpToDate>false</LinksUpToDate>
  <CharactersWithSpaces>1511</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2019-08-05T11:45:00Z</dcterms:created>
  <dc:creator>*^斌^*</dc:creator>
  <cp:lastModifiedBy>腾勇灵</cp:lastModifiedBy>
  <dcterms:modified xsi:type="dcterms:W3CDTF">2025-09-15T08:46:37Z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6987ED0738A34B408F77A2447DA31900_13</vt:lpwstr>
  </property>
</Properties>
</file>