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b/>
          <w:bCs/>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rFonts w:ascii="黑体" w:hAnsi="黑体" w:eastAsia="黑体"/>
          <w:b/>
          <w:szCs w:val="21"/>
        </w:rPr>
        <w:drawing>
          <wp:inline distT="0" distB="0" distL="0" distR="0">
            <wp:extent cx="2975610" cy="15741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983865" cy="1578506"/>
                    </a:xfrm>
                    <a:prstGeom prst="rect">
                      <a:avLst/>
                    </a:prstGeom>
                    <a:noFill/>
                  </pic:spPr>
                </pic:pic>
              </a:graphicData>
            </a:graphic>
          </wp:inline>
        </w:drawing>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1254" w:firstLineChars="595"/>
        <w:rPr>
          <w:b/>
          <w:bCs/>
        </w:rPr>
      </w:pPr>
      <w:r>
        <w:rPr>
          <w:rFonts w:hint="eastAsia"/>
          <w:b/>
          <w:bCs/>
        </w:rPr>
        <w:t>查询</w:t>
      </w:r>
      <w:r>
        <w:rPr>
          <w:b/>
          <w:bCs/>
        </w:rPr>
        <w:t>办事指南</w:t>
      </w:r>
      <w:r>
        <w:rPr>
          <w:rFonts w:hint="eastAsia"/>
          <w:b/>
          <w:bCs/>
        </w:rPr>
        <w:t>流程示意图</w:t>
      </w:r>
    </w:p>
    <w:p>
      <w:pPr>
        <w:rPr>
          <w:sz w:val="28"/>
          <w:szCs w:val="28"/>
        </w:rPr>
      </w:pPr>
    </w:p>
    <w:p>
      <w:pPr>
        <w:rPr>
          <w:sz w:val="28"/>
          <w:szCs w:val="28"/>
        </w:rPr>
      </w:pPr>
    </w:p>
    <w:p>
      <w:pPr>
        <w:rPr>
          <w:sz w:val="28"/>
          <w:szCs w:val="28"/>
        </w:rPr>
      </w:pPr>
    </w:p>
    <w:p>
      <w:pPr>
        <w:rPr>
          <w:sz w:val="28"/>
          <w:szCs w:val="28"/>
        </w:rPr>
      </w:pPr>
    </w:p>
    <w:p>
      <w:pPr>
        <w:rPr>
          <w:sz w:val="28"/>
          <w:szCs w:val="28"/>
        </w:rPr>
      </w:pPr>
    </w:p>
    <w:p>
      <w:pPr>
        <w:ind w:firstLine="280" w:firstLineChars="100"/>
        <w:jc w:val="center"/>
        <w:rPr>
          <w:sz w:val="28"/>
          <w:szCs w:val="28"/>
        </w:rPr>
      </w:pPr>
      <w:r>
        <w:rPr>
          <w:rFonts w:hint="eastAsia"/>
          <w:sz w:val="28"/>
          <w:szCs w:val="28"/>
        </w:rPr>
        <w:t>查询登记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rPr>
          <w:b/>
          <w:bCs/>
        </w:rPr>
      </w:pPr>
    </w:p>
    <w:p>
      <w:pPr>
        <w:rPr>
          <w:b/>
          <w:bCs/>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宋体" w:hAnsi="Times New Roman"/>
          <w:kern w:val="0"/>
          <w:szCs w:val="20"/>
        </w:rPr>
      </w:pPr>
      <w:r>
        <w:rPr>
          <w:rFonts w:hint="eastAsia" w:ascii="宋体" w:hAnsi="Times New Roman"/>
          <w:kern w:val="0"/>
          <w:szCs w:val="20"/>
        </w:rPr>
        <w:t>1.权利人可以查询、复制其全部的不动产登记资料；</w:t>
      </w:r>
    </w:p>
    <w:p>
      <w:pPr>
        <w:spacing w:line="260" w:lineRule="exact"/>
        <w:ind w:firstLine="420" w:firstLineChars="200"/>
        <w:rPr>
          <w:rFonts w:ascii="宋体" w:hAnsi="Times New Roman"/>
          <w:kern w:val="0"/>
          <w:szCs w:val="20"/>
        </w:rPr>
      </w:pPr>
      <w:r>
        <w:rPr>
          <w:rFonts w:hint="eastAsia" w:ascii="宋体" w:hAnsi="Times New Roman"/>
          <w:kern w:val="0"/>
          <w:szCs w:val="20"/>
        </w:rPr>
        <w:t>2.因不动产交易、继承、诉讼等涉及的利害关系人可以查询、复制不动产自然状况、权利人及其不动产查封、抵押、预告登记、异议登记等状况；</w:t>
      </w:r>
    </w:p>
    <w:p>
      <w:pPr>
        <w:spacing w:line="260" w:lineRule="exact"/>
        <w:ind w:firstLine="420" w:firstLineChars="200"/>
        <w:rPr>
          <w:rFonts w:ascii="宋体" w:hAnsi="Times New Roman"/>
          <w:kern w:val="0"/>
          <w:szCs w:val="20"/>
        </w:rPr>
      </w:pPr>
      <w:r>
        <w:rPr>
          <w:rFonts w:hint="eastAsia" w:ascii="宋体" w:hAnsi="Times New Roman"/>
          <w:kern w:val="0"/>
          <w:szCs w:val="20"/>
        </w:rPr>
        <w:t>3.人民法院、人民检察院、国家安全机关、监察机关以及其他因执行公务需要的国家机关可以依法查询、复制与调查和处理事项有关的不动产登记资料；</w:t>
      </w:r>
    </w:p>
    <w:p>
      <w:pPr>
        <w:spacing w:line="260" w:lineRule="exact"/>
        <w:ind w:firstLine="420" w:firstLineChars="200"/>
        <w:rPr>
          <w:rFonts w:ascii="宋体" w:hAnsi="Times New Roman"/>
          <w:kern w:val="0"/>
          <w:szCs w:val="20"/>
        </w:rPr>
      </w:pPr>
      <w:r>
        <w:rPr>
          <w:rFonts w:hint="eastAsia" w:ascii="宋体" w:hAnsi="Times New Roman"/>
          <w:kern w:val="0"/>
          <w:szCs w:val="20"/>
        </w:rPr>
        <w:t>4.法律、行政法规规定的其他情形。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1.查询主体到不动产登记机构来查询的；</w:t>
      </w:r>
    </w:p>
    <w:p>
      <w:pPr>
        <w:spacing w:line="260" w:lineRule="exact"/>
        <w:ind w:firstLine="420" w:firstLineChars="200"/>
        <w:rPr>
          <w:rFonts w:ascii="宋体" w:hAnsi="Times New Roman"/>
          <w:kern w:val="0"/>
          <w:szCs w:val="20"/>
        </w:rPr>
      </w:pPr>
      <w:r>
        <w:rPr>
          <w:rFonts w:hint="eastAsia" w:ascii="宋体" w:hAnsi="Times New Roman"/>
          <w:kern w:val="0"/>
          <w:szCs w:val="20"/>
        </w:rPr>
        <w:t>2.查询的不动产属于本不动产登记机构的管辖范围；</w:t>
      </w:r>
    </w:p>
    <w:p>
      <w:pPr>
        <w:spacing w:line="260" w:lineRule="exact"/>
        <w:ind w:firstLine="420" w:firstLineChars="200"/>
        <w:rPr>
          <w:rFonts w:ascii="宋体" w:hAnsi="Times New Roman"/>
          <w:kern w:val="0"/>
          <w:szCs w:val="20"/>
        </w:rPr>
      </w:pPr>
      <w:r>
        <w:rPr>
          <w:rFonts w:hint="eastAsia" w:ascii="宋体" w:hAnsi="Times New Roman"/>
          <w:kern w:val="0"/>
          <w:szCs w:val="20"/>
        </w:rPr>
        <w:t>3.查询申请材料齐全，且符合形式要求；</w:t>
      </w:r>
    </w:p>
    <w:p>
      <w:pPr>
        <w:spacing w:line="260" w:lineRule="exact"/>
        <w:ind w:firstLine="420" w:firstLineChars="200"/>
        <w:rPr>
          <w:rFonts w:ascii="宋体" w:hAnsi="Times New Roman"/>
          <w:kern w:val="0"/>
          <w:szCs w:val="20"/>
        </w:rPr>
      </w:pPr>
      <w:r>
        <w:rPr>
          <w:rFonts w:hint="eastAsia" w:ascii="宋体" w:hAnsi="Times New Roman"/>
          <w:kern w:val="0"/>
          <w:szCs w:val="20"/>
        </w:rPr>
        <w:t>4.查询主体及其内容符合本规范第20.1条的规定；</w:t>
      </w:r>
    </w:p>
    <w:p>
      <w:pPr>
        <w:spacing w:line="260" w:lineRule="exact"/>
        <w:ind w:firstLine="420" w:firstLineChars="200"/>
        <w:rPr>
          <w:rFonts w:ascii="宋体" w:hAnsi="Times New Roman"/>
          <w:kern w:val="0"/>
          <w:szCs w:val="20"/>
        </w:rPr>
      </w:pPr>
      <w:r>
        <w:rPr>
          <w:rFonts w:hint="eastAsia" w:ascii="宋体" w:hAnsi="Times New Roman"/>
          <w:kern w:val="0"/>
          <w:szCs w:val="20"/>
        </w:rPr>
        <w:t xml:space="preserve">5.查询目的明确且不违反法律、行政法规规定； </w:t>
      </w:r>
    </w:p>
    <w:p>
      <w:pPr>
        <w:spacing w:line="260" w:lineRule="exact"/>
        <w:ind w:firstLine="420" w:firstLineChars="200"/>
        <w:rPr>
          <w:rFonts w:ascii="宋体" w:hAnsi="Times New Roman"/>
          <w:kern w:val="0"/>
          <w:szCs w:val="20"/>
        </w:rPr>
      </w:pPr>
      <w:r>
        <w:rPr>
          <w:rFonts w:hint="eastAsia" w:ascii="宋体" w:hAnsi="Times New Roman"/>
          <w:kern w:val="0"/>
          <w:szCs w:val="20"/>
        </w:rPr>
        <w:t>6.法律、行政法规规定的其他条件。</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对于法律禁止抵押的下列财产，不动产登记机构不得办理不动产抵押登记：</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2.申请人、委托代理人身份证明材料以及授权委托书与申请人不一致的；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6"/>
        <w:tblpPr w:leftFromText="180" w:rightFromText="180" w:vertAnchor="text" w:horzAnchor="page" w:tblpX="5772" w:tblpY="24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410"/>
        <w:gridCol w:w="567"/>
        <w:gridCol w:w="283"/>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3"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查询申请书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申请人身份证明材料。委托查询的，应当提交授权委托书和代理人的身份证明材料，境外委托人的授权委托书还需经公证或者认证；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利害关系人查询的，提交存在利害关系的材料；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人民法院、人民检察院、国家安全机关、监察机关以及其他因执行公务需要的国家机关查询的，应当提供本单位出具的协助查询材料和工作人员的工作证和执行公务的证明文件；</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法律、行政法规规定的其他材料。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符合查询条件的，不动产登记机构当场向申请人提供查询结果。因情况特殊，不能当场提供的，在5个工作日内向申请人提供查询结果。</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p>
    <w:p>
      <w:pPr>
        <w:pStyle w:val="9"/>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办理结果：颁发</w:t>
      </w:r>
      <w:r>
        <w:rPr>
          <w:rFonts w:hint="eastAsia" w:asciiTheme="minorEastAsia" w:hAnsiTheme="minorEastAsia" w:eastAsiaTheme="minorEastAsia" w:cstheme="minorEastAsia"/>
          <w:bCs/>
          <w:szCs w:val="21"/>
        </w:rPr>
        <w:t>不动产权证书</w:t>
      </w:r>
      <w:r>
        <w:rPr>
          <w:rFonts w:asciiTheme="minorEastAsia" w:hAnsiTheme="minorEastAsia" w:eastAsiaTheme="minorEastAsia" w:cstheme="minorEastAsia"/>
          <w:bCs/>
          <w:szCs w:val="21"/>
        </w:rPr>
        <w:t>。</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送达方式：到芒市政务服务中心</w:t>
      </w:r>
      <w:r>
        <w:rPr>
          <w:rFonts w:hint="eastAsia" w:asciiTheme="minorEastAsia" w:hAnsiTheme="minorEastAsia" w:eastAsiaTheme="minorEastAsia" w:cstheme="minorEastAsia"/>
          <w:bCs/>
          <w:szCs w:val="21"/>
          <w:lang w:eastAsia="zh-CN"/>
        </w:rPr>
        <w:t>二楼</w:t>
      </w:r>
      <w:r>
        <w:rPr>
          <w:rFonts w:asciiTheme="minorEastAsia" w:hAnsiTheme="minorEastAsia" w:eastAsiaTheme="minorEastAsia" w:cstheme="minorEastAsia"/>
          <w:bCs/>
          <w:szCs w:val="21"/>
        </w:rPr>
        <w:t>芒市不动产登记中心直接领取。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八、咨询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1.咨询方式</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（1）窗口咨询：芒市政务服务中心</w:t>
      </w:r>
      <w:r>
        <w:rPr>
          <w:rFonts w:hint="eastAsia" w:asciiTheme="minorEastAsia" w:hAnsiTheme="minorEastAsia" w:eastAsiaTheme="minorEastAsia" w:cstheme="minorEastAsia"/>
          <w:bCs/>
          <w:szCs w:val="21"/>
          <w:lang w:eastAsia="zh-CN"/>
        </w:rPr>
        <w:t>二楼</w:t>
      </w:r>
      <w:r>
        <w:rPr>
          <w:rFonts w:hint="eastAsia" w:asciiTheme="minorEastAsia" w:hAnsiTheme="minorEastAsia" w:eastAsiaTheme="minorEastAsia" w:cstheme="minorEastAsia"/>
          <w:bCs/>
          <w:szCs w:val="21"/>
        </w:rPr>
        <w:t>芒市不动产登记中心。</w:t>
      </w:r>
    </w:p>
    <w:p>
      <w:pPr>
        <w:numPr>
          <w:ilvl w:val="0"/>
          <w:numId w:val="3"/>
        </w:numPr>
        <w:rPr>
          <w:rFonts w:hint="default" w:ascii="宋体" w:hAnsi="宋体"/>
          <w:spacing w:val="-4"/>
          <w:szCs w:val="21"/>
          <w:lang w:val="en-US"/>
        </w:rPr>
      </w:pPr>
      <w:r>
        <w:rPr>
          <w:rFonts w:hint="eastAsia" w:asciiTheme="minorEastAsia" w:hAnsiTheme="minorEastAsia" w:eastAsiaTheme="minorEastAsia" w:cstheme="minorEastAsia"/>
          <w:bCs/>
          <w:szCs w:val="21"/>
        </w:rPr>
        <w:t>（2）电话咨询：0692-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p>
      <w:pPr>
        <w:ind w:left="388"/>
        <w:rPr>
          <w:rFonts w:ascii="宋体" w:hAnsi="宋体"/>
          <w:color w:val="FF0000"/>
          <w:spacing w:val="-4"/>
          <w:szCs w:val="21"/>
        </w:rPr>
      </w:pPr>
    </w:p>
    <w:p>
      <w:pPr>
        <w:spacing w:line="260" w:lineRule="exact"/>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64F27"/>
    <w:rsid w:val="0007449A"/>
    <w:rsid w:val="0008682B"/>
    <w:rsid w:val="000B0505"/>
    <w:rsid w:val="000F6D67"/>
    <w:rsid w:val="001D58D2"/>
    <w:rsid w:val="002A7C66"/>
    <w:rsid w:val="00313CDC"/>
    <w:rsid w:val="003511A3"/>
    <w:rsid w:val="00456A63"/>
    <w:rsid w:val="00486E39"/>
    <w:rsid w:val="004F20CD"/>
    <w:rsid w:val="005473CD"/>
    <w:rsid w:val="00601EC3"/>
    <w:rsid w:val="00706A42"/>
    <w:rsid w:val="0077323E"/>
    <w:rsid w:val="00852862"/>
    <w:rsid w:val="00882B4B"/>
    <w:rsid w:val="00886E8F"/>
    <w:rsid w:val="008F27F2"/>
    <w:rsid w:val="009056C5"/>
    <w:rsid w:val="00923C06"/>
    <w:rsid w:val="009949F0"/>
    <w:rsid w:val="00A6510D"/>
    <w:rsid w:val="00AA7397"/>
    <w:rsid w:val="00AB52C2"/>
    <w:rsid w:val="00B342EC"/>
    <w:rsid w:val="00BA4573"/>
    <w:rsid w:val="00BC2585"/>
    <w:rsid w:val="00C77A40"/>
    <w:rsid w:val="00C805B1"/>
    <w:rsid w:val="00CE74A5"/>
    <w:rsid w:val="00CF556C"/>
    <w:rsid w:val="00E01D87"/>
    <w:rsid w:val="00E2646D"/>
    <w:rsid w:val="00E71E4E"/>
    <w:rsid w:val="00EA1959"/>
    <w:rsid w:val="00EC009D"/>
    <w:rsid w:val="00F75AE0"/>
    <w:rsid w:val="00FC162D"/>
    <w:rsid w:val="04407132"/>
    <w:rsid w:val="051E30D6"/>
    <w:rsid w:val="07807418"/>
    <w:rsid w:val="07BF0200"/>
    <w:rsid w:val="088003AD"/>
    <w:rsid w:val="090E0762"/>
    <w:rsid w:val="0B832689"/>
    <w:rsid w:val="0FF8754E"/>
    <w:rsid w:val="105205DF"/>
    <w:rsid w:val="145B3DB8"/>
    <w:rsid w:val="17064F93"/>
    <w:rsid w:val="19C7118A"/>
    <w:rsid w:val="1C2553A2"/>
    <w:rsid w:val="1C6457EB"/>
    <w:rsid w:val="1C6A2D21"/>
    <w:rsid w:val="1CE86080"/>
    <w:rsid w:val="1D0116F4"/>
    <w:rsid w:val="1DD901B8"/>
    <w:rsid w:val="216612D6"/>
    <w:rsid w:val="21680606"/>
    <w:rsid w:val="242245D3"/>
    <w:rsid w:val="255667ED"/>
    <w:rsid w:val="2B597DB2"/>
    <w:rsid w:val="31EE7226"/>
    <w:rsid w:val="33A1022C"/>
    <w:rsid w:val="368C4679"/>
    <w:rsid w:val="3827240B"/>
    <w:rsid w:val="39205B86"/>
    <w:rsid w:val="3A195219"/>
    <w:rsid w:val="3AC66CB1"/>
    <w:rsid w:val="3B450899"/>
    <w:rsid w:val="3C202737"/>
    <w:rsid w:val="3C7B2762"/>
    <w:rsid w:val="3DBF59F1"/>
    <w:rsid w:val="3E0B0D6C"/>
    <w:rsid w:val="3EF630D7"/>
    <w:rsid w:val="4360346E"/>
    <w:rsid w:val="454F5716"/>
    <w:rsid w:val="4577445E"/>
    <w:rsid w:val="469F38AB"/>
    <w:rsid w:val="48013A40"/>
    <w:rsid w:val="484D3F1A"/>
    <w:rsid w:val="4FBC2B14"/>
    <w:rsid w:val="512D43AE"/>
    <w:rsid w:val="53EA28DD"/>
    <w:rsid w:val="57D9164A"/>
    <w:rsid w:val="58930CAE"/>
    <w:rsid w:val="5AB9229C"/>
    <w:rsid w:val="5BC25CE7"/>
    <w:rsid w:val="5D5D1E2B"/>
    <w:rsid w:val="5D9B0958"/>
    <w:rsid w:val="5DA50CB6"/>
    <w:rsid w:val="5EF33E24"/>
    <w:rsid w:val="65356DA7"/>
    <w:rsid w:val="656242D2"/>
    <w:rsid w:val="65A23C00"/>
    <w:rsid w:val="661A238D"/>
    <w:rsid w:val="6B9278DF"/>
    <w:rsid w:val="6C275F83"/>
    <w:rsid w:val="720F3426"/>
    <w:rsid w:val="7239484D"/>
    <w:rsid w:val="741C7977"/>
    <w:rsid w:val="74C72DF3"/>
    <w:rsid w:val="75CB2AE1"/>
    <w:rsid w:val="772B13D3"/>
    <w:rsid w:val="77952EF7"/>
    <w:rsid w:val="78264FB2"/>
    <w:rsid w:val="797E53EC"/>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示例×："/>
    <w:basedOn w:val="1"/>
    <w:qFormat/>
    <w:uiPriority w:val="0"/>
    <w:pPr>
      <w:widowControl/>
      <w:numPr>
        <w:ilvl w:val="0"/>
        <w:numId w:val="1"/>
      </w:numPr>
    </w:pPr>
    <w:rPr>
      <w:rFonts w:ascii="宋体" w:hAnsi="Times New Roman"/>
      <w:kern w:val="0"/>
      <w:sz w:val="18"/>
      <w:szCs w:val="18"/>
    </w:rPr>
  </w:style>
  <w:style w:type="character" w:customStyle="1" w:styleId="10">
    <w:name w:val="页眉 Char"/>
    <w:basedOn w:val="7"/>
    <w:link w:val="4"/>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段 Char"/>
    <w:link w:val="8"/>
    <w:qFormat/>
    <w:uiPriority w:val="0"/>
    <w:rPr>
      <w:rFonts w:ascii="宋体" w:hAnsi="Times New Roman"/>
      <w:sz w:val="21"/>
    </w:rPr>
  </w:style>
  <w:style w:type="character" w:customStyle="1" w:styleId="13">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1309</Words>
  <Characters>1383</Characters>
  <Lines>2</Lines>
  <Paragraphs>3</Paragraphs>
  <TotalTime>0</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2025-09-15T08:45:57Z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5181D621DCDE41A896792D898CAC0BA1_13</vt:lpwstr>
  </property>
</Properties>
</file>