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right="-143" w:firstLine="0"/>
        <w:jc w:val="center"/>
        <w:rPr>
          <w:rFonts w:ascii="Times New Roman" w:hAnsi="Times New Roman" w:eastAsia="黑体"/>
          <w:b/>
          <w:spacing w:val="24"/>
          <w:sz w:val="44"/>
          <w:szCs w:val="44"/>
        </w:rPr>
      </w:pPr>
    </w:p>
    <w:p>
      <w:pPr>
        <w:spacing w:line="240" w:lineRule="auto"/>
        <w:ind w:right="-143" w:firstLine="0"/>
        <w:jc w:val="center"/>
        <w:rPr>
          <w:rFonts w:ascii="Times New Roman" w:hAnsi="Times New Roman" w:eastAsia="黑体"/>
          <w:b/>
          <w:spacing w:val="24"/>
          <w:sz w:val="44"/>
          <w:szCs w:val="44"/>
        </w:rPr>
      </w:pPr>
      <w:bookmarkStart w:id="104" w:name="_GoBack"/>
      <w:r>
        <w:rPr>
          <w:rFonts w:ascii="Times New Roman" w:hAnsi="Times New Roman" w:eastAsia="黑体"/>
          <w:b/>
          <w:spacing w:val="24"/>
          <w:sz w:val="44"/>
          <w:szCs w:val="44"/>
        </w:rPr>
        <w:t>云南省德宏傣族景颇族自治州芒市</w:t>
      </w:r>
    </w:p>
    <w:p>
      <w:pPr>
        <w:spacing w:line="240" w:lineRule="auto"/>
        <w:ind w:right="-143" w:firstLine="0"/>
        <w:jc w:val="center"/>
        <w:rPr>
          <w:rFonts w:ascii="Times New Roman" w:hAnsi="Times New Roman" w:eastAsia="黑体"/>
          <w:b/>
          <w:spacing w:val="24"/>
          <w:sz w:val="44"/>
          <w:szCs w:val="44"/>
        </w:rPr>
      </w:pPr>
      <w:r>
        <w:rPr>
          <w:rFonts w:ascii="Times New Roman" w:hAnsi="Times New Roman" w:eastAsia="黑体"/>
          <w:b/>
          <w:spacing w:val="24"/>
          <w:sz w:val="44"/>
          <w:szCs w:val="44"/>
        </w:rPr>
        <w:t>地质灾害防治“十四五”规划</w:t>
      </w:r>
    </w:p>
    <w:p>
      <w:pPr>
        <w:spacing w:line="240" w:lineRule="auto"/>
        <w:ind w:firstLine="0"/>
        <w:jc w:val="center"/>
        <w:rPr>
          <w:rFonts w:ascii="Times New Roman" w:hAnsi="Times New Roman" w:eastAsia="黑体"/>
          <w:b/>
          <w:spacing w:val="24"/>
          <w:sz w:val="44"/>
          <w:szCs w:val="44"/>
        </w:rPr>
      </w:pPr>
      <w:r>
        <w:rPr>
          <w:rFonts w:ascii="Times New Roman" w:hAnsi="Times New Roman" w:eastAsia="黑体"/>
          <w:b/>
          <w:spacing w:val="24"/>
          <w:sz w:val="44"/>
          <w:szCs w:val="44"/>
        </w:rPr>
        <w:t>(2021～2025年)</w:t>
      </w:r>
    </w:p>
    <w:p>
      <w:pPr>
        <w:spacing w:before="240"/>
        <w:ind w:firstLine="0"/>
        <w:jc w:val="center"/>
        <w:rPr>
          <w:rFonts w:ascii="Times New Roman" w:hAnsi="Times New Roman"/>
          <w:b/>
          <w:bCs/>
          <w:sz w:val="32"/>
        </w:rPr>
      </w:pPr>
    </w:p>
    <w:bookmarkEnd w:id="104"/>
    <w:p>
      <w:pPr>
        <w:ind w:firstLine="0"/>
        <w:jc w:val="center"/>
        <w:rPr>
          <w:rFonts w:ascii="Times New Roman" w:hAnsi="Times New Roman"/>
          <w:b/>
          <w:bCs/>
          <w:sz w:val="32"/>
        </w:rPr>
      </w:pPr>
    </w:p>
    <w:p>
      <w:pPr>
        <w:ind w:firstLine="0"/>
        <w:jc w:val="center"/>
        <w:rPr>
          <w:rFonts w:ascii="Times New Roman" w:hAnsi="Times New Roman"/>
          <w:b/>
          <w:bCs/>
          <w:sz w:val="32"/>
        </w:rPr>
      </w:pPr>
    </w:p>
    <w:p>
      <w:pPr>
        <w:ind w:firstLine="0"/>
        <w:jc w:val="center"/>
        <w:rPr>
          <w:rFonts w:ascii="Times New Roman" w:hAnsi="Times New Roman"/>
          <w:b/>
          <w:bCs/>
          <w:sz w:val="32"/>
        </w:rPr>
      </w:pPr>
    </w:p>
    <w:p>
      <w:pPr>
        <w:ind w:firstLine="0"/>
        <w:jc w:val="center"/>
        <w:rPr>
          <w:rFonts w:ascii="Times New Roman" w:hAnsi="Times New Roman"/>
          <w:b/>
          <w:bCs/>
          <w:sz w:val="32"/>
        </w:rPr>
      </w:pPr>
    </w:p>
    <w:p>
      <w:pPr>
        <w:ind w:firstLine="0"/>
        <w:jc w:val="center"/>
        <w:rPr>
          <w:rFonts w:ascii="Times New Roman" w:hAnsi="Times New Roman"/>
          <w:b/>
          <w:bCs/>
          <w:sz w:val="32"/>
        </w:rPr>
      </w:pPr>
    </w:p>
    <w:p>
      <w:pPr>
        <w:ind w:firstLine="0"/>
        <w:jc w:val="center"/>
        <w:rPr>
          <w:rFonts w:ascii="Times New Roman" w:hAnsi="Times New Roman"/>
          <w:b/>
          <w:bCs/>
          <w:sz w:val="32"/>
        </w:rPr>
      </w:pPr>
    </w:p>
    <w:p>
      <w:pPr>
        <w:ind w:firstLine="0"/>
        <w:jc w:val="center"/>
        <w:rPr>
          <w:rFonts w:ascii="Times New Roman" w:hAnsi="Times New Roman"/>
          <w:b/>
          <w:bCs/>
          <w:sz w:val="32"/>
        </w:rPr>
      </w:pPr>
    </w:p>
    <w:p>
      <w:pPr>
        <w:ind w:firstLine="0"/>
        <w:jc w:val="center"/>
        <w:rPr>
          <w:rFonts w:ascii="Times New Roman" w:hAnsi="Times New Roman"/>
          <w:b/>
          <w:bCs/>
          <w:sz w:val="32"/>
        </w:rPr>
      </w:pPr>
    </w:p>
    <w:p>
      <w:pPr>
        <w:ind w:firstLine="0"/>
        <w:jc w:val="center"/>
        <w:rPr>
          <w:rFonts w:ascii="Times New Roman" w:hAnsi="Times New Roman"/>
          <w:b/>
          <w:bCs/>
          <w:sz w:val="32"/>
        </w:rPr>
      </w:pPr>
    </w:p>
    <w:p>
      <w:pPr>
        <w:ind w:firstLine="0"/>
        <w:jc w:val="center"/>
        <w:rPr>
          <w:rFonts w:ascii="Times New Roman" w:hAnsi="Times New Roman"/>
          <w:b/>
          <w:bCs/>
          <w:sz w:val="32"/>
        </w:rPr>
      </w:pPr>
    </w:p>
    <w:p>
      <w:pPr>
        <w:ind w:firstLine="0"/>
        <w:jc w:val="center"/>
        <w:rPr>
          <w:rFonts w:ascii="Times New Roman" w:hAnsi="Times New Roman"/>
          <w:b/>
          <w:bCs/>
          <w:spacing w:val="24"/>
          <w:sz w:val="32"/>
        </w:rPr>
      </w:pPr>
    </w:p>
    <w:p>
      <w:pPr>
        <w:ind w:firstLine="0"/>
        <w:jc w:val="center"/>
        <w:rPr>
          <w:rFonts w:ascii="Times New Roman" w:hAnsi="Times New Roman"/>
          <w:b/>
          <w:bCs/>
          <w:spacing w:val="24"/>
          <w:sz w:val="32"/>
        </w:rPr>
      </w:pPr>
    </w:p>
    <w:p>
      <w:pPr>
        <w:ind w:firstLine="0"/>
        <w:jc w:val="center"/>
        <w:rPr>
          <w:rFonts w:ascii="Times New Roman" w:hAnsi="Times New Roman"/>
          <w:b/>
          <w:bCs/>
          <w:spacing w:val="24"/>
          <w:sz w:val="32"/>
        </w:rPr>
      </w:pPr>
    </w:p>
    <w:p>
      <w:pPr>
        <w:ind w:firstLine="0"/>
        <w:jc w:val="center"/>
        <w:rPr>
          <w:rFonts w:ascii="Times New Roman" w:hAnsi="Times New Roman"/>
          <w:b/>
          <w:bCs/>
          <w:spacing w:val="24"/>
          <w:sz w:val="32"/>
        </w:rPr>
      </w:pPr>
    </w:p>
    <w:p>
      <w:pPr>
        <w:ind w:firstLine="0"/>
        <w:jc w:val="center"/>
        <w:rPr>
          <w:rFonts w:ascii="Times New Roman" w:hAnsi="Times New Roman"/>
          <w:b/>
          <w:bCs/>
          <w:spacing w:val="24"/>
          <w:sz w:val="32"/>
        </w:rPr>
      </w:pPr>
    </w:p>
    <w:p>
      <w:pPr>
        <w:ind w:firstLine="0"/>
        <w:jc w:val="center"/>
        <w:rPr>
          <w:rFonts w:ascii="Times New Roman" w:hAnsi="Times New Roman"/>
          <w:b/>
          <w:bCs/>
          <w:sz w:val="36"/>
          <w:szCs w:val="36"/>
        </w:rPr>
      </w:pPr>
      <w:r>
        <w:rPr>
          <w:rFonts w:ascii="Times New Roman" w:hAnsi="Times New Roman"/>
          <w:b/>
          <w:bCs/>
          <w:sz w:val="36"/>
          <w:szCs w:val="36"/>
        </w:rPr>
        <w:t>芒市人民政府</w:t>
      </w:r>
    </w:p>
    <w:p>
      <w:pPr>
        <w:ind w:firstLine="0"/>
        <w:jc w:val="center"/>
        <w:rPr>
          <w:rFonts w:ascii="Times New Roman" w:hAnsi="Times New Roman"/>
          <w:b/>
          <w:bCs/>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orient="landscape"/>
          <w:pgMar w:top="1418" w:right="1418" w:bottom="1418" w:left="1418" w:header="1135" w:footer="889" w:gutter="0"/>
          <w:cols w:space="1701" w:num="1"/>
        </w:sectPr>
      </w:pPr>
      <w:r>
        <w:rPr>
          <w:rFonts w:ascii="Times New Roman" w:hAnsi="Times New Roman"/>
          <w:b/>
          <w:bCs/>
          <w:sz w:val="36"/>
          <w:szCs w:val="36"/>
        </w:rPr>
        <w:t>二0二</w:t>
      </w:r>
      <w:r>
        <w:rPr>
          <w:rFonts w:hint="eastAsia" w:ascii="Times New Roman" w:hAnsi="Times New Roman"/>
          <w:b/>
          <w:bCs/>
          <w:sz w:val="36"/>
          <w:szCs w:val="36"/>
          <w:lang w:val="en-US" w:eastAsia="zh-CN"/>
        </w:rPr>
        <w:t>三</w:t>
      </w:r>
      <w:r>
        <w:rPr>
          <w:rFonts w:ascii="Times New Roman" w:hAnsi="Times New Roman"/>
          <w:b/>
          <w:bCs/>
          <w:sz w:val="36"/>
          <w:szCs w:val="36"/>
        </w:rPr>
        <w:t>年</w:t>
      </w:r>
      <w:r>
        <w:rPr>
          <w:rFonts w:hint="eastAsia" w:ascii="Times New Roman" w:hAnsi="Times New Roman"/>
          <w:b/>
          <w:bCs/>
          <w:sz w:val="36"/>
          <w:szCs w:val="36"/>
          <w:lang w:val="en-US" w:eastAsia="zh-CN"/>
        </w:rPr>
        <w:t>四</w:t>
      </w:r>
      <w:r>
        <w:rPr>
          <w:rFonts w:ascii="Times New Roman" w:hAnsi="Times New Roman"/>
          <w:b/>
          <w:bCs/>
          <w:sz w:val="36"/>
          <w:szCs w:val="36"/>
        </w:rPr>
        <w:t>月</w:t>
      </w:r>
    </w:p>
    <w:p>
      <w:pPr>
        <w:ind w:firstLine="0"/>
        <w:jc w:val="center"/>
        <w:rPr>
          <w:rFonts w:ascii="Times New Roman" w:hAnsi="Times New Roman" w:eastAsia="黑体"/>
          <w:b/>
          <w:spacing w:val="20"/>
          <w:sz w:val="36"/>
          <w:szCs w:val="36"/>
        </w:rPr>
      </w:pPr>
    </w:p>
    <w:p>
      <w:pPr>
        <w:ind w:firstLine="0"/>
        <w:jc w:val="center"/>
        <w:outlineLvl w:val="0"/>
        <w:rPr>
          <w:rFonts w:ascii="Times New Roman" w:hAnsi="Times New Roman" w:eastAsia="方正小标宋简体"/>
          <w:spacing w:val="20"/>
          <w:sz w:val="44"/>
          <w:szCs w:val="44"/>
        </w:rPr>
      </w:pPr>
      <w:r>
        <w:rPr>
          <w:rFonts w:ascii="Times New Roman" w:hAnsi="Times New Roman" w:eastAsia="方正小标宋简体"/>
          <w:spacing w:val="20"/>
          <w:sz w:val="44"/>
          <w:szCs w:val="44"/>
        </w:rPr>
        <w:t>编  委  会</w:t>
      </w:r>
    </w:p>
    <w:p>
      <w:pPr>
        <w:ind w:left="1960" w:firstLine="0"/>
        <w:rPr>
          <w:rFonts w:hint="eastAsia" w:ascii="Times New Roman" w:hAnsi="Times New Roman" w:eastAsia="方正仿宋_GBK" w:cs="Times New Roman"/>
          <w:sz w:val="32"/>
          <w:szCs w:val="32"/>
          <w:lang w:val="en-US" w:eastAsia="zh-CN"/>
        </w:rPr>
      </w:pPr>
    </w:p>
    <w:p>
      <w:pPr>
        <w:ind w:left="1960" w:firstLine="0"/>
        <w:rPr>
          <w:rFonts w:hint="eastAsia" w:ascii="Times New Roman" w:hAnsi="Times New Roman" w:eastAsia="方正仿宋_GBK" w:cs="Times New Roman"/>
          <w:sz w:val="32"/>
          <w:szCs w:val="32"/>
          <w:lang w:val="en-US" w:eastAsia="zh-CN"/>
        </w:rPr>
      </w:pPr>
    </w:p>
    <w:p>
      <w:pPr>
        <w:ind w:left="1960" w:firstLine="0"/>
        <w:rPr>
          <w:rFonts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主  编：蒋自成     梅学平</w:t>
      </w:r>
    </w:p>
    <w:p>
      <w:pPr>
        <w:ind w:left="1960" w:firstLine="0"/>
        <w:rPr>
          <w:rFonts w:hint="eastAsia" w:ascii="Times New Roman" w:hAnsi="Times New Roman" w:eastAsia="方正仿宋_GBK" w:cs="Times New Roman"/>
          <w:sz w:val="32"/>
          <w:szCs w:val="32"/>
          <w:lang w:val="en-US" w:eastAsia="zh-CN"/>
        </w:rPr>
      </w:pPr>
    </w:p>
    <w:p>
      <w:pPr>
        <w:ind w:left="1960" w:firstLine="0"/>
        <w:rPr>
          <w:rFonts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副主编：李马香    荣科南    许元乐   </w:t>
      </w:r>
    </w:p>
    <w:p>
      <w:pPr>
        <w:ind w:left="1960" w:firstLine="0"/>
        <w:rPr>
          <w:rFonts w:hint="eastAsia" w:ascii="Times New Roman" w:hAnsi="Times New Roman" w:eastAsia="方正仿宋_GBK" w:cs="Times New Roman"/>
          <w:sz w:val="32"/>
          <w:szCs w:val="32"/>
          <w:lang w:val="en-US" w:eastAsia="zh-CN"/>
        </w:rPr>
      </w:pPr>
    </w:p>
    <w:p>
      <w:pPr>
        <w:ind w:left="1960" w:firstLine="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委  员：张国春    杨  黎    字照明</w:t>
      </w:r>
    </w:p>
    <w:p>
      <w:pPr>
        <w:ind w:left="1960" w:firstLine="128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石明东    杨  勇    陈均亮    </w:t>
      </w:r>
    </w:p>
    <w:p>
      <w:pPr>
        <w:ind w:left="1960" w:firstLine="128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李永云    刘  扬    李  毅   </w:t>
      </w:r>
    </w:p>
    <w:p>
      <w:pPr>
        <w:ind w:firstLine="3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黄春杰    朱兴鹏    万  渊</w:t>
      </w:r>
    </w:p>
    <w:p>
      <w:pPr>
        <w:ind w:left="1960" w:firstLine="1280"/>
        <w:rPr>
          <w:rFonts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腾勇灵    高尚杰    刀承娇</w:t>
      </w:r>
    </w:p>
    <w:p>
      <w:pPr>
        <w:ind w:firstLine="3200"/>
        <w:rPr>
          <w:rFonts w:hint="eastAsia" w:ascii="Times New Roman" w:hAnsi="Times New Roman" w:eastAsia="方正仿宋_GBK" w:cs="Times New Roman"/>
          <w:sz w:val="32"/>
          <w:szCs w:val="32"/>
          <w:lang w:val="en-US" w:eastAsia="zh-CN"/>
        </w:rPr>
      </w:pPr>
    </w:p>
    <w:p>
      <w:pPr>
        <w:ind w:left="1960" w:firstLine="0"/>
        <w:rPr>
          <w:rFonts w:hint="eastAsia" w:ascii="Times New Roman" w:hAnsi="Times New Roman" w:eastAsia="方正仿宋_GBK" w:cs="Times New Roman"/>
          <w:sz w:val="32"/>
          <w:szCs w:val="32"/>
          <w:lang w:val="en-US" w:eastAsia="zh-CN"/>
        </w:rPr>
      </w:pPr>
    </w:p>
    <w:p>
      <w:pPr>
        <w:ind w:left="1960" w:firstLine="0"/>
        <w:rPr>
          <w:rFonts w:hint="eastAsia" w:ascii="Times New Roman" w:hAnsi="Times New Roman" w:eastAsia="方正仿宋_GBK" w:cs="Times New Roman"/>
          <w:sz w:val="32"/>
          <w:szCs w:val="32"/>
          <w:lang w:val="en-US" w:eastAsia="zh-CN"/>
        </w:rPr>
      </w:pPr>
    </w:p>
    <w:p>
      <w:pPr>
        <w:ind w:left="1960" w:firstLine="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编制单位：芒市自然资源局</w:t>
      </w:r>
    </w:p>
    <w:p>
      <w:pPr>
        <w:ind w:left="1960" w:firstLine="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西南有色昆明勘测设计（院）股份有限公司</w:t>
      </w:r>
    </w:p>
    <w:p>
      <w:pPr>
        <w:ind w:firstLine="320"/>
        <w:rPr>
          <w:rFonts w:ascii="Times New Roman" w:hAnsi="Times New Roman"/>
          <w:sz w:val="32"/>
        </w:rPr>
        <w:sectPr>
          <w:pgSz w:w="11906" w:h="16838" w:orient="landscape"/>
          <w:pgMar w:top="1418" w:right="1418" w:bottom="1418" w:left="1418" w:header="851" w:footer="887" w:gutter="0"/>
          <w:cols w:space="1701" w:num="1"/>
        </w:sectPr>
      </w:pPr>
    </w:p>
    <w:p>
      <w:pPr>
        <w:pStyle w:val="228"/>
      </w:pPr>
      <w:r>
        <w:t>目 录</w:t>
      </w:r>
    </w:p>
    <w:p>
      <w:pPr>
        <w:pStyle w:val="228"/>
        <w:ind w:firstLine="480"/>
        <w:rPr>
          <w:rFonts w:ascii="Calibri" w:hAnsi="Calibri" w:eastAsia="宋体"/>
          <w:b w:val="0"/>
          <w:sz w:val="28"/>
          <w:szCs w:val="28"/>
          <w:lang w:bidi="ar-SA"/>
        </w:rPr>
      </w:pPr>
      <w:r>
        <w:rPr>
          <w:rFonts w:eastAsia="宋体"/>
          <w:color w:val="FF0000"/>
          <w:sz w:val="24"/>
        </w:rPr>
        <w:fldChar w:fldCharType="begin"/>
      </w:r>
      <w:r>
        <w:rPr>
          <w:rFonts w:eastAsia="宋体"/>
          <w:color w:val="FF0000"/>
          <w:sz w:val="24"/>
        </w:rPr>
        <w:instrText xml:space="preserve"> TOC \o "1-3" \h \z \u </w:instrText>
      </w:r>
      <w:r>
        <w:rPr>
          <w:rFonts w:eastAsia="宋体"/>
          <w:color w:val="FF0000"/>
          <w:sz w:val="24"/>
        </w:rPr>
        <w:fldChar w:fldCharType="separate"/>
      </w:r>
      <w:r>
        <w:rPr>
          <w:rStyle w:val="244"/>
          <w:sz w:val="28"/>
          <w:szCs w:val="28"/>
        </w:rPr>
        <w:fldChar w:fldCharType="begin"/>
      </w:r>
      <w:r>
        <w:rPr>
          <w:rStyle w:val="244"/>
          <w:sz w:val="28"/>
          <w:szCs w:val="28"/>
        </w:rPr>
        <w:instrText xml:space="preserve"> </w:instrText>
      </w:r>
      <w:r>
        <w:rPr>
          <w:sz w:val="28"/>
          <w:szCs w:val="28"/>
        </w:rPr>
        <w:instrText xml:space="preserve">HYPERLINK \l "_Toc137671384"</w:instrText>
      </w:r>
      <w:r>
        <w:rPr>
          <w:rStyle w:val="244"/>
          <w:sz w:val="28"/>
          <w:szCs w:val="28"/>
        </w:rPr>
        <w:instrText xml:space="preserve"> </w:instrText>
      </w:r>
      <w:r>
        <w:rPr>
          <w:rStyle w:val="244"/>
          <w:sz w:val="28"/>
          <w:szCs w:val="28"/>
        </w:rPr>
        <w:fldChar w:fldCharType="separate"/>
      </w:r>
      <w:r>
        <w:rPr>
          <w:rStyle w:val="244"/>
          <w:rFonts w:hint="eastAsia"/>
          <w:sz w:val="28"/>
          <w:szCs w:val="28"/>
        </w:rPr>
        <w:t>前言</w:t>
      </w:r>
      <w:r>
        <w:rPr>
          <w:sz w:val="28"/>
          <w:szCs w:val="28"/>
        </w:rPr>
        <w:tab/>
      </w:r>
      <w:r>
        <w:rPr>
          <w:sz w:val="28"/>
          <w:szCs w:val="28"/>
        </w:rPr>
        <w:fldChar w:fldCharType="begin"/>
      </w:r>
      <w:r>
        <w:rPr>
          <w:sz w:val="28"/>
          <w:szCs w:val="28"/>
        </w:rPr>
        <w:instrText xml:space="preserve"> PAGEREF _Toc137671384 \h </w:instrText>
      </w:r>
      <w:r>
        <w:rPr>
          <w:sz w:val="28"/>
          <w:szCs w:val="28"/>
        </w:rPr>
        <w:fldChar w:fldCharType="separate"/>
      </w:r>
      <w:r>
        <w:rPr>
          <w:sz w:val="28"/>
          <w:szCs w:val="28"/>
        </w:rPr>
        <w:t>6</w:t>
      </w:r>
      <w:r>
        <w:rPr>
          <w:sz w:val="28"/>
          <w:szCs w:val="28"/>
        </w:rPr>
        <w:fldChar w:fldCharType="end"/>
      </w:r>
      <w:r>
        <w:rPr>
          <w:rStyle w:val="244"/>
          <w:sz w:val="28"/>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"_Toc137671385"</w:instrText>
      </w:r>
      <w:r>
        <w:rPr>
          <w:rStyle w:val="244"/>
          <w:szCs w:val="28"/>
        </w:rPr>
        <w:instrText xml:space="preserve"> </w:instrText>
      </w:r>
      <w:r>
        <w:rPr>
          <w:rStyle w:val="244"/>
          <w:szCs w:val="28"/>
        </w:rPr>
        <w:fldChar w:fldCharType="separate"/>
      </w:r>
      <w:r>
        <w:rPr>
          <w:rStyle w:val="244"/>
          <w:rFonts w:ascii="Times New Roman" w:hAnsi="Times New Roman"/>
          <w:b/>
          <w:szCs w:val="28"/>
        </w:rPr>
        <w:t>1</w:t>
      </w:r>
      <w:r>
        <w:rPr>
          <w:rStyle w:val="244"/>
          <w:rFonts w:hint="eastAsia" w:ascii="Times New Roman" w:hAnsi="Times New Roman"/>
          <w:b/>
          <w:szCs w:val="28"/>
        </w:rPr>
        <w:t>、社会经济概况</w:t>
      </w:r>
      <w:r>
        <w:rPr>
          <w:szCs w:val="28"/>
        </w:rPr>
        <w:tab/>
      </w:r>
      <w:r>
        <w:rPr>
          <w:szCs w:val="28"/>
        </w:rPr>
        <w:fldChar w:fldCharType="begin"/>
      </w:r>
      <w:r>
        <w:rPr>
          <w:szCs w:val="28"/>
        </w:rPr>
        <w:instrText xml:space="preserve"> PAGEREF _Toc137671385 \h </w:instrText>
      </w:r>
      <w:r>
        <w:rPr>
          <w:szCs w:val="28"/>
        </w:rPr>
        <w:fldChar w:fldCharType="separate"/>
      </w:r>
      <w:r>
        <w:rPr>
          <w:szCs w:val="28"/>
        </w:rPr>
        <w:t>6</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"_Toc137671386"</w:instrText>
      </w:r>
      <w:r>
        <w:rPr>
          <w:rStyle w:val="244"/>
          <w:szCs w:val="28"/>
        </w:rPr>
        <w:instrText xml:space="preserve"> </w:instrText>
      </w:r>
      <w:r>
        <w:rPr>
          <w:rStyle w:val="244"/>
          <w:szCs w:val="28"/>
        </w:rPr>
        <w:fldChar w:fldCharType="separate"/>
      </w:r>
      <w:r>
        <w:rPr>
          <w:rStyle w:val="244"/>
          <w:rFonts w:ascii="Times New Roman" w:hAnsi="Times New Roman"/>
          <w:b/>
          <w:szCs w:val="28"/>
        </w:rPr>
        <w:t>2</w:t>
      </w:r>
      <w:r>
        <w:rPr>
          <w:rStyle w:val="244"/>
          <w:rFonts w:hint="eastAsia" w:ascii="Times New Roman" w:hAnsi="Times New Roman"/>
          <w:b/>
          <w:szCs w:val="28"/>
        </w:rPr>
        <w:t>、规划目的</w:t>
      </w:r>
      <w:r>
        <w:rPr>
          <w:szCs w:val="28"/>
        </w:rPr>
        <w:tab/>
      </w:r>
      <w:r>
        <w:rPr>
          <w:szCs w:val="28"/>
        </w:rPr>
        <w:fldChar w:fldCharType="begin"/>
      </w:r>
      <w:r>
        <w:rPr>
          <w:szCs w:val="28"/>
        </w:rPr>
        <w:instrText xml:space="preserve"> PAGEREF _Toc137671386 \h </w:instrText>
      </w:r>
      <w:r>
        <w:rPr>
          <w:szCs w:val="28"/>
        </w:rPr>
        <w:fldChar w:fldCharType="separate"/>
      </w:r>
      <w:r>
        <w:rPr>
          <w:szCs w:val="28"/>
        </w:rPr>
        <w:t>7</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"_Toc137671387"</w:instrText>
      </w:r>
      <w:r>
        <w:rPr>
          <w:rStyle w:val="244"/>
          <w:szCs w:val="28"/>
        </w:rPr>
        <w:instrText xml:space="preserve"> </w:instrText>
      </w:r>
      <w:r>
        <w:rPr>
          <w:rStyle w:val="244"/>
          <w:szCs w:val="28"/>
        </w:rPr>
        <w:fldChar w:fldCharType="separate"/>
      </w:r>
      <w:r>
        <w:rPr>
          <w:rStyle w:val="244"/>
          <w:rFonts w:ascii="Times New Roman" w:hAnsi="Times New Roman"/>
          <w:b/>
          <w:szCs w:val="28"/>
        </w:rPr>
        <w:t>3</w:t>
      </w:r>
      <w:r>
        <w:rPr>
          <w:rStyle w:val="244"/>
          <w:rFonts w:hint="eastAsia" w:ascii="Times New Roman" w:hAnsi="Times New Roman"/>
          <w:b/>
          <w:szCs w:val="28"/>
        </w:rPr>
        <w:t>、规划区范围及对象</w:t>
      </w:r>
      <w:r>
        <w:rPr>
          <w:szCs w:val="28"/>
        </w:rPr>
        <w:tab/>
      </w:r>
      <w:r>
        <w:rPr>
          <w:szCs w:val="28"/>
        </w:rPr>
        <w:fldChar w:fldCharType="begin"/>
      </w:r>
      <w:r>
        <w:rPr>
          <w:szCs w:val="28"/>
        </w:rPr>
        <w:instrText xml:space="preserve"> PAGEREF _Toc137671387 \h </w:instrText>
      </w:r>
      <w:r>
        <w:rPr>
          <w:szCs w:val="28"/>
        </w:rPr>
        <w:fldChar w:fldCharType="separate"/>
      </w:r>
      <w:r>
        <w:rPr>
          <w:szCs w:val="28"/>
        </w:rPr>
        <w:t>7</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"_Toc137671388"</w:instrText>
      </w:r>
      <w:r>
        <w:rPr>
          <w:rStyle w:val="244"/>
          <w:szCs w:val="28"/>
        </w:rPr>
        <w:instrText xml:space="preserve"> </w:instrText>
      </w:r>
      <w:r>
        <w:rPr>
          <w:rStyle w:val="244"/>
          <w:szCs w:val="28"/>
        </w:rPr>
        <w:fldChar w:fldCharType="separate"/>
      </w:r>
      <w:r>
        <w:rPr>
          <w:rStyle w:val="244"/>
          <w:rFonts w:ascii="Times New Roman" w:hAnsi="Times New Roman"/>
          <w:b/>
          <w:szCs w:val="28"/>
        </w:rPr>
        <w:t>4</w:t>
      </w:r>
      <w:r>
        <w:rPr>
          <w:rStyle w:val="244"/>
          <w:rFonts w:hint="eastAsia" w:ascii="Times New Roman" w:hAnsi="Times New Roman"/>
          <w:b/>
          <w:szCs w:val="28"/>
        </w:rPr>
        <w:t>、规划期限及基准年</w:t>
      </w:r>
      <w:r>
        <w:rPr>
          <w:szCs w:val="28"/>
        </w:rPr>
        <w:tab/>
      </w:r>
      <w:r>
        <w:rPr>
          <w:szCs w:val="28"/>
        </w:rPr>
        <w:fldChar w:fldCharType="begin"/>
      </w:r>
      <w:r>
        <w:rPr>
          <w:szCs w:val="28"/>
        </w:rPr>
        <w:instrText xml:space="preserve"> PAGEREF _Toc137671388 \h </w:instrText>
      </w:r>
      <w:r>
        <w:rPr>
          <w:szCs w:val="28"/>
        </w:rPr>
        <w:fldChar w:fldCharType="separate"/>
      </w:r>
      <w:r>
        <w:rPr>
          <w:szCs w:val="28"/>
        </w:rPr>
        <w:t>8</w:t>
      </w:r>
      <w:r>
        <w:rPr>
          <w:szCs w:val="28"/>
        </w:rPr>
        <w:fldChar w:fldCharType="end"/>
      </w:r>
      <w:r>
        <w:rPr>
          <w:rStyle w:val="244"/>
          <w:szCs w:val="28"/>
        </w:rPr>
        <w:fldChar w:fldCharType="end"/>
      </w:r>
    </w:p>
    <w:p>
      <w:pPr>
        <w:pStyle w:val="228"/>
        <w:rPr>
          <w:rFonts w:ascii="Calibri" w:hAnsi="Calibri" w:eastAsia="宋体"/>
          <w:b w:val="0"/>
          <w:sz w:val="28"/>
          <w:szCs w:val="28"/>
          <w:lang w:bidi="ar-SA"/>
        </w:rPr>
      </w:pPr>
      <w:r>
        <w:rPr>
          <w:rStyle w:val="244"/>
          <w:sz w:val="28"/>
          <w:szCs w:val="28"/>
        </w:rPr>
        <w:fldChar w:fldCharType="begin"/>
      </w:r>
      <w:r>
        <w:rPr>
          <w:rStyle w:val="244"/>
          <w:sz w:val="28"/>
          <w:szCs w:val="28"/>
        </w:rPr>
        <w:instrText xml:space="preserve"> </w:instrText>
      </w:r>
      <w:r>
        <w:rPr>
          <w:sz w:val="28"/>
          <w:szCs w:val="28"/>
        </w:rPr>
        <w:instrText xml:space="preserve">HYPERLINK \l "_Toc137671389"</w:instrText>
      </w:r>
      <w:r>
        <w:rPr>
          <w:rStyle w:val="244"/>
          <w:sz w:val="28"/>
          <w:szCs w:val="28"/>
        </w:rPr>
        <w:instrText xml:space="preserve"> </w:instrText>
      </w:r>
      <w:r>
        <w:rPr>
          <w:rStyle w:val="244"/>
          <w:sz w:val="28"/>
          <w:szCs w:val="28"/>
        </w:rPr>
        <w:fldChar w:fldCharType="separate"/>
      </w:r>
      <w:r>
        <w:rPr>
          <w:rStyle w:val="244"/>
          <w:rFonts w:hint="eastAsia"/>
          <w:sz w:val="28"/>
          <w:szCs w:val="28"/>
        </w:rPr>
        <w:t>一、地质灾害防治现状与形势</w:t>
      </w:r>
      <w:r>
        <w:rPr>
          <w:sz w:val="28"/>
          <w:szCs w:val="28"/>
        </w:rPr>
        <w:tab/>
      </w:r>
      <w:r>
        <w:rPr>
          <w:sz w:val="28"/>
          <w:szCs w:val="28"/>
        </w:rPr>
        <w:fldChar w:fldCharType="begin"/>
      </w:r>
      <w:r>
        <w:rPr>
          <w:sz w:val="28"/>
          <w:szCs w:val="28"/>
        </w:rPr>
        <w:instrText xml:space="preserve"> PAGEREF _Toc137671389 \h </w:instrText>
      </w:r>
      <w:r>
        <w:rPr>
          <w:sz w:val="28"/>
          <w:szCs w:val="28"/>
        </w:rPr>
        <w:fldChar w:fldCharType="separate"/>
      </w:r>
      <w:r>
        <w:rPr>
          <w:sz w:val="28"/>
          <w:szCs w:val="28"/>
        </w:rPr>
        <w:t>8</w:t>
      </w:r>
      <w:r>
        <w:rPr>
          <w:sz w:val="28"/>
          <w:szCs w:val="28"/>
        </w:rPr>
        <w:fldChar w:fldCharType="end"/>
      </w:r>
      <w:r>
        <w:rPr>
          <w:rStyle w:val="244"/>
          <w:sz w:val="28"/>
          <w:szCs w:val="28"/>
        </w:rPr>
        <w:fldChar w:fldCharType="end"/>
      </w:r>
    </w:p>
    <w:p>
      <w:pPr>
        <w:pStyle w:val="233"/>
        <w:tabs>
          <w:tab w:val="right" w:leader="dot" w:pos="9060"/>
        </w:tabs>
        <w:ind w:left="56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"_Toc137671390"</w:instrText>
      </w:r>
      <w:r>
        <w:rPr>
          <w:rStyle w:val="244"/>
          <w:szCs w:val="28"/>
        </w:rPr>
        <w:instrText xml:space="preserve"> </w:instrText>
      </w:r>
      <w:r>
        <w:rPr>
          <w:rStyle w:val="244"/>
          <w:szCs w:val="28"/>
        </w:rPr>
        <w:fldChar w:fldCharType="separate"/>
      </w:r>
      <w:r>
        <w:rPr>
          <w:rStyle w:val="244"/>
          <w:rFonts w:hint="eastAsia" w:ascii="Times New Roman" w:hAnsi="Times New Roman"/>
          <w:b/>
          <w:szCs w:val="28"/>
        </w:rPr>
        <w:t>（一）地质灾害现状</w:t>
      </w:r>
      <w:r>
        <w:rPr>
          <w:szCs w:val="28"/>
        </w:rPr>
        <w:tab/>
      </w:r>
      <w:r>
        <w:rPr>
          <w:szCs w:val="28"/>
        </w:rPr>
        <w:fldChar w:fldCharType="begin"/>
      </w:r>
      <w:r>
        <w:rPr>
          <w:szCs w:val="28"/>
        </w:rPr>
        <w:instrText xml:space="preserve"> PAGEREF _Toc137671390 \h </w:instrText>
      </w:r>
      <w:r>
        <w:rPr>
          <w:szCs w:val="28"/>
        </w:rPr>
        <w:fldChar w:fldCharType="separate"/>
      </w:r>
      <w:r>
        <w:rPr>
          <w:szCs w:val="28"/>
        </w:rPr>
        <w:t>8</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"_Toc137671391"</w:instrText>
      </w:r>
      <w:r>
        <w:rPr>
          <w:rStyle w:val="244"/>
          <w:szCs w:val="28"/>
        </w:rPr>
        <w:instrText xml:space="preserve"> </w:instrText>
      </w:r>
      <w:r>
        <w:rPr>
          <w:rStyle w:val="244"/>
          <w:szCs w:val="28"/>
        </w:rPr>
        <w:fldChar w:fldCharType="separate"/>
      </w:r>
      <w:r>
        <w:rPr>
          <w:rStyle w:val="244"/>
          <w:rFonts w:ascii="Times New Roman" w:hAnsi="Times New Roman"/>
          <w:b/>
          <w:szCs w:val="28"/>
        </w:rPr>
        <w:t>1</w:t>
      </w:r>
      <w:r>
        <w:rPr>
          <w:rStyle w:val="244"/>
          <w:rFonts w:hint="eastAsia" w:ascii="Times New Roman" w:hAnsi="Times New Roman"/>
          <w:b/>
          <w:szCs w:val="28"/>
        </w:rPr>
        <w:t>、地质环境基本特点</w:t>
      </w:r>
      <w:r>
        <w:rPr>
          <w:szCs w:val="28"/>
        </w:rPr>
        <w:tab/>
      </w:r>
      <w:r>
        <w:rPr>
          <w:szCs w:val="28"/>
        </w:rPr>
        <w:fldChar w:fldCharType="begin"/>
      </w:r>
      <w:r>
        <w:rPr>
          <w:szCs w:val="28"/>
        </w:rPr>
        <w:instrText xml:space="preserve"> PAGEREF _Toc137671391 \h </w:instrText>
      </w:r>
      <w:r>
        <w:rPr>
          <w:szCs w:val="28"/>
        </w:rPr>
        <w:fldChar w:fldCharType="separate"/>
      </w:r>
      <w:r>
        <w:rPr>
          <w:szCs w:val="28"/>
        </w:rPr>
        <w:t>8</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"_Toc137671392"</w:instrText>
      </w:r>
      <w:r>
        <w:rPr>
          <w:rStyle w:val="244"/>
          <w:szCs w:val="28"/>
        </w:rPr>
        <w:instrText xml:space="preserve"> </w:instrText>
      </w:r>
      <w:r>
        <w:rPr>
          <w:rStyle w:val="244"/>
          <w:szCs w:val="28"/>
        </w:rPr>
        <w:fldChar w:fldCharType="separate"/>
      </w:r>
      <w:r>
        <w:rPr>
          <w:rStyle w:val="244"/>
          <w:rFonts w:ascii="Times New Roman" w:hAnsi="Times New Roman"/>
          <w:b/>
          <w:szCs w:val="28"/>
        </w:rPr>
        <w:t>2</w:t>
      </w:r>
      <w:r>
        <w:rPr>
          <w:rStyle w:val="244"/>
          <w:rFonts w:hint="eastAsia" w:ascii="Times New Roman" w:hAnsi="Times New Roman"/>
          <w:b/>
          <w:szCs w:val="28"/>
        </w:rPr>
        <w:t>、地质灾害主要类型</w:t>
      </w:r>
      <w:r>
        <w:rPr>
          <w:szCs w:val="28"/>
        </w:rPr>
        <w:tab/>
      </w:r>
      <w:r>
        <w:rPr>
          <w:szCs w:val="28"/>
        </w:rPr>
        <w:fldChar w:fldCharType="begin"/>
      </w:r>
      <w:r>
        <w:rPr>
          <w:szCs w:val="28"/>
        </w:rPr>
        <w:instrText xml:space="preserve"> PAGEREF _Toc137671392 \h </w:instrText>
      </w:r>
      <w:r>
        <w:rPr>
          <w:szCs w:val="28"/>
        </w:rPr>
        <w:fldChar w:fldCharType="separate"/>
      </w:r>
      <w:r>
        <w:rPr>
          <w:szCs w:val="28"/>
        </w:rPr>
        <w:t>8</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"_Toc137671393"</w:instrText>
      </w:r>
      <w:r>
        <w:rPr>
          <w:rStyle w:val="244"/>
          <w:szCs w:val="28"/>
        </w:rPr>
        <w:instrText xml:space="preserve"> </w:instrText>
      </w:r>
      <w:r>
        <w:rPr>
          <w:rStyle w:val="244"/>
          <w:szCs w:val="28"/>
        </w:rPr>
        <w:fldChar w:fldCharType="separate"/>
      </w:r>
      <w:r>
        <w:rPr>
          <w:rStyle w:val="244"/>
          <w:rFonts w:ascii="Times New Roman" w:hAnsi="Times New Roman"/>
          <w:b/>
          <w:szCs w:val="28"/>
        </w:rPr>
        <w:t>3</w:t>
      </w:r>
      <w:r>
        <w:rPr>
          <w:rStyle w:val="244"/>
          <w:rFonts w:hint="eastAsia" w:ascii="Times New Roman" w:hAnsi="Times New Roman"/>
          <w:b/>
          <w:szCs w:val="28"/>
        </w:rPr>
        <w:t>、地质灾害威胁情况</w:t>
      </w:r>
      <w:r>
        <w:rPr>
          <w:szCs w:val="28"/>
        </w:rPr>
        <w:tab/>
      </w:r>
      <w:r>
        <w:rPr>
          <w:szCs w:val="28"/>
        </w:rPr>
        <w:fldChar w:fldCharType="begin"/>
      </w:r>
      <w:r>
        <w:rPr>
          <w:szCs w:val="28"/>
        </w:rPr>
        <w:instrText xml:space="preserve"> PAGEREF _Toc137671393 \h </w:instrText>
      </w:r>
      <w:r>
        <w:rPr>
          <w:szCs w:val="28"/>
        </w:rPr>
        <w:fldChar w:fldCharType="separate"/>
      </w:r>
      <w:r>
        <w:rPr>
          <w:szCs w:val="28"/>
        </w:rPr>
        <w:t>9</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"_Toc137671394"</w:instrText>
      </w:r>
      <w:r>
        <w:rPr>
          <w:rStyle w:val="244"/>
          <w:szCs w:val="28"/>
        </w:rPr>
        <w:instrText xml:space="preserve"> </w:instrText>
      </w:r>
      <w:r>
        <w:rPr>
          <w:rStyle w:val="244"/>
          <w:szCs w:val="28"/>
        </w:rPr>
        <w:fldChar w:fldCharType="separate"/>
      </w:r>
      <w:r>
        <w:rPr>
          <w:rStyle w:val="244"/>
          <w:rFonts w:ascii="Times New Roman" w:hAnsi="Times New Roman"/>
          <w:b/>
          <w:szCs w:val="28"/>
        </w:rPr>
        <w:t>4</w:t>
      </w:r>
      <w:r>
        <w:rPr>
          <w:rStyle w:val="244"/>
          <w:rFonts w:hint="eastAsia" w:ascii="Times New Roman" w:hAnsi="Times New Roman"/>
          <w:b/>
          <w:szCs w:val="28"/>
        </w:rPr>
        <w:t>、地质灾害发展趋势</w:t>
      </w:r>
      <w:r>
        <w:rPr>
          <w:szCs w:val="28"/>
        </w:rPr>
        <w:tab/>
      </w:r>
      <w:r>
        <w:rPr>
          <w:szCs w:val="28"/>
        </w:rPr>
        <w:fldChar w:fldCharType="begin"/>
      </w:r>
      <w:r>
        <w:rPr>
          <w:szCs w:val="28"/>
        </w:rPr>
        <w:instrText xml:space="preserve"> PAGEREF _Toc137671394 \h </w:instrText>
      </w:r>
      <w:r>
        <w:rPr>
          <w:szCs w:val="28"/>
        </w:rPr>
        <w:fldChar w:fldCharType="separate"/>
      </w:r>
      <w:r>
        <w:rPr>
          <w:szCs w:val="28"/>
        </w:rPr>
        <w:t>9</w:t>
      </w:r>
      <w:r>
        <w:rPr>
          <w:szCs w:val="28"/>
        </w:rPr>
        <w:fldChar w:fldCharType="end"/>
      </w:r>
      <w:r>
        <w:rPr>
          <w:rStyle w:val="244"/>
          <w:szCs w:val="28"/>
        </w:rPr>
        <w:fldChar w:fldCharType="end"/>
      </w:r>
    </w:p>
    <w:p>
      <w:pPr>
        <w:pStyle w:val="233"/>
        <w:tabs>
          <w:tab w:val="right" w:leader="dot" w:pos="9060"/>
        </w:tabs>
        <w:ind w:left="56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"_Toc137671395"</w:instrText>
      </w:r>
      <w:r>
        <w:rPr>
          <w:rStyle w:val="244"/>
          <w:szCs w:val="28"/>
        </w:rPr>
        <w:instrText xml:space="preserve"> </w:instrText>
      </w:r>
      <w:r>
        <w:rPr>
          <w:rStyle w:val="244"/>
          <w:szCs w:val="28"/>
        </w:rPr>
        <w:fldChar w:fldCharType="separate"/>
      </w:r>
      <w:r>
        <w:rPr>
          <w:rStyle w:val="244"/>
          <w:rFonts w:hint="eastAsia" w:ascii="Times New Roman" w:hAnsi="Times New Roman"/>
          <w:b/>
          <w:szCs w:val="28"/>
        </w:rPr>
        <w:t>（二）</w:t>
      </w:r>
      <w:r>
        <w:rPr>
          <w:rStyle w:val="244"/>
          <w:rFonts w:ascii="Times New Roman" w:hAnsi="Times New Roman"/>
          <w:b/>
          <w:szCs w:val="28"/>
        </w:rPr>
        <w:t>“</w:t>
      </w:r>
      <w:r>
        <w:rPr>
          <w:rStyle w:val="244"/>
          <w:rFonts w:hint="eastAsia" w:ascii="Times New Roman" w:hAnsi="Times New Roman"/>
          <w:b/>
          <w:szCs w:val="28"/>
        </w:rPr>
        <w:t>十三五</w:t>
      </w:r>
      <w:r>
        <w:rPr>
          <w:rStyle w:val="244"/>
          <w:rFonts w:ascii="Times New Roman" w:hAnsi="Times New Roman"/>
          <w:b/>
          <w:szCs w:val="28"/>
        </w:rPr>
        <w:t>”</w:t>
      </w:r>
      <w:r>
        <w:rPr>
          <w:rStyle w:val="244"/>
          <w:rFonts w:hint="eastAsia" w:ascii="Times New Roman" w:hAnsi="Times New Roman"/>
          <w:b/>
          <w:szCs w:val="28"/>
        </w:rPr>
        <w:t>地质灾害防治成效</w:t>
      </w:r>
      <w:r>
        <w:rPr>
          <w:szCs w:val="28"/>
        </w:rPr>
        <w:tab/>
      </w:r>
      <w:r>
        <w:rPr>
          <w:szCs w:val="28"/>
        </w:rPr>
        <w:fldChar w:fldCharType="begin"/>
      </w:r>
      <w:r>
        <w:rPr>
          <w:szCs w:val="28"/>
        </w:rPr>
        <w:instrText xml:space="preserve"> PAGEREF _Toc137671395 \h </w:instrText>
      </w:r>
      <w:r>
        <w:rPr>
          <w:szCs w:val="28"/>
        </w:rPr>
        <w:fldChar w:fldCharType="separate"/>
      </w:r>
      <w:r>
        <w:rPr>
          <w:szCs w:val="28"/>
        </w:rPr>
        <w:t>10</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"_Toc137671396"</w:instrText>
      </w:r>
      <w:r>
        <w:rPr>
          <w:rStyle w:val="244"/>
          <w:szCs w:val="28"/>
        </w:rPr>
        <w:instrText xml:space="preserve"> </w:instrText>
      </w:r>
      <w:r>
        <w:rPr>
          <w:rStyle w:val="244"/>
          <w:szCs w:val="28"/>
        </w:rPr>
        <w:fldChar w:fldCharType="separate"/>
      </w:r>
      <w:r>
        <w:rPr>
          <w:rStyle w:val="244"/>
          <w:rFonts w:ascii="Times New Roman" w:hAnsi="Times New Roman"/>
          <w:b/>
          <w:szCs w:val="28"/>
        </w:rPr>
        <w:t>1</w:t>
      </w:r>
      <w:r>
        <w:rPr>
          <w:rStyle w:val="244"/>
          <w:rFonts w:hint="eastAsia" w:ascii="Times New Roman" w:hAnsi="Times New Roman"/>
          <w:b/>
          <w:szCs w:val="28"/>
        </w:rPr>
        <w:t>、</w:t>
      </w:r>
      <w:r>
        <w:rPr>
          <w:rStyle w:val="244"/>
          <w:rFonts w:ascii="Times New Roman" w:hAnsi="Times New Roman"/>
          <w:b/>
          <w:szCs w:val="28"/>
        </w:rPr>
        <w:t>“</w:t>
      </w:r>
      <w:r>
        <w:rPr>
          <w:rStyle w:val="244"/>
          <w:rFonts w:hint="eastAsia" w:ascii="Times New Roman" w:hAnsi="Times New Roman"/>
          <w:b/>
          <w:szCs w:val="28"/>
        </w:rPr>
        <w:t>十三五</w:t>
      </w:r>
      <w:r>
        <w:rPr>
          <w:rStyle w:val="244"/>
          <w:rFonts w:ascii="Times New Roman" w:hAnsi="Times New Roman"/>
          <w:b/>
          <w:szCs w:val="28"/>
        </w:rPr>
        <w:t>”</w:t>
      </w:r>
      <w:r>
        <w:rPr>
          <w:rStyle w:val="244"/>
          <w:rFonts w:hint="eastAsia" w:ascii="Times New Roman" w:hAnsi="Times New Roman"/>
          <w:b/>
          <w:szCs w:val="28"/>
        </w:rPr>
        <w:t>目标完成情况</w:t>
      </w:r>
      <w:r>
        <w:rPr>
          <w:szCs w:val="28"/>
        </w:rPr>
        <w:tab/>
      </w:r>
      <w:r>
        <w:rPr>
          <w:szCs w:val="28"/>
        </w:rPr>
        <w:fldChar w:fldCharType="begin"/>
      </w:r>
      <w:r>
        <w:rPr>
          <w:szCs w:val="28"/>
        </w:rPr>
        <w:instrText xml:space="preserve"> PAGEREF _Toc137671396 \h </w:instrText>
      </w:r>
      <w:r>
        <w:rPr>
          <w:szCs w:val="28"/>
        </w:rPr>
        <w:fldChar w:fldCharType="separate"/>
      </w:r>
      <w:r>
        <w:rPr>
          <w:szCs w:val="28"/>
        </w:rPr>
        <w:t>10</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"_Toc137671397"</w:instrText>
      </w:r>
      <w:r>
        <w:rPr>
          <w:rStyle w:val="244"/>
          <w:szCs w:val="28"/>
        </w:rPr>
        <w:instrText xml:space="preserve"> </w:instrText>
      </w:r>
      <w:r>
        <w:rPr>
          <w:rStyle w:val="244"/>
          <w:szCs w:val="28"/>
        </w:rPr>
        <w:fldChar w:fldCharType="separate"/>
      </w:r>
      <w:r>
        <w:rPr>
          <w:rStyle w:val="244"/>
          <w:rFonts w:ascii="Times New Roman" w:hAnsi="Times New Roman"/>
          <w:b/>
          <w:szCs w:val="28"/>
        </w:rPr>
        <w:t>2</w:t>
      </w:r>
      <w:r>
        <w:rPr>
          <w:rStyle w:val="244"/>
          <w:rFonts w:hint="eastAsia" w:ascii="Times New Roman" w:hAnsi="Times New Roman"/>
          <w:b/>
          <w:szCs w:val="28"/>
        </w:rPr>
        <w:t>、</w:t>
      </w:r>
      <w:r>
        <w:rPr>
          <w:rStyle w:val="244"/>
          <w:rFonts w:ascii="Times New Roman" w:hAnsi="Times New Roman"/>
          <w:b/>
          <w:szCs w:val="28"/>
        </w:rPr>
        <w:t>“</w:t>
      </w:r>
      <w:r>
        <w:rPr>
          <w:rStyle w:val="244"/>
          <w:rFonts w:hint="eastAsia" w:ascii="Times New Roman" w:hAnsi="Times New Roman"/>
          <w:b/>
          <w:szCs w:val="28"/>
        </w:rPr>
        <w:t>十三五</w:t>
      </w:r>
      <w:r>
        <w:rPr>
          <w:rStyle w:val="244"/>
          <w:rFonts w:ascii="Times New Roman" w:hAnsi="Times New Roman"/>
          <w:b/>
          <w:szCs w:val="28"/>
        </w:rPr>
        <w:t>”</w:t>
      </w:r>
      <w:r>
        <w:rPr>
          <w:rStyle w:val="244"/>
          <w:rFonts w:hint="eastAsia" w:ascii="Times New Roman" w:hAnsi="Times New Roman"/>
          <w:b/>
          <w:szCs w:val="28"/>
        </w:rPr>
        <w:t>防灾效果评述</w:t>
      </w:r>
      <w:r>
        <w:rPr>
          <w:szCs w:val="28"/>
        </w:rPr>
        <w:tab/>
      </w:r>
      <w:r>
        <w:rPr>
          <w:szCs w:val="28"/>
        </w:rPr>
        <w:fldChar w:fldCharType="begin"/>
      </w:r>
      <w:r>
        <w:rPr>
          <w:szCs w:val="28"/>
        </w:rPr>
        <w:instrText xml:space="preserve"> PAGEREF _Toc137671397 \h </w:instrText>
      </w:r>
      <w:r>
        <w:rPr>
          <w:szCs w:val="28"/>
        </w:rPr>
        <w:fldChar w:fldCharType="separate"/>
      </w:r>
      <w:r>
        <w:rPr>
          <w:szCs w:val="28"/>
        </w:rPr>
        <w:t>12</w:t>
      </w:r>
      <w:r>
        <w:rPr>
          <w:szCs w:val="28"/>
        </w:rPr>
        <w:fldChar w:fldCharType="end"/>
      </w:r>
      <w:r>
        <w:rPr>
          <w:rStyle w:val="244"/>
          <w:szCs w:val="28"/>
        </w:rPr>
        <w:fldChar w:fldCharType="end"/>
      </w:r>
    </w:p>
    <w:p>
      <w:pPr>
        <w:pStyle w:val="233"/>
        <w:tabs>
          <w:tab w:val="right" w:leader="dot" w:pos="9060"/>
        </w:tabs>
        <w:ind w:left="56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"_Toc137671398"</w:instrText>
      </w:r>
      <w:r>
        <w:rPr>
          <w:rStyle w:val="244"/>
          <w:szCs w:val="28"/>
        </w:rPr>
        <w:instrText xml:space="preserve"> </w:instrText>
      </w:r>
      <w:r>
        <w:rPr>
          <w:rStyle w:val="244"/>
          <w:szCs w:val="28"/>
        </w:rPr>
        <w:fldChar w:fldCharType="separate"/>
      </w:r>
      <w:r>
        <w:rPr>
          <w:rStyle w:val="244"/>
          <w:rFonts w:hint="eastAsia" w:ascii="Times New Roman" w:hAnsi="Times New Roman"/>
          <w:b/>
          <w:szCs w:val="28"/>
        </w:rPr>
        <w:t>（三）地质灾害防治存在的主要问题</w:t>
      </w:r>
      <w:r>
        <w:rPr>
          <w:szCs w:val="28"/>
        </w:rPr>
        <w:tab/>
      </w:r>
      <w:r>
        <w:rPr>
          <w:szCs w:val="28"/>
        </w:rPr>
        <w:fldChar w:fldCharType="begin"/>
      </w:r>
      <w:r>
        <w:rPr>
          <w:szCs w:val="28"/>
        </w:rPr>
        <w:instrText xml:space="preserve"> PAGEREF _Toc137671398 \h </w:instrText>
      </w:r>
      <w:r>
        <w:rPr>
          <w:szCs w:val="28"/>
        </w:rPr>
        <w:fldChar w:fldCharType="separate"/>
      </w:r>
      <w:r>
        <w:rPr>
          <w:szCs w:val="28"/>
        </w:rPr>
        <w:t>13</w:t>
      </w:r>
      <w:r>
        <w:rPr>
          <w:szCs w:val="28"/>
        </w:rPr>
        <w:fldChar w:fldCharType="end"/>
      </w:r>
      <w:r>
        <w:rPr>
          <w:rStyle w:val="244"/>
          <w:szCs w:val="28"/>
        </w:rPr>
        <w:fldChar w:fldCharType="end"/>
      </w:r>
    </w:p>
    <w:p>
      <w:pPr>
        <w:pStyle w:val="233"/>
        <w:tabs>
          <w:tab w:val="right" w:leader="dot" w:pos="9060"/>
        </w:tabs>
        <w:ind w:left="56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"_Toc137671399"</w:instrText>
      </w:r>
      <w:r>
        <w:rPr>
          <w:rStyle w:val="244"/>
          <w:szCs w:val="28"/>
        </w:rPr>
        <w:instrText xml:space="preserve"> </w:instrText>
      </w:r>
      <w:r>
        <w:rPr>
          <w:rStyle w:val="244"/>
          <w:szCs w:val="28"/>
        </w:rPr>
        <w:fldChar w:fldCharType="separate"/>
      </w:r>
      <w:r>
        <w:rPr>
          <w:rStyle w:val="244"/>
          <w:rFonts w:hint="eastAsia" w:ascii="Times New Roman" w:hAnsi="Times New Roman"/>
          <w:b/>
          <w:szCs w:val="28"/>
        </w:rPr>
        <w:t>（四）</w:t>
      </w:r>
      <w:r>
        <w:rPr>
          <w:rStyle w:val="244"/>
          <w:rFonts w:ascii="Times New Roman" w:hAnsi="Times New Roman"/>
          <w:b/>
          <w:szCs w:val="28"/>
        </w:rPr>
        <w:t>“</w:t>
      </w:r>
      <w:r>
        <w:rPr>
          <w:rStyle w:val="244"/>
          <w:rFonts w:hint="eastAsia" w:ascii="Times New Roman" w:hAnsi="Times New Roman"/>
          <w:b/>
          <w:szCs w:val="28"/>
        </w:rPr>
        <w:t>十四五</w:t>
      </w:r>
      <w:r>
        <w:rPr>
          <w:rStyle w:val="244"/>
          <w:rFonts w:ascii="Times New Roman" w:hAnsi="Times New Roman"/>
          <w:b/>
          <w:szCs w:val="28"/>
        </w:rPr>
        <w:t>”</w:t>
      </w:r>
      <w:r>
        <w:rPr>
          <w:rStyle w:val="244"/>
          <w:rFonts w:hint="eastAsia" w:ascii="Times New Roman" w:hAnsi="Times New Roman"/>
          <w:b/>
          <w:szCs w:val="28"/>
        </w:rPr>
        <w:t>地质灾害防治面临的形势</w:t>
      </w:r>
      <w:r>
        <w:rPr>
          <w:szCs w:val="28"/>
        </w:rPr>
        <w:tab/>
      </w:r>
      <w:r>
        <w:rPr>
          <w:szCs w:val="28"/>
        </w:rPr>
        <w:fldChar w:fldCharType="begin"/>
      </w:r>
      <w:r>
        <w:rPr>
          <w:szCs w:val="28"/>
        </w:rPr>
        <w:instrText xml:space="preserve"> PAGEREF _Toc137671399 \h </w:instrText>
      </w:r>
      <w:r>
        <w:rPr>
          <w:szCs w:val="28"/>
        </w:rPr>
        <w:fldChar w:fldCharType="separate"/>
      </w:r>
      <w:r>
        <w:rPr>
          <w:szCs w:val="28"/>
        </w:rPr>
        <w:t>14</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"_Toc137671400"</w:instrText>
      </w:r>
      <w:r>
        <w:rPr>
          <w:rStyle w:val="244"/>
          <w:szCs w:val="28"/>
        </w:rPr>
        <w:instrText xml:space="preserve"> </w:instrText>
      </w:r>
      <w:r>
        <w:rPr>
          <w:rStyle w:val="244"/>
          <w:szCs w:val="28"/>
        </w:rPr>
        <w:fldChar w:fldCharType="separate"/>
      </w:r>
      <w:r>
        <w:rPr>
          <w:rStyle w:val="244"/>
          <w:rFonts w:ascii="Times New Roman" w:hAnsi="Times New Roman"/>
          <w:b/>
          <w:szCs w:val="28"/>
        </w:rPr>
        <w:t>1</w:t>
      </w:r>
      <w:r>
        <w:rPr>
          <w:rStyle w:val="244"/>
          <w:rFonts w:hint="eastAsia" w:ascii="Times New Roman" w:hAnsi="Times New Roman"/>
          <w:b/>
          <w:szCs w:val="28"/>
        </w:rPr>
        <w:t>、有利形势</w:t>
      </w:r>
      <w:r>
        <w:rPr>
          <w:szCs w:val="28"/>
        </w:rPr>
        <w:tab/>
      </w:r>
      <w:r>
        <w:rPr>
          <w:szCs w:val="28"/>
        </w:rPr>
        <w:fldChar w:fldCharType="begin"/>
      </w:r>
      <w:r>
        <w:rPr>
          <w:szCs w:val="28"/>
        </w:rPr>
        <w:instrText xml:space="preserve"> PAGEREF _Toc137671400 \h </w:instrText>
      </w:r>
      <w:r>
        <w:rPr>
          <w:szCs w:val="28"/>
        </w:rPr>
        <w:fldChar w:fldCharType="separate"/>
      </w:r>
      <w:r>
        <w:rPr>
          <w:szCs w:val="28"/>
        </w:rPr>
        <w:t>15</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"_Toc137671401"</w:instrText>
      </w:r>
      <w:r>
        <w:rPr>
          <w:rStyle w:val="244"/>
          <w:szCs w:val="28"/>
        </w:rPr>
        <w:instrText xml:space="preserve"> </w:instrText>
      </w:r>
      <w:r>
        <w:rPr>
          <w:rStyle w:val="244"/>
          <w:szCs w:val="28"/>
        </w:rPr>
        <w:fldChar w:fldCharType="separate"/>
      </w:r>
      <w:r>
        <w:rPr>
          <w:rStyle w:val="244"/>
          <w:rFonts w:ascii="Times New Roman" w:hAnsi="Times New Roman"/>
          <w:b/>
          <w:szCs w:val="28"/>
        </w:rPr>
        <w:t>2</w:t>
      </w:r>
      <w:r>
        <w:rPr>
          <w:rStyle w:val="244"/>
          <w:rFonts w:hint="eastAsia" w:ascii="Times New Roman" w:hAnsi="Times New Roman"/>
          <w:b/>
          <w:szCs w:val="28"/>
        </w:rPr>
        <w:t>、不利形势</w:t>
      </w:r>
      <w:r>
        <w:rPr>
          <w:szCs w:val="28"/>
        </w:rPr>
        <w:tab/>
      </w:r>
      <w:r>
        <w:rPr>
          <w:szCs w:val="28"/>
        </w:rPr>
        <w:fldChar w:fldCharType="begin"/>
      </w:r>
      <w:r>
        <w:rPr>
          <w:szCs w:val="28"/>
        </w:rPr>
        <w:instrText xml:space="preserve"> PAGEREF _Toc137671401 \h </w:instrText>
      </w:r>
      <w:r>
        <w:rPr>
          <w:szCs w:val="28"/>
        </w:rPr>
        <w:fldChar w:fldCharType="separate"/>
      </w:r>
      <w:r>
        <w:rPr>
          <w:szCs w:val="28"/>
        </w:rPr>
        <w:t>15</w:t>
      </w:r>
      <w:r>
        <w:rPr>
          <w:szCs w:val="28"/>
        </w:rPr>
        <w:fldChar w:fldCharType="end"/>
      </w:r>
      <w:r>
        <w:rPr>
          <w:rStyle w:val="244"/>
          <w:szCs w:val="28"/>
        </w:rPr>
        <w:fldChar w:fldCharType="end"/>
      </w:r>
    </w:p>
    <w:p>
      <w:pPr>
        <w:pStyle w:val="228"/>
        <w:rPr>
          <w:rFonts w:ascii="Calibri" w:hAnsi="Calibri" w:eastAsia="宋体"/>
          <w:b w:val="0"/>
          <w:sz w:val="28"/>
          <w:szCs w:val="28"/>
          <w:lang w:bidi="ar-SA"/>
        </w:rPr>
      </w:pPr>
      <w:r>
        <w:rPr>
          <w:rStyle w:val="244"/>
          <w:sz w:val="28"/>
          <w:szCs w:val="28"/>
        </w:rPr>
        <w:fldChar w:fldCharType="begin"/>
      </w:r>
      <w:r>
        <w:rPr>
          <w:rStyle w:val="244"/>
          <w:sz w:val="28"/>
          <w:szCs w:val="28"/>
        </w:rPr>
        <w:instrText xml:space="preserve"> </w:instrText>
      </w:r>
      <w:r>
        <w:rPr>
          <w:sz w:val="28"/>
          <w:szCs w:val="28"/>
        </w:rPr>
        <w:instrText xml:space="preserve">HYPERLINK \l "_Toc137671402"</w:instrText>
      </w:r>
      <w:r>
        <w:rPr>
          <w:rStyle w:val="244"/>
          <w:sz w:val="28"/>
          <w:szCs w:val="28"/>
        </w:rPr>
        <w:instrText xml:space="preserve"> </w:instrText>
      </w:r>
      <w:r>
        <w:rPr>
          <w:rStyle w:val="244"/>
          <w:sz w:val="28"/>
          <w:szCs w:val="28"/>
        </w:rPr>
        <w:fldChar w:fldCharType="separate"/>
      </w:r>
      <w:r>
        <w:rPr>
          <w:rStyle w:val="244"/>
          <w:rFonts w:hint="eastAsia"/>
          <w:sz w:val="28"/>
          <w:szCs w:val="28"/>
        </w:rPr>
        <w:t>二、指导思想和规划目标</w:t>
      </w:r>
      <w:r>
        <w:rPr>
          <w:sz w:val="28"/>
          <w:szCs w:val="28"/>
        </w:rPr>
        <w:tab/>
      </w:r>
      <w:r>
        <w:rPr>
          <w:sz w:val="28"/>
          <w:szCs w:val="28"/>
        </w:rPr>
        <w:fldChar w:fldCharType="begin"/>
      </w:r>
      <w:r>
        <w:rPr>
          <w:sz w:val="28"/>
          <w:szCs w:val="28"/>
        </w:rPr>
        <w:instrText xml:space="preserve"> PAGEREF _Toc137671402 \h </w:instrText>
      </w:r>
      <w:r>
        <w:rPr>
          <w:sz w:val="28"/>
          <w:szCs w:val="28"/>
        </w:rPr>
        <w:fldChar w:fldCharType="separate"/>
      </w:r>
      <w:r>
        <w:rPr>
          <w:sz w:val="28"/>
          <w:szCs w:val="28"/>
        </w:rPr>
        <w:t>16</w:t>
      </w:r>
      <w:r>
        <w:rPr>
          <w:sz w:val="28"/>
          <w:szCs w:val="28"/>
        </w:rPr>
        <w:fldChar w:fldCharType="end"/>
      </w:r>
      <w:r>
        <w:rPr>
          <w:rStyle w:val="244"/>
          <w:sz w:val="28"/>
          <w:szCs w:val="28"/>
        </w:rPr>
        <w:fldChar w:fldCharType="end"/>
      </w:r>
    </w:p>
    <w:p>
      <w:pPr>
        <w:pStyle w:val="233"/>
        <w:tabs>
          <w:tab w:val="right" w:leader="dot" w:pos="9060"/>
        </w:tabs>
        <w:ind w:left="56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"_Toc137671403"</w:instrText>
      </w:r>
      <w:r>
        <w:rPr>
          <w:rStyle w:val="244"/>
          <w:szCs w:val="28"/>
        </w:rPr>
        <w:instrText xml:space="preserve"> </w:instrText>
      </w:r>
      <w:r>
        <w:rPr>
          <w:rStyle w:val="244"/>
          <w:szCs w:val="28"/>
        </w:rPr>
        <w:fldChar w:fldCharType="separate"/>
      </w:r>
      <w:r>
        <w:rPr>
          <w:rStyle w:val="244"/>
          <w:rFonts w:hint="eastAsia" w:ascii="Times New Roman" w:hAnsi="Times New Roman"/>
          <w:b/>
          <w:szCs w:val="28"/>
        </w:rPr>
        <w:t>（一）指导思想</w:t>
      </w:r>
      <w:r>
        <w:rPr>
          <w:szCs w:val="28"/>
        </w:rPr>
        <w:tab/>
      </w:r>
      <w:r>
        <w:rPr>
          <w:szCs w:val="28"/>
        </w:rPr>
        <w:fldChar w:fldCharType="begin"/>
      </w:r>
      <w:r>
        <w:rPr>
          <w:szCs w:val="28"/>
        </w:rPr>
        <w:instrText xml:space="preserve"> PAGEREF _Toc137671403 \h </w:instrText>
      </w:r>
      <w:r>
        <w:rPr>
          <w:szCs w:val="28"/>
        </w:rPr>
        <w:fldChar w:fldCharType="separate"/>
      </w:r>
      <w:r>
        <w:rPr>
          <w:szCs w:val="28"/>
        </w:rPr>
        <w:t>16</w:t>
      </w:r>
      <w:r>
        <w:rPr>
          <w:szCs w:val="28"/>
        </w:rPr>
        <w:fldChar w:fldCharType="end"/>
      </w:r>
      <w:r>
        <w:rPr>
          <w:rStyle w:val="244"/>
          <w:szCs w:val="28"/>
        </w:rPr>
        <w:fldChar w:fldCharType="end"/>
      </w:r>
    </w:p>
    <w:p>
      <w:pPr>
        <w:pStyle w:val="233"/>
        <w:tabs>
          <w:tab w:val="right" w:leader="dot" w:pos="9060"/>
        </w:tabs>
        <w:ind w:left="56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"_Toc137671404"</w:instrText>
      </w:r>
      <w:r>
        <w:rPr>
          <w:rStyle w:val="244"/>
          <w:szCs w:val="28"/>
        </w:rPr>
        <w:instrText xml:space="preserve"> </w:instrText>
      </w:r>
      <w:r>
        <w:rPr>
          <w:rStyle w:val="244"/>
          <w:szCs w:val="28"/>
        </w:rPr>
        <w:fldChar w:fldCharType="separate"/>
      </w:r>
      <w:r>
        <w:rPr>
          <w:rStyle w:val="244"/>
          <w:rFonts w:hint="eastAsia" w:ascii="Times New Roman" w:hAnsi="Times New Roman"/>
          <w:b/>
          <w:szCs w:val="28"/>
        </w:rPr>
        <w:t>（二）规划原则</w:t>
      </w:r>
      <w:r>
        <w:rPr>
          <w:szCs w:val="28"/>
        </w:rPr>
        <w:tab/>
      </w:r>
      <w:r>
        <w:rPr>
          <w:szCs w:val="28"/>
        </w:rPr>
        <w:fldChar w:fldCharType="begin"/>
      </w:r>
      <w:r>
        <w:rPr>
          <w:szCs w:val="28"/>
        </w:rPr>
        <w:instrText xml:space="preserve"> PAGEREF _Toc137671404 \h </w:instrText>
      </w:r>
      <w:r>
        <w:rPr>
          <w:szCs w:val="28"/>
        </w:rPr>
        <w:fldChar w:fldCharType="separate"/>
      </w:r>
      <w:r>
        <w:rPr>
          <w:szCs w:val="28"/>
        </w:rPr>
        <w:t>17</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"_Toc137671405"</w:instrText>
      </w:r>
      <w:r>
        <w:rPr>
          <w:rStyle w:val="244"/>
          <w:szCs w:val="28"/>
        </w:rPr>
        <w:instrText xml:space="preserve"> </w:instrText>
      </w:r>
      <w:r>
        <w:rPr>
          <w:rStyle w:val="244"/>
          <w:szCs w:val="28"/>
        </w:rPr>
        <w:fldChar w:fldCharType="separate"/>
      </w:r>
      <w:r>
        <w:rPr>
          <w:rStyle w:val="244"/>
          <w:rFonts w:ascii="Times New Roman" w:hAnsi="Times New Roman"/>
          <w:b/>
          <w:szCs w:val="28"/>
        </w:rPr>
        <w:t>1</w:t>
      </w:r>
      <w:r>
        <w:rPr>
          <w:rStyle w:val="244"/>
          <w:rFonts w:hint="eastAsia" w:ascii="Times New Roman" w:hAnsi="Times New Roman"/>
          <w:b/>
          <w:szCs w:val="28"/>
        </w:rPr>
        <w:t>、坚持依法防治和分工负责</w:t>
      </w:r>
      <w:r>
        <w:rPr>
          <w:szCs w:val="28"/>
        </w:rPr>
        <w:tab/>
      </w:r>
      <w:r>
        <w:rPr>
          <w:szCs w:val="28"/>
        </w:rPr>
        <w:fldChar w:fldCharType="begin"/>
      </w:r>
      <w:r>
        <w:rPr>
          <w:szCs w:val="28"/>
        </w:rPr>
        <w:instrText xml:space="preserve"> PAGEREF _Toc137671405 \h </w:instrText>
      </w:r>
      <w:r>
        <w:rPr>
          <w:szCs w:val="28"/>
        </w:rPr>
        <w:fldChar w:fldCharType="separate"/>
      </w:r>
      <w:r>
        <w:rPr>
          <w:szCs w:val="28"/>
        </w:rPr>
        <w:t>17</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"_Toc137671406"</w:instrText>
      </w:r>
      <w:r>
        <w:rPr>
          <w:rStyle w:val="244"/>
          <w:szCs w:val="28"/>
        </w:rPr>
        <w:instrText xml:space="preserve"> </w:instrText>
      </w:r>
      <w:r>
        <w:rPr>
          <w:rStyle w:val="244"/>
          <w:szCs w:val="28"/>
        </w:rPr>
        <w:fldChar w:fldCharType="separate"/>
      </w:r>
      <w:r>
        <w:rPr>
          <w:rStyle w:val="244"/>
          <w:rFonts w:ascii="Times New Roman" w:hAnsi="Times New Roman"/>
          <w:b/>
          <w:szCs w:val="28"/>
        </w:rPr>
        <w:t>2</w:t>
      </w:r>
      <w:r>
        <w:rPr>
          <w:rStyle w:val="244"/>
          <w:rFonts w:hint="eastAsia" w:ascii="Times New Roman" w:hAnsi="Times New Roman"/>
          <w:b/>
          <w:szCs w:val="28"/>
        </w:rPr>
        <w:t>、坚持重心前移和统筹科学规划</w:t>
      </w:r>
      <w:r>
        <w:rPr>
          <w:szCs w:val="28"/>
        </w:rPr>
        <w:tab/>
      </w:r>
      <w:r>
        <w:rPr>
          <w:szCs w:val="28"/>
        </w:rPr>
        <w:fldChar w:fldCharType="begin"/>
      </w:r>
      <w:r>
        <w:rPr>
          <w:szCs w:val="28"/>
        </w:rPr>
        <w:instrText xml:space="preserve"> PAGEREF _Toc137671406 \h </w:instrText>
      </w:r>
      <w:r>
        <w:rPr>
          <w:szCs w:val="28"/>
        </w:rPr>
        <w:fldChar w:fldCharType="separate"/>
      </w:r>
      <w:r>
        <w:rPr>
          <w:szCs w:val="28"/>
        </w:rPr>
        <w:t>17</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"_Toc137671407"</w:instrText>
      </w:r>
      <w:r>
        <w:rPr>
          <w:rStyle w:val="244"/>
          <w:szCs w:val="28"/>
        </w:rPr>
        <w:instrText xml:space="preserve"> </w:instrText>
      </w:r>
      <w:r>
        <w:rPr>
          <w:rStyle w:val="244"/>
          <w:szCs w:val="28"/>
        </w:rPr>
        <w:fldChar w:fldCharType="separate"/>
      </w:r>
      <w:r>
        <w:rPr>
          <w:rStyle w:val="244"/>
          <w:rFonts w:ascii="Times New Roman" w:hAnsi="Times New Roman"/>
          <w:b/>
          <w:szCs w:val="28"/>
        </w:rPr>
        <w:t>3</w:t>
      </w:r>
      <w:r>
        <w:rPr>
          <w:rStyle w:val="244"/>
          <w:rFonts w:hint="eastAsia" w:ascii="Times New Roman" w:hAnsi="Times New Roman"/>
          <w:b/>
          <w:szCs w:val="28"/>
        </w:rPr>
        <w:t>、坚持</w:t>
      </w:r>
      <w:r>
        <w:rPr>
          <w:rStyle w:val="244"/>
          <w:rFonts w:ascii="Times New Roman" w:hAnsi="Times New Roman"/>
          <w:b/>
          <w:szCs w:val="28"/>
        </w:rPr>
        <w:t>“</w:t>
      </w:r>
      <w:r>
        <w:rPr>
          <w:rStyle w:val="244"/>
          <w:rFonts w:hint="eastAsia" w:ascii="Times New Roman" w:hAnsi="Times New Roman"/>
          <w:b/>
          <w:szCs w:val="28"/>
        </w:rPr>
        <w:t>以人为本，避让与治理相结合</w:t>
      </w:r>
      <w:r>
        <w:rPr>
          <w:rStyle w:val="244"/>
          <w:rFonts w:ascii="Times New Roman" w:hAnsi="Times New Roman"/>
          <w:b/>
          <w:szCs w:val="28"/>
        </w:rPr>
        <w:t>”</w:t>
      </w:r>
      <w:r>
        <w:rPr>
          <w:szCs w:val="28"/>
        </w:rPr>
        <w:tab/>
      </w:r>
      <w:r>
        <w:rPr>
          <w:szCs w:val="28"/>
        </w:rPr>
        <w:fldChar w:fldCharType="begin"/>
      </w:r>
      <w:r>
        <w:rPr>
          <w:szCs w:val="28"/>
        </w:rPr>
        <w:instrText xml:space="preserve"> PAGEREF _Toc137671407 \h </w:instrText>
      </w:r>
      <w:r>
        <w:rPr>
          <w:szCs w:val="28"/>
        </w:rPr>
        <w:fldChar w:fldCharType="separate"/>
      </w:r>
      <w:r>
        <w:rPr>
          <w:szCs w:val="28"/>
        </w:rPr>
        <w:t>17</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"_Toc137671408"</w:instrText>
      </w:r>
      <w:r>
        <w:rPr>
          <w:rStyle w:val="244"/>
          <w:szCs w:val="28"/>
        </w:rPr>
        <w:instrText xml:space="preserve"> </w:instrText>
      </w:r>
      <w:r>
        <w:rPr>
          <w:rStyle w:val="244"/>
          <w:szCs w:val="28"/>
        </w:rPr>
        <w:fldChar w:fldCharType="separate"/>
      </w:r>
      <w:r>
        <w:rPr>
          <w:rStyle w:val="244"/>
          <w:rFonts w:ascii="Times New Roman" w:hAnsi="Times New Roman"/>
          <w:b/>
          <w:szCs w:val="28"/>
        </w:rPr>
        <w:t>4</w:t>
      </w:r>
      <w:r>
        <w:rPr>
          <w:rStyle w:val="244"/>
          <w:rFonts w:hint="eastAsia" w:ascii="Times New Roman" w:hAnsi="Times New Roman"/>
          <w:b/>
          <w:szCs w:val="28"/>
        </w:rPr>
        <w:t>、充分依靠科技进步和管理创新</w:t>
      </w:r>
      <w:r>
        <w:rPr>
          <w:szCs w:val="28"/>
        </w:rPr>
        <w:tab/>
      </w:r>
      <w:r>
        <w:rPr>
          <w:szCs w:val="28"/>
        </w:rPr>
        <w:fldChar w:fldCharType="begin"/>
      </w:r>
      <w:r>
        <w:rPr>
          <w:szCs w:val="28"/>
        </w:rPr>
        <w:instrText xml:space="preserve"> PAGEREF _Toc137671408 \h </w:instrText>
      </w:r>
      <w:r>
        <w:rPr>
          <w:szCs w:val="28"/>
        </w:rPr>
        <w:fldChar w:fldCharType="separate"/>
      </w:r>
      <w:r>
        <w:rPr>
          <w:szCs w:val="28"/>
        </w:rPr>
        <w:t>17</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"_Toc137671409"</w:instrText>
      </w:r>
      <w:r>
        <w:rPr>
          <w:rStyle w:val="244"/>
          <w:szCs w:val="28"/>
        </w:rPr>
        <w:instrText xml:space="preserve"> </w:instrText>
      </w:r>
      <w:r>
        <w:rPr>
          <w:rStyle w:val="244"/>
          <w:szCs w:val="28"/>
        </w:rPr>
        <w:fldChar w:fldCharType="separate"/>
      </w:r>
      <w:r>
        <w:rPr>
          <w:rStyle w:val="244"/>
          <w:rFonts w:ascii="Times New Roman" w:hAnsi="Times New Roman"/>
          <w:b/>
          <w:szCs w:val="28"/>
        </w:rPr>
        <w:t>5</w:t>
      </w:r>
      <w:r>
        <w:rPr>
          <w:rStyle w:val="244"/>
          <w:rFonts w:hint="eastAsia" w:ascii="Times New Roman" w:hAnsi="Times New Roman"/>
          <w:b/>
          <w:szCs w:val="28"/>
        </w:rPr>
        <w:t>、坚持与各类规划的相互衔接和协调</w:t>
      </w:r>
      <w:r>
        <w:rPr>
          <w:szCs w:val="28"/>
        </w:rPr>
        <w:tab/>
      </w:r>
      <w:r>
        <w:rPr>
          <w:szCs w:val="28"/>
        </w:rPr>
        <w:fldChar w:fldCharType="begin"/>
      </w:r>
      <w:r>
        <w:rPr>
          <w:szCs w:val="28"/>
        </w:rPr>
        <w:instrText xml:space="preserve"> PAGEREF _Toc137671409 \h </w:instrText>
      </w:r>
      <w:r>
        <w:rPr>
          <w:szCs w:val="28"/>
        </w:rPr>
        <w:fldChar w:fldCharType="separate"/>
      </w:r>
      <w:r>
        <w:rPr>
          <w:szCs w:val="28"/>
        </w:rPr>
        <w:t>17</w:t>
      </w:r>
      <w:r>
        <w:rPr>
          <w:szCs w:val="28"/>
        </w:rPr>
        <w:fldChar w:fldCharType="end"/>
      </w:r>
      <w:r>
        <w:rPr>
          <w:rStyle w:val="244"/>
          <w:szCs w:val="28"/>
        </w:rPr>
        <w:fldChar w:fldCharType="end"/>
      </w:r>
    </w:p>
    <w:p>
      <w:pPr>
        <w:pStyle w:val="233"/>
        <w:tabs>
          <w:tab w:val="right" w:leader="dot" w:pos="9060"/>
        </w:tabs>
        <w:ind w:left="56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"_Toc137671410"</w:instrText>
      </w:r>
      <w:r>
        <w:rPr>
          <w:rStyle w:val="244"/>
          <w:szCs w:val="28"/>
        </w:rPr>
        <w:instrText xml:space="preserve"> </w:instrText>
      </w:r>
      <w:r>
        <w:rPr>
          <w:rStyle w:val="244"/>
          <w:szCs w:val="28"/>
        </w:rPr>
        <w:fldChar w:fldCharType="separate"/>
      </w:r>
      <w:r>
        <w:rPr>
          <w:rStyle w:val="244"/>
          <w:rFonts w:hint="eastAsia" w:ascii="Times New Roman" w:hAnsi="Times New Roman"/>
          <w:b/>
          <w:szCs w:val="28"/>
        </w:rPr>
        <w:t>（三）规划目标</w:t>
      </w:r>
      <w:r>
        <w:rPr>
          <w:szCs w:val="28"/>
        </w:rPr>
        <w:tab/>
      </w:r>
      <w:r>
        <w:rPr>
          <w:szCs w:val="28"/>
        </w:rPr>
        <w:fldChar w:fldCharType="begin"/>
      </w:r>
      <w:r>
        <w:rPr>
          <w:szCs w:val="28"/>
        </w:rPr>
        <w:instrText xml:space="preserve"> PAGEREF _Toc137671410 \h </w:instrText>
      </w:r>
      <w:r>
        <w:rPr>
          <w:szCs w:val="28"/>
        </w:rPr>
        <w:fldChar w:fldCharType="separate"/>
      </w:r>
      <w:r>
        <w:rPr>
          <w:szCs w:val="28"/>
        </w:rPr>
        <w:t>18</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"_Toc137671411"</w:instrText>
      </w:r>
      <w:r>
        <w:rPr>
          <w:rStyle w:val="244"/>
          <w:szCs w:val="28"/>
        </w:rPr>
        <w:instrText xml:space="preserve"> </w:instrText>
      </w:r>
      <w:r>
        <w:rPr>
          <w:rStyle w:val="244"/>
          <w:szCs w:val="28"/>
        </w:rPr>
        <w:fldChar w:fldCharType="separate"/>
      </w:r>
      <w:r>
        <w:rPr>
          <w:rStyle w:val="244"/>
          <w:rFonts w:ascii="Times New Roman" w:hAnsi="Times New Roman"/>
          <w:b/>
          <w:szCs w:val="28"/>
        </w:rPr>
        <w:t>1</w:t>
      </w:r>
      <w:r>
        <w:rPr>
          <w:rStyle w:val="244"/>
          <w:rFonts w:hint="eastAsia" w:ascii="Times New Roman" w:hAnsi="Times New Roman"/>
          <w:b/>
          <w:szCs w:val="28"/>
        </w:rPr>
        <w:t>、总体目标</w:t>
      </w:r>
      <w:r>
        <w:rPr>
          <w:szCs w:val="28"/>
        </w:rPr>
        <w:tab/>
      </w:r>
      <w:r>
        <w:rPr>
          <w:szCs w:val="28"/>
        </w:rPr>
        <w:fldChar w:fldCharType="begin"/>
      </w:r>
      <w:r>
        <w:rPr>
          <w:szCs w:val="28"/>
        </w:rPr>
        <w:instrText xml:space="preserve"> PAGEREF _Toc137671411 \h </w:instrText>
      </w:r>
      <w:r>
        <w:rPr>
          <w:szCs w:val="28"/>
        </w:rPr>
        <w:fldChar w:fldCharType="separate"/>
      </w:r>
      <w:r>
        <w:rPr>
          <w:szCs w:val="28"/>
        </w:rPr>
        <w:t>18</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"_Toc137671412"</w:instrText>
      </w:r>
      <w:r>
        <w:rPr>
          <w:rStyle w:val="244"/>
          <w:szCs w:val="28"/>
        </w:rPr>
        <w:instrText xml:space="preserve"> </w:instrText>
      </w:r>
      <w:r>
        <w:rPr>
          <w:rStyle w:val="244"/>
          <w:szCs w:val="28"/>
        </w:rPr>
        <w:fldChar w:fldCharType="separate"/>
      </w:r>
      <w:r>
        <w:rPr>
          <w:rStyle w:val="244"/>
          <w:rFonts w:ascii="Times New Roman" w:hAnsi="Times New Roman"/>
          <w:b/>
          <w:szCs w:val="28"/>
        </w:rPr>
        <w:t>2</w:t>
      </w:r>
      <w:r>
        <w:rPr>
          <w:rStyle w:val="244"/>
          <w:rFonts w:hint="eastAsia" w:ascii="Times New Roman" w:hAnsi="Times New Roman"/>
          <w:b/>
          <w:szCs w:val="28"/>
        </w:rPr>
        <w:t>、规划期目标</w:t>
      </w:r>
      <w:r>
        <w:rPr>
          <w:szCs w:val="28"/>
        </w:rPr>
        <w:tab/>
      </w:r>
      <w:r>
        <w:rPr>
          <w:szCs w:val="28"/>
        </w:rPr>
        <w:fldChar w:fldCharType="begin"/>
      </w:r>
      <w:r>
        <w:rPr>
          <w:szCs w:val="28"/>
        </w:rPr>
        <w:instrText xml:space="preserve"> PAGEREF _Toc137671412 \h </w:instrText>
      </w:r>
      <w:r>
        <w:rPr>
          <w:szCs w:val="28"/>
        </w:rPr>
        <w:fldChar w:fldCharType="separate"/>
      </w:r>
      <w:r>
        <w:rPr>
          <w:szCs w:val="28"/>
        </w:rPr>
        <w:t>18</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"_Toc137671413"</w:instrText>
      </w:r>
      <w:r>
        <w:rPr>
          <w:rStyle w:val="244"/>
          <w:szCs w:val="28"/>
        </w:rPr>
        <w:instrText xml:space="preserve"> </w:instrText>
      </w:r>
      <w:r>
        <w:rPr>
          <w:rStyle w:val="244"/>
          <w:szCs w:val="28"/>
        </w:rPr>
        <w:fldChar w:fldCharType="separate"/>
      </w:r>
      <w:r>
        <w:rPr>
          <w:rStyle w:val="244"/>
          <w:rFonts w:ascii="Times New Roman" w:hAnsi="Times New Roman"/>
          <w:b/>
          <w:szCs w:val="28"/>
        </w:rPr>
        <w:t>3</w:t>
      </w:r>
      <w:r>
        <w:rPr>
          <w:rStyle w:val="244"/>
          <w:rFonts w:hint="eastAsia" w:ascii="Times New Roman" w:hAnsi="Times New Roman"/>
          <w:b/>
          <w:szCs w:val="28"/>
        </w:rPr>
        <w:t>、远景展望</w:t>
      </w:r>
      <w:r>
        <w:rPr>
          <w:szCs w:val="28"/>
        </w:rPr>
        <w:tab/>
      </w:r>
      <w:r>
        <w:rPr>
          <w:szCs w:val="28"/>
        </w:rPr>
        <w:fldChar w:fldCharType="begin"/>
      </w:r>
      <w:r>
        <w:rPr>
          <w:szCs w:val="28"/>
        </w:rPr>
        <w:instrText xml:space="preserve"> PAGEREF _Toc137671413 \h </w:instrText>
      </w:r>
      <w:r>
        <w:rPr>
          <w:szCs w:val="28"/>
        </w:rPr>
        <w:fldChar w:fldCharType="separate"/>
      </w:r>
      <w:r>
        <w:rPr>
          <w:szCs w:val="28"/>
        </w:rPr>
        <w:t>19</w:t>
      </w:r>
      <w:r>
        <w:rPr>
          <w:szCs w:val="28"/>
        </w:rPr>
        <w:fldChar w:fldCharType="end"/>
      </w:r>
      <w:r>
        <w:rPr>
          <w:rStyle w:val="244"/>
          <w:szCs w:val="28"/>
        </w:rPr>
        <w:fldChar w:fldCharType="end"/>
      </w:r>
    </w:p>
    <w:p>
      <w:pPr>
        <w:pStyle w:val="228"/>
        <w:rPr>
          <w:rFonts w:ascii="Calibri" w:hAnsi="Calibri" w:eastAsia="宋体"/>
          <w:b w:val="0"/>
          <w:sz w:val="28"/>
          <w:szCs w:val="28"/>
          <w:lang w:bidi="ar-SA"/>
        </w:rPr>
      </w:pPr>
      <w:r>
        <w:rPr>
          <w:rStyle w:val="244"/>
          <w:sz w:val="28"/>
          <w:szCs w:val="28"/>
        </w:rPr>
        <w:fldChar w:fldCharType="begin"/>
      </w:r>
      <w:r>
        <w:rPr>
          <w:rStyle w:val="244"/>
          <w:sz w:val="28"/>
          <w:szCs w:val="28"/>
        </w:rPr>
        <w:instrText xml:space="preserve"> </w:instrText>
      </w:r>
      <w:r>
        <w:rPr>
          <w:sz w:val="28"/>
          <w:szCs w:val="28"/>
        </w:rPr>
        <w:instrText xml:space="preserve">HYPERLINK \l "_Toc137671414"</w:instrText>
      </w:r>
      <w:r>
        <w:rPr>
          <w:rStyle w:val="244"/>
          <w:sz w:val="28"/>
          <w:szCs w:val="28"/>
        </w:rPr>
        <w:instrText xml:space="preserve"> </w:instrText>
      </w:r>
      <w:r>
        <w:rPr>
          <w:rStyle w:val="244"/>
          <w:sz w:val="28"/>
          <w:szCs w:val="28"/>
        </w:rPr>
        <w:fldChar w:fldCharType="separate"/>
      </w:r>
      <w:r>
        <w:rPr>
          <w:rStyle w:val="244"/>
          <w:rFonts w:hint="eastAsia"/>
          <w:sz w:val="28"/>
          <w:szCs w:val="28"/>
        </w:rPr>
        <w:t>三、地质灾害易发区与重点防治区</w:t>
      </w:r>
      <w:r>
        <w:rPr>
          <w:sz w:val="28"/>
          <w:szCs w:val="28"/>
        </w:rPr>
        <w:tab/>
      </w:r>
      <w:r>
        <w:rPr>
          <w:sz w:val="28"/>
          <w:szCs w:val="28"/>
        </w:rPr>
        <w:fldChar w:fldCharType="begin"/>
      </w:r>
      <w:r>
        <w:rPr>
          <w:sz w:val="28"/>
          <w:szCs w:val="28"/>
        </w:rPr>
        <w:instrText xml:space="preserve"> PAGEREF _Toc137671414 \h </w:instrText>
      </w:r>
      <w:r>
        <w:rPr>
          <w:sz w:val="28"/>
          <w:szCs w:val="28"/>
        </w:rPr>
        <w:fldChar w:fldCharType="separate"/>
      </w:r>
      <w:r>
        <w:rPr>
          <w:sz w:val="28"/>
          <w:szCs w:val="28"/>
        </w:rPr>
        <w:t>20</w:t>
      </w:r>
      <w:r>
        <w:rPr>
          <w:sz w:val="28"/>
          <w:szCs w:val="28"/>
        </w:rPr>
        <w:fldChar w:fldCharType="end"/>
      </w:r>
      <w:r>
        <w:rPr>
          <w:rStyle w:val="244"/>
          <w:sz w:val="28"/>
          <w:szCs w:val="28"/>
        </w:rPr>
        <w:fldChar w:fldCharType="end"/>
      </w:r>
    </w:p>
    <w:p>
      <w:pPr>
        <w:pStyle w:val="233"/>
        <w:tabs>
          <w:tab w:val="right" w:leader="dot" w:pos="9060"/>
        </w:tabs>
        <w:ind w:left="56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"_Toc137671415"</w:instrText>
      </w:r>
      <w:r>
        <w:rPr>
          <w:rStyle w:val="244"/>
          <w:szCs w:val="28"/>
        </w:rPr>
        <w:instrText xml:space="preserve"> </w:instrText>
      </w:r>
      <w:r>
        <w:rPr>
          <w:rStyle w:val="244"/>
          <w:szCs w:val="28"/>
        </w:rPr>
        <w:fldChar w:fldCharType="separate"/>
      </w:r>
      <w:r>
        <w:rPr>
          <w:rStyle w:val="244"/>
          <w:rFonts w:hint="eastAsia" w:ascii="Times New Roman" w:hAnsi="Times New Roman"/>
          <w:b/>
          <w:szCs w:val="28"/>
        </w:rPr>
        <w:t>（一）地质灾害易发性分区</w:t>
      </w:r>
      <w:r>
        <w:rPr>
          <w:szCs w:val="28"/>
        </w:rPr>
        <w:tab/>
      </w:r>
      <w:r>
        <w:rPr>
          <w:szCs w:val="28"/>
        </w:rPr>
        <w:fldChar w:fldCharType="begin"/>
      </w:r>
      <w:r>
        <w:rPr>
          <w:szCs w:val="28"/>
        </w:rPr>
        <w:instrText xml:space="preserve"> PAGEREF _Toc137671415 \h </w:instrText>
      </w:r>
      <w:r>
        <w:rPr>
          <w:szCs w:val="28"/>
        </w:rPr>
        <w:fldChar w:fldCharType="separate"/>
      </w:r>
      <w:r>
        <w:rPr>
          <w:szCs w:val="28"/>
        </w:rPr>
        <w:t>20</w:t>
      </w:r>
      <w:r>
        <w:rPr>
          <w:szCs w:val="28"/>
        </w:rPr>
        <w:fldChar w:fldCharType="end"/>
      </w:r>
      <w:r>
        <w:rPr>
          <w:rStyle w:val="244"/>
          <w:szCs w:val="28"/>
        </w:rPr>
        <w:fldChar w:fldCharType="end"/>
      </w:r>
    </w:p>
    <w:p>
      <w:pPr>
        <w:pStyle w:val="233"/>
        <w:tabs>
          <w:tab w:val="right" w:leader="dot" w:pos="9060"/>
        </w:tabs>
        <w:ind w:left="56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"_Toc137671416"</w:instrText>
      </w:r>
      <w:r>
        <w:rPr>
          <w:rStyle w:val="244"/>
          <w:szCs w:val="28"/>
        </w:rPr>
        <w:instrText xml:space="preserve"> </w:instrText>
      </w:r>
      <w:r>
        <w:rPr>
          <w:rStyle w:val="244"/>
          <w:szCs w:val="28"/>
        </w:rPr>
        <w:fldChar w:fldCharType="separate"/>
      </w:r>
      <w:r>
        <w:rPr>
          <w:rStyle w:val="244"/>
          <w:rFonts w:hint="eastAsia" w:ascii="Times New Roman" w:hAnsi="Times New Roman"/>
          <w:b/>
          <w:szCs w:val="28"/>
        </w:rPr>
        <w:t>（二）地质灾害防治分区</w:t>
      </w:r>
      <w:r>
        <w:rPr>
          <w:szCs w:val="28"/>
        </w:rPr>
        <w:tab/>
      </w:r>
      <w:r>
        <w:rPr>
          <w:szCs w:val="28"/>
        </w:rPr>
        <w:fldChar w:fldCharType="begin"/>
      </w:r>
      <w:r>
        <w:rPr>
          <w:szCs w:val="28"/>
        </w:rPr>
        <w:instrText xml:space="preserve"> PAGEREF _Toc137671416 \h </w:instrText>
      </w:r>
      <w:r>
        <w:rPr>
          <w:szCs w:val="28"/>
        </w:rPr>
        <w:fldChar w:fldCharType="separate"/>
      </w:r>
      <w:r>
        <w:rPr>
          <w:szCs w:val="28"/>
        </w:rPr>
        <w:t>20</w:t>
      </w:r>
      <w:r>
        <w:rPr>
          <w:szCs w:val="28"/>
        </w:rPr>
        <w:fldChar w:fldCharType="end"/>
      </w:r>
      <w:r>
        <w:rPr>
          <w:rStyle w:val="244"/>
          <w:szCs w:val="28"/>
        </w:rPr>
        <w:fldChar w:fldCharType="end"/>
      </w:r>
    </w:p>
    <w:p>
      <w:pPr>
        <w:pStyle w:val="228"/>
        <w:rPr>
          <w:rFonts w:ascii="Calibri" w:hAnsi="Calibri" w:eastAsia="宋体"/>
          <w:b w:val="0"/>
          <w:sz w:val="28"/>
          <w:szCs w:val="28"/>
          <w:lang w:bidi="ar-SA"/>
        </w:rPr>
      </w:pPr>
      <w:r>
        <w:rPr>
          <w:rStyle w:val="244"/>
          <w:sz w:val="28"/>
          <w:szCs w:val="28"/>
        </w:rPr>
        <w:fldChar w:fldCharType="begin"/>
      </w:r>
      <w:r>
        <w:rPr>
          <w:rStyle w:val="244"/>
          <w:sz w:val="28"/>
          <w:szCs w:val="28"/>
        </w:rPr>
        <w:instrText xml:space="preserve"> </w:instrText>
      </w:r>
      <w:r>
        <w:rPr>
          <w:sz w:val="28"/>
          <w:szCs w:val="28"/>
        </w:rPr>
        <w:instrText xml:space="preserve">HYPERLINK \l "_Toc137671417"</w:instrText>
      </w:r>
      <w:r>
        <w:rPr>
          <w:rStyle w:val="244"/>
          <w:sz w:val="28"/>
          <w:szCs w:val="28"/>
        </w:rPr>
        <w:instrText xml:space="preserve"> </w:instrText>
      </w:r>
      <w:r>
        <w:rPr>
          <w:rStyle w:val="244"/>
          <w:sz w:val="28"/>
          <w:szCs w:val="28"/>
        </w:rPr>
        <w:fldChar w:fldCharType="separate"/>
      </w:r>
      <w:r>
        <w:rPr>
          <w:rStyle w:val="244"/>
          <w:rFonts w:hint="eastAsia"/>
          <w:sz w:val="28"/>
          <w:szCs w:val="28"/>
        </w:rPr>
        <w:t>四、地质灾害防治规划</w:t>
      </w:r>
      <w:r>
        <w:rPr>
          <w:sz w:val="28"/>
          <w:szCs w:val="28"/>
        </w:rPr>
        <w:tab/>
      </w:r>
      <w:r>
        <w:rPr>
          <w:sz w:val="28"/>
          <w:szCs w:val="28"/>
        </w:rPr>
        <w:fldChar w:fldCharType="begin"/>
      </w:r>
      <w:r>
        <w:rPr>
          <w:sz w:val="28"/>
          <w:szCs w:val="28"/>
        </w:rPr>
        <w:instrText xml:space="preserve"> PAGEREF _Toc137671417 \h </w:instrText>
      </w:r>
      <w:r>
        <w:rPr>
          <w:sz w:val="28"/>
          <w:szCs w:val="28"/>
        </w:rPr>
        <w:fldChar w:fldCharType="separate"/>
      </w:r>
      <w:r>
        <w:rPr>
          <w:sz w:val="28"/>
          <w:szCs w:val="28"/>
        </w:rPr>
        <w:t>28</w:t>
      </w:r>
      <w:r>
        <w:rPr>
          <w:sz w:val="28"/>
          <w:szCs w:val="28"/>
        </w:rPr>
        <w:fldChar w:fldCharType="end"/>
      </w:r>
      <w:r>
        <w:rPr>
          <w:rStyle w:val="244"/>
          <w:sz w:val="28"/>
          <w:szCs w:val="28"/>
        </w:rPr>
        <w:fldChar w:fldCharType="end"/>
      </w:r>
    </w:p>
    <w:p>
      <w:pPr>
        <w:pStyle w:val="233"/>
        <w:tabs>
          <w:tab w:val="right" w:leader="dot" w:pos="9060"/>
        </w:tabs>
        <w:ind w:left="56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"_Toc137671418"</w:instrText>
      </w:r>
      <w:r>
        <w:rPr>
          <w:rStyle w:val="244"/>
          <w:szCs w:val="28"/>
        </w:rPr>
        <w:instrText xml:space="preserve"> </w:instrText>
      </w:r>
      <w:r>
        <w:rPr>
          <w:rStyle w:val="244"/>
          <w:szCs w:val="28"/>
        </w:rPr>
        <w:fldChar w:fldCharType="separate"/>
      </w:r>
      <w:r>
        <w:rPr>
          <w:rStyle w:val="244"/>
          <w:rFonts w:hint="eastAsia" w:ascii="Times New Roman" w:hAnsi="Times New Roman"/>
          <w:b/>
          <w:szCs w:val="28"/>
        </w:rPr>
        <w:t>（一）调查评价</w:t>
      </w:r>
      <w:r>
        <w:rPr>
          <w:szCs w:val="28"/>
        </w:rPr>
        <w:tab/>
      </w:r>
      <w:r>
        <w:rPr>
          <w:szCs w:val="28"/>
        </w:rPr>
        <w:fldChar w:fldCharType="begin"/>
      </w:r>
      <w:r>
        <w:rPr>
          <w:szCs w:val="28"/>
        </w:rPr>
        <w:instrText xml:space="preserve"> PAGEREF _Toc137671418 \h </w:instrText>
      </w:r>
      <w:r>
        <w:rPr>
          <w:szCs w:val="28"/>
        </w:rPr>
        <w:fldChar w:fldCharType="separate"/>
      </w:r>
      <w:r>
        <w:rPr>
          <w:szCs w:val="28"/>
        </w:rPr>
        <w:t>28</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"_Toc137671419"</w:instrText>
      </w:r>
      <w:r>
        <w:rPr>
          <w:rStyle w:val="244"/>
          <w:szCs w:val="28"/>
        </w:rPr>
        <w:instrText xml:space="preserve"> </w:instrText>
      </w:r>
      <w:r>
        <w:rPr>
          <w:rStyle w:val="244"/>
          <w:szCs w:val="28"/>
        </w:rPr>
        <w:fldChar w:fldCharType="separate"/>
      </w:r>
      <w:r>
        <w:rPr>
          <w:rStyle w:val="244"/>
          <w:rFonts w:ascii="Times New Roman" w:hAnsi="Times New Roman"/>
          <w:b/>
          <w:szCs w:val="28"/>
        </w:rPr>
        <w:t>1</w:t>
      </w:r>
      <w:r>
        <w:rPr>
          <w:rStyle w:val="244"/>
          <w:rFonts w:hint="eastAsia" w:ascii="Times New Roman" w:hAnsi="Times New Roman"/>
          <w:b/>
          <w:szCs w:val="28"/>
        </w:rPr>
        <w:t>、巡查排查</w:t>
      </w:r>
      <w:r>
        <w:rPr>
          <w:szCs w:val="28"/>
        </w:rPr>
        <w:tab/>
      </w:r>
      <w:r>
        <w:rPr>
          <w:szCs w:val="28"/>
        </w:rPr>
        <w:fldChar w:fldCharType="begin"/>
      </w:r>
      <w:r>
        <w:rPr>
          <w:szCs w:val="28"/>
        </w:rPr>
        <w:instrText xml:space="preserve"> PAGEREF _Toc137671419 \h </w:instrText>
      </w:r>
      <w:r>
        <w:rPr>
          <w:szCs w:val="28"/>
        </w:rPr>
        <w:fldChar w:fldCharType="separate"/>
      </w:r>
      <w:r>
        <w:rPr>
          <w:szCs w:val="28"/>
        </w:rPr>
        <w:t>28</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"_Toc137671420"</w:instrText>
      </w:r>
      <w:r>
        <w:rPr>
          <w:rStyle w:val="244"/>
          <w:szCs w:val="28"/>
        </w:rPr>
        <w:instrText xml:space="preserve"> </w:instrText>
      </w:r>
      <w:r>
        <w:rPr>
          <w:rStyle w:val="244"/>
          <w:szCs w:val="28"/>
        </w:rPr>
        <w:fldChar w:fldCharType="separate"/>
      </w:r>
      <w:r>
        <w:rPr>
          <w:rStyle w:val="244"/>
          <w:rFonts w:ascii="Times New Roman" w:hAnsi="Times New Roman"/>
          <w:b/>
          <w:szCs w:val="28"/>
        </w:rPr>
        <w:t>2</w:t>
      </w:r>
      <w:r>
        <w:rPr>
          <w:rStyle w:val="244"/>
          <w:rFonts w:hint="eastAsia" w:ascii="Times New Roman" w:hAnsi="Times New Roman"/>
          <w:b/>
          <w:szCs w:val="28"/>
        </w:rPr>
        <w:t>、精细化调查和风险评价</w:t>
      </w:r>
      <w:r>
        <w:rPr>
          <w:szCs w:val="28"/>
        </w:rPr>
        <w:tab/>
      </w:r>
      <w:r>
        <w:rPr>
          <w:szCs w:val="28"/>
        </w:rPr>
        <w:fldChar w:fldCharType="begin"/>
      </w:r>
      <w:r>
        <w:rPr>
          <w:szCs w:val="28"/>
        </w:rPr>
        <w:instrText xml:space="preserve"> PAGEREF _Toc137671420 \h </w:instrText>
      </w:r>
      <w:r>
        <w:rPr>
          <w:szCs w:val="28"/>
        </w:rPr>
        <w:fldChar w:fldCharType="separate"/>
      </w:r>
      <w:r>
        <w:rPr>
          <w:szCs w:val="28"/>
        </w:rPr>
        <w:t>29</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"_Toc137671421"</w:instrText>
      </w:r>
      <w:r>
        <w:rPr>
          <w:rStyle w:val="244"/>
          <w:szCs w:val="28"/>
        </w:rPr>
        <w:instrText xml:space="preserve"> </w:instrText>
      </w:r>
      <w:r>
        <w:rPr>
          <w:rStyle w:val="244"/>
          <w:szCs w:val="28"/>
        </w:rPr>
        <w:fldChar w:fldCharType="separate"/>
      </w:r>
      <w:r>
        <w:rPr>
          <w:rStyle w:val="244"/>
          <w:rFonts w:ascii="Times New Roman" w:hAnsi="Times New Roman"/>
          <w:b/>
          <w:szCs w:val="28"/>
        </w:rPr>
        <w:t>3</w:t>
      </w:r>
      <w:r>
        <w:rPr>
          <w:rStyle w:val="244"/>
          <w:rFonts w:hint="eastAsia" w:ascii="Times New Roman" w:hAnsi="Times New Roman"/>
          <w:b/>
          <w:szCs w:val="28"/>
        </w:rPr>
        <w:t>、风险普查</w:t>
      </w:r>
      <w:r>
        <w:rPr>
          <w:szCs w:val="28"/>
        </w:rPr>
        <w:tab/>
      </w:r>
      <w:r>
        <w:rPr>
          <w:szCs w:val="28"/>
        </w:rPr>
        <w:fldChar w:fldCharType="begin"/>
      </w:r>
      <w:r>
        <w:rPr>
          <w:szCs w:val="28"/>
        </w:rPr>
        <w:instrText xml:space="preserve"> PAGEREF _Toc137671421 \h </w:instrText>
      </w:r>
      <w:r>
        <w:rPr>
          <w:szCs w:val="28"/>
        </w:rPr>
        <w:fldChar w:fldCharType="separate"/>
      </w:r>
      <w:r>
        <w:rPr>
          <w:szCs w:val="28"/>
        </w:rPr>
        <w:t>29</w:t>
      </w:r>
      <w:r>
        <w:rPr>
          <w:szCs w:val="28"/>
        </w:rPr>
        <w:fldChar w:fldCharType="end"/>
      </w:r>
      <w:r>
        <w:rPr>
          <w:rStyle w:val="244"/>
          <w:szCs w:val="28"/>
        </w:rPr>
        <w:fldChar w:fldCharType="end"/>
      </w:r>
    </w:p>
    <w:p>
      <w:pPr>
        <w:pStyle w:val="233"/>
        <w:tabs>
          <w:tab w:val="right" w:leader="dot" w:pos="9060"/>
        </w:tabs>
        <w:ind w:left="56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"_Toc137671422"</w:instrText>
      </w:r>
      <w:r>
        <w:rPr>
          <w:rStyle w:val="244"/>
          <w:szCs w:val="28"/>
        </w:rPr>
        <w:instrText xml:space="preserve"> </w:instrText>
      </w:r>
      <w:r>
        <w:rPr>
          <w:rStyle w:val="244"/>
          <w:szCs w:val="28"/>
        </w:rPr>
        <w:fldChar w:fldCharType="separate"/>
      </w:r>
      <w:r>
        <w:rPr>
          <w:rStyle w:val="244"/>
          <w:rFonts w:hint="eastAsia" w:ascii="Times New Roman" w:hAnsi="Times New Roman"/>
          <w:b/>
          <w:szCs w:val="28"/>
        </w:rPr>
        <w:t>（二）监测预警</w:t>
      </w:r>
      <w:r>
        <w:rPr>
          <w:szCs w:val="28"/>
        </w:rPr>
        <w:tab/>
      </w:r>
      <w:r>
        <w:rPr>
          <w:szCs w:val="28"/>
        </w:rPr>
        <w:fldChar w:fldCharType="begin"/>
      </w:r>
      <w:r>
        <w:rPr>
          <w:szCs w:val="28"/>
        </w:rPr>
        <w:instrText xml:space="preserve"> PAGEREF _Toc137671422 \h </w:instrText>
      </w:r>
      <w:r>
        <w:rPr>
          <w:szCs w:val="28"/>
        </w:rPr>
        <w:fldChar w:fldCharType="separate"/>
      </w:r>
      <w:r>
        <w:rPr>
          <w:szCs w:val="28"/>
        </w:rPr>
        <w:t>30</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"_Toc137671423"</w:instrText>
      </w:r>
      <w:r>
        <w:rPr>
          <w:rStyle w:val="244"/>
          <w:szCs w:val="28"/>
        </w:rPr>
        <w:instrText xml:space="preserve"> </w:instrText>
      </w:r>
      <w:r>
        <w:rPr>
          <w:rStyle w:val="244"/>
          <w:szCs w:val="28"/>
        </w:rPr>
        <w:fldChar w:fldCharType="separate"/>
      </w:r>
      <w:r>
        <w:rPr>
          <w:rStyle w:val="244"/>
          <w:rFonts w:ascii="Times New Roman" w:hAnsi="Times New Roman"/>
          <w:b/>
          <w:szCs w:val="28"/>
        </w:rPr>
        <w:t>1</w:t>
      </w:r>
      <w:r>
        <w:rPr>
          <w:rStyle w:val="244"/>
          <w:rFonts w:hint="eastAsia" w:ascii="Times New Roman" w:hAnsi="Times New Roman"/>
          <w:b/>
          <w:szCs w:val="28"/>
        </w:rPr>
        <w:t>、群测群防</w:t>
      </w:r>
      <w:r>
        <w:rPr>
          <w:szCs w:val="28"/>
        </w:rPr>
        <w:tab/>
      </w:r>
      <w:r>
        <w:rPr>
          <w:szCs w:val="28"/>
        </w:rPr>
        <w:fldChar w:fldCharType="begin"/>
      </w:r>
      <w:r>
        <w:rPr>
          <w:szCs w:val="28"/>
        </w:rPr>
        <w:instrText xml:space="preserve"> PAGEREF _Toc137671423 \h </w:instrText>
      </w:r>
      <w:r>
        <w:rPr>
          <w:szCs w:val="28"/>
        </w:rPr>
        <w:fldChar w:fldCharType="separate"/>
      </w:r>
      <w:r>
        <w:rPr>
          <w:szCs w:val="28"/>
        </w:rPr>
        <w:t>30</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"_Toc137671424"</w:instrText>
      </w:r>
      <w:r>
        <w:rPr>
          <w:rStyle w:val="244"/>
          <w:szCs w:val="28"/>
        </w:rPr>
        <w:instrText xml:space="preserve"> </w:instrText>
      </w:r>
      <w:r>
        <w:rPr>
          <w:rStyle w:val="244"/>
          <w:szCs w:val="28"/>
        </w:rPr>
        <w:fldChar w:fldCharType="separate"/>
      </w:r>
      <w:r>
        <w:rPr>
          <w:rStyle w:val="244"/>
          <w:rFonts w:ascii="Times New Roman" w:hAnsi="Times New Roman"/>
          <w:b/>
          <w:szCs w:val="28"/>
        </w:rPr>
        <w:t>2</w:t>
      </w:r>
      <w:r>
        <w:rPr>
          <w:rStyle w:val="244"/>
          <w:rFonts w:hint="eastAsia" w:ascii="Times New Roman" w:hAnsi="Times New Roman"/>
          <w:b/>
          <w:szCs w:val="28"/>
        </w:rPr>
        <w:t>、普适型、专业监测</w:t>
      </w:r>
      <w:r>
        <w:rPr>
          <w:szCs w:val="28"/>
        </w:rPr>
        <w:tab/>
      </w:r>
      <w:r>
        <w:rPr>
          <w:szCs w:val="28"/>
        </w:rPr>
        <w:fldChar w:fldCharType="begin"/>
      </w:r>
      <w:r>
        <w:rPr>
          <w:szCs w:val="28"/>
        </w:rPr>
        <w:instrText xml:space="preserve"> PAGEREF _Toc137671424 \h </w:instrText>
      </w:r>
      <w:r>
        <w:rPr>
          <w:szCs w:val="28"/>
        </w:rPr>
        <w:fldChar w:fldCharType="separate"/>
      </w:r>
      <w:r>
        <w:rPr>
          <w:szCs w:val="28"/>
        </w:rPr>
        <w:t>30</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"_Toc137671425"</w:instrText>
      </w:r>
      <w:r>
        <w:rPr>
          <w:rStyle w:val="244"/>
          <w:szCs w:val="28"/>
        </w:rPr>
        <w:instrText xml:space="preserve"> </w:instrText>
      </w:r>
      <w:r>
        <w:rPr>
          <w:rStyle w:val="244"/>
          <w:szCs w:val="28"/>
        </w:rPr>
        <w:fldChar w:fldCharType="separate"/>
      </w:r>
      <w:r>
        <w:rPr>
          <w:rStyle w:val="244"/>
          <w:rFonts w:ascii="Times New Roman" w:hAnsi="Times New Roman"/>
          <w:b/>
          <w:szCs w:val="28"/>
        </w:rPr>
        <w:t>3</w:t>
      </w:r>
      <w:r>
        <w:rPr>
          <w:rStyle w:val="244"/>
          <w:rFonts w:hint="eastAsia" w:ascii="Times New Roman" w:hAnsi="Times New Roman"/>
          <w:b/>
          <w:szCs w:val="28"/>
        </w:rPr>
        <w:t>、气象风险预警</w:t>
      </w:r>
      <w:r>
        <w:rPr>
          <w:szCs w:val="28"/>
        </w:rPr>
        <w:tab/>
      </w:r>
      <w:r>
        <w:rPr>
          <w:szCs w:val="28"/>
        </w:rPr>
        <w:fldChar w:fldCharType="begin"/>
      </w:r>
      <w:r>
        <w:rPr>
          <w:szCs w:val="28"/>
        </w:rPr>
        <w:instrText xml:space="preserve"> PAGEREF _Toc137671425 \h </w:instrText>
      </w:r>
      <w:r>
        <w:rPr>
          <w:szCs w:val="28"/>
        </w:rPr>
        <w:fldChar w:fldCharType="separate"/>
      </w:r>
      <w:r>
        <w:rPr>
          <w:szCs w:val="28"/>
        </w:rPr>
        <w:t>31</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"_Toc137671426"</w:instrText>
      </w:r>
      <w:r>
        <w:rPr>
          <w:rStyle w:val="244"/>
          <w:szCs w:val="28"/>
        </w:rPr>
        <w:instrText xml:space="preserve"> </w:instrText>
      </w:r>
      <w:r>
        <w:rPr>
          <w:rStyle w:val="244"/>
          <w:szCs w:val="28"/>
        </w:rPr>
        <w:fldChar w:fldCharType="separate"/>
      </w:r>
      <w:r>
        <w:rPr>
          <w:rStyle w:val="244"/>
          <w:rFonts w:ascii="Times New Roman" w:hAnsi="Times New Roman"/>
          <w:b/>
          <w:szCs w:val="28"/>
        </w:rPr>
        <w:t>4</w:t>
      </w:r>
      <w:r>
        <w:rPr>
          <w:rStyle w:val="244"/>
          <w:rFonts w:hint="eastAsia" w:ascii="Times New Roman" w:hAnsi="Times New Roman"/>
          <w:b/>
          <w:szCs w:val="28"/>
        </w:rPr>
        <w:t>、隐患点和风险区</w:t>
      </w:r>
      <w:r>
        <w:rPr>
          <w:rStyle w:val="244"/>
          <w:rFonts w:ascii="Times New Roman" w:hAnsi="Times New Roman"/>
          <w:b/>
          <w:szCs w:val="28"/>
        </w:rPr>
        <w:t>“</w:t>
      </w:r>
      <w:r>
        <w:rPr>
          <w:rStyle w:val="244"/>
          <w:rFonts w:hint="eastAsia" w:ascii="Times New Roman" w:hAnsi="Times New Roman"/>
          <w:b/>
          <w:szCs w:val="28"/>
        </w:rPr>
        <w:t>双控</w:t>
      </w:r>
      <w:r>
        <w:rPr>
          <w:rStyle w:val="244"/>
          <w:rFonts w:ascii="Times New Roman" w:hAnsi="Times New Roman"/>
          <w:b/>
          <w:szCs w:val="28"/>
        </w:rPr>
        <w:t>”</w:t>
      </w:r>
      <w:r>
        <w:rPr>
          <w:szCs w:val="28"/>
        </w:rPr>
        <w:tab/>
      </w:r>
      <w:r>
        <w:rPr>
          <w:szCs w:val="28"/>
        </w:rPr>
        <w:fldChar w:fldCharType="begin"/>
      </w:r>
      <w:r>
        <w:rPr>
          <w:szCs w:val="28"/>
        </w:rPr>
        <w:instrText xml:space="preserve"> PAGEREF _Toc137671426 \h </w:instrText>
      </w:r>
      <w:r>
        <w:rPr>
          <w:szCs w:val="28"/>
        </w:rPr>
        <w:fldChar w:fldCharType="separate"/>
      </w:r>
      <w:r>
        <w:rPr>
          <w:szCs w:val="28"/>
        </w:rPr>
        <w:t>31</w:t>
      </w:r>
      <w:r>
        <w:rPr>
          <w:szCs w:val="28"/>
        </w:rPr>
        <w:fldChar w:fldCharType="end"/>
      </w:r>
      <w:r>
        <w:rPr>
          <w:rStyle w:val="244"/>
          <w:szCs w:val="28"/>
        </w:rPr>
        <w:fldChar w:fldCharType="end"/>
      </w:r>
    </w:p>
    <w:p>
      <w:pPr>
        <w:pStyle w:val="233"/>
        <w:tabs>
          <w:tab w:val="right" w:leader="dot" w:pos="9060"/>
        </w:tabs>
        <w:ind w:left="56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"_Toc137671427"</w:instrText>
      </w:r>
      <w:r>
        <w:rPr>
          <w:rStyle w:val="244"/>
          <w:szCs w:val="28"/>
        </w:rPr>
        <w:instrText xml:space="preserve"> </w:instrText>
      </w:r>
      <w:r>
        <w:rPr>
          <w:rStyle w:val="244"/>
          <w:szCs w:val="28"/>
        </w:rPr>
        <w:fldChar w:fldCharType="separate"/>
      </w:r>
      <w:r>
        <w:rPr>
          <w:rStyle w:val="244"/>
          <w:rFonts w:hint="eastAsia" w:ascii="Times New Roman" w:hAnsi="Times New Roman"/>
          <w:b/>
          <w:szCs w:val="28"/>
        </w:rPr>
        <w:t>（三）工程治理</w:t>
      </w:r>
      <w:r>
        <w:rPr>
          <w:szCs w:val="28"/>
        </w:rPr>
        <w:tab/>
      </w:r>
      <w:r>
        <w:rPr>
          <w:szCs w:val="28"/>
        </w:rPr>
        <w:fldChar w:fldCharType="begin"/>
      </w:r>
      <w:r>
        <w:rPr>
          <w:szCs w:val="28"/>
        </w:rPr>
        <w:instrText xml:space="preserve"> PAGEREF _Toc137671427 \h </w:instrText>
      </w:r>
      <w:r>
        <w:rPr>
          <w:szCs w:val="28"/>
        </w:rPr>
        <w:fldChar w:fldCharType="separate"/>
      </w:r>
      <w:r>
        <w:rPr>
          <w:szCs w:val="28"/>
        </w:rPr>
        <w:t>33</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"_Toc137671428"</w:instrText>
      </w:r>
      <w:r>
        <w:rPr>
          <w:rStyle w:val="244"/>
          <w:szCs w:val="28"/>
        </w:rPr>
        <w:instrText xml:space="preserve"> </w:instrText>
      </w:r>
      <w:r>
        <w:rPr>
          <w:rStyle w:val="244"/>
          <w:szCs w:val="28"/>
        </w:rPr>
        <w:fldChar w:fldCharType="separate"/>
      </w:r>
      <w:r>
        <w:rPr>
          <w:rStyle w:val="244"/>
          <w:rFonts w:ascii="Times New Roman" w:hAnsi="Times New Roman"/>
          <w:b/>
          <w:szCs w:val="28"/>
        </w:rPr>
        <w:t>1</w:t>
      </w:r>
      <w:r>
        <w:rPr>
          <w:rStyle w:val="244"/>
          <w:rFonts w:hint="eastAsia" w:ascii="Times New Roman" w:hAnsi="Times New Roman"/>
          <w:b/>
          <w:szCs w:val="28"/>
        </w:rPr>
        <w:t>、工程治理项目</w:t>
      </w:r>
      <w:r>
        <w:rPr>
          <w:szCs w:val="28"/>
        </w:rPr>
        <w:tab/>
      </w:r>
      <w:r>
        <w:rPr>
          <w:szCs w:val="28"/>
        </w:rPr>
        <w:fldChar w:fldCharType="begin"/>
      </w:r>
      <w:r>
        <w:rPr>
          <w:szCs w:val="28"/>
        </w:rPr>
        <w:instrText xml:space="preserve"> PAGEREF _Toc137671428 \h </w:instrText>
      </w:r>
      <w:r>
        <w:rPr>
          <w:szCs w:val="28"/>
        </w:rPr>
        <w:fldChar w:fldCharType="separate"/>
      </w:r>
      <w:r>
        <w:rPr>
          <w:szCs w:val="28"/>
        </w:rPr>
        <w:t>33</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"_Toc137671429"</w:instrText>
      </w:r>
      <w:r>
        <w:rPr>
          <w:rStyle w:val="244"/>
          <w:szCs w:val="28"/>
        </w:rPr>
        <w:instrText xml:space="preserve"> </w:instrText>
      </w:r>
      <w:r>
        <w:rPr>
          <w:rStyle w:val="244"/>
          <w:szCs w:val="28"/>
        </w:rPr>
        <w:fldChar w:fldCharType="separate"/>
      </w:r>
      <w:r>
        <w:rPr>
          <w:rStyle w:val="244"/>
          <w:rFonts w:ascii="Times New Roman" w:hAnsi="Times New Roman"/>
          <w:b/>
          <w:szCs w:val="28"/>
        </w:rPr>
        <w:t>2</w:t>
      </w:r>
      <w:r>
        <w:rPr>
          <w:rStyle w:val="244"/>
          <w:rFonts w:hint="eastAsia" w:ascii="Times New Roman" w:hAnsi="Times New Roman"/>
          <w:b/>
          <w:szCs w:val="28"/>
        </w:rPr>
        <w:t>、延续配套治理项目</w:t>
      </w:r>
      <w:r>
        <w:rPr>
          <w:szCs w:val="28"/>
        </w:rPr>
        <w:tab/>
      </w:r>
      <w:r>
        <w:rPr>
          <w:szCs w:val="28"/>
        </w:rPr>
        <w:fldChar w:fldCharType="begin"/>
      </w:r>
      <w:r>
        <w:rPr>
          <w:szCs w:val="28"/>
        </w:rPr>
        <w:instrText xml:space="preserve"> PAGEREF _Toc137671429 \h </w:instrText>
      </w:r>
      <w:r>
        <w:rPr>
          <w:szCs w:val="28"/>
        </w:rPr>
        <w:fldChar w:fldCharType="separate"/>
      </w:r>
      <w:r>
        <w:rPr>
          <w:szCs w:val="28"/>
        </w:rPr>
        <w:t>34</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"_Toc137671430"</w:instrText>
      </w:r>
      <w:r>
        <w:rPr>
          <w:rStyle w:val="244"/>
          <w:szCs w:val="28"/>
        </w:rPr>
        <w:instrText xml:space="preserve"> </w:instrText>
      </w:r>
      <w:r>
        <w:rPr>
          <w:rStyle w:val="244"/>
          <w:szCs w:val="28"/>
        </w:rPr>
        <w:fldChar w:fldCharType="separate"/>
      </w:r>
      <w:r>
        <w:rPr>
          <w:rStyle w:val="244"/>
          <w:rFonts w:ascii="Times New Roman" w:hAnsi="Times New Roman"/>
          <w:b/>
          <w:szCs w:val="28"/>
        </w:rPr>
        <w:t>3</w:t>
      </w:r>
      <w:r>
        <w:rPr>
          <w:rStyle w:val="244"/>
          <w:rFonts w:hint="eastAsia" w:ascii="Times New Roman" w:hAnsi="Times New Roman"/>
          <w:b/>
          <w:szCs w:val="28"/>
        </w:rPr>
        <w:t>、已建治理工程运行管护</w:t>
      </w:r>
      <w:r>
        <w:rPr>
          <w:szCs w:val="28"/>
        </w:rPr>
        <w:tab/>
      </w:r>
      <w:r>
        <w:rPr>
          <w:szCs w:val="28"/>
        </w:rPr>
        <w:fldChar w:fldCharType="begin"/>
      </w:r>
      <w:r>
        <w:rPr>
          <w:szCs w:val="28"/>
        </w:rPr>
        <w:instrText xml:space="preserve"> PAGEREF _Toc137671430 \h </w:instrText>
      </w:r>
      <w:r>
        <w:rPr>
          <w:szCs w:val="28"/>
        </w:rPr>
        <w:fldChar w:fldCharType="separate"/>
      </w:r>
      <w:r>
        <w:rPr>
          <w:szCs w:val="28"/>
        </w:rPr>
        <w:t>34</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"_Toc137671431"</w:instrText>
      </w:r>
      <w:r>
        <w:rPr>
          <w:rStyle w:val="244"/>
          <w:szCs w:val="28"/>
        </w:rPr>
        <w:instrText xml:space="preserve"> </w:instrText>
      </w:r>
      <w:r>
        <w:rPr>
          <w:rStyle w:val="244"/>
          <w:szCs w:val="28"/>
        </w:rPr>
        <w:fldChar w:fldCharType="separate"/>
      </w:r>
      <w:r>
        <w:rPr>
          <w:rStyle w:val="244"/>
          <w:rFonts w:ascii="Times New Roman" w:hAnsi="Times New Roman"/>
          <w:b/>
          <w:szCs w:val="28"/>
        </w:rPr>
        <w:t>4</w:t>
      </w:r>
      <w:r>
        <w:rPr>
          <w:rStyle w:val="244"/>
          <w:rFonts w:hint="eastAsia" w:ascii="Times New Roman" w:hAnsi="Times New Roman"/>
          <w:b/>
          <w:szCs w:val="28"/>
        </w:rPr>
        <w:t>、突发性应急排险、治理工程</w:t>
      </w:r>
      <w:r>
        <w:rPr>
          <w:szCs w:val="28"/>
        </w:rPr>
        <w:tab/>
      </w:r>
      <w:r>
        <w:rPr>
          <w:szCs w:val="28"/>
        </w:rPr>
        <w:fldChar w:fldCharType="begin"/>
      </w:r>
      <w:r>
        <w:rPr>
          <w:szCs w:val="28"/>
        </w:rPr>
        <w:instrText xml:space="preserve"> PAGEREF _Toc137671431 \h </w:instrText>
      </w:r>
      <w:r>
        <w:rPr>
          <w:szCs w:val="28"/>
        </w:rPr>
        <w:fldChar w:fldCharType="separate"/>
      </w:r>
      <w:r>
        <w:rPr>
          <w:szCs w:val="28"/>
        </w:rPr>
        <w:t>35</w:t>
      </w:r>
      <w:r>
        <w:rPr>
          <w:szCs w:val="28"/>
        </w:rPr>
        <w:fldChar w:fldCharType="end"/>
      </w:r>
      <w:r>
        <w:rPr>
          <w:rStyle w:val="244"/>
          <w:szCs w:val="28"/>
        </w:rPr>
        <w:fldChar w:fldCharType="end"/>
      </w:r>
    </w:p>
    <w:p>
      <w:pPr>
        <w:pStyle w:val="233"/>
        <w:tabs>
          <w:tab w:val="right" w:leader="dot" w:pos="9060"/>
        </w:tabs>
        <w:ind w:left="56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"_Toc137671432"</w:instrText>
      </w:r>
      <w:r>
        <w:rPr>
          <w:rStyle w:val="244"/>
          <w:szCs w:val="28"/>
        </w:rPr>
        <w:instrText xml:space="preserve"> </w:instrText>
      </w:r>
      <w:r>
        <w:rPr>
          <w:rStyle w:val="244"/>
          <w:szCs w:val="28"/>
        </w:rPr>
        <w:fldChar w:fldCharType="separate"/>
      </w:r>
      <w:r>
        <w:rPr>
          <w:rStyle w:val="244"/>
          <w:rFonts w:hint="eastAsia" w:ascii="Times New Roman" w:hAnsi="Times New Roman"/>
          <w:b/>
          <w:szCs w:val="28"/>
        </w:rPr>
        <w:t>（四）避险搬迁</w:t>
      </w:r>
      <w:r>
        <w:rPr>
          <w:szCs w:val="28"/>
        </w:rPr>
        <w:tab/>
      </w:r>
      <w:r>
        <w:rPr>
          <w:szCs w:val="28"/>
        </w:rPr>
        <w:fldChar w:fldCharType="begin"/>
      </w:r>
      <w:r>
        <w:rPr>
          <w:szCs w:val="28"/>
        </w:rPr>
        <w:instrText xml:space="preserve"> PAGEREF _Toc137671432 \h </w:instrText>
      </w:r>
      <w:r>
        <w:rPr>
          <w:szCs w:val="28"/>
        </w:rPr>
        <w:fldChar w:fldCharType="separate"/>
      </w:r>
      <w:r>
        <w:rPr>
          <w:szCs w:val="28"/>
        </w:rPr>
        <w:t>35</w:t>
      </w:r>
      <w:r>
        <w:rPr>
          <w:szCs w:val="28"/>
        </w:rPr>
        <w:fldChar w:fldCharType="end"/>
      </w:r>
      <w:r>
        <w:rPr>
          <w:rStyle w:val="244"/>
          <w:szCs w:val="28"/>
        </w:rPr>
        <w:fldChar w:fldCharType="end"/>
      </w:r>
    </w:p>
    <w:p>
      <w:pPr>
        <w:pStyle w:val="233"/>
        <w:tabs>
          <w:tab w:val="right" w:leader="dot" w:pos="9060"/>
        </w:tabs>
        <w:ind w:left="56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"_Toc137671433"</w:instrText>
      </w:r>
      <w:r>
        <w:rPr>
          <w:rStyle w:val="244"/>
          <w:szCs w:val="28"/>
        </w:rPr>
        <w:instrText xml:space="preserve"> </w:instrText>
      </w:r>
      <w:r>
        <w:rPr>
          <w:rStyle w:val="244"/>
          <w:szCs w:val="28"/>
        </w:rPr>
        <w:fldChar w:fldCharType="separate"/>
      </w:r>
      <w:r>
        <w:rPr>
          <w:rStyle w:val="244"/>
          <w:rFonts w:hint="eastAsia" w:ascii="Times New Roman" w:hAnsi="Times New Roman"/>
          <w:b/>
          <w:szCs w:val="28"/>
        </w:rPr>
        <w:t>（五）综合整治</w:t>
      </w:r>
      <w:r>
        <w:rPr>
          <w:szCs w:val="28"/>
        </w:rPr>
        <w:tab/>
      </w:r>
      <w:r>
        <w:rPr>
          <w:szCs w:val="28"/>
        </w:rPr>
        <w:fldChar w:fldCharType="begin"/>
      </w:r>
      <w:r>
        <w:rPr>
          <w:szCs w:val="28"/>
        </w:rPr>
        <w:instrText xml:space="preserve"> PAGEREF _Toc137671433 \h </w:instrText>
      </w:r>
      <w:r>
        <w:rPr>
          <w:szCs w:val="28"/>
        </w:rPr>
        <w:fldChar w:fldCharType="separate"/>
      </w:r>
      <w:r>
        <w:rPr>
          <w:szCs w:val="28"/>
        </w:rPr>
        <w:t>35</w:t>
      </w:r>
      <w:r>
        <w:rPr>
          <w:szCs w:val="28"/>
        </w:rPr>
        <w:fldChar w:fldCharType="end"/>
      </w:r>
      <w:r>
        <w:rPr>
          <w:rStyle w:val="244"/>
          <w:szCs w:val="28"/>
        </w:rPr>
        <w:fldChar w:fldCharType="end"/>
      </w:r>
    </w:p>
    <w:p>
      <w:pPr>
        <w:pStyle w:val="233"/>
        <w:tabs>
          <w:tab w:val="right" w:leader="dot" w:pos="9060"/>
        </w:tabs>
        <w:ind w:left="56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"_Toc137671434"</w:instrText>
      </w:r>
      <w:r>
        <w:rPr>
          <w:rStyle w:val="244"/>
          <w:szCs w:val="28"/>
        </w:rPr>
        <w:instrText xml:space="preserve"> </w:instrText>
      </w:r>
      <w:r>
        <w:rPr>
          <w:rStyle w:val="244"/>
          <w:szCs w:val="28"/>
        </w:rPr>
        <w:fldChar w:fldCharType="separate"/>
      </w:r>
      <w:r>
        <w:rPr>
          <w:rStyle w:val="244"/>
          <w:rFonts w:hint="eastAsia" w:ascii="Times New Roman" w:hAnsi="Times New Roman"/>
          <w:b/>
          <w:szCs w:val="28"/>
        </w:rPr>
        <w:t>（六）完善技术支撑网络体系</w:t>
      </w:r>
      <w:r>
        <w:rPr>
          <w:szCs w:val="28"/>
        </w:rPr>
        <w:tab/>
      </w:r>
      <w:r>
        <w:rPr>
          <w:szCs w:val="28"/>
        </w:rPr>
        <w:fldChar w:fldCharType="begin"/>
      </w:r>
      <w:r>
        <w:rPr>
          <w:szCs w:val="28"/>
        </w:rPr>
        <w:instrText xml:space="preserve"> PAGEREF _Toc137671434 \h </w:instrText>
      </w:r>
      <w:r>
        <w:rPr>
          <w:szCs w:val="28"/>
        </w:rPr>
        <w:fldChar w:fldCharType="separate"/>
      </w:r>
      <w:r>
        <w:rPr>
          <w:szCs w:val="28"/>
        </w:rPr>
        <w:t>36</w:t>
      </w:r>
      <w:r>
        <w:rPr>
          <w:szCs w:val="28"/>
        </w:rPr>
        <w:fldChar w:fldCharType="end"/>
      </w:r>
      <w:r>
        <w:rPr>
          <w:rStyle w:val="244"/>
          <w:szCs w:val="28"/>
        </w:rPr>
        <w:fldChar w:fldCharType="end"/>
      </w:r>
    </w:p>
    <w:p>
      <w:pPr>
        <w:pStyle w:val="233"/>
        <w:tabs>
          <w:tab w:val="right" w:leader="dot" w:pos="9060"/>
        </w:tabs>
        <w:ind w:left="56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"_Toc137671435"</w:instrText>
      </w:r>
      <w:r>
        <w:rPr>
          <w:rStyle w:val="244"/>
          <w:szCs w:val="28"/>
        </w:rPr>
        <w:instrText xml:space="preserve"> </w:instrText>
      </w:r>
      <w:r>
        <w:rPr>
          <w:rStyle w:val="244"/>
          <w:szCs w:val="28"/>
        </w:rPr>
        <w:fldChar w:fldCharType="separate"/>
      </w:r>
      <w:r>
        <w:rPr>
          <w:rStyle w:val="244"/>
          <w:rFonts w:hint="eastAsia" w:ascii="Times New Roman" w:hAnsi="Times New Roman"/>
          <w:b/>
          <w:szCs w:val="28"/>
        </w:rPr>
        <w:t>（七）地质灾害防治宣教与演练</w:t>
      </w:r>
      <w:r>
        <w:rPr>
          <w:szCs w:val="28"/>
        </w:rPr>
        <w:tab/>
      </w:r>
      <w:r>
        <w:rPr>
          <w:szCs w:val="28"/>
        </w:rPr>
        <w:fldChar w:fldCharType="begin"/>
      </w:r>
      <w:r>
        <w:rPr>
          <w:szCs w:val="28"/>
        </w:rPr>
        <w:instrText xml:space="preserve"> PAGEREF _Toc137671435 \h </w:instrText>
      </w:r>
      <w:r>
        <w:rPr>
          <w:szCs w:val="28"/>
        </w:rPr>
        <w:fldChar w:fldCharType="separate"/>
      </w:r>
      <w:r>
        <w:rPr>
          <w:szCs w:val="28"/>
        </w:rPr>
        <w:t>36</w:t>
      </w:r>
      <w:r>
        <w:rPr>
          <w:szCs w:val="28"/>
        </w:rPr>
        <w:fldChar w:fldCharType="end"/>
      </w:r>
      <w:r>
        <w:rPr>
          <w:rStyle w:val="244"/>
          <w:szCs w:val="28"/>
        </w:rPr>
        <w:fldChar w:fldCharType="end"/>
      </w:r>
    </w:p>
    <w:p>
      <w:pPr>
        <w:pStyle w:val="233"/>
        <w:tabs>
          <w:tab w:val="right" w:leader="dot" w:pos="9060"/>
        </w:tabs>
        <w:ind w:left="56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"_Toc137671436"</w:instrText>
      </w:r>
      <w:r>
        <w:rPr>
          <w:rStyle w:val="244"/>
          <w:szCs w:val="28"/>
        </w:rPr>
        <w:instrText xml:space="preserve"> </w:instrText>
      </w:r>
      <w:r>
        <w:rPr>
          <w:rStyle w:val="244"/>
          <w:szCs w:val="28"/>
        </w:rPr>
        <w:fldChar w:fldCharType="separate"/>
      </w:r>
      <w:r>
        <w:rPr>
          <w:rStyle w:val="244"/>
          <w:rFonts w:hint="eastAsia" w:ascii="Times New Roman" w:hAnsi="Times New Roman"/>
          <w:b/>
          <w:szCs w:val="28"/>
        </w:rPr>
        <w:t>（八）地质灾害防治法制化建设</w:t>
      </w:r>
      <w:r>
        <w:rPr>
          <w:szCs w:val="28"/>
        </w:rPr>
        <w:tab/>
      </w:r>
      <w:r>
        <w:rPr>
          <w:szCs w:val="28"/>
        </w:rPr>
        <w:fldChar w:fldCharType="begin"/>
      </w:r>
      <w:r>
        <w:rPr>
          <w:szCs w:val="28"/>
        </w:rPr>
        <w:instrText xml:space="preserve"> PAGEREF _Toc137671436 \h </w:instrText>
      </w:r>
      <w:r>
        <w:rPr>
          <w:szCs w:val="28"/>
        </w:rPr>
        <w:fldChar w:fldCharType="separate"/>
      </w:r>
      <w:r>
        <w:rPr>
          <w:szCs w:val="28"/>
        </w:rPr>
        <w:t>36</w:t>
      </w:r>
      <w:r>
        <w:rPr>
          <w:szCs w:val="28"/>
        </w:rPr>
        <w:fldChar w:fldCharType="end"/>
      </w:r>
      <w:r>
        <w:rPr>
          <w:rStyle w:val="244"/>
          <w:szCs w:val="28"/>
        </w:rPr>
        <w:fldChar w:fldCharType="end"/>
      </w:r>
    </w:p>
    <w:p>
      <w:pPr>
        <w:pStyle w:val="233"/>
        <w:tabs>
          <w:tab w:val="right" w:leader="dot" w:pos="9060"/>
        </w:tabs>
        <w:ind w:left="56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"_Toc137671437"</w:instrText>
      </w:r>
      <w:r>
        <w:rPr>
          <w:rStyle w:val="244"/>
          <w:szCs w:val="28"/>
        </w:rPr>
        <w:instrText xml:space="preserve"> </w:instrText>
      </w:r>
      <w:r>
        <w:rPr>
          <w:rStyle w:val="244"/>
          <w:szCs w:val="28"/>
        </w:rPr>
        <w:fldChar w:fldCharType="separate"/>
      </w:r>
      <w:r>
        <w:rPr>
          <w:rStyle w:val="244"/>
          <w:rFonts w:hint="eastAsia" w:ascii="Times New Roman" w:hAnsi="Times New Roman"/>
          <w:b/>
          <w:szCs w:val="28"/>
        </w:rPr>
        <w:t>（九）依法依规履行职责</w:t>
      </w:r>
      <w:r>
        <w:rPr>
          <w:szCs w:val="28"/>
        </w:rPr>
        <w:tab/>
      </w:r>
      <w:r>
        <w:rPr>
          <w:szCs w:val="28"/>
        </w:rPr>
        <w:fldChar w:fldCharType="begin"/>
      </w:r>
      <w:r>
        <w:rPr>
          <w:szCs w:val="28"/>
        </w:rPr>
        <w:instrText xml:space="preserve"> PAGEREF _Toc137671437 \h </w:instrText>
      </w:r>
      <w:r>
        <w:rPr>
          <w:szCs w:val="28"/>
        </w:rPr>
        <w:fldChar w:fldCharType="separate"/>
      </w:r>
      <w:r>
        <w:rPr>
          <w:szCs w:val="28"/>
        </w:rPr>
        <w:t>37</w:t>
      </w:r>
      <w:r>
        <w:rPr>
          <w:szCs w:val="28"/>
        </w:rPr>
        <w:fldChar w:fldCharType="end"/>
      </w:r>
      <w:r>
        <w:rPr>
          <w:rStyle w:val="244"/>
          <w:szCs w:val="28"/>
        </w:rPr>
        <w:fldChar w:fldCharType="end"/>
      </w:r>
    </w:p>
    <w:p>
      <w:pPr>
        <w:pStyle w:val="233"/>
        <w:tabs>
          <w:tab w:val="right" w:leader="dot" w:pos="9060"/>
        </w:tabs>
        <w:ind w:left="56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"_Toc137671438"</w:instrText>
      </w:r>
      <w:r>
        <w:rPr>
          <w:rStyle w:val="244"/>
          <w:szCs w:val="28"/>
        </w:rPr>
        <w:instrText xml:space="preserve"> </w:instrText>
      </w:r>
      <w:r>
        <w:rPr>
          <w:rStyle w:val="244"/>
          <w:szCs w:val="28"/>
        </w:rPr>
        <w:fldChar w:fldCharType="separate"/>
      </w:r>
      <w:r>
        <w:rPr>
          <w:rStyle w:val="244"/>
          <w:rFonts w:hint="eastAsia" w:ascii="Times New Roman" w:hAnsi="Times New Roman"/>
          <w:b/>
          <w:szCs w:val="28"/>
        </w:rPr>
        <w:t>（十）防灾减灾机制建设</w:t>
      </w:r>
      <w:r>
        <w:rPr>
          <w:szCs w:val="28"/>
        </w:rPr>
        <w:tab/>
      </w:r>
      <w:r>
        <w:rPr>
          <w:szCs w:val="28"/>
        </w:rPr>
        <w:fldChar w:fldCharType="begin"/>
      </w:r>
      <w:r>
        <w:rPr>
          <w:szCs w:val="28"/>
        </w:rPr>
        <w:instrText xml:space="preserve"> PAGEREF _Toc137671438 \h </w:instrText>
      </w:r>
      <w:r>
        <w:rPr>
          <w:szCs w:val="28"/>
        </w:rPr>
        <w:fldChar w:fldCharType="separate"/>
      </w:r>
      <w:r>
        <w:rPr>
          <w:szCs w:val="28"/>
        </w:rPr>
        <w:t>37</w:t>
      </w:r>
      <w:r>
        <w:rPr>
          <w:szCs w:val="28"/>
        </w:rPr>
        <w:fldChar w:fldCharType="end"/>
      </w:r>
      <w:r>
        <w:rPr>
          <w:rStyle w:val="244"/>
          <w:szCs w:val="28"/>
        </w:rPr>
        <w:fldChar w:fldCharType="end"/>
      </w:r>
    </w:p>
    <w:p>
      <w:pPr>
        <w:pStyle w:val="228"/>
        <w:rPr>
          <w:rFonts w:ascii="Calibri" w:hAnsi="Calibri" w:eastAsia="宋体"/>
          <w:b w:val="0"/>
          <w:sz w:val="28"/>
          <w:szCs w:val="28"/>
          <w:lang w:bidi="ar-SA"/>
        </w:rPr>
      </w:pPr>
      <w:r>
        <w:rPr>
          <w:rStyle w:val="244"/>
          <w:sz w:val="28"/>
          <w:szCs w:val="28"/>
        </w:rPr>
        <w:fldChar w:fldCharType="begin"/>
      </w:r>
      <w:r>
        <w:rPr>
          <w:rStyle w:val="244"/>
          <w:sz w:val="28"/>
          <w:szCs w:val="28"/>
        </w:rPr>
        <w:instrText xml:space="preserve"> </w:instrText>
      </w:r>
      <w:r>
        <w:rPr>
          <w:sz w:val="28"/>
          <w:szCs w:val="28"/>
        </w:rPr>
        <w:instrText xml:space="preserve">HYPERLINK \l "_Toc137671439"</w:instrText>
      </w:r>
      <w:r>
        <w:rPr>
          <w:rStyle w:val="244"/>
          <w:sz w:val="28"/>
          <w:szCs w:val="28"/>
        </w:rPr>
        <w:instrText xml:space="preserve"> </w:instrText>
      </w:r>
      <w:r>
        <w:rPr>
          <w:rStyle w:val="244"/>
          <w:sz w:val="28"/>
          <w:szCs w:val="28"/>
        </w:rPr>
        <w:fldChar w:fldCharType="separate"/>
      </w:r>
      <w:r>
        <w:rPr>
          <w:rStyle w:val="244"/>
          <w:rFonts w:hint="eastAsia"/>
          <w:sz w:val="28"/>
          <w:szCs w:val="28"/>
        </w:rPr>
        <w:t>五、资金筹措</w:t>
      </w:r>
      <w:r>
        <w:rPr>
          <w:sz w:val="28"/>
          <w:szCs w:val="28"/>
        </w:rPr>
        <w:tab/>
      </w:r>
      <w:r>
        <w:rPr>
          <w:sz w:val="28"/>
          <w:szCs w:val="28"/>
        </w:rPr>
        <w:fldChar w:fldCharType="begin"/>
      </w:r>
      <w:r>
        <w:rPr>
          <w:sz w:val="28"/>
          <w:szCs w:val="28"/>
        </w:rPr>
        <w:instrText xml:space="preserve"> PAGEREF _Toc137671439 \h </w:instrText>
      </w:r>
      <w:r>
        <w:rPr>
          <w:sz w:val="28"/>
          <w:szCs w:val="28"/>
        </w:rPr>
        <w:fldChar w:fldCharType="separate"/>
      </w:r>
      <w:r>
        <w:rPr>
          <w:sz w:val="28"/>
          <w:szCs w:val="28"/>
        </w:rPr>
        <w:t>37</w:t>
      </w:r>
      <w:r>
        <w:rPr>
          <w:sz w:val="28"/>
          <w:szCs w:val="28"/>
        </w:rPr>
        <w:fldChar w:fldCharType="end"/>
      </w:r>
      <w:r>
        <w:rPr>
          <w:rStyle w:val="244"/>
          <w:sz w:val="28"/>
          <w:szCs w:val="28"/>
        </w:rPr>
        <w:fldChar w:fldCharType="end"/>
      </w:r>
    </w:p>
    <w:p>
      <w:pPr>
        <w:pStyle w:val="233"/>
        <w:tabs>
          <w:tab w:val="right" w:leader="dot" w:pos="9060"/>
        </w:tabs>
        <w:ind w:left="56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"_Toc137671440"</w:instrText>
      </w:r>
      <w:r>
        <w:rPr>
          <w:rStyle w:val="244"/>
          <w:szCs w:val="28"/>
        </w:rPr>
        <w:instrText xml:space="preserve"> </w:instrText>
      </w:r>
      <w:r>
        <w:rPr>
          <w:rStyle w:val="244"/>
          <w:szCs w:val="28"/>
        </w:rPr>
        <w:fldChar w:fldCharType="separate"/>
      </w:r>
      <w:r>
        <w:rPr>
          <w:rStyle w:val="244"/>
          <w:rFonts w:hint="eastAsia" w:ascii="Times New Roman" w:hAnsi="Times New Roman"/>
          <w:b/>
          <w:szCs w:val="28"/>
        </w:rPr>
        <w:t>（一）地质灾害防治规划资金匡算结果</w:t>
      </w:r>
      <w:r>
        <w:rPr>
          <w:szCs w:val="28"/>
        </w:rPr>
        <w:tab/>
      </w:r>
      <w:r>
        <w:rPr>
          <w:szCs w:val="28"/>
        </w:rPr>
        <w:fldChar w:fldCharType="begin"/>
      </w:r>
      <w:r>
        <w:rPr>
          <w:szCs w:val="28"/>
        </w:rPr>
        <w:instrText xml:space="preserve"> PAGEREF _Toc137671440 \h </w:instrText>
      </w:r>
      <w:r>
        <w:rPr>
          <w:szCs w:val="28"/>
        </w:rPr>
        <w:fldChar w:fldCharType="separate"/>
      </w:r>
      <w:r>
        <w:rPr>
          <w:szCs w:val="28"/>
        </w:rPr>
        <w:t>37</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"_Toc137671441"</w:instrText>
      </w:r>
      <w:r>
        <w:rPr>
          <w:rStyle w:val="244"/>
          <w:szCs w:val="28"/>
        </w:rPr>
        <w:instrText xml:space="preserve"> </w:instrText>
      </w:r>
      <w:r>
        <w:rPr>
          <w:rStyle w:val="244"/>
          <w:szCs w:val="28"/>
        </w:rPr>
        <w:fldChar w:fldCharType="separate"/>
      </w:r>
      <w:r>
        <w:rPr>
          <w:rStyle w:val="244"/>
          <w:rFonts w:ascii="Times New Roman" w:hAnsi="Times New Roman"/>
          <w:b/>
          <w:szCs w:val="28"/>
        </w:rPr>
        <w:t>1</w:t>
      </w:r>
      <w:r>
        <w:rPr>
          <w:rStyle w:val="244"/>
          <w:rFonts w:hint="eastAsia" w:ascii="Times New Roman" w:hAnsi="Times New Roman"/>
          <w:b/>
          <w:szCs w:val="28"/>
        </w:rPr>
        <w:t>、调查评价</w:t>
      </w:r>
      <w:r>
        <w:rPr>
          <w:szCs w:val="28"/>
        </w:rPr>
        <w:tab/>
      </w:r>
      <w:r>
        <w:rPr>
          <w:szCs w:val="28"/>
        </w:rPr>
        <w:fldChar w:fldCharType="begin"/>
      </w:r>
      <w:r>
        <w:rPr>
          <w:szCs w:val="28"/>
        </w:rPr>
        <w:instrText xml:space="preserve"> PAGEREF _Toc137671441 \h </w:instrText>
      </w:r>
      <w:r>
        <w:rPr>
          <w:szCs w:val="28"/>
        </w:rPr>
        <w:fldChar w:fldCharType="separate"/>
      </w:r>
      <w:r>
        <w:rPr>
          <w:szCs w:val="28"/>
        </w:rPr>
        <w:t>37</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"_Toc137671442"</w:instrText>
      </w:r>
      <w:r>
        <w:rPr>
          <w:rStyle w:val="244"/>
          <w:szCs w:val="28"/>
        </w:rPr>
        <w:instrText xml:space="preserve"> </w:instrText>
      </w:r>
      <w:r>
        <w:rPr>
          <w:rStyle w:val="244"/>
          <w:szCs w:val="28"/>
        </w:rPr>
        <w:fldChar w:fldCharType="separate"/>
      </w:r>
      <w:r>
        <w:rPr>
          <w:rStyle w:val="244"/>
          <w:rFonts w:ascii="Times New Roman" w:hAnsi="Times New Roman"/>
          <w:b/>
          <w:szCs w:val="28"/>
        </w:rPr>
        <w:t>2</w:t>
      </w:r>
      <w:r>
        <w:rPr>
          <w:rStyle w:val="244"/>
          <w:rFonts w:hint="eastAsia" w:ascii="Times New Roman" w:hAnsi="Times New Roman"/>
          <w:b/>
          <w:szCs w:val="28"/>
        </w:rPr>
        <w:t>、监测预警</w:t>
      </w:r>
      <w:r>
        <w:rPr>
          <w:szCs w:val="28"/>
        </w:rPr>
        <w:tab/>
      </w:r>
      <w:r>
        <w:rPr>
          <w:szCs w:val="28"/>
        </w:rPr>
        <w:fldChar w:fldCharType="begin"/>
      </w:r>
      <w:r>
        <w:rPr>
          <w:szCs w:val="28"/>
        </w:rPr>
        <w:instrText xml:space="preserve"> PAGEREF _Toc137671442 \h </w:instrText>
      </w:r>
      <w:r>
        <w:rPr>
          <w:szCs w:val="28"/>
        </w:rPr>
        <w:fldChar w:fldCharType="separate"/>
      </w:r>
      <w:r>
        <w:rPr>
          <w:szCs w:val="28"/>
        </w:rPr>
        <w:t>39</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"_Toc137671443"</w:instrText>
      </w:r>
      <w:r>
        <w:rPr>
          <w:rStyle w:val="244"/>
          <w:szCs w:val="28"/>
        </w:rPr>
        <w:instrText xml:space="preserve"> </w:instrText>
      </w:r>
      <w:r>
        <w:rPr>
          <w:rStyle w:val="244"/>
          <w:szCs w:val="28"/>
        </w:rPr>
        <w:fldChar w:fldCharType="separate"/>
      </w:r>
      <w:r>
        <w:rPr>
          <w:rStyle w:val="244"/>
          <w:rFonts w:ascii="Times New Roman" w:hAnsi="Times New Roman"/>
          <w:b/>
          <w:szCs w:val="28"/>
        </w:rPr>
        <w:t>3</w:t>
      </w:r>
      <w:r>
        <w:rPr>
          <w:rStyle w:val="244"/>
          <w:rFonts w:hint="eastAsia" w:ascii="Times New Roman" w:hAnsi="Times New Roman"/>
          <w:b/>
          <w:szCs w:val="28"/>
        </w:rPr>
        <w:t>、工程治理</w:t>
      </w:r>
      <w:r>
        <w:rPr>
          <w:szCs w:val="28"/>
        </w:rPr>
        <w:tab/>
      </w:r>
      <w:r>
        <w:rPr>
          <w:szCs w:val="28"/>
        </w:rPr>
        <w:fldChar w:fldCharType="begin"/>
      </w:r>
      <w:r>
        <w:rPr>
          <w:szCs w:val="28"/>
        </w:rPr>
        <w:instrText xml:space="preserve"> PAGEREF _Toc137671443 \h </w:instrText>
      </w:r>
      <w:r>
        <w:rPr>
          <w:szCs w:val="28"/>
        </w:rPr>
        <w:fldChar w:fldCharType="separate"/>
      </w:r>
      <w:r>
        <w:rPr>
          <w:szCs w:val="28"/>
        </w:rPr>
        <w:t>39</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"_Toc137671444"</w:instrText>
      </w:r>
      <w:r>
        <w:rPr>
          <w:rStyle w:val="244"/>
          <w:szCs w:val="28"/>
        </w:rPr>
        <w:instrText xml:space="preserve"> </w:instrText>
      </w:r>
      <w:r>
        <w:rPr>
          <w:rStyle w:val="244"/>
          <w:szCs w:val="28"/>
        </w:rPr>
        <w:fldChar w:fldCharType="separate"/>
      </w:r>
      <w:r>
        <w:rPr>
          <w:rStyle w:val="244"/>
          <w:rFonts w:ascii="Times New Roman" w:hAnsi="Times New Roman"/>
          <w:b/>
          <w:szCs w:val="28"/>
        </w:rPr>
        <w:t>4</w:t>
      </w:r>
      <w:r>
        <w:rPr>
          <w:rStyle w:val="244"/>
          <w:rFonts w:hint="eastAsia" w:ascii="Times New Roman" w:hAnsi="Times New Roman"/>
          <w:b/>
          <w:szCs w:val="28"/>
        </w:rPr>
        <w:t>、避险搬迁</w:t>
      </w:r>
      <w:r>
        <w:rPr>
          <w:szCs w:val="28"/>
        </w:rPr>
        <w:tab/>
      </w:r>
      <w:r>
        <w:rPr>
          <w:szCs w:val="28"/>
        </w:rPr>
        <w:fldChar w:fldCharType="begin"/>
      </w:r>
      <w:r>
        <w:rPr>
          <w:szCs w:val="28"/>
        </w:rPr>
        <w:instrText xml:space="preserve"> PAGEREF _Toc137671444 \h </w:instrText>
      </w:r>
      <w:r>
        <w:rPr>
          <w:szCs w:val="28"/>
        </w:rPr>
        <w:fldChar w:fldCharType="separate"/>
      </w:r>
      <w:r>
        <w:rPr>
          <w:szCs w:val="28"/>
        </w:rPr>
        <w:t>39</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"_Toc137671445"</w:instrText>
      </w:r>
      <w:r>
        <w:rPr>
          <w:rStyle w:val="244"/>
          <w:szCs w:val="28"/>
        </w:rPr>
        <w:instrText xml:space="preserve"> </w:instrText>
      </w:r>
      <w:r>
        <w:rPr>
          <w:rStyle w:val="244"/>
          <w:szCs w:val="28"/>
        </w:rPr>
        <w:fldChar w:fldCharType="separate"/>
      </w:r>
      <w:r>
        <w:rPr>
          <w:rStyle w:val="244"/>
          <w:rFonts w:ascii="Times New Roman" w:hAnsi="Times New Roman"/>
          <w:b/>
          <w:szCs w:val="28"/>
        </w:rPr>
        <w:t>5</w:t>
      </w:r>
      <w:r>
        <w:rPr>
          <w:rStyle w:val="244"/>
          <w:rFonts w:hint="eastAsia" w:ascii="Times New Roman" w:hAnsi="Times New Roman"/>
          <w:b/>
          <w:szCs w:val="28"/>
        </w:rPr>
        <w:t>、完善技术支撑网络体系</w:t>
      </w:r>
      <w:r>
        <w:rPr>
          <w:szCs w:val="28"/>
        </w:rPr>
        <w:tab/>
      </w:r>
      <w:r>
        <w:rPr>
          <w:szCs w:val="28"/>
        </w:rPr>
        <w:fldChar w:fldCharType="begin"/>
      </w:r>
      <w:r>
        <w:rPr>
          <w:szCs w:val="28"/>
        </w:rPr>
        <w:instrText xml:space="preserve"> PAGEREF _Toc137671445 \h </w:instrText>
      </w:r>
      <w:r>
        <w:rPr>
          <w:szCs w:val="28"/>
        </w:rPr>
        <w:fldChar w:fldCharType="separate"/>
      </w:r>
      <w:r>
        <w:rPr>
          <w:szCs w:val="28"/>
        </w:rPr>
        <w:t>39</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"_Toc137671446"</w:instrText>
      </w:r>
      <w:r>
        <w:rPr>
          <w:rStyle w:val="244"/>
          <w:szCs w:val="28"/>
        </w:rPr>
        <w:instrText xml:space="preserve"> </w:instrText>
      </w:r>
      <w:r>
        <w:rPr>
          <w:rStyle w:val="244"/>
          <w:szCs w:val="28"/>
        </w:rPr>
        <w:fldChar w:fldCharType="separate"/>
      </w:r>
      <w:r>
        <w:rPr>
          <w:rStyle w:val="244"/>
          <w:rFonts w:ascii="Times New Roman" w:hAnsi="Times New Roman"/>
          <w:b/>
          <w:szCs w:val="28"/>
        </w:rPr>
        <w:t>6</w:t>
      </w:r>
      <w:r>
        <w:rPr>
          <w:rStyle w:val="244"/>
          <w:rFonts w:hint="eastAsia" w:ascii="Times New Roman" w:hAnsi="Times New Roman"/>
          <w:b/>
          <w:szCs w:val="28"/>
        </w:rPr>
        <w:t>、地质灾害防治宣教与演练</w:t>
      </w:r>
      <w:r>
        <w:rPr>
          <w:szCs w:val="28"/>
        </w:rPr>
        <w:tab/>
      </w:r>
      <w:r>
        <w:rPr>
          <w:szCs w:val="28"/>
        </w:rPr>
        <w:fldChar w:fldCharType="begin"/>
      </w:r>
      <w:r>
        <w:rPr>
          <w:szCs w:val="28"/>
        </w:rPr>
        <w:instrText xml:space="preserve"> PAGEREF _Toc137671446 \h </w:instrText>
      </w:r>
      <w:r>
        <w:rPr>
          <w:szCs w:val="28"/>
        </w:rPr>
        <w:fldChar w:fldCharType="separate"/>
      </w:r>
      <w:r>
        <w:rPr>
          <w:szCs w:val="28"/>
        </w:rPr>
        <w:t>39</w:t>
      </w:r>
      <w:r>
        <w:rPr>
          <w:szCs w:val="28"/>
        </w:rPr>
        <w:fldChar w:fldCharType="end"/>
      </w:r>
      <w:r>
        <w:rPr>
          <w:rStyle w:val="244"/>
          <w:szCs w:val="28"/>
        </w:rPr>
        <w:fldChar w:fldCharType="end"/>
      </w:r>
    </w:p>
    <w:p>
      <w:pPr>
        <w:pStyle w:val="233"/>
        <w:tabs>
          <w:tab w:val="right" w:leader="dot" w:pos="9060"/>
        </w:tabs>
        <w:ind w:left="56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"_Toc137671447"</w:instrText>
      </w:r>
      <w:r>
        <w:rPr>
          <w:rStyle w:val="244"/>
          <w:szCs w:val="28"/>
        </w:rPr>
        <w:instrText xml:space="preserve"> </w:instrText>
      </w:r>
      <w:r>
        <w:rPr>
          <w:rStyle w:val="244"/>
          <w:szCs w:val="28"/>
        </w:rPr>
        <w:fldChar w:fldCharType="separate"/>
      </w:r>
      <w:r>
        <w:rPr>
          <w:rStyle w:val="244"/>
          <w:rFonts w:hint="eastAsia" w:ascii="Times New Roman" w:hAnsi="Times New Roman"/>
          <w:b/>
          <w:szCs w:val="28"/>
        </w:rPr>
        <w:t>（二）资金来源</w:t>
      </w:r>
      <w:r>
        <w:rPr>
          <w:szCs w:val="28"/>
        </w:rPr>
        <w:tab/>
      </w:r>
      <w:r>
        <w:rPr>
          <w:szCs w:val="28"/>
        </w:rPr>
        <w:fldChar w:fldCharType="begin"/>
      </w:r>
      <w:r>
        <w:rPr>
          <w:szCs w:val="28"/>
        </w:rPr>
        <w:instrText xml:space="preserve"> PAGEREF _Toc137671447 \h </w:instrText>
      </w:r>
      <w:r>
        <w:rPr>
          <w:szCs w:val="28"/>
        </w:rPr>
        <w:fldChar w:fldCharType="separate"/>
      </w:r>
      <w:r>
        <w:rPr>
          <w:szCs w:val="28"/>
        </w:rPr>
        <w:t>39</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"_Toc137671448"</w:instrText>
      </w:r>
      <w:r>
        <w:rPr>
          <w:rStyle w:val="244"/>
          <w:szCs w:val="28"/>
        </w:rPr>
        <w:instrText xml:space="preserve"> </w:instrText>
      </w:r>
      <w:r>
        <w:rPr>
          <w:rStyle w:val="244"/>
          <w:szCs w:val="28"/>
        </w:rPr>
        <w:fldChar w:fldCharType="separate"/>
      </w:r>
      <w:r>
        <w:rPr>
          <w:rStyle w:val="244"/>
          <w:rFonts w:ascii="Times New Roman" w:hAnsi="Times New Roman"/>
          <w:b/>
          <w:szCs w:val="28"/>
        </w:rPr>
        <w:t>1</w:t>
      </w:r>
      <w:r>
        <w:rPr>
          <w:rStyle w:val="244"/>
          <w:rFonts w:hint="eastAsia" w:ascii="Times New Roman" w:hAnsi="Times New Roman"/>
          <w:b/>
          <w:szCs w:val="28"/>
        </w:rPr>
        <w:t>、财政事权与支出责任</w:t>
      </w:r>
      <w:r>
        <w:rPr>
          <w:szCs w:val="28"/>
        </w:rPr>
        <w:tab/>
      </w:r>
      <w:r>
        <w:rPr>
          <w:szCs w:val="28"/>
        </w:rPr>
        <w:fldChar w:fldCharType="begin"/>
      </w:r>
      <w:r>
        <w:rPr>
          <w:szCs w:val="28"/>
        </w:rPr>
        <w:instrText xml:space="preserve"> PAGEREF _Toc137671448 \h </w:instrText>
      </w:r>
      <w:r>
        <w:rPr>
          <w:szCs w:val="28"/>
        </w:rPr>
        <w:fldChar w:fldCharType="separate"/>
      </w:r>
      <w:r>
        <w:rPr>
          <w:szCs w:val="28"/>
        </w:rPr>
        <w:t>40</w:t>
      </w:r>
      <w:r>
        <w:rPr>
          <w:szCs w:val="28"/>
        </w:rPr>
        <w:fldChar w:fldCharType="end"/>
      </w:r>
      <w:r>
        <w:rPr>
          <w:rStyle w:val="244"/>
          <w:szCs w:val="28"/>
        </w:rPr>
        <w:fldChar w:fldCharType="end"/>
      </w:r>
    </w:p>
    <w:p>
      <w:pPr>
        <w:pStyle w:val="214"/>
        <w:tabs>
          <w:tab w:val="right" w:leader="dot" w:pos="9060"/>
        </w:tabs>
        <w:ind w:left="112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"_Toc137671449"</w:instrText>
      </w:r>
      <w:r>
        <w:rPr>
          <w:rStyle w:val="244"/>
          <w:szCs w:val="28"/>
        </w:rPr>
        <w:instrText xml:space="preserve"> </w:instrText>
      </w:r>
      <w:r>
        <w:rPr>
          <w:rStyle w:val="244"/>
          <w:szCs w:val="28"/>
        </w:rPr>
        <w:fldChar w:fldCharType="separate"/>
      </w:r>
      <w:r>
        <w:rPr>
          <w:rStyle w:val="244"/>
          <w:rFonts w:ascii="Times New Roman" w:hAnsi="Times New Roman"/>
          <w:b/>
          <w:szCs w:val="28"/>
        </w:rPr>
        <w:t>2.</w:t>
      </w:r>
      <w:r>
        <w:rPr>
          <w:rStyle w:val="244"/>
          <w:rFonts w:hint="eastAsia" w:ascii="Times New Roman" w:hAnsi="Times New Roman"/>
          <w:b/>
          <w:szCs w:val="28"/>
        </w:rPr>
        <w:t>、资金构成及使用</w:t>
      </w:r>
      <w:r>
        <w:rPr>
          <w:szCs w:val="28"/>
        </w:rPr>
        <w:tab/>
      </w:r>
      <w:r>
        <w:rPr>
          <w:szCs w:val="28"/>
        </w:rPr>
        <w:fldChar w:fldCharType="begin"/>
      </w:r>
      <w:r>
        <w:rPr>
          <w:szCs w:val="28"/>
        </w:rPr>
        <w:instrText xml:space="preserve"> PAGEREF _Toc137671449 \h </w:instrText>
      </w:r>
      <w:r>
        <w:rPr>
          <w:szCs w:val="28"/>
        </w:rPr>
        <w:fldChar w:fldCharType="separate"/>
      </w:r>
      <w:r>
        <w:rPr>
          <w:szCs w:val="28"/>
        </w:rPr>
        <w:t>42</w:t>
      </w:r>
      <w:r>
        <w:rPr>
          <w:szCs w:val="28"/>
        </w:rPr>
        <w:fldChar w:fldCharType="end"/>
      </w:r>
      <w:r>
        <w:rPr>
          <w:rStyle w:val="244"/>
          <w:szCs w:val="28"/>
        </w:rPr>
        <w:fldChar w:fldCharType="end"/>
      </w:r>
    </w:p>
    <w:p>
      <w:pPr>
        <w:pStyle w:val="228"/>
        <w:rPr>
          <w:rFonts w:ascii="Calibri" w:hAnsi="Calibri" w:eastAsia="宋体"/>
          <w:b w:val="0"/>
          <w:sz w:val="28"/>
          <w:szCs w:val="28"/>
          <w:lang w:bidi="ar-SA"/>
        </w:rPr>
      </w:pPr>
      <w:r>
        <w:rPr>
          <w:rStyle w:val="244"/>
          <w:sz w:val="28"/>
          <w:szCs w:val="28"/>
        </w:rPr>
        <w:fldChar w:fldCharType="begin"/>
      </w:r>
      <w:r>
        <w:rPr>
          <w:rStyle w:val="244"/>
          <w:sz w:val="28"/>
          <w:szCs w:val="28"/>
        </w:rPr>
        <w:instrText xml:space="preserve"> </w:instrText>
      </w:r>
      <w:r>
        <w:rPr>
          <w:sz w:val="28"/>
          <w:szCs w:val="28"/>
        </w:rPr>
        <w:instrText xml:space="preserve">HYPERLINK \l "_Toc137671450"</w:instrText>
      </w:r>
      <w:r>
        <w:rPr>
          <w:rStyle w:val="244"/>
          <w:sz w:val="28"/>
          <w:szCs w:val="28"/>
        </w:rPr>
        <w:instrText xml:space="preserve"> </w:instrText>
      </w:r>
      <w:r>
        <w:rPr>
          <w:rStyle w:val="244"/>
          <w:sz w:val="28"/>
          <w:szCs w:val="28"/>
        </w:rPr>
        <w:fldChar w:fldCharType="separate"/>
      </w:r>
      <w:r>
        <w:rPr>
          <w:rStyle w:val="244"/>
          <w:rFonts w:hint="eastAsia"/>
          <w:sz w:val="28"/>
          <w:szCs w:val="28"/>
        </w:rPr>
        <w:t>六、防治效益</w:t>
      </w:r>
      <w:r>
        <w:rPr>
          <w:sz w:val="28"/>
          <w:szCs w:val="28"/>
        </w:rPr>
        <w:tab/>
      </w:r>
      <w:r>
        <w:rPr>
          <w:sz w:val="28"/>
          <w:szCs w:val="28"/>
        </w:rPr>
        <w:fldChar w:fldCharType="begin"/>
      </w:r>
      <w:r>
        <w:rPr>
          <w:sz w:val="28"/>
          <w:szCs w:val="28"/>
        </w:rPr>
        <w:instrText xml:space="preserve"> PAGEREF _Toc137671450 \h </w:instrText>
      </w:r>
      <w:r>
        <w:rPr>
          <w:sz w:val="28"/>
          <w:szCs w:val="28"/>
        </w:rPr>
        <w:fldChar w:fldCharType="separate"/>
      </w:r>
      <w:r>
        <w:rPr>
          <w:sz w:val="28"/>
          <w:szCs w:val="28"/>
        </w:rPr>
        <w:t>43</w:t>
      </w:r>
      <w:r>
        <w:rPr>
          <w:sz w:val="28"/>
          <w:szCs w:val="28"/>
        </w:rPr>
        <w:fldChar w:fldCharType="end"/>
      </w:r>
      <w:r>
        <w:rPr>
          <w:rStyle w:val="244"/>
          <w:sz w:val="28"/>
          <w:szCs w:val="28"/>
        </w:rPr>
        <w:fldChar w:fldCharType="end"/>
      </w:r>
    </w:p>
    <w:p>
      <w:pPr>
        <w:pStyle w:val="233"/>
        <w:tabs>
          <w:tab w:val="right" w:leader="dot" w:pos="9060"/>
        </w:tabs>
        <w:ind w:left="56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"_Toc137671451"</w:instrText>
      </w:r>
      <w:r>
        <w:rPr>
          <w:rStyle w:val="244"/>
          <w:szCs w:val="28"/>
        </w:rPr>
        <w:instrText xml:space="preserve"> </w:instrText>
      </w:r>
      <w:r>
        <w:rPr>
          <w:rStyle w:val="244"/>
          <w:szCs w:val="28"/>
        </w:rPr>
        <w:fldChar w:fldCharType="separate"/>
      </w:r>
      <w:r>
        <w:rPr>
          <w:rStyle w:val="244"/>
          <w:rFonts w:hint="eastAsia" w:ascii="Times New Roman" w:hAnsi="Times New Roman"/>
          <w:b/>
          <w:szCs w:val="28"/>
        </w:rPr>
        <w:t>（一）社会效益</w:t>
      </w:r>
      <w:r>
        <w:rPr>
          <w:szCs w:val="28"/>
        </w:rPr>
        <w:tab/>
      </w:r>
      <w:r>
        <w:rPr>
          <w:szCs w:val="28"/>
        </w:rPr>
        <w:fldChar w:fldCharType="begin"/>
      </w:r>
      <w:r>
        <w:rPr>
          <w:szCs w:val="28"/>
        </w:rPr>
        <w:instrText xml:space="preserve"> PAGEREF _Toc137671451 \h </w:instrText>
      </w:r>
      <w:r>
        <w:rPr>
          <w:szCs w:val="28"/>
        </w:rPr>
        <w:fldChar w:fldCharType="separate"/>
      </w:r>
      <w:r>
        <w:rPr>
          <w:szCs w:val="28"/>
        </w:rPr>
        <w:t>43</w:t>
      </w:r>
      <w:r>
        <w:rPr>
          <w:szCs w:val="28"/>
        </w:rPr>
        <w:fldChar w:fldCharType="end"/>
      </w:r>
      <w:r>
        <w:rPr>
          <w:rStyle w:val="244"/>
          <w:szCs w:val="28"/>
        </w:rPr>
        <w:fldChar w:fldCharType="end"/>
      </w:r>
    </w:p>
    <w:p>
      <w:pPr>
        <w:pStyle w:val="233"/>
        <w:tabs>
          <w:tab w:val="right" w:leader="dot" w:pos="9060"/>
        </w:tabs>
        <w:ind w:left="56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"_Toc137671452"</w:instrText>
      </w:r>
      <w:r>
        <w:rPr>
          <w:rStyle w:val="244"/>
          <w:szCs w:val="28"/>
        </w:rPr>
        <w:instrText xml:space="preserve"> </w:instrText>
      </w:r>
      <w:r>
        <w:rPr>
          <w:rStyle w:val="244"/>
          <w:szCs w:val="28"/>
        </w:rPr>
        <w:fldChar w:fldCharType="separate"/>
      </w:r>
      <w:r>
        <w:rPr>
          <w:rStyle w:val="244"/>
          <w:rFonts w:hint="eastAsia" w:ascii="Times New Roman" w:hAnsi="Times New Roman"/>
          <w:b/>
          <w:szCs w:val="28"/>
        </w:rPr>
        <w:t>（二）经济效益</w:t>
      </w:r>
      <w:r>
        <w:rPr>
          <w:szCs w:val="28"/>
        </w:rPr>
        <w:tab/>
      </w:r>
      <w:r>
        <w:rPr>
          <w:szCs w:val="28"/>
        </w:rPr>
        <w:fldChar w:fldCharType="begin"/>
      </w:r>
      <w:r>
        <w:rPr>
          <w:szCs w:val="28"/>
        </w:rPr>
        <w:instrText xml:space="preserve"> PAGEREF _Toc137671452 \h </w:instrText>
      </w:r>
      <w:r>
        <w:rPr>
          <w:szCs w:val="28"/>
        </w:rPr>
        <w:fldChar w:fldCharType="separate"/>
      </w:r>
      <w:r>
        <w:rPr>
          <w:szCs w:val="28"/>
        </w:rPr>
        <w:t>43</w:t>
      </w:r>
      <w:r>
        <w:rPr>
          <w:szCs w:val="28"/>
        </w:rPr>
        <w:fldChar w:fldCharType="end"/>
      </w:r>
      <w:r>
        <w:rPr>
          <w:rStyle w:val="244"/>
          <w:szCs w:val="28"/>
        </w:rPr>
        <w:fldChar w:fldCharType="end"/>
      </w:r>
    </w:p>
    <w:p>
      <w:pPr>
        <w:pStyle w:val="233"/>
        <w:tabs>
          <w:tab w:val="right" w:leader="dot" w:pos="9060"/>
        </w:tabs>
        <w:ind w:left="56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"_Toc137671453"</w:instrText>
      </w:r>
      <w:r>
        <w:rPr>
          <w:rStyle w:val="244"/>
          <w:szCs w:val="28"/>
        </w:rPr>
        <w:instrText xml:space="preserve"> </w:instrText>
      </w:r>
      <w:r>
        <w:rPr>
          <w:rStyle w:val="244"/>
          <w:szCs w:val="28"/>
        </w:rPr>
        <w:fldChar w:fldCharType="separate"/>
      </w:r>
      <w:r>
        <w:rPr>
          <w:rStyle w:val="244"/>
          <w:rFonts w:hint="eastAsia" w:ascii="Times New Roman" w:hAnsi="Times New Roman"/>
          <w:b/>
          <w:szCs w:val="28"/>
        </w:rPr>
        <w:t>（三）生态环境效益</w:t>
      </w:r>
      <w:r>
        <w:rPr>
          <w:szCs w:val="28"/>
        </w:rPr>
        <w:tab/>
      </w:r>
      <w:r>
        <w:rPr>
          <w:szCs w:val="28"/>
        </w:rPr>
        <w:fldChar w:fldCharType="begin"/>
      </w:r>
      <w:r>
        <w:rPr>
          <w:szCs w:val="28"/>
        </w:rPr>
        <w:instrText xml:space="preserve"> PAGEREF _Toc137671453 \h </w:instrText>
      </w:r>
      <w:r>
        <w:rPr>
          <w:szCs w:val="28"/>
        </w:rPr>
        <w:fldChar w:fldCharType="separate"/>
      </w:r>
      <w:r>
        <w:rPr>
          <w:szCs w:val="28"/>
        </w:rPr>
        <w:t>43</w:t>
      </w:r>
      <w:r>
        <w:rPr>
          <w:szCs w:val="28"/>
        </w:rPr>
        <w:fldChar w:fldCharType="end"/>
      </w:r>
      <w:r>
        <w:rPr>
          <w:rStyle w:val="244"/>
          <w:szCs w:val="28"/>
        </w:rPr>
        <w:fldChar w:fldCharType="end"/>
      </w:r>
    </w:p>
    <w:p>
      <w:pPr>
        <w:pStyle w:val="228"/>
        <w:rPr>
          <w:rFonts w:ascii="Calibri" w:hAnsi="Calibri" w:eastAsia="宋体"/>
          <w:b w:val="0"/>
          <w:sz w:val="28"/>
          <w:szCs w:val="28"/>
          <w:lang w:bidi="ar-SA"/>
        </w:rPr>
      </w:pPr>
      <w:r>
        <w:rPr>
          <w:rStyle w:val="244"/>
          <w:sz w:val="28"/>
          <w:szCs w:val="28"/>
        </w:rPr>
        <w:fldChar w:fldCharType="begin"/>
      </w:r>
      <w:r>
        <w:rPr>
          <w:rStyle w:val="244"/>
          <w:sz w:val="28"/>
          <w:szCs w:val="28"/>
        </w:rPr>
        <w:instrText xml:space="preserve"> </w:instrText>
      </w:r>
      <w:r>
        <w:rPr>
          <w:sz w:val="28"/>
          <w:szCs w:val="28"/>
        </w:rPr>
        <w:instrText xml:space="preserve">HYPERLINK \l "_Toc137671454"</w:instrText>
      </w:r>
      <w:r>
        <w:rPr>
          <w:rStyle w:val="244"/>
          <w:sz w:val="28"/>
          <w:szCs w:val="28"/>
        </w:rPr>
        <w:instrText xml:space="preserve"> </w:instrText>
      </w:r>
      <w:r>
        <w:rPr>
          <w:rStyle w:val="244"/>
          <w:sz w:val="28"/>
          <w:szCs w:val="28"/>
        </w:rPr>
        <w:fldChar w:fldCharType="separate"/>
      </w:r>
      <w:r>
        <w:rPr>
          <w:rStyle w:val="244"/>
          <w:rFonts w:hint="eastAsia"/>
          <w:sz w:val="28"/>
          <w:szCs w:val="28"/>
        </w:rPr>
        <w:t>七、保障措施</w:t>
      </w:r>
      <w:r>
        <w:rPr>
          <w:sz w:val="28"/>
          <w:szCs w:val="28"/>
        </w:rPr>
        <w:tab/>
      </w:r>
      <w:r>
        <w:rPr>
          <w:sz w:val="28"/>
          <w:szCs w:val="28"/>
        </w:rPr>
        <w:fldChar w:fldCharType="begin"/>
      </w:r>
      <w:r>
        <w:rPr>
          <w:sz w:val="28"/>
          <w:szCs w:val="28"/>
        </w:rPr>
        <w:instrText xml:space="preserve"> PAGEREF _Toc137671454 \h </w:instrText>
      </w:r>
      <w:r>
        <w:rPr>
          <w:sz w:val="28"/>
          <w:szCs w:val="28"/>
        </w:rPr>
        <w:fldChar w:fldCharType="separate"/>
      </w:r>
      <w:r>
        <w:rPr>
          <w:sz w:val="28"/>
          <w:szCs w:val="28"/>
        </w:rPr>
        <w:t>44</w:t>
      </w:r>
      <w:r>
        <w:rPr>
          <w:sz w:val="28"/>
          <w:szCs w:val="28"/>
        </w:rPr>
        <w:fldChar w:fldCharType="end"/>
      </w:r>
      <w:r>
        <w:rPr>
          <w:rStyle w:val="244"/>
          <w:sz w:val="28"/>
          <w:szCs w:val="28"/>
        </w:rPr>
        <w:fldChar w:fldCharType="end"/>
      </w:r>
    </w:p>
    <w:p>
      <w:pPr>
        <w:pStyle w:val="233"/>
        <w:tabs>
          <w:tab w:val="right" w:leader="dot" w:pos="9060"/>
        </w:tabs>
        <w:ind w:left="56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"_Toc137671455"</w:instrText>
      </w:r>
      <w:r>
        <w:rPr>
          <w:rStyle w:val="244"/>
          <w:szCs w:val="28"/>
        </w:rPr>
        <w:instrText xml:space="preserve"> </w:instrText>
      </w:r>
      <w:r>
        <w:rPr>
          <w:rStyle w:val="244"/>
          <w:szCs w:val="28"/>
        </w:rPr>
        <w:fldChar w:fldCharType="separate"/>
      </w:r>
      <w:r>
        <w:rPr>
          <w:rStyle w:val="244"/>
          <w:rFonts w:hint="eastAsia" w:ascii="Times New Roman" w:hAnsi="Times New Roman"/>
          <w:b/>
          <w:szCs w:val="28"/>
        </w:rPr>
        <w:t>（一）完善法规体系</w:t>
      </w:r>
      <w:r>
        <w:rPr>
          <w:szCs w:val="28"/>
        </w:rPr>
        <w:tab/>
      </w:r>
      <w:r>
        <w:rPr>
          <w:szCs w:val="28"/>
        </w:rPr>
        <w:fldChar w:fldCharType="begin"/>
      </w:r>
      <w:r>
        <w:rPr>
          <w:szCs w:val="28"/>
        </w:rPr>
        <w:instrText xml:space="preserve"> PAGEREF _Toc137671455 \h </w:instrText>
      </w:r>
      <w:r>
        <w:rPr>
          <w:szCs w:val="28"/>
        </w:rPr>
        <w:fldChar w:fldCharType="separate"/>
      </w:r>
      <w:r>
        <w:rPr>
          <w:szCs w:val="28"/>
        </w:rPr>
        <w:t>44</w:t>
      </w:r>
      <w:r>
        <w:rPr>
          <w:szCs w:val="28"/>
        </w:rPr>
        <w:fldChar w:fldCharType="end"/>
      </w:r>
      <w:r>
        <w:rPr>
          <w:rStyle w:val="244"/>
          <w:szCs w:val="28"/>
        </w:rPr>
        <w:fldChar w:fldCharType="end"/>
      </w:r>
    </w:p>
    <w:p>
      <w:pPr>
        <w:pStyle w:val="233"/>
        <w:tabs>
          <w:tab w:val="right" w:leader="dot" w:pos="9060"/>
        </w:tabs>
        <w:ind w:left="56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"_Toc137671456"</w:instrText>
      </w:r>
      <w:r>
        <w:rPr>
          <w:rStyle w:val="244"/>
          <w:szCs w:val="28"/>
        </w:rPr>
        <w:instrText xml:space="preserve"> </w:instrText>
      </w:r>
      <w:r>
        <w:rPr>
          <w:rStyle w:val="244"/>
          <w:szCs w:val="28"/>
        </w:rPr>
        <w:fldChar w:fldCharType="separate"/>
      </w:r>
      <w:r>
        <w:rPr>
          <w:rStyle w:val="244"/>
          <w:rFonts w:hint="eastAsia" w:ascii="Times New Roman" w:hAnsi="Times New Roman"/>
          <w:b/>
          <w:szCs w:val="28"/>
        </w:rPr>
        <w:t>（二）统一领导、加强协调</w:t>
      </w:r>
      <w:r>
        <w:rPr>
          <w:szCs w:val="28"/>
        </w:rPr>
        <w:tab/>
      </w:r>
      <w:r>
        <w:rPr>
          <w:szCs w:val="28"/>
        </w:rPr>
        <w:fldChar w:fldCharType="begin"/>
      </w:r>
      <w:r>
        <w:rPr>
          <w:szCs w:val="28"/>
        </w:rPr>
        <w:instrText xml:space="preserve"> PAGEREF _Toc137671456 \h </w:instrText>
      </w:r>
      <w:r>
        <w:rPr>
          <w:szCs w:val="28"/>
        </w:rPr>
        <w:fldChar w:fldCharType="separate"/>
      </w:r>
      <w:r>
        <w:rPr>
          <w:szCs w:val="28"/>
        </w:rPr>
        <w:t>44</w:t>
      </w:r>
      <w:r>
        <w:rPr>
          <w:szCs w:val="28"/>
        </w:rPr>
        <w:fldChar w:fldCharType="end"/>
      </w:r>
      <w:r>
        <w:rPr>
          <w:rStyle w:val="244"/>
          <w:szCs w:val="28"/>
        </w:rPr>
        <w:fldChar w:fldCharType="end"/>
      </w:r>
    </w:p>
    <w:p>
      <w:pPr>
        <w:pStyle w:val="233"/>
        <w:tabs>
          <w:tab w:val="right" w:leader="dot" w:pos="9060"/>
        </w:tabs>
        <w:ind w:left="56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"_Toc137671457"</w:instrText>
      </w:r>
      <w:r>
        <w:rPr>
          <w:rStyle w:val="244"/>
          <w:szCs w:val="28"/>
        </w:rPr>
        <w:instrText xml:space="preserve"> </w:instrText>
      </w:r>
      <w:r>
        <w:rPr>
          <w:rStyle w:val="244"/>
          <w:szCs w:val="28"/>
        </w:rPr>
        <w:fldChar w:fldCharType="separate"/>
      </w:r>
      <w:r>
        <w:rPr>
          <w:rStyle w:val="244"/>
          <w:rFonts w:hint="eastAsia" w:ascii="Times New Roman" w:hAnsi="Times New Roman"/>
          <w:b/>
          <w:szCs w:val="28"/>
        </w:rPr>
        <w:t>（三）整合资源、部门联动</w:t>
      </w:r>
      <w:r>
        <w:rPr>
          <w:szCs w:val="28"/>
        </w:rPr>
        <w:tab/>
      </w:r>
      <w:r>
        <w:rPr>
          <w:szCs w:val="28"/>
        </w:rPr>
        <w:fldChar w:fldCharType="begin"/>
      </w:r>
      <w:r>
        <w:rPr>
          <w:szCs w:val="28"/>
        </w:rPr>
        <w:instrText xml:space="preserve"> PAGEREF _Toc137671457 \h </w:instrText>
      </w:r>
      <w:r>
        <w:rPr>
          <w:szCs w:val="28"/>
        </w:rPr>
        <w:fldChar w:fldCharType="separate"/>
      </w:r>
      <w:r>
        <w:rPr>
          <w:szCs w:val="28"/>
        </w:rPr>
        <w:t>45</w:t>
      </w:r>
      <w:r>
        <w:rPr>
          <w:szCs w:val="28"/>
        </w:rPr>
        <w:fldChar w:fldCharType="end"/>
      </w:r>
      <w:r>
        <w:rPr>
          <w:rStyle w:val="244"/>
          <w:szCs w:val="28"/>
        </w:rPr>
        <w:fldChar w:fldCharType="end"/>
      </w:r>
    </w:p>
    <w:p>
      <w:pPr>
        <w:pStyle w:val="233"/>
        <w:tabs>
          <w:tab w:val="right" w:leader="dot" w:pos="9060"/>
        </w:tabs>
        <w:ind w:left="56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"_Toc137671458"</w:instrText>
      </w:r>
      <w:r>
        <w:rPr>
          <w:rStyle w:val="244"/>
          <w:szCs w:val="28"/>
        </w:rPr>
        <w:instrText xml:space="preserve"> </w:instrText>
      </w:r>
      <w:r>
        <w:rPr>
          <w:rStyle w:val="244"/>
          <w:szCs w:val="28"/>
        </w:rPr>
        <w:fldChar w:fldCharType="separate"/>
      </w:r>
      <w:r>
        <w:rPr>
          <w:rStyle w:val="244"/>
          <w:rFonts w:hint="eastAsia" w:ascii="Times New Roman" w:hAnsi="Times New Roman"/>
          <w:b/>
          <w:szCs w:val="28"/>
        </w:rPr>
        <w:t>（四）保证投入、追踪问效</w:t>
      </w:r>
      <w:r>
        <w:rPr>
          <w:szCs w:val="28"/>
        </w:rPr>
        <w:tab/>
      </w:r>
      <w:r>
        <w:rPr>
          <w:szCs w:val="28"/>
        </w:rPr>
        <w:fldChar w:fldCharType="begin"/>
      </w:r>
      <w:r>
        <w:rPr>
          <w:szCs w:val="28"/>
        </w:rPr>
        <w:instrText xml:space="preserve"> PAGEREF _Toc137671458 \h </w:instrText>
      </w:r>
      <w:r>
        <w:rPr>
          <w:szCs w:val="28"/>
        </w:rPr>
        <w:fldChar w:fldCharType="separate"/>
      </w:r>
      <w:r>
        <w:rPr>
          <w:szCs w:val="28"/>
        </w:rPr>
        <w:t>45</w:t>
      </w:r>
      <w:r>
        <w:rPr>
          <w:szCs w:val="28"/>
        </w:rPr>
        <w:fldChar w:fldCharType="end"/>
      </w:r>
      <w:r>
        <w:rPr>
          <w:rStyle w:val="244"/>
          <w:szCs w:val="28"/>
        </w:rPr>
        <w:fldChar w:fldCharType="end"/>
      </w:r>
    </w:p>
    <w:p>
      <w:pPr>
        <w:pStyle w:val="233"/>
        <w:tabs>
          <w:tab w:val="right" w:leader="dot" w:pos="9060"/>
        </w:tabs>
        <w:ind w:left="56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"_Toc137671459"</w:instrText>
      </w:r>
      <w:r>
        <w:rPr>
          <w:rStyle w:val="244"/>
          <w:szCs w:val="28"/>
        </w:rPr>
        <w:instrText xml:space="preserve"> </w:instrText>
      </w:r>
      <w:r>
        <w:rPr>
          <w:rStyle w:val="244"/>
          <w:szCs w:val="28"/>
        </w:rPr>
        <w:fldChar w:fldCharType="separate"/>
      </w:r>
      <w:r>
        <w:rPr>
          <w:rStyle w:val="244"/>
          <w:rFonts w:hint="eastAsia" w:ascii="Times New Roman" w:hAnsi="Times New Roman"/>
          <w:b/>
          <w:szCs w:val="28"/>
        </w:rPr>
        <w:t>（五）加强技术保障</w:t>
      </w:r>
      <w:r>
        <w:rPr>
          <w:szCs w:val="28"/>
        </w:rPr>
        <w:tab/>
      </w:r>
      <w:r>
        <w:rPr>
          <w:szCs w:val="28"/>
        </w:rPr>
        <w:fldChar w:fldCharType="begin"/>
      </w:r>
      <w:r>
        <w:rPr>
          <w:szCs w:val="28"/>
        </w:rPr>
        <w:instrText xml:space="preserve"> PAGEREF _Toc137671459 \h </w:instrText>
      </w:r>
      <w:r>
        <w:rPr>
          <w:szCs w:val="28"/>
        </w:rPr>
        <w:fldChar w:fldCharType="separate"/>
      </w:r>
      <w:r>
        <w:rPr>
          <w:szCs w:val="28"/>
        </w:rPr>
        <w:t>45</w:t>
      </w:r>
      <w:r>
        <w:rPr>
          <w:szCs w:val="28"/>
        </w:rPr>
        <w:fldChar w:fldCharType="end"/>
      </w:r>
      <w:r>
        <w:rPr>
          <w:rStyle w:val="244"/>
          <w:szCs w:val="28"/>
        </w:rPr>
        <w:fldChar w:fldCharType="end"/>
      </w:r>
    </w:p>
    <w:p>
      <w:pPr>
        <w:pStyle w:val="233"/>
        <w:tabs>
          <w:tab w:val="right" w:leader="dot" w:pos="9060"/>
        </w:tabs>
        <w:ind w:left="560"/>
        <w:rPr>
          <w:szCs w:val="28"/>
          <w:lang w:eastAsia="zh-CN" w:bidi="ar-SA"/>
        </w:rPr>
      </w:pPr>
      <w:r>
        <w:rPr>
          <w:rStyle w:val="244"/>
          <w:szCs w:val="28"/>
        </w:rPr>
        <w:fldChar w:fldCharType="begin"/>
      </w:r>
      <w:r>
        <w:rPr>
          <w:rStyle w:val="244"/>
          <w:szCs w:val="28"/>
        </w:rPr>
        <w:instrText xml:space="preserve"> </w:instrText>
      </w:r>
      <w:r>
        <w:rPr>
          <w:szCs w:val="28"/>
        </w:rPr>
        <w:instrText xml:space="preserve">HYPERLINK \l "_Toc137671460"</w:instrText>
      </w:r>
      <w:r>
        <w:rPr>
          <w:rStyle w:val="244"/>
          <w:szCs w:val="28"/>
        </w:rPr>
        <w:instrText xml:space="preserve"> </w:instrText>
      </w:r>
      <w:r>
        <w:rPr>
          <w:rStyle w:val="244"/>
          <w:szCs w:val="28"/>
        </w:rPr>
        <w:fldChar w:fldCharType="separate"/>
      </w:r>
      <w:r>
        <w:rPr>
          <w:rStyle w:val="244"/>
          <w:rFonts w:hint="eastAsia" w:ascii="Times New Roman" w:hAnsi="Times New Roman"/>
          <w:b/>
          <w:szCs w:val="28"/>
        </w:rPr>
        <w:t>（六）加强宣传教育</w:t>
      </w:r>
      <w:r>
        <w:rPr>
          <w:szCs w:val="28"/>
        </w:rPr>
        <w:tab/>
      </w:r>
      <w:r>
        <w:rPr>
          <w:szCs w:val="28"/>
        </w:rPr>
        <w:fldChar w:fldCharType="begin"/>
      </w:r>
      <w:r>
        <w:rPr>
          <w:szCs w:val="28"/>
        </w:rPr>
        <w:instrText xml:space="preserve"> PAGEREF _Toc137671460 \h </w:instrText>
      </w:r>
      <w:r>
        <w:rPr>
          <w:szCs w:val="28"/>
        </w:rPr>
        <w:fldChar w:fldCharType="separate"/>
      </w:r>
      <w:r>
        <w:rPr>
          <w:szCs w:val="28"/>
        </w:rPr>
        <w:t>46</w:t>
      </w:r>
      <w:r>
        <w:rPr>
          <w:szCs w:val="28"/>
        </w:rPr>
        <w:fldChar w:fldCharType="end"/>
      </w:r>
      <w:r>
        <w:rPr>
          <w:rStyle w:val="244"/>
          <w:szCs w:val="28"/>
        </w:rPr>
        <w:fldChar w:fldCharType="end"/>
      </w:r>
    </w:p>
    <w:p>
      <w:pPr>
        <w:pStyle w:val="228"/>
        <w:rPr>
          <w:rFonts w:ascii="Calibri" w:hAnsi="Calibri" w:eastAsia="宋体"/>
          <w:b w:val="0"/>
          <w:sz w:val="21"/>
          <w:szCs w:val="22"/>
          <w:lang w:bidi="ar-SA"/>
        </w:rPr>
      </w:pPr>
      <w:r>
        <w:rPr>
          <w:rStyle w:val="244"/>
          <w:sz w:val="28"/>
          <w:szCs w:val="28"/>
        </w:rPr>
        <w:fldChar w:fldCharType="begin"/>
      </w:r>
      <w:r>
        <w:rPr>
          <w:rStyle w:val="244"/>
          <w:sz w:val="28"/>
          <w:szCs w:val="28"/>
        </w:rPr>
        <w:instrText xml:space="preserve"> </w:instrText>
      </w:r>
      <w:r>
        <w:rPr>
          <w:sz w:val="28"/>
          <w:szCs w:val="28"/>
        </w:rPr>
        <w:instrText xml:space="preserve">HYPERLINK \l "_Toc137671461"</w:instrText>
      </w:r>
      <w:r>
        <w:rPr>
          <w:rStyle w:val="244"/>
          <w:sz w:val="28"/>
          <w:szCs w:val="28"/>
        </w:rPr>
        <w:instrText xml:space="preserve"> </w:instrText>
      </w:r>
      <w:r>
        <w:rPr>
          <w:rStyle w:val="244"/>
          <w:sz w:val="28"/>
          <w:szCs w:val="28"/>
        </w:rPr>
        <w:fldChar w:fldCharType="separate"/>
      </w:r>
      <w:r>
        <w:rPr>
          <w:rStyle w:val="244"/>
          <w:rFonts w:hint="eastAsia"/>
          <w:sz w:val="28"/>
          <w:szCs w:val="28"/>
        </w:rPr>
        <w:t>附</w:t>
      </w:r>
      <w:r>
        <w:rPr>
          <w:rStyle w:val="244"/>
          <w:sz w:val="28"/>
          <w:szCs w:val="28"/>
        </w:rPr>
        <w:t xml:space="preserve">  </w:t>
      </w:r>
      <w:r>
        <w:rPr>
          <w:rStyle w:val="244"/>
          <w:rFonts w:hint="eastAsia"/>
          <w:sz w:val="28"/>
          <w:szCs w:val="28"/>
        </w:rPr>
        <w:t>则</w:t>
      </w:r>
      <w:r>
        <w:rPr>
          <w:sz w:val="28"/>
          <w:szCs w:val="28"/>
        </w:rPr>
        <w:tab/>
      </w:r>
      <w:r>
        <w:rPr>
          <w:sz w:val="28"/>
          <w:szCs w:val="28"/>
        </w:rPr>
        <w:fldChar w:fldCharType="begin"/>
      </w:r>
      <w:r>
        <w:rPr>
          <w:sz w:val="28"/>
          <w:szCs w:val="28"/>
        </w:rPr>
        <w:instrText xml:space="preserve"> PAGEREF _Toc137671461 \h </w:instrText>
      </w:r>
      <w:r>
        <w:rPr>
          <w:sz w:val="28"/>
          <w:szCs w:val="28"/>
        </w:rPr>
        <w:fldChar w:fldCharType="separate"/>
      </w:r>
      <w:r>
        <w:rPr>
          <w:sz w:val="28"/>
          <w:szCs w:val="28"/>
        </w:rPr>
        <w:t>46</w:t>
      </w:r>
      <w:r>
        <w:rPr>
          <w:sz w:val="28"/>
          <w:szCs w:val="28"/>
        </w:rPr>
        <w:fldChar w:fldCharType="end"/>
      </w:r>
      <w:r>
        <w:rPr>
          <w:rStyle w:val="244"/>
          <w:sz w:val="28"/>
          <w:szCs w:val="28"/>
        </w:rPr>
        <w:fldChar w:fldCharType="end"/>
      </w:r>
    </w:p>
    <w:p>
      <w:pPr>
        <w:spacing w:line="400" w:lineRule="exact"/>
        <w:ind w:firstLine="0"/>
        <w:rPr>
          <w:rFonts w:hint="eastAsia" w:ascii="Times New Roman" w:hAnsi="Times New Roman"/>
          <w:color w:val="FF0000"/>
          <w:sz w:val="22"/>
          <w:szCs w:val="24"/>
        </w:rPr>
      </w:pPr>
      <w:r>
        <w:rPr>
          <w:rFonts w:ascii="Times New Roman" w:hAnsi="Times New Roman"/>
          <w:color w:val="FF0000"/>
          <w:sz w:val="24"/>
          <w:szCs w:val="24"/>
        </w:rPr>
        <w:fldChar w:fldCharType="end"/>
      </w:r>
    </w:p>
    <w:p>
      <w:pPr>
        <w:spacing w:line="400" w:lineRule="exact"/>
        <w:ind w:firstLine="0"/>
        <w:rPr>
          <w:rFonts w:ascii="Times New Roman" w:hAnsi="Times New Roman"/>
          <w:color w:val="FF0000"/>
          <w:sz w:val="24"/>
          <w:szCs w:val="24"/>
        </w:rPr>
      </w:pPr>
    </w:p>
    <w:p>
      <w:pPr>
        <w:ind w:firstLine="562"/>
        <w:rPr>
          <w:rFonts w:ascii="Times New Roman" w:hAnsi="Times New Roman"/>
          <w:b/>
          <w:szCs w:val="28"/>
        </w:rPr>
      </w:pPr>
      <w:r>
        <w:rPr>
          <w:rFonts w:ascii="Times New Roman" w:hAnsi="Times New Roman"/>
          <w:b/>
          <w:szCs w:val="28"/>
        </w:rPr>
        <w:t>附表：</w:t>
      </w:r>
    </w:p>
    <w:tbl>
      <w:tblPr>
        <w:tblStyle w:val="28"/>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7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spacing w:line="240" w:lineRule="auto"/>
              <w:ind w:firstLine="0"/>
              <w:jc w:val="center"/>
              <w:rPr>
                <w:rFonts w:ascii="Times New Roman" w:hAnsi="Times New Roman"/>
                <w:b/>
                <w:sz w:val="24"/>
              </w:rPr>
            </w:pPr>
            <w:r>
              <w:rPr>
                <w:rFonts w:ascii="Times New Roman" w:hAnsi="Times New Roman"/>
                <w:b/>
                <w:sz w:val="24"/>
              </w:rPr>
              <w:t>编号</w:t>
            </w:r>
          </w:p>
        </w:tc>
        <w:tc>
          <w:tcPr>
            <w:tcW w:w="7229" w:type="dxa"/>
            <w:noWrap w:val="0"/>
            <w:vAlign w:val="center"/>
          </w:tcPr>
          <w:p>
            <w:pPr>
              <w:spacing w:line="240" w:lineRule="auto"/>
              <w:ind w:firstLine="0"/>
              <w:jc w:val="center"/>
              <w:rPr>
                <w:rFonts w:ascii="Times New Roman" w:hAnsi="Times New Roman"/>
                <w:b/>
                <w:sz w:val="24"/>
              </w:rPr>
            </w:pPr>
            <w:r>
              <w:rPr>
                <w:rFonts w:ascii="Times New Roman" w:hAnsi="Times New Roman"/>
                <w:b/>
                <w:sz w:val="24"/>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spacing w:line="240" w:lineRule="auto"/>
              <w:ind w:firstLine="0"/>
              <w:jc w:val="center"/>
              <w:rPr>
                <w:rFonts w:ascii="Times New Roman" w:hAnsi="Times New Roman"/>
                <w:sz w:val="24"/>
              </w:rPr>
            </w:pPr>
            <w:r>
              <w:rPr>
                <w:rFonts w:ascii="Times New Roman" w:hAnsi="Times New Roman"/>
                <w:sz w:val="24"/>
              </w:rPr>
              <w:t>附表1</w:t>
            </w:r>
          </w:p>
        </w:tc>
        <w:tc>
          <w:tcPr>
            <w:tcW w:w="7229" w:type="dxa"/>
            <w:noWrap w:val="0"/>
            <w:vAlign w:val="center"/>
          </w:tcPr>
          <w:p>
            <w:pPr>
              <w:spacing w:line="240" w:lineRule="auto"/>
              <w:ind w:firstLine="0"/>
              <w:jc w:val="center"/>
              <w:rPr>
                <w:rFonts w:ascii="Times New Roman" w:hAnsi="Times New Roman"/>
                <w:sz w:val="24"/>
              </w:rPr>
            </w:pPr>
            <w:r>
              <w:rPr>
                <w:rFonts w:ascii="Times New Roman" w:hAnsi="Times New Roman"/>
                <w:sz w:val="24"/>
              </w:rPr>
              <w:t>芒市地质灾害隐患点基本情况汇总表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spacing w:line="240" w:lineRule="auto"/>
              <w:ind w:firstLine="0"/>
              <w:jc w:val="center"/>
              <w:rPr>
                <w:rFonts w:ascii="Times New Roman" w:hAnsi="Times New Roman"/>
                <w:sz w:val="24"/>
              </w:rPr>
            </w:pPr>
            <w:r>
              <w:rPr>
                <w:rFonts w:ascii="Times New Roman" w:hAnsi="Times New Roman"/>
                <w:sz w:val="24"/>
              </w:rPr>
              <w:t>附表2</w:t>
            </w:r>
          </w:p>
        </w:tc>
        <w:tc>
          <w:tcPr>
            <w:tcW w:w="7229" w:type="dxa"/>
            <w:noWrap w:val="0"/>
            <w:vAlign w:val="center"/>
          </w:tcPr>
          <w:p>
            <w:pPr>
              <w:spacing w:line="240" w:lineRule="auto"/>
              <w:ind w:firstLine="0"/>
              <w:jc w:val="center"/>
              <w:rPr>
                <w:rFonts w:ascii="Times New Roman" w:hAnsi="Times New Roman"/>
                <w:sz w:val="24"/>
              </w:rPr>
            </w:pPr>
            <w:r>
              <w:rPr>
                <w:rFonts w:ascii="Times New Roman" w:hAnsi="Times New Roman"/>
                <w:sz w:val="24"/>
              </w:rPr>
              <w:t>芒市地质灾害工程治理项目规划表（2021-2025年）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spacing w:line="240" w:lineRule="auto"/>
              <w:ind w:firstLine="0"/>
              <w:jc w:val="center"/>
              <w:rPr>
                <w:rFonts w:ascii="Times New Roman" w:hAnsi="Times New Roman"/>
                <w:sz w:val="24"/>
              </w:rPr>
            </w:pPr>
            <w:r>
              <w:rPr>
                <w:rFonts w:ascii="Times New Roman" w:hAnsi="Times New Roman"/>
                <w:sz w:val="24"/>
              </w:rPr>
              <w:t>附表3</w:t>
            </w:r>
          </w:p>
        </w:tc>
        <w:tc>
          <w:tcPr>
            <w:tcW w:w="7229" w:type="dxa"/>
            <w:noWrap w:val="0"/>
            <w:vAlign w:val="center"/>
          </w:tcPr>
          <w:p>
            <w:pPr>
              <w:spacing w:line="240" w:lineRule="auto"/>
              <w:ind w:firstLine="0"/>
              <w:jc w:val="center"/>
              <w:rPr>
                <w:rFonts w:ascii="Times New Roman" w:hAnsi="Times New Roman"/>
                <w:sz w:val="24"/>
              </w:rPr>
            </w:pPr>
            <w:r>
              <w:rPr>
                <w:rFonts w:ascii="Times New Roman" w:hAnsi="Times New Roman"/>
                <w:sz w:val="24"/>
              </w:rPr>
              <w:t>芒市需要延续配套治理的治理工程项目规划表（2021-2025年）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spacing w:line="240" w:lineRule="auto"/>
              <w:ind w:firstLine="0"/>
              <w:jc w:val="center"/>
              <w:rPr>
                <w:rFonts w:ascii="Times New Roman" w:hAnsi="Times New Roman"/>
                <w:sz w:val="24"/>
              </w:rPr>
            </w:pPr>
            <w:r>
              <w:rPr>
                <w:rFonts w:ascii="Times New Roman" w:hAnsi="Times New Roman"/>
                <w:sz w:val="24"/>
              </w:rPr>
              <w:t>附表4</w:t>
            </w:r>
          </w:p>
        </w:tc>
        <w:tc>
          <w:tcPr>
            <w:tcW w:w="7229" w:type="dxa"/>
            <w:noWrap w:val="0"/>
            <w:vAlign w:val="center"/>
          </w:tcPr>
          <w:p>
            <w:pPr>
              <w:spacing w:line="240" w:lineRule="auto"/>
              <w:ind w:firstLine="0"/>
              <w:jc w:val="center"/>
              <w:rPr>
                <w:rFonts w:ascii="Times New Roman" w:hAnsi="Times New Roman"/>
                <w:sz w:val="24"/>
              </w:rPr>
            </w:pPr>
            <w:r>
              <w:rPr>
                <w:rFonts w:ascii="Times New Roman" w:hAnsi="Times New Roman"/>
                <w:sz w:val="24"/>
              </w:rPr>
              <w:t>芒市因地质灾害搬迁避让项目规划表（2021-2025年）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spacing w:line="240" w:lineRule="auto"/>
              <w:ind w:firstLine="0"/>
              <w:jc w:val="center"/>
              <w:rPr>
                <w:rFonts w:ascii="Times New Roman" w:hAnsi="Times New Roman"/>
                <w:sz w:val="24"/>
              </w:rPr>
            </w:pPr>
            <w:r>
              <w:rPr>
                <w:rFonts w:ascii="Times New Roman" w:hAnsi="Times New Roman"/>
                <w:sz w:val="24"/>
              </w:rPr>
              <w:t>附表5</w:t>
            </w:r>
          </w:p>
        </w:tc>
        <w:tc>
          <w:tcPr>
            <w:tcW w:w="7229" w:type="dxa"/>
            <w:noWrap w:val="0"/>
            <w:vAlign w:val="center"/>
          </w:tcPr>
          <w:p>
            <w:pPr>
              <w:spacing w:line="240" w:lineRule="auto"/>
              <w:ind w:firstLine="0"/>
              <w:jc w:val="center"/>
              <w:rPr>
                <w:rFonts w:ascii="Times New Roman" w:hAnsi="Times New Roman"/>
                <w:sz w:val="24"/>
              </w:rPr>
            </w:pPr>
            <w:r>
              <w:rPr>
                <w:rFonts w:ascii="Times New Roman" w:hAnsi="Times New Roman"/>
                <w:sz w:val="24"/>
              </w:rPr>
              <w:t>芒市地质灾害综合整治项目规划表（2021-2025年）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spacing w:line="240" w:lineRule="auto"/>
              <w:ind w:firstLine="0"/>
              <w:jc w:val="center"/>
              <w:rPr>
                <w:rFonts w:ascii="Times New Roman" w:hAnsi="Times New Roman"/>
                <w:sz w:val="24"/>
              </w:rPr>
            </w:pPr>
            <w:r>
              <w:rPr>
                <w:rFonts w:ascii="Times New Roman" w:hAnsi="Times New Roman"/>
                <w:sz w:val="24"/>
              </w:rPr>
              <w:t>附表6</w:t>
            </w:r>
          </w:p>
        </w:tc>
        <w:tc>
          <w:tcPr>
            <w:tcW w:w="7229" w:type="dxa"/>
            <w:noWrap w:val="0"/>
            <w:vAlign w:val="center"/>
          </w:tcPr>
          <w:p>
            <w:pPr>
              <w:spacing w:line="240" w:lineRule="auto"/>
              <w:ind w:firstLine="0"/>
              <w:jc w:val="center"/>
              <w:rPr>
                <w:rFonts w:ascii="Times New Roman" w:hAnsi="Times New Roman"/>
                <w:sz w:val="24"/>
              </w:rPr>
            </w:pPr>
            <w:r>
              <w:rPr>
                <w:rFonts w:ascii="Times New Roman" w:hAnsi="Times New Roman"/>
                <w:sz w:val="24"/>
              </w:rPr>
              <w:t>芒市地质灾害监测预警项目规划表（2021-2025年）</w:t>
            </w:r>
          </w:p>
        </w:tc>
      </w:tr>
    </w:tbl>
    <w:p>
      <w:pPr>
        <w:ind w:firstLine="480"/>
        <w:rPr>
          <w:rFonts w:ascii="Times New Roman" w:hAnsi="Times New Roman"/>
          <w:sz w:val="24"/>
          <w:szCs w:val="24"/>
        </w:rPr>
      </w:pPr>
    </w:p>
    <w:p>
      <w:pPr>
        <w:ind w:firstLine="420"/>
        <w:rPr>
          <w:rFonts w:ascii="Times New Roman" w:hAnsi="Times New Roman"/>
          <w:sz w:val="21"/>
        </w:rPr>
      </w:pPr>
    </w:p>
    <w:p>
      <w:pPr>
        <w:ind w:firstLine="562"/>
        <w:rPr>
          <w:rFonts w:ascii="Times New Roman" w:hAnsi="Times New Roman"/>
          <w:b/>
          <w:szCs w:val="28"/>
        </w:rPr>
      </w:pPr>
      <w:r>
        <w:rPr>
          <w:rFonts w:ascii="Times New Roman" w:hAnsi="Times New Roman"/>
          <w:b/>
          <w:szCs w:val="28"/>
        </w:rPr>
        <w:t>附图：</w:t>
      </w:r>
    </w:p>
    <w:p>
      <w:pPr>
        <w:spacing w:line="240" w:lineRule="auto"/>
        <w:ind w:firstLine="480"/>
        <w:jc w:val="left"/>
        <w:rPr>
          <w:rFonts w:ascii="Times New Roman" w:hAnsi="Times New Roman"/>
          <w:sz w:val="24"/>
        </w:rPr>
      </w:pPr>
      <w:r>
        <w:rPr>
          <w:rFonts w:ascii="Times New Roman" w:hAnsi="Times New Roman"/>
          <w:sz w:val="24"/>
        </w:rPr>
        <w:t>云南省芒市2021～2025年地质灾害防治规划图</w:t>
      </w:r>
    </w:p>
    <w:p>
      <w:pPr>
        <w:ind w:firstLine="480"/>
        <w:rPr>
          <w:rFonts w:ascii="Times New Roman" w:hAnsi="Times New Roman"/>
          <w:sz w:val="24"/>
          <w:szCs w:val="24"/>
        </w:rPr>
      </w:pPr>
    </w:p>
    <w:p>
      <w:pPr>
        <w:ind w:firstLine="480"/>
        <w:rPr>
          <w:rFonts w:ascii="Times New Roman" w:hAnsi="Times New Roman"/>
          <w:sz w:val="24"/>
          <w:szCs w:val="24"/>
        </w:rPr>
      </w:pPr>
    </w:p>
    <w:p>
      <w:pPr>
        <w:ind w:firstLine="560"/>
        <w:rPr>
          <w:rFonts w:ascii="Times New Roman" w:hAnsi="Times New Roman"/>
        </w:rPr>
        <w:sectPr>
          <w:pgSz w:w="11906" w:h="16838" w:orient="landscape"/>
          <w:pgMar w:top="1418" w:right="1418" w:bottom="1418" w:left="1418" w:header="851" w:footer="992" w:gutter="0"/>
          <w:cols w:space="1701" w:num="1"/>
        </w:sectPr>
      </w:pPr>
    </w:p>
    <w:p>
      <w:pPr>
        <w:pStyle w:val="182"/>
        <w:spacing w:line="360" w:lineRule="auto"/>
        <w:rPr>
          <w:rFonts w:ascii="Times New Roman" w:hAnsi="Times New Roman"/>
          <w:b/>
        </w:rPr>
      </w:pPr>
      <w:bookmarkStart w:id="0" w:name="_Toc137671384"/>
      <w:r>
        <w:rPr>
          <w:rFonts w:ascii="Times New Roman" w:hAnsi="Times New Roman"/>
          <w:b/>
        </w:rPr>
        <w:t>前言</w:t>
      </w:r>
      <w:bookmarkEnd w:id="0"/>
    </w:p>
    <w:p>
      <w:pPr>
        <w:ind w:firstLine="560"/>
        <w:rPr>
          <w:rFonts w:ascii="Times New Roman" w:hAnsi="Times New Roman"/>
        </w:rPr>
      </w:pPr>
      <w:r>
        <w:rPr>
          <w:rFonts w:ascii="Times New Roman" w:hAnsi="Times New Roman"/>
        </w:rPr>
        <w:t>为认真贯彻落实好党中央、国务院、省委省政府的决策部署，践行“人民至上、生命至上”的理念，全面扎实做好地质灾害防治工作，按照《地质灾害防治条例》（国务院令第394号）的规定，根据《云南省自然资源厅关于印发云南省各州（市）县（市、区）地质灾害防治“十四五”规划（2021～2025年）编制指南的通知》（云自然资地勘〔2021〕150号）的要求，编制《云南省芒市地质灾害防治“十四五”规划（2021～2025年）》（以下简称《规划》）。</w:t>
      </w:r>
    </w:p>
    <w:p>
      <w:pPr>
        <w:pStyle w:val="184"/>
        <w:spacing w:after="0"/>
        <w:rPr>
          <w:rFonts w:ascii="Times New Roman" w:hAnsi="Times New Roman"/>
          <w:b/>
        </w:rPr>
      </w:pPr>
      <w:bookmarkStart w:id="1" w:name="_Toc137671385"/>
      <w:bookmarkStart w:id="2" w:name="_Toc131872701"/>
      <w:r>
        <w:rPr>
          <w:rStyle w:val="197"/>
          <w:rFonts w:ascii="Times New Roman" w:hAnsi="Times New Roman"/>
          <w:b/>
          <w:bCs w:val="0"/>
        </w:rPr>
        <w:t>1、</w:t>
      </w:r>
      <w:r>
        <w:rPr>
          <w:rFonts w:ascii="Times New Roman" w:hAnsi="Times New Roman"/>
          <w:b/>
        </w:rPr>
        <w:t>社会经济概况</w:t>
      </w:r>
      <w:bookmarkEnd w:id="1"/>
      <w:bookmarkEnd w:id="2"/>
    </w:p>
    <w:p>
      <w:pPr>
        <w:pStyle w:val="215"/>
        <w:spacing w:line="360" w:lineRule="auto"/>
        <w:ind w:firstLine="567"/>
        <w:rPr>
          <w:rFonts w:ascii="Times New Roman" w:hAnsi="Times New Roman" w:cs="Times New Roman"/>
          <w:sz w:val="32"/>
          <w:szCs w:val="28"/>
        </w:rPr>
      </w:pPr>
      <w:r>
        <w:rPr>
          <w:rFonts w:ascii="Times New Roman" w:hAnsi="Times New Roman" w:cs="Times New Roman"/>
          <w:sz w:val="28"/>
        </w:rPr>
        <w:t>我市位于云南省西部，行政区划隶属于德宏傣族景颇族自治州管辖，其地理坐标：东径98°01′～98°44′，北纬24°05′～24°39′之间，东、东北与保山市龙陵县相接，西南连瑞丽市，西、西北与陇川县、梁河县隔龙川江相望，南与缅甸联邦接壤；市境东西最大纵距71km，南北最大横距62km，国境线长68.23km，国土面积约2901km</w:t>
      </w:r>
      <w:r>
        <w:rPr>
          <w:rFonts w:ascii="Times New Roman" w:hAnsi="Times New Roman" w:cs="Times New Roman"/>
          <w:sz w:val="28"/>
          <w:vertAlign w:val="superscript"/>
        </w:rPr>
        <w:t>2</w:t>
      </w:r>
      <w:r>
        <w:rPr>
          <w:rFonts w:ascii="Times New Roman" w:hAnsi="Times New Roman" w:cs="Times New Roman"/>
          <w:sz w:val="28"/>
        </w:rPr>
        <w:t>。市政府驻地勐焕街道也是德宏州府驻地，拥有一座机场-德宏芒市机场，为4C级民用运输机场，位于我市坝子中部，距离市区约6.5km，与省会昆明市有杭瑞高速直达，公路里程约679km，各乡（镇）均有公路相连，乡村之间有简易公路相通，交通尚较方便。</w:t>
      </w:r>
    </w:p>
    <w:p>
      <w:pPr>
        <w:pStyle w:val="215"/>
        <w:spacing w:line="360" w:lineRule="auto"/>
        <w:ind w:firstLine="567"/>
        <w:rPr>
          <w:rFonts w:ascii="Times New Roman" w:hAnsi="Times New Roman" w:cs="Times New Roman"/>
          <w:sz w:val="28"/>
          <w:szCs w:val="28"/>
        </w:rPr>
      </w:pPr>
      <w:r>
        <w:rPr>
          <w:rFonts w:ascii="Times New Roman" w:hAnsi="Times New Roman" w:cs="Times New Roman"/>
          <w:sz w:val="28"/>
          <w:szCs w:val="28"/>
        </w:rPr>
        <w:t>我市现辖1个街道（勐焕街道），5个镇（芒市镇、遮放镇、勐戛镇、芒海镇、风平镇），5个乡（轩岗乡、江东乡、西山乡、中山乡、五岔路乡），1个民族乡（三台山德昂族乡），85个村民委员会，26个社区居民委员会，719个自然村，1008个村（居）民小组；兼辖遮放农场管理委员会（下设4个分场，31个生产队，2个直属单位），现居住着傣族、汉族、景颇族、德昂族、阿昌族、傈僳族等多个民族。</w:t>
      </w:r>
    </w:p>
    <w:p>
      <w:pPr>
        <w:pStyle w:val="215"/>
        <w:spacing w:line="360" w:lineRule="auto"/>
        <w:ind w:firstLine="567"/>
        <w:rPr>
          <w:rFonts w:ascii="Times New Roman" w:hAnsi="Times New Roman" w:cs="Times New Roman"/>
          <w:sz w:val="28"/>
          <w:szCs w:val="28"/>
        </w:rPr>
      </w:pPr>
      <w:r>
        <w:rPr>
          <w:rFonts w:ascii="Times New Roman" w:hAnsi="Times New Roman" w:cs="Times New Roman"/>
          <w:sz w:val="28"/>
          <w:szCs w:val="28"/>
        </w:rPr>
        <w:t>第七次人口普查，我市总人口（常住人口）为439931人，比2010年增加50040人，10年增长12.83%，年均增长率为1.21%。在11个乡镇和1个街道、1个农场中，常住人口超过10万人的有1个，在9万至5万人之间的有2个，4万至1万人之间的有5个，少于1万人的5个。我市人口中，居住在城镇的人口为216426人，占总人口的49.20%；居住在乡村的人口为223505人，占总人口的50.80%。与2010年第六次全国人口普查相比，城镇人口增加69231人，乡村人口减少19191人，城镇人口比重提高11.45个百分点。</w:t>
      </w:r>
    </w:p>
    <w:p>
      <w:pPr>
        <w:ind w:firstLine="567"/>
        <w:rPr>
          <w:rFonts w:ascii="Times New Roman" w:hAnsi="Times New Roman"/>
        </w:rPr>
      </w:pPr>
      <w:r>
        <w:rPr>
          <w:rFonts w:ascii="Times New Roman" w:hAnsi="Times New Roman"/>
          <w:szCs w:val="28"/>
        </w:rPr>
        <w:t>2020年，我市实现地区生产总值完成177.2亿元，增长10%；固定资产投资预计完成119.6亿元，增长38.7%；一般公共预算收入预计完成8亿元，增长14%；社会消费品零售总额预计完成116.1亿元，增长1.9%；城乡常住居民人均可支配收入预计为32070元和13618元，增长4.5%和9%，多项经济指标增速位居全省前列。</w:t>
      </w:r>
    </w:p>
    <w:p>
      <w:pPr>
        <w:pStyle w:val="184"/>
        <w:spacing w:after="0"/>
        <w:rPr>
          <w:rStyle w:val="197"/>
          <w:rFonts w:ascii="Times New Roman" w:hAnsi="Times New Roman"/>
          <w:b/>
          <w:bCs w:val="0"/>
        </w:rPr>
      </w:pPr>
      <w:bookmarkStart w:id="3" w:name="_Toc131872702"/>
      <w:bookmarkStart w:id="4" w:name="_Toc137671386"/>
      <w:r>
        <w:rPr>
          <w:rStyle w:val="197"/>
          <w:rFonts w:ascii="Times New Roman" w:hAnsi="Times New Roman"/>
          <w:b/>
          <w:bCs w:val="0"/>
        </w:rPr>
        <w:t>2、规划目的</w:t>
      </w:r>
      <w:bookmarkEnd w:id="3"/>
      <w:bookmarkEnd w:id="4"/>
    </w:p>
    <w:p>
      <w:pPr>
        <w:pStyle w:val="215"/>
        <w:spacing w:line="360" w:lineRule="auto"/>
        <w:ind w:firstLine="567"/>
        <w:rPr>
          <w:rFonts w:ascii="Times New Roman" w:hAnsi="Times New Roman" w:cs="Times New Roman"/>
          <w:sz w:val="28"/>
          <w:szCs w:val="28"/>
        </w:rPr>
      </w:pPr>
      <w:r>
        <w:rPr>
          <w:rFonts w:ascii="Times New Roman" w:hAnsi="Times New Roman" w:cs="Times New Roman"/>
          <w:sz w:val="28"/>
          <w:szCs w:val="28"/>
        </w:rPr>
        <w:t>为切实、有效地做好地质灾害防治工作，在保证能够主动地、有预见性地部署和开展地质灾害防治工作，更好地保护人民群众生命安全，有效避免或最大限度地减轻地质灾害造成的财产损失及环境破坏，保障国民经济的可持续发展，促进社会的繁荣稳定，进一步完善地质灾害综合防治体系，确保地质灾害隐患心中有数，防治工作有据可依，指导地质灾害防治工作科学、规范、有序开展，全面提高地质灾害综合防治能力，保障我市经济社会全面协调可持续发展。</w:t>
      </w:r>
    </w:p>
    <w:p>
      <w:pPr>
        <w:pStyle w:val="184"/>
        <w:spacing w:after="0"/>
        <w:rPr>
          <w:rStyle w:val="197"/>
          <w:rFonts w:ascii="Times New Roman" w:hAnsi="Times New Roman"/>
          <w:b/>
          <w:bCs w:val="0"/>
        </w:rPr>
      </w:pPr>
      <w:bookmarkStart w:id="5" w:name="_Toc131872703"/>
      <w:bookmarkStart w:id="6" w:name="_Toc137671387"/>
      <w:r>
        <w:rPr>
          <w:rStyle w:val="197"/>
          <w:rFonts w:ascii="Times New Roman" w:hAnsi="Times New Roman"/>
          <w:b/>
          <w:bCs w:val="0"/>
        </w:rPr>
        <w:t>3、规划区范围及对象</w:t>
      </w:r>
      <w:bookmarkEnd w:id="5"/>
      <w:bookmarkEnd w:id="6"/>
    </w:p>
    <w:p>
      <w:pPr>
        <w:ind w:firstLine="560"/>
        <w:rPr>
          <w:rFonts w:ascii="Times New Roman" w:hAnsi="Times New Roman"/>
        </w:rPr>
      </w:pPr>
      <w:r>
        <w:rPr>
          <w:rFonts w:ascii="Times New Roman" w:hAnsi="Times New Roman"/>
        </w:rPr>
        <w:t>本《规划》适用范围：我市行政区范围，包括</w:t>
      </w:r>
      <w:r>
        <w:rPr>
          <w:rFonts w:ascii="Times New Roman" w:hAnsi="Times New Roman"/>
          <w:szCs w:val="28"/>
        </w:rPr>
        <w:t>1个街道（勐焕街道），5个镇（芒市镇、遮放镇、勐戛镇、芒海镇、风平镇），5个乡（轩岗乡、江东乡、西山乡、中山乡、五岔路乡），1个民族乡（三台山德昂族乡），</w:t>
      </w:r>
      <w:r>
        <w:rPr>
          <w:rFonts w:ascii="Times New Roman" w:hAnsi="Times New Roman"/>
        </w:rPr>
        <w:t>1个国营农场（遮放农场），总面积约2901km</w:t>
      </w:r>
      <w:r>
        <w:rPr>
          <w:rFonts w:ascii="Times New Roman" w:hAnsi="Times New Roman"/>
          <w:vertAlign w:val="superscript"/>
        </w:rPr>
        <w:t>2</w:t>
      </w:r>
      <w:r>
        <w:rPr>
          <w:rFonts w:ascii="Times New Roman" w:hAnsi="Times New Roman"/>
        </w:rPr>
        <w:t>。</w:t>
      </w:r>
    </w:p>
    <w:p>
      <w:pPr>
        <w:ind w:firstLine="560"/>
        <w:rPr>
          <w:rFonts w:ascii="Times New Roman" w:hAnsi="Times New Roman"/>
          <w:sz w:val="32"/>
        </w:rPr>
      </w:pPr>
      <w:r>
        <w:rPr>
          <w:rFonts w:ascii="Times New Roman" w:hAnsi="Times New Roman"/>
        </w:rPr>
        <w:t>本《规划》所称的地质灾害，是指由于自然因素或者人为活动引发的危害人民生命和财产安全的山体滑坡、崩塌、泥石流、地面塌陷、地裂缝、地面沉降等与地质作用有关的灾害。</w:t>
      </w:r>
    </w:p>
    <w:p>
      <w:pPr>
        <w:pStyle w:val="184"/>
        <w:spacing w:after="0"/>
        <w:rPr>
          <w:rStyle w:val="197"/>
          <w:rFonts w:ascii="Times New Roman" w:hAnsi="Times New Roman"/>
          <w:b/>
          <w:bCs w:val="0"/>
        </w:rPr>
      </w:pPr>
      <w:bookmarkStart w:id="7" w:name="_Toc137671388"/>
      <w:bookmarkStart w:id="8" w:name="_Toc131872704"/>
      <w:r>
        <w:rPr>
          <w:rStyle w:val="197"/>
          <w:rFonts w:hint="eastAsia" w:ascii="Times New Roman" w:hAnsi="Times New Roman"/>
          <w:b/>
          <w:bCs w:val="0"/>
        </w:rPr>
        <w:t>4</w:t>
      </w:r>
      <w:r>
        <w:rPr>
          <w:rStyle w:val="197"/>
          <w:rFonts w:ascii="Times New Roman" w:hAnsi="Times New Roman"/>
          <w:b/>
          <w:bCs w:val="0"/>
        </w:rPr>
        <w:t>、规划期限及基准年</w:t>
      </w:r>
      <w:bookmarkEnd w:id="7"/>
      <w:bookmarkEnd w:id="8"/>
    </w:p>
    <w:p>
      <w:pPr>
        <w:ind w:firstLine="560"/>
        <w:rPr>
          <w:rFonts w:ascii="Times New Roman" w:hAnsi="Times New Roman"/>
        </w:rPr>
      </w:pPr>
      <w:r>
        <w:rPr>
          <w:rFonts w:ascii="Times New Roman" w:hAnsi="Times New Roman"/>
        </w:rPr>
        <w:t>规划期为2021年至2025年，规划基准年为2020年，规划期为5年，远景展望到2035年。</w:t>
      </w:r>
    </w:p>
    <w:p>
      <w:pPr>
        <w:pStyle w:val="182"/>
        <w:spacing w:line="360" w:lineRule="auto"/>
        <w:rPr>
          <w:rFonts w:ascii="Times New Roman" w:hAnsi="Times New Roman"/>
          <w:b/>
        </w:rPr>
      </w:pPr>
      <w:bookmarkStart w:id="9" w:name="_Toc137671389"/>
      <w:r>
        <w:rPr>
          <w:rFonts w:ascii="Times New Roman" w:hAnsi="Times New Roman"/>
          <w:b/>
        </w:rPr>
        <w:t>一、</w:t>
      </w:r>
      <w:r>
        <w:rPr>
          <w:rFonts w:hint="eastAsia" w:ascii="Times New Roman" w:hAnsi="Times New Roman"/>
          <w:b/>
        </w:rPr>
        <w:t>地质灾害防治</w:t>
      </w:r>
      <w:r>
        <w:rPr>
          <w:rFonts w:ascii="Times New Roman" w:hAnsi="Times New Roman"/>
          <w:b/>
        </w:rPr>
        <w:t>现状与形势</w:t>
      </w:r>
      <w:bookmarkEnd w:id="9"/>
    </w:p>
    <w:p>
      <w:pPr>
        <w:pStyle w:val="183"/>
        <w:spacing w:before="120" w:after="120"/>
        <w:rPr>
          <w:rFonts w:ascii="Times New Roman" w:hAnsi="Times New Roman"/>
          <w:b/>
        </w:rPr>
      </w:pPr>
      <w:bookmarkStart w:id="10" w:name="_Toc137671390"/>
      <w:r>
        <w:rPr>
          <w:rFonts w:ascii="Times New Roman" w:hAnsi="Times New Roman"/>
          <w:b/>
        </w:rPr>
        <w:t>（一）地质灾害现状</w:t>
      </w:r>
      <w:bookmarkEnd w:id="10"/>
    </w:p>
    <w:p>
      <w:pPr>
        <w:pStyle w:val="184"/>
        <w:spacing w:after="0"/>
        <w:rPr>
          <w:rStyle w:val="197"/>
          <w:rFonts w:ascii="Times New Roman" w:hAnsi="Times New Roman"/>
          <w:b/>
          <w:bCs w:val="0"/>
        </w:rPr>
      </w:pPr>
      <w:bookmarkStart w:id="11" w:name="_Toc137671391"/>
      <w:bookmarkStart w:id="12" w:name="_Toc131872707"/>
      <w:r>
        <w:rPr>
          <w:rStyle w:val="197"/>
          <w:rFonts w:ascii="Times New Roman" w:hAnsi="Times New Roman"/>
          <w:b/>
          <w:bCs w:val="0"/>
        </w:rPr>
        <w:t>1、地质环境基本特点</w:t>
      </w:r>
      <w:bookmarkEnd w:id="11"/>
      <w:bookmarkEnd w:id="12"/>
    </w:p>
    <w:p>
      <w:pPr>
        <w:ind w:firstLine="560"/>
        <w:rPr>
          <w:rFonts w:ascii="Times New Roman" w:hAnsi="Times New Roman"/>
        </w:rPr>
      </w:pPr>
      <w:r>
        <w:rPr>
          <w:rFonts w:ascii="Times New Roman" w:hAnsi="Times New Roman"/>
        </w:rPr>
        <w:t>芒市地处亚热带，为印度洋季风气候区，境内地表水系较为发育，分属伊洛瓦底江水系和怒江水系；地处云贵高原西部横断山脉南延部分高黎贡山南段西侧，境内地貌类型多，地形起伏大，相对高差1995.0m，</w:t>
      </w:r>
      <w:r>
        <w:rPr>
          <w:rFonts w:ascii="Times New Roman" w:hAnsi="Times New Roman"/>
          <w:szCs w:val="24"/>
        </w:rPr>
        <w:t>地形复杂；</w:t>
      </w:r>
      <w:r>
        <w:rPr>
          <w:rFonts w:ascii="Times New Roman" w:hAnsi="Times New Roman"/>
          <w:szCs w:val="28"/>
        </w:rPr>
        <w:t>规划区境内除石炭纪地层缺失外，从早古生代至新生代地层均有出露，以龙陵-瑞丽大断裂为界，东部分布未变质及变质深度不一的寒武系至第四系，而西部则分布古生界砂页岩、碳酸盐建造和中生界砂页岩、碳酸盐岩、红色碎屑岩及类磨拉石建造，岩浆岩主要分布有喜山期（Q</w:t>
      </w:r>
      <w:r>
        <w:rPr>
          <w:rFonts w:ascii="Times New Roman" w:hAnsi="Times New Roman"/>
          <w:szCs w:val="28"/>
          <w:vertAlign w:val="subscript"/>
        </w:rPr>
        <w:t>α</w:t>
      </w:r>
      <w:r>
        <w:rPr>
          <w:rFonts w:ascii="Times New Roman" w:hAnsi="Times New Roman"/>
          <w:szCs w:val="28"/>
        </w:rPr>
        <w:t>）、燕山晚期第一阶段（γ</w:t>
      </w:r>
      <w:r>
        <w:rPr>
          <w:rFonts w:ascii="Times New Roman" w:hAnsi="Times New Roman"/>
          <w:szCs w:val="28"/>
          <w:vertAlign w:val="subscript"/>
        </w:rPr>
        <w:t>5</w:t>
      </w:r>
      <w:r>
        <w:rPr>
          <w:rFonts w:ascii="Times New Roman" w:hAnsi="Times New Roman"/>
          <w:szCs w:val="28"/>
          <w:vertAlign w:val="superscript"/>
        </w:rPr>
        <w:t>3（1）</w:t>
      </w:r>
      <w:r>
        <w:rPr>
          <w:rFonts w:ascii="Times New Roman" w:hAnsi="Times New Roman"/>
          <w:szCs w:val="28"/>
        </w:rPr>
        <w:t>）及加里东晚期-华力西中期（γ</w:t>
      </w:r>
      <w:r>
        <w:rPr>
          <w:rFonts w:ascii="Times New Roman" w:hAnsi="Times New Roman"/>
          <w:szCs w:val="28"/>
          <w:vertAlign w:val="subscript"/>
        </w:rPr>
        <w:t>4</w:t>
      </w:r>
      <w:r>
        <w:rPr>
          <w:rFonts w:ascii="Times New Roman" w:hAnsi="Times New Roman"/>
          <w:szCs w:val="28"/>
          <w:vertAlign w:val="superscript"/>
        </w:rPr>
        <w:t>2</w:t>
      </w:r>
      <w:r>
        <w:rPr>
          <w:rFonts w:ascii="Times New Roman" w:hAnsi="Times New Roman"/>
          <w:szCs w:val="28"/>
        </w:rPr>
        <w:t>-γ</w:t>
      </w:r>
      <w:r>
        <w:rPr>
          <w:rFonts w:ascii="Times New Roman" w:hAnsi="Times New Roman"/>
          <w:szCs w:val="28"/>
          <w:vertAlign w:val="subscript"/>
        </w:rPr>
        <w:t>3</w:t>
      </w:r>
      <w:r>
        <w:rPr>
          <w:rFonts w:ascii="Times New Roman" w:hAnsi="Times New Roman"/>
          <w:szCs w:val="28"/>
          <w:vertAlign w:val="superscript"/>
        </w:rPr>
        <w:t>3</w:t>
      </w:r>
      <w:r>
        <w:rPr>
          <w:rFonts w:ascii="Times New Roman" w:hAnsi="Times New Roman"/>
          <w:szCs w:val="28"/>
        </w:rPr>
        <w:t>）岩浆岩，岩土体类型多样，工程地质条件中等～复杂；</w:t>
      </w:r>
      <w:r>
        <w:rPr>
          <w:rFonts w:ascii="Times New Roman" w:hAnsi="Times New Roman"/>
        </w:rPr>
        <w:t>区域上规划区处于冈底斯-念青唐古拉褶皱系福贡-镇康褶皱带的芒市褶皱束上，龙瑞大断裂从境内通过，新构造运动强烈，处于龙陵～瑞丽地震带上，受活动断裂控制，地震多发；地下水类型齐全，富水性多样，水文地质条件复杂。总体地质环境条件复杂。</w:t>
      </w:r>
    </w:p>
    <w:p>
      <w:pPr>
        <w:pStyle w:val="184"/>
        <w:spacing w:after="0"/>
        <w:rPr>
          <w:rStyle w:val="197"/>
          <w:rFonts w:ascii="Times New Roman" w:hAnsi="Times New Roman"/>
          <w:b/>
          <w:bCs w:val="0"/>
        </w:rPr>
      </w:pPr>
      <w:bookmarkStart w:id="13" w:name="_Toc131872708"/>
      <w:bookmarkStart w:id="14" w:name="_Toc137671392"/>
      <w:r>
        <w:rPr>
          <w:rStyle w:val="197"/>
          <w:rFonts w:ascii="Times New Roman" w:hAnsi="Times New Roman"/>
          <w:b/>
          <w:bCs w:val="0"/>
        </w:rPr>
        <w:t>2、地质灾害主要类型</w:t>
      </w:r>
      <w:bookmarkEnd w:id="13"/>
      <w:bookmarkEnd w:id="14"/>
    </w:p>
    <w:p>
      <w:pPr>
        <w:ind w:firstLine="560"/>
        <w:rPr>
          <w:rFonts w:ascii="Times New Roman" w:hAnsi="Times New Roman"/>
        </w:rPr>
      </w:pPr>
      <w:r>
        <w:rPr>
          <w:rFonts w:ascii="Times New Roman" w:hAnsi="Times New Roman"/>
        </w:rPr>
        <w:t>我市发育的地质灾害主要为滑坡、泥石流，局部有崩塌、地面塌陷。</w:t>
      </w:r>
    </w:p>
    <w:p>
      <w:pPr>
        <w:ind w:firstLine="560"/>
        <w:rPr>
          <w:rFonts w:ascii="Times New Roman" w:hAnsi="Times New Roman"/>
        </w:rPr>
      </w:pPr>
      <w:r>
        <w:rPr>
          <w:rFonts w:ascii="Times New Roman" w:hAnsi="Times New Roman"/>
        </w:rPr>
        <w:t>“十三五”初期，我市共有地质灾害隐患209处，威胁人口29546人，威胁资产40872万元。截止2020年底，我市登记在册共有地质灾害隐患169处，其中：滑坡143处、泥石流22处、崩塌3处、地面塌陷1处，各类地质灾害隐患按其规模分级列于下表</w:t>
      </w:r>
      <w:r>
        <w:rPr>
          <w:rFonts w:hint="eastAsia" w:ascii="Times New Roman" w:hAnsi="Times New Roman"/>
        </w:rPr>
        <w:t>1</w:t>
      </w:r>
      <w:r>
        <w:rPr>
          <w:rFonts w:ascii="Times New Roman" w:hAnsi="Times New Roman"/>
        </w:rPr>
        <w:t>-1，按险情等级有特大型、大型、中型、小型四个等级，其中特大型1个、大型6个，中型75个，小型87个。各乡镇地质灾害分布情况及规模分级见下表</w:t>
      </w:r>
      <w:r>
        <w:rPr>
          <w:rFonts w:hint="eastAsia" w:ascii="Times New Roman" w:hAnsi="Times New Roman"/>
        </w:rPr>
        <w:t>1</w:t>
      </w:r>
      <w:r>
        <w:rPr>
          <w:rFonts w:ascii="Times New Roman" w:hAnsi="Times New Roman"/>
        </w:rPr>
        <w:t>-2。</w:t>
      </w:r>
    </w:p>
    <w:p>
      <w:pPr>
        <w:spacing w:line="240" w:lineRule="auto"/>
        <w:ind w:firstLine="0"/>
        <w:jc w:val="center"/>
        <w:rPr>
          <w:rFonts w:ascii="Times New Roman" w:hAnsi="Times New Roman"/>
          <w:b/>
          <w:bCs/>
          <w:sz w:val="24"/>
          <w:szCs w:val="24"/>
        </w:rPr>
      </w:pPr>
      <w:r>
        <w:rPr>
          <w:rFonts w:ascii="Times New Roman" w:hAnsi="Times New Roman"/>
          <w:b/>
          <w:bCs/>
          <w:sz w:val="24"/>
          <w:szCs w:val="24"/>
        </w:rPr>
        <w:t>表</w:t>
      </w:r>
      <w:r>
        <w:rPr>
          <w:rFonts w:hint="eastAsia" w:ascii="Times New Roman" w:hAnsi="Times New Roman"/>
          <w:b/>
          <w:bCs/>
          <w:sz w:val="24"/>
          <w:szCs w:val="24"/>
        </w:rPr>
        <w:t>1</w:t>
      </w:r>
      <w:r>
        <w:rPr>
          <w:rFonts w:ascii="Times New Roman" w:hAnsi="Times New Roman"/>
          <w:b/>
          <w:bCs/>
          <w:sz w:val="24"/>
          <w:szCs w:val="24"/>
        </w:rPr>
        <w:t>-1 芒市地质灾害隐患统计表</w:t>
      </w:r>
    </w:p>
    <w:tbl>
      <w:tblPr>
        <w:tblStyle w:val="28"/>
        <w:tblW w:w="91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18"/>
        <w:gridCol w:w="1290"/>
        <w:gridCol w:w="1276"/>
        <w:gridCol w:w="1275"/>
        <w:gridCol w:w="1134"/>
        <w:gridCol w:w="1134"/>
        <w:gridCol w:w="1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18" w:type="dxa"/>
            <w:noWrap w:val="0"/>
            <w:vAlign w:val="center"/>
          </w:tcPr>
          <w:p>
            <w:pPr>
              <w:spacing w:line="240" w:lineRule="auto"/>
              <w:ind w:firstLine="0"/>
              <w:jc w:val="center"/>
              <w:rPr>
                <w:rFonts w:ascii="Times New Roman" w:hAnsi="Times New Roman"/>
                <w:sz w:val="21"/>
              </w:rPr>
            </w:pPr>
            <w:r>
              <w:rPr>
                <w:rFonts w:ascii="Times New Roman" w:hAnsi="Times New Roman"/>
                <w:sz w:val="21"/>
              </w:rPr>
              <w:t>规模</w:t>
            </w:r>
          </w:p>
          <w:p>
            <w:pPr>
              <w:spacing w:line="240" w:lineRule="auto"/>
              <w:ind w:firstLine="0"/>
              <w:jc w:val="center"/>
              <w:rPr>
                <w:rFonts w:ascii="Times New Roman" w:hAnsi="Times New Roman"/>
                <w:sz w:val="21"/>
              </w:rPr>
            </w:pPr>
            <w:r>
              <w:rPr>
                <w:rFonts w:ascii="Times New Roman" w:hAnsi="Times New Roman"/>
                <w:sz w:val="21"/>
              </w:rPr>
              <w:t>类型</w:t>
            </w:r>
          </w:p>
        </w:tc>
        <w:tc>
          <w:tcPr>
            <w:tcW w:w="1290" w:type="dxa"/>
            <w:noWrap w:val="0"/>
            <w:vAlign w:val="center"/>
          </w:tcPr>
          <w:p>
            <w:pPr>
              <w:spacing w:line="240" w:lineRule="auto"/>
              <w:ind w:firstLine="0"/>
              <w:jc w:val="center"/>
              <w:rPr>
                <w:rFonts w:ascii="Times New Roman" w:hAnsi="Times New Roman"/>
                <w:sz w:val="21"/>
              </w:rPr>
            </w:pPr>
            <w:r>
              <w:rPr>
                <w:rFonts w:ascii="Times New Roman" w:hAnsi="Times New Roman"/>
                <w:sz w:val="21"/>
              </w:rPr>
              <w:t>特大型</w:t>
            </w:r>
          </w:p>
        </w:tc>
        <w:tc>
          <w:tcPr>
            <w:tcW w:w="1276" w:type="dxa"/>
            <w:noWrap w:val="0"/>
            <w:vAlign w:val="center"/>
          </w:tcPr>
          <w:p>
            <w:pPr>
              <w:spacing w:line="240" w:lineRule="auto"/>
              <w:ind w:firstLine="0"/>
              <w:jc w:val="center"/>
              <w:rPr>
                <w:rFonts w:ascii="Times New Roman" w:hAnsi="Times New Roman"/>
                <w:sz w:val="21"/>
              </w:rPr>
            </w:pPr>
            <w:r>
              <w:rPr>
                <w:rFonts w:ascii="Times New Roman" w:hAnsi="Times New Roman"/>
                <w:sz w:val="21"/>
              </w:rPr>
              <w:t>大型</w:t>
            </w:r>
          </w:p>
        </w:tc>
        <w:tc>
          <w:tcPr>
            <w:tcW w:w="1275" w:type="dxa"/>
            <w:noWrap w:val="0"/>
            <w:vAlign w:val="center"/>
          </w:tcPr>
          <w:p>
            <w:pPr>
              <w:spacing w:line="240" w:lineRule="auto"/>
              <w:ind w:firstLine="0"/>
              <w:jc w:val="center"/>
              <w:rPr>
                <w:rFonts w:ascii="Times New Roman" w:hAnsi="Times New Roman"/>
                <w:sz w:val="21"/>
              </w:rPr>
            </w:pPr>
            <w:r>
              <w:rPr>
                <w:rFonts w:ascii="Times New Roman" w:hAnsi="Times New Roman"/>
                <w:sz w:val="21"/>
              </w:rPr>
              <w:t>中型</w:t>
            </w:r>
          </w:p>
        </w:tc>
        <w:tc>
          <w:tcPr>
            <w:tcW w:w="1134" w:type="dxa"/>
            <w:noWrap w:val="0"/>
            <w:vAlign w:val="center"/>
          </w:tcPr>
          <w:p>
            <w:pPr>
              <w:spacing w:line="240" w:lineRule="auto"/>
              <w:ind w:firstLine="0"/>
              <w:jc w:val="center"/>
              <w:rPr>
                <w:rFonts w:ascii="Times New Roman" w:hAnsi="Times New Roman"/>
                <w:sz w:val="21"/>
              </w:rPr>
            </w:pPr>
            <w:r>
              <w:rPr>
                <w:rFonts w:ascii="Times New Roman" w:hAnsi="Times New Roman"/>
                <w:sz w:val="21"/>
              </w:rPr>
              <w:t>小型</w:t>
            </w:r>
          </w:p>
        </w:tc>
        <w:tc>
          <w:tcPr>
            <w:tcW w:w="1134" w:type="dxa"/>
            <w:noWrap w:val="0"/>
            <w:vAlign w:val="center"/>
          </w:tcPr>
          <w:p>
            <w:pPr>
              <w:spacing w:line="240" w:lineRule="auto"/>
              <w:ind w:firstLine="0"/>
              <w:jc w:val="center"/>
              <w:rPr>
                <w:rFonts w:ascii="Times New Roman" w:hAnsi="Times New Roman"/>
                <w:sz w:val="21"/>
              </w:rPr>
            </w:pPr>
            <w:r>
              <w:rPr>
                <w:rFonts w:ascii="Times New Roman" w:hAnsi="Times New Roman"/>
                <w:sz w:val="21"/>
              </w:rPr>
              <w:t>合计</w:t>
            </w:r>
          </w:p>
        </w:tc>
        <w:tc>
          <w:tcPr>
            <w:tcW w:w="1236" w:type="dxa"/>
            <w:noWrap w:val="0"/>
            <w:vAlign w:val="center"/>
          </w:tcPr>
          <w:p>
            <w:pPr>
              <w:spacing w:line="240" w:lineRule="auto"/>
              <w:ind w:firstLine="0"/>
              <w:jc w:val="center"/>
              <w:rPr>
                <w:rFonts w:ascii="Times New Roman" w:hAnsi="Times New Roman"/>
                <w:sz w:val="21"/>
              </w:rPr>
            </w:pPr>
            <w:r>
              <w:rPr>
                <w:rFonts w:ascii="Times New Roman" w:hAnsi="Times New Roman"/>
                <w:sz w:val="21"/>
              </w:rPr>
              <w:t>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18" w:type="dxa"/>
            <w:noWrap w:val="0"/>
            <w:vAlign w:val="center"/>
          </w:tcPr>
          <w:p>
            <w:pPr>
              <w:spacing w:line="240" w:lineRule="auto"/>
              <w:ind w:firstLine="0"/>
              <w:jc w:val="center"/>
              <w:rPr>
                <w:rFonts w:ascii="Times New Roman" w:hAnsi="Times New Roman"/>
                <w:sz w:val="21"/>
              </w:rPr>
            </w:pPr>
            <w:r>
              <w:rPr>
                <w:rFonts w:ascii="Times New Roman" w:hAnsi="Times New Roman"/>
                <w:sz w:val="21"/>
              </w:rPr>
              <w:t>滑坡</w:t>
            </w:r>
          </w:p>
        </w:tc>
        <w:tc>
          <w:tcPr>
            <w:tcW w:w="1290" w:type="dxa"/>
            <w:noWrap w:val="0"/>
            <w:vAlign w:val="center"/>
          </w:tcPr>
          <w:p>
            <w:pPr>
              <w:spacing w:line="240" w:lineRule="auto"/>
              <w:ind w:firstLine="0"/>
              <w:jc w:val="center"/>
              <w:rPr>
                <w:rFonts w:ascii="Times New Roman" w:hAnsi="Times New Roman"/>
                <w:sz w:val="21"/>
              </w:rPr>
            </w:pPr>
            <w:r>
              <w:rPr>
                <w:rFonts w:ascii="Times New Roman" w:hAnsi="Times New Roman"/>
                <w:sz w:val="21"/>
              </w:rPr>
              <w:t>0</w:t>
            </w:r>
          </w:p>
        </w:tc>
        <w:tc>
          <w:tcPr>
            <w:tcW w:w="1276" w:type="dxa"/>
            <w:noWrap w:val="0"/>
            <w:vAlign w:val="center"/>
          </w:tcPr>
          <w:p>
            <w:pPr>
              <w:spacing w:line="240" w:lineRule="auto"/>
              <w:ind w:firstLine="0"/>
              <w:jc w:val="center"/>
              <w:rPr>
                <w:rFonts w:ascii="Times New Roman" w:hAnsi="Times New Roman"/>
                <w:sz w:val="21"/>
              </w:rPr>
            </w:pPr>
            <w:r>
              <w:rPr>
                <w:rFonts w:ascii="Times New Roman" w:hAnsi="Times New Roman"/>
                <w:sz w:val="21"/>
              </w:rPr>
              <w:t>4</w:t>
            </w:r>
          </w:p>
        </w:tc>
        <w:tc>
          <w:tcPr>
            <w:tcW w:w="1275" w:type="dxa"/>
            <w:noWrap w:val="0"/>
            <w:vAlign w:val="center"/>
          </w:tcPr>
          <w:p>
            <w:pPr>
              <w:spacing w:line="240" w:lineRule="auto"/>
              <w:ind w:firstLine="0"/>
              <w:jc w:val="center"/>
              <w:rPr>
                <w:rFonts w:ascii="Times New Roman" w:hAnsi="Times New Roman"/>
                <w:sz w:val="21"/>
              </w:rPr>
            </w:pPr>
            <w:r>
              <w:rPr>
                <w:rFonts w:ascii="Times New Roman" w:hAnsi="Times New Roman"/>
                <w:sz w:val="21"/>
              </w:rPr>
              <w:t>60</w:t>
            </w:r>
          </w:p>
        </w:tc>
        <w:tc>
          <w:tcPr>
            <w:tcW w:w="1134" w:type="dxa"/>
            <w:noWrap w:val="0"/>
            <w:vAlign w:val="center"/>
          </w:tcPr>
          <w:p>
            <w:pPr>
              <w:spacing w:line="240" w:lineRule="auto"/>
              <w:ind w:firstLine="0"/>
              <w:jc w:val="center"/>
              <w:rPr>
                <w:rFonts w:ascii="Times New Roman" w:hAnsi="Times New Roman"/>
                <w:sz w:val="21"/>
              </w:rPr>
            </w:pPr>
            <w:r>
              <w:rPr>
                <w:rFonts w:ascii="Times New Roman" w:hAnsi="Times New Roman"/>
                <w:sz w:val="21"/>
              </w:rPr>
              <w:t>79</w:t>
            </w:r>
          </w:p>
        </w:tc>
        <w:tc>
          <w:tcPr>
            <w:tcW w:w="1134" w:type="dxa"/>
            <w:noWrap w:val="0"/>
            <w:vAlign w:val="center"/>
          </w:tcPr>
          <w:p>
            <w:pPr>
              <w:spacing w:line="240" w:lineRule="auto"/>
              <w:ind w:firstLine="0"/>
              <w:jc w:val="center"/>
              <w:rPr>
                <w:rFonts w:ascii="Times New Roman" w:hAnsi="Times New Roman"/>
                <w:sz w:val="21"/>
              </w:rPr>
            </w:pPr>
            <w:r>
              <w:rPr>
                <w:rFonts w:ascii="Times New Roman" w:hAnsi="Times New Roman"/>
                <w:sz w:val="21"/>
              </w:rPr>
              <w:t>143</w:t>
            </w:r>
          </w:p>
        </w:tc>
        <w:tc>
          <w:tcPr>
            <w:tcW w:w="1236" w:type="dxa"/>
            <w:noWrap w:val="0"/>
            <w:vAlign w:val="center"/>
          </w:tcPr>
          <w:p>
            <w:pPr>
              <w:spacing w:line="240" w:lineRule="auto"/>
              <w:ind w:firstLine="0"/>
              <w:jc w:val="center"/>
              <w:rPr>
                <w:rFonts w:ascii="Times New Roman" w:hAnsi="Times New Roman"/>
                <w:sz w:val="21"/>
              </w:rPr>
            </w:pPr>
            <w:r>
              <w:rPr>
                <w:rFonts w:ascii="Times New Roman" w:hAnsi="Times New Roman"/>
                <w:sz w:val="21"/>
              </w:rPr>
              <w:t>84.62%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18" w:type="dxa"/>
            <w:noWrap w:val="0"/>
            <w:vAlign w:val="center"/>
          </w:tcPr>
          <w:p>
            <w:pPr>
              <w:spacing w:line="240" w:lineRule="auto"/>
              <w:ind w:firstLine="0"/>
              <w:jc w:val="center"/>
              <w:rPr>
                <w:rFonts w:ascii="Times New Roman" w:hAnsi="Times New Roman"/>
                <w:sz w:val="21"/>
              </w:rPr>
            </w:pPr>
            <w:r>
              <w:rPr>
                <w:rFonts w:ascii="Times New Roman" w:hAnsi="Times New Roman"/>
                <w:sz w:val="21"/>
              </w:rPr>
              <w:t>崩塌</w:t>
            </w:r>
          </w:p>
        </w:tc>
        <w:tc>
          <w:tcPr>
            <w:tcW w:w="1290" w:type="dxa"/>
            <w:noWrap w:val="0"/>
            <w:vAlign w:val="center"/>
          </w:tcPr>
          <w:p>
            <w:pPr>
              <w:spacing w:line="240" w:lineRule="auto"/>
              <w:ind w:firstLine="0"/>
              <w:jc w:val="center"/>
              <w:rPr>
                <w:rFonts w:ascii="Times New Roman" w:hAnsi="Times New Roman"/>
                <w:sz w:val="21"/>
              </w:rPr>
            </w:pPr>
            <w:r>
              <w:rPr>
                <w:rFonts w:ascii="Times New Roman" w:hAnsi="Times New Roman"/>
                <w:sz w:val="21"/>
              </w:rPr>
              <w:t>0</w:t>
            </w:r>
          </w:p>
        </w:tc>
        <w:tc>
          <w:tcPr>
            <w:tcW w:w="1276" w:type="dxa"/>
            <w:noWrap w:val="0"/>
            <w:vAlign w:val="center"/>
          </w:tcPr>
          <w:p>
            <w:pPr>
              <w:spacing w:line="240" w:lineRule="auto"/>
              <w:ind w:firstLine="0"/>
              <w:jc w:val="center"/>
              <w:rPr>
                <w:rFonts w:ascii="Times New Roman" w:hAnsi="Times New Roman"/>
                <w:sz w:val="21"/>
              </w:rPr>
            </w:pPr>
            <w:r>
              <w:rPr>
                <w:rFonts w:ascii="Times New Roman" w:hAnsi="Times New Roman"/>
                <w:sz w:val="21"/>
              </w:rPr>
              <w:t>0</w:t>
            </w:r>
          </w:p>
        </w:tc>
        <w:tc>
          <w:tcPr>
            <w:tcW w:w="1275" w:type="dxa"/>
            <w:noWrap w:val="0"/>
            <w:vAlign w:val="center"/>
          </w:tcPr>
          <w:p>
            <w:pPr>
              <w:spacing w:line="240" w:lineRule="auto"/>
              <w:ind w:firstLine="0"/>
              <w:jc w:val="center"/>
              <w:rPr>
                <w:rFonts w:ascii="Times New Roman" w:hAnsi="Times New Roman"/>
                <w:sz w:val="21"/>
              </w:rPr>
            </w:pPr>
            <w:r>
              <w:rPr>
                <w:rFonts w:ascii="Times New Roman" w:hAnsi="Times New Roman"/>
                <w:sz w:val="21"/>
              </w:rPr>
              <w:t>3</w:t>
            </w:r>
          </w:p>
        </w:tc>
        <w:tc>
          <w:tcPr>
            <w:tcW w:w="1134" w:type="dxa"/>
            <w:noWrap w:val="0"/>
            <w:vAlign w:val="center"/>
          </w:tcPr>
          <w:p>
            <w:pPr>
              <w:spacing w:line="240" w:lineRule="auto"/>
              <w:ind w:firstLine="0"/>
              <w:jc w:val="center"/>
              <w:rPr>
                <w:rFonts w:ascii="Times New Roman" w:hAnsi="Times New Roman"/>
                <w:sz w:val="21"/>
              </w:rPr>
            </w:pPr>
            <w:r>
              <w:rPr>
                <w:rFonts w:ascii="Times New Roman" w:hAnsi="Times New Roman"/>
                <w:sz w:val="21"/>
              </w:rPr>
              <w:t>1</w:t>
            </w:r>
          </w:p>
        </w:tc>
        <w:tc>
          <w:tcPr>
            <w:tcW w:w="1134" w:type="dxa"/>
            <w:noWrap w:val="0"/>
            <w:vAlign w:val="center"/>
          </w:tcPr>
          <w:p>
            <w:pPr>
              <w:spacing w:line="240" w:lineRule="auto"/>
              <w:ind w:firstLine="0"/>
              <w:jc w:val="center"/>
              <w:rPr>
                <w:rFonts w:ascii="Times New Roman" w:hAnsi="Times New Roman"/>
                <w:sz w:val="21"/>
              </w:rPr>
            </w:pPr>
            <w:r>
              <w:rPr>
                <w:rFonts w:ascii="Times New Roman" w:hAnsi="Times New Roman"/>
                <w:sz w:val="21"/>
              </w:rPr>
              <w:t>4</w:t>
            </w:r>
          </w:p>
        </w:tc>
        <w:tc>
          <w:tcPr>
            <w:tcW w:w="1236" w:type="dxa"/>
            <w:noWrap w:val="0"/>
            <w:vAlign w:val="center"/>
          </w:tcPr>
          <w:p>
            <w:pPr>
              <w:spacing w:line="240" w:lineRule="auto"/>
              <w:ind w:firstLine="0"/>
              <w:jc w:val="center"/>
              <w:rPr>
                <w:rFonts w:ascii="Times New Roman" w:hAnsi="Times New Roman"/>
                <w:sz w:val="21"/>
              </w:rPr>
            </w:pPr>
            <w:r>
              <w:rPr>
                <w:rFonts w:ascii="Times New Roman" w:hAnsi="Times New Roman"/>
                <w:sz w:val="21"/>
              </w:rPr>
              <w:t>2.37%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18" w:type="dxa"/>
            <w:noWrap w:val="0"/>
            <w:vAlign w:val="center"/>
          </w:tcPr>
          <w:p>
            <w:pPr>
              <w:spacing w:line="240" w:lineRule="auto"/>
              <w:ind w:firstLine="0"/>
              <w:jc w:val="center"/>
              <w:rPr>
                <w:rFonts w:ascii="Times New Roman" w:hAnsi="Times New Roman"/>
                <w:sz w:val="21"/>
              </w:rPr>
            </w:pPr>
            <w:r>
              <w:rPr>
                <w:rFonts w:ascii="Times New Roman" w:hAnsi="Times New Roman"/>
                <w:sz w:val="21"/>
              </w:rPr>
              <w:t>泥石流</w:t>
            </w:r>
          </w:p>
        </w:tc>
        <w:tc>
          <w:tcPr>
            <w:tcW w:w="1290" w:type="dxa"/>
            <w:noWrap w:val="0"/>
            <w:vAlign w:val="center"/>
          </w:tcPr>
          <w:p>
            <w:pPr>
              <w:spacing w:line="240" w:lineRule="auto"/>
              <w:ind w:firstLine="0"/>
              <w:jc w:val="center"/>
              <w:rPr>
                <w:rFonts w:ascii="Times New Roman" w:hAnsi="Times New Roman"/>
                <w:sz w:val="21"/>
              </w:rPr>
            </w:pPr>
            <w:r>
              <w:rPr>
                <w:rFonts w:ascii="Times New Roman" w:hAnsi="Times New Roman"/>
                <w:sz w:val="21"/>
              </w:rPr>
              <w:t>1</w:t>
            </w:r>
          </w:p>
        </w:tc>
        <w:tc>
          <w:tcPr>
            <w:tcW w:w="1276" w:type="dxa"/>
            <w:noWrap w:val="0"/>
            <w:vAlign w:val="center"/>
          </w:tcPr>
          <w:p>
            <w:pPr>
              <w:spacing w:line="240" w:lineRule="auto"/>
              <w:ind w:firstLine="0"/>
              <w:jc w:val="center"/>
              <w:rPr>
                <w:rFonts w:ascii="Times New Roman" w:hAnsi="Times New Roman"/>
                <w:sz w:val="21"/>
              </w:rPr>
            </w:pPr>
            <w:r>
              <w:rPr>
                <w:rFonts w:ascii="Times New Roman" w:hAnsi="Times New Roman"/>
                <w:sz w:val="21"/>
              </w:rPr>
              <w:t>2</w:t>
            </w:r>
          </w:p>
        </w:tc>
        <w:tc>
          <w:tcPr>
            <w:tcW w:w="1275" w:type="dxa"/>
            <w:noWrap w:val="0"/>
            <w:vAlign w:val="center"/>
          </w:tcPr>
          <w:p>
            <w:pPr>
              <w:spacing w:line="240" w:lineRule="auto"/>
              <w:ind w:firstLine="0"/>
              <w:jc w:val="center"/>
              <w:rPr>
                <w:rFonts w:ascii="Times New Roman" w:hAnsi="Times New Roman"/>
                <w:sz w:val="21"/>
              </w:rPr>
            </w:pPr>
            <w:r>
              <w:rPr>
                <w:rFonts w:ascii="Times New Roman" w:hAnsi="Times New Roman"/>
                <w:sz w:val="21"/>
              </w:rPr>
              <w:t>12</w:t>
            </w:r>
          </w:p>
        </w:tc>
        <w:tc>
          <w:tcPr>
            <w:tcW w:w="1134" w:type="dxa"/>
            <w:noWrap w:val="0"/>
            <w:vAlign w:val="center"/>
          </w:tcPr>
          <w:p>
            <w:pPr>
              <w:spacing w:line="240" w:lineRule="auto"/>
              <w:ind w:firstLine="0"/>
              <w:jc w:val="center"/>
              <w:rPr>
                <w:rFonts w:ascii="Times New Roman" w:hAnsi="Times New Roman"/>
                <w:sz w:val="21"/>
              </w:rPr>
            </w:pPr>
            <w:r>
              <w:rPr>
                <w:rFonts w:ascii="Times New Roman" w:hAnsi="Times New Roman"/>
                <w:sz w:val="21"/>
              </w:rPr>
              <w:t>6</w:t>
            </w:r>
          </w:p>
        </w:tc>
        <w:tc>
          <w:tcPr>
            <w:tcW w:w="1134" w:type="dxa"/>
            <w:noWrap w:val="0"/>
            <w:vAlign w:val="center"/>
          </w:tcPr>
          <w:p>
            <w:pPr>
              <w:spacing w:line="240" w:lineRule="auto"/>
              <w:ind w:firstLine="0"/>
              <w:jc w:val="center"/>
              <w:rPr>
                <w:rFonts w:ascii="Times New Roman" w:hAnsi="Times New Roman"/>
                <w:sz w:val="21"/>
              </w:rPr>
            </w:pPr>
            <w:r>
              <w:rPr>
                <w:rFonts w:ascii="Times New Roman" w:hAnsi="Times New Roman"/>
                <w:sz w:val="21"/>
              </w:rPr>
              <w:t>21</w:t>
            </w:r>
          </w:p>
        </w:tc>
        <w:tc>
          <w:tcPr>
            <w:tcW w:w="1236" w:type="dxa"/>
            <w:noWrap w:val="0"/>
            <w:vAlign w:val="center"/>
          </w:tcPr>
          <w:p>
            <w:pPr>
              <w:spacing w:line="240" w:lineRule="auto"/>
              <w:ind w:firstLine="0"/>
              <w:jc w:val="center"/>
              <w:rPr>
                <w:rFonts w:ascii="Times New Roman" w:hAnsi="Times New Roman"/>
                <w:sz w:val="21"/>
              </w:rPr>
            </w:pPr>
            <w:r>
              <w:rPr>
                <w:rFonts w:ascii="Times New Roman" w:hAnsi="Times New Roman"/>
                <w:sz w:val="21"/>
              </w:rPr>
              <w:t>12.43%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18" w:type="dxa"/>
            <w:noWrap w:val="0"/>
            <w:vAlign w:val="center"/>
          </w:tcPr>
          <w:p>
            <w:pPr>
              <w:spacing w:line="240" w:lineRule="auto"/>
              <w:ind w:firstLine="0"/>
              <w:jc w:val="center"/>
              <w:rPr>
                <w:rFonts w:ascii="Times New Roman" w:hAnsi="Times New Roman"/>
                <w:sz w:val="21"/>
              </w:rPr>
            </w:pPr>
            <w:r>
              <w:rPr>
                <w:rFonts w:ascii="Times New Roman" w:hAnsi="Times New Roman"/>
                <w:sz w:val="21"/>
              </w:rPr>
              <w:t>地面塌陷</w:t>
            </w:r>
          </w:p>
        </w:tc>
        <w:tc>
          <w:tcPr>
            <w:tcW w:w="1290" w:type="dxa"/>
            <w:noWrap w:val="0"/>
            <w:vAlign w:val="center"/>
          </w:tcPr>
          <w:p>
            <w:pPr>
              <w:spacing w:line="240" w:lineRule="auto"/>
              <w:ind w:firstLine="0"/>
              <w:jc w:val="center"/>
              <w:rPr>
                <w:rFonts w:ascii="Times New Roman" w:hAnsi="Times New Roman"/>
                <w:sz w:val="21"/>
              </w:rPr>
            </w:pPr>
            <w:r>
              <w:rPr>
                <w:rFonts w:ascii="Times New Roman" w:hAnsi="Times New Roman"/>
                <w:sz w:val="21"/>
              </w:rPr>
              <w:t>0</w:t>
            </w:r>
          </w:p>
        </w:tc>
        <w:tc>
          <w:tcPr>
            <w:tcW w:w="1276" w:type="dxa"/>
            <w:noWrap w:val="0"/>
            <w:vAlign w:val="center"/>
          </w:tcPr>
          <w:p>
            <w:pPr>
              <w:spacing w:line="240" w:lineRule="auto"/>
              <w:ind w:firstLine="0"/>
              <w:jc w:val="center"/>
              <w:rPr>
                <w:rFonts w:ascii="Times New Roman" w:hAnsi="Times New Roman"/>
                <w:sz w:val="21"/>
              </w:rPr>
            </w:pPr>
            <w:r>
              <w:rPr>
                <w:rFonts w:ascii="Times New Roman" w:hAnsi="Times New Roman"/>
                <w:sz w:val="21"/>
              </w:rPr>
              <w:t>0</w:t>
            </w:r>
          </w:p>
        </w:tc>
        <w:tc>
          <w:tcPr>
            <w:tcW w:w="1275" w:type="dxa"/>
            <w:noWrap w:val="0"/>
            <w:vAlign w:val="center"/>
          </w:tcPr>
          <w:p>
            <w:pPr>
              <w:spacing w:line="240" w:lineRule="auto"/>
              <w:ind w:firstLine="0"/>
              <w:jc w:val="center"/>
              <w:rPr>
                <w:rFonts w:ascii="Times New Roman" w:hAnsi="Times New Roman"/>
                <w:sz w:val="21"/>
              </w:rPr>
            </w:pPr>
            <w:r>
              <w:rPr>
                <w:rFonts w:ascii="Times New Roman" w:hAnsi="Times New Roman"/>
                <w:sz w:val="21"/>
              </w:rPr>
              <w:t>0</w:t>
            </w:r>
          </w:p>
        </w:tc>
        <w:tc>
          <w:tcPr>
            <w:tcW w:w="1134" w:type="dxa"/>
            <w:noWrap w:val="0"/>
            <w:vAlign w:val="center"/>
          </w:tcPr>
          <w:p>
            <w:pPr>
              <w:spacing w:line="240" w:lineRule="auto"/>
              <w:ind w:firstLine="0"/>
              <w:jc w:val="center"/>
              <w:rPr>
                <w:rFonts w:ascii="Times New Roman" w:hAnsi="Times New Roman"/>
                <w:sz w:val="21"/>
              </w:rPr>
            </w:pPr>
            <w:r>
              <w:rPr>
                <w:rFonts w:ascii="Times New Roman" w:hAnsi="Times New Roman"/>
                <w:sz w:val="21"/>
              </w:rPr>
              <w:t>1</w:t>
            </w:r>
          </w:p>
        </w:tc>
        <w:tc>
          <w:tcPr>
            <w:tcW w:w="1134" w:type="dxa"/>
            <w:noWrap w:val="0"/>
            <w:vAlign w:val="center"/>
          </w:tcPr>
          <w:p>
            <w:pPr>
              <w:spacing w:line="240" w:lineRule="auto"/>
              <w:ind w:firstLine="0"/>
              <w:jc w:val="center"/>
              <w:rPr>
                <w:rFonts w:ascii="Times New Roman" w:hAnsi="Times New Roman"/>
                <w:sz w:val="21"/>
              </w:rPr>
            </w:pPr>
            <w:r>
              <w:rPr>
                <w:rFonts w:ascii="Times New Roman" w:hAnsi="Times New Roman"/>
                <w:sz w:val="21"/>
              </w:rPr>
              <w:t>1</w:t>
            </w:r>
          </w:p>
        </w:tc>
        <w:tc>
          <w:tcPr>
            <w:tcW w:w="1236" w:type="dxa"/>
            <w:noWrap w:val="0"/>
            <w:vAlign w:val="center"/>
          </w:tcPr>
          <w:p>
            <w:pPr>
              <w:spacing w:line="240" w:lineRule="auto"/>
              <w:ind w:firstLine="0"/>
              <w:jc w:val="center"/>
              <w:rPr>
                <w:rFonts w:ascii="Times New Roman" w:hAnsi="Times New Roman"/>
                <w:sz w:val="21"/>
              </w:rPr>
            </w:pPr>
            <w:r>
              <w:rPr>
                <w:rFonts w:ascii="Times New Roman" w:hAnsi="Times New Roman"/>
                <w:sz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18" w:type="dxa"/>
            <w:noWrap w:val="0"/>
            <w:vAlign w:val="center"/>
          </w:tcPr>
          <w:p>
            <w:pPr>
              <w:spacing w:line="240" w:lineRule="auto"/>
              <w:ind w:firstLine="0"/>
              <w:jc w:val="center"/>
              <w:rPr>
                <w:rFonts w:ascii="Times New Roman" w:hAnsi="Times New Roman"/>
                <w:sz w:val="21"/>
              </w:rPr>
            </w:pPr>
            <w:r>
              <w:rPr>
                <w:rFonts w:ascii="Times New Roman" w:hAnsi="Times New Roman"/>
                <w:sz w:val="21"/>
              </w:rPr>
              <w:t>合计</w:t>
            </w:r>
          </w:p>
        </w:tc>
        <w:tc>
          <w:tcPr>
            <w:tcW w:w="1290" w:type="dxa"/>
            <w:noWrap w:val="0"/>
            <w:vAlign w:val="center"/>
          </w:tcPr>
          <w:p>
            <w:pPr>
              <w:spacing w:line="240" w:lineRule="auto"/>
              <w:ind w:firstLine="0"/>
              <w:jc w:val="center"/>
              <w:rPr>
                <w:rFonts w:ascii="Times New Roman" w:hAnsi="Times New Roman"/>
                <w:sz w:val="21"/>
              </w:rPr>
            </w:pPr>
            <w:r>
              <w:rPr>
                <w:rFonts w:ascii="Times New Roman" w:hAnsi="Times New Roman"/>
                <w:sz w:val="21"/>
              </w:rPr>
              <w:t>1</w:t>
            </w:r>
          </w:p>
        </w:tc>
        <w:tc>
          <w:tcPr>
            <w:tcW w:w="1276" w:type="dxa"/>
            <w:noWrap w:val="0"/>
            <w:vAlign w:val="center"/>
          </w:tcPr>
          <w:p>
            <w:pPr>
              <w:spacing w:line="240" w:lineRule="auto"/>
              <w:ind w:firstLine="0"/>
              <w:jc w:val="center"/>
              <w:rPr>
                <w:rFonts w:ascii="Times New Roman" w:hAnsi="Times New Roman"/>
                <w:sz w:val="21"/>
              </w:rPr>
            </w:pPr>
            <w:r>
              <w:rPr>
                <w:rFonts w:ascii="Times New Roman" w:hAnsi="Times New Roman"/>
                <w:sz w:val="21"/>
              </w:rPr>
              <w:t>6</w:t>
            </w:r>
          </w:p>
        </w:tc>
        <w:tc>
          <w:tcPr>
            <w:tcW w:w="1275" w:type="dxa"/>
            <w:noWrap w:val="0"/>
            <w:vAlign w:val="center"/>
          </w:tcPr>
          <w:p>
            <w:pPr>
              <w:spacing w:line="240" w:lineRule="auto"/>
              <w:ind w:firstLine="0"/>
              <w:jc w:val="center"/>
              <w:rPr>
                <w:rFonts w:ascii="Times New Roman" w:hAnsi="Times New Roman"/>
                <w:sz w:val="21"/>
              </w:rPr>
            </w:pPr>
            <w:r>
              <w:rPr>
                <w:rFonts w:ascii="Times New Roman" w:hAnsi="Times New Roman"/>
                <w:sz w:val="21"/>
              </w:rPr>
              <w:t>75</w:t>
            </w:r>
          </w:p>
        </w:tc>
        <w:tc>
          <w:tcPr>
            <w:tcW w:w="1134" w:type="dxa"/>
            <w:noWrap w:val="0"/>
            <w:vAlign w:val="center"/>
          </w:tcPr>
          <w:p>
            <w:pPr>
              <w:spacing w:line="240" w:lineRule="auto"/>
              <w:ind w:firstLine="0"/>
              <w:jc w:val="center"/>
              <w:rPr>
                <w:rFonts w:ascii="Times New Roman" w:hAnsi="Times New Roman"/>
                <w:sz w:val="21"/>
              </w:rPr>
            </w:pPr>
            <w:r>
              <w:rPr>
                <w:rFonts w:ascii="Times New Roman" w:hAnsi="Times New Roman"/>
                <w:sz w:val="21"/>
              </w:rPr>
              <w:t>87</w:t>
            </w:r>
          </w:p>
        </w:tc>
        <w:tc>
          <w:tcPr>
            <w:tcW w:w="1134" w:type="dxa"/>
            <w:noWrap w:val="0"/>
            <w:vAlign w:val="center"/>
          </w:tcPr>
          <w:p>
            <w:pPr>
              <w:spacing w:line="240" w:lineRule="auto"/>
              <w:ind w:firstLine="0"/>
              <w:jc w:val="center"/>
              <w:rPr>
                <w:rFonts w:ascii="Times New Roman" w:hAnsi="Times New Roman"/>
                <w:sz w:val="21"/>
              </w:rPr>
            </w:pPr>
            <w:r>
              <w:rPr>
                <w:rFonts w:ascii="Times New Roman" w:hAnsi="Times New Roman"/>
                <w:sz w:val="21"/>
              </w:rPr>
              <w:t>169</w:t>
            </w:r>
          </w:p>
        </w:tc>
        <w:tc>
          <w:tcPr>
            <w:tcW w:w="1236" w:type="dxa"/>
            <w:noWrap w:val="0"/>
            <w:vAlign w:val="center"/>
          </w:tcPr>
          <w:p>
            <w:pPr>
              <w:spacing w:line="240" w:lineRule="auto"/>
              <w:ind w:firstLine="0"/>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18" w:type="dxa"/>
            <w:noWrap w:val="0"/>
            <w:vAlign w:val="center"/>
          </w:tcPr>
          <w:p>
            <w:pPr>
              <w:spacing w:line="240" w:lineRule="auto"/>
              <w:ind w:firstLine="0"/>
              <w:jc w:val="center"/>
              <w:rPr>
                <w:rFonts w:ascii="Times New Roman" w:hAnsi="Times New Roman"/>
                <w:sz w:val="21"/>
              </w:rPr>
            </w:pPr>
            <w:r>
              <w:rPr>
                <w:rFonts w:ascii="Times New Roman" w:hAnsi="Times New Roman"/>
                <w:sz w:val="21"/>
              </w:rPr>
              <w:t>占比</w:t>
            </w:r>
          </w:p>
        </w:tc>
        <w:tc>
          <w:tcPr>
            <w:tcW w:w="1290" w:type="dxa"/>
            <w:noWrap w:val="0"/>
            <w:vAlign w:val="center"/>
          </w:tcPr>
          <w:p>
            <w:pPr>
              <w:spacing w:line="240" w:lineRule="auto"/>
              <w:ind w:firstLine="0"/>
              <w:jc w:val="center"/>
              <w:rPr>
                <w:rFonts w:ascii="Times New Roman" w:hAnsi="Times New Roman"/>
                <w:sz w:val="21"/>
              </w:rPr>
            </w:pPr>
            <w:r>
              <w:rPr>
                <w:rFonts w:ascii="Times New Roman" w:hAnsi="Times New Roman"/>
                <w:sz w:val="21"/>
              </w:rPr>
              <w:t>0.59%</w:t>
            </w:r>
          </w:p>
        </w:tc>
        <w:tc>
          <w:tcPr>
            <w:tcW w:w="1276" w:type="dxa"/>
            <w:noWrap w:val="0"/>
            <w:vAlign w:val="center"/>
          </w:tcPr>
          <w:p>
            <w:pPr>
              <w:spacing w:line="240" w:lineRule="auto"/>
              <w:ind w:firstLine="0"/>
              <w:jc w:val="center"/>
              <w:rPr>
                <w:rFonts w:ascii="Times New Roman" w:hAnsi="Times New Roman"/>
                <w:sz w:val="21"/>
              </w:rPr>
            </w:pPr>
            <w:r>
              <w:rPr>
                <w:rFonts w:ascii="Times New Roman" w:hAnsi="Times New Roman"/>
                <w:sz w:val="21"/>
              </w:rPr>
              <w:t>3.55%</w:t>
            </w:r>
          </w:p>
        </w:tc>
        <w:tc>
          <w:tcPr>
            <w:tcW w:w="1275" w:type="dxa"/>
            <w:noWrap w:val="0"/>
            <w:vAlign w:val="center"/>
          </w:tcPr>
          <w:p>
            <w:pPr>
              <w:spacing w:line="240" w:lineRule="auto"/>
              <w:ind w:firstLine="0"/>
              <w:jc w:val="center"/>
              <w:rPr>
                <w:rFonts w:ascii="Times New Roman" w:hAnsi="Times New Roman"/>
                <w:sz w:val="21"/>
              </w:rPr>
            </w:pPr>
            <w:r>
              <w:rPr>
                <w:rFonts w:ascii="Times New Roman" w:hAnsi="Times New Roman"/>
                <w:sz w:val="21"/>
              </w:rPr>
              <w:t>44.38%</w:t>
            </w:r>
          </w:p>
        </w:tc>
        <w:tc>
          <w:tcPr>
            <w:tcW w:w="1134" w:type="dxa"/>
            <w:noWrap w:val="0"/>
            <w:vAlign w:val="center"/>
          </w:tcPr>
          <w:p>
            <w:pPr>
              <w:spacing w:line="240" w:lineRule="auto"/>
              <w:ind w:firstLine="0"/>
              <w:jc w:val="center"/>
              <w:rPr>
                <w:rFonts w:ascii="Times New Roman" w:hAnsi="Times New Roman"/>
                <w:sz w:val="21"/>
              </w:rPr>
            </w:pPr>
            <w:r>
              <w:rPr>
                <w:rFonts w:ascii="Times New Roman" w:hAnsi="Times New Roman"/>
                <w:sz w:val="21"/>
              </w:rPr>
              <w:t>51.48%</w:t>
            </w:r>
          </w:p>
        </w:tc>
        <w:tc>
          <w:tcPr>
            <w:tcW w:w="1134" w:type="dxa"/>
            <w:noWrap w:val="0"/>
            <w:vAlign w:val="center"/>
          </w:tcPr>
          <w:p>
            <w:pPr>
              <w:spacing w:line="240" w:lineRule="auto"/>
              <w:ind w:firstLine="0"/>
              <w:jc w:val="center"/>
              <w:rPr>
                <w:rFonts w:ascii="Times New Roman" w:hAnsi="Times New Roman"/>
                <w:sz w:val="21"/>
              </w:rPr>
            </w:pPr>
          </w:p>
        </w:tc>
        <w:tc>
          <w:tcPr>
            <w:tcW w:w="1236" w:type="dxa"/>
            <w:noWrap w:val="0"/>
            <w:vAlign w:val="center"/>
          </w:tcPr>
          <w:p>
            <w:pPr>
              <w:spacing w:line="240" w:lineRule="auto"/>
              <w:ind w:firstLine="0"/>
              <w:jc w:val="center"/>
              <w:rPr>
                <w:rFonts w:ascii="Times New Roman" w:hAnsi="Times New Roman"/>
                <w:sz w:val="21"/>
              </w:rPr>
            </w:pPr>
          </w:p>
        </w:tc>
      </w:tr>
    </w:tbl>
    <w:p>
      <w:pPr>
        <w:ind w:firstLine="560"/>
        <w:rPr>
          <w:rFonts w:ascii="Times New Roman" w:hAnsi="Times New Roman"/>
        </w:rPr>
      </w:pPr>
    </w:p>
    <w:p>
      <w:pPr>
        <w:spacing w:line="240" w:lineRule="auto"/>
        <w:ind w:firstLine="0"/>
        <w:jc w:val="center"/>
        <w:rPr>
          <w:rFonts w:ascii="Times New Roman" w:hAnsi="Times New Roman"/>
          <w:b/>
          <w:bCs/>
          <w:sz w:val="24"/>
          <w:szCs w:val="24"/>
        </w:rPr>
      </w:pPr>
      <w:r>
        <w:rPr>
          <w:rFonts w:ascii="Times New Roman" w:hAnsi="Times New Roman"/>
          <w:b/>
          <w:bCs/>
          <w:sz w:val="24"/>
          <w:szCs w:val="24"/>
        </w:rPr>
        <w:t>表</w:t>
      </w:r>
      <w:r>
        <w:rPr>
          <w:rFonts w:hint="eastAsia" w:ascii="Times New Roman" w:hAnsi="Times New Roman"/>
          <w:b/>
          <w:bCs/>
          <w:sz w:val="24"/>
          <w:szCs w:val="24"/>
        </w:rPr>
        <w:t>1</w:t>
      </w:r>
      <w:r>
        <w:rPr>
          <w:rFonts w:ascii="Times New Roman" w:hAnsi="Times New Roman"/>
          <w:b/>
          <w:bCs/>
          <w:sz w:val="24"/>
          <w:szCs w:val="24"/>
        </w:rPr>
        <w:t>-2 芒市各乡镇地质灾害隐患分布及规模分级统计表</w:t>
      </w:r>
    </w:p>
    <w:tbl>
      <w:tblPr>
        <w:tblStyle w:val="28"/>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273"/>
        <w:gridCol w:w="708"/>
        <w:gridCol w:w="851"/>
        <w:gridCol w:w="996"/>
        <w:gridCol w:w="708"/>
        <w:gridCol w:w="709"/>
        <w:gridCol w:w="709"/>
        <w:gridCol w:w="709"/>
        <w:gridCol w:w="708"/>
        <w:gridCol w:w="710"/>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blHeader/>
        </w:trPr>
        <w:tc>
          <w:tcPr>
            <w:tcW w:w="567" w:type="dxa"/>
            <w:vMerge w:val="restart"/>
            <w:noWrap/>
            <w:vAlign w:val="center"/>
          </w:tcPr>
          <w:p>
            <w:pPr>
              <w:widowControl/>
              <w:spacing w:line="240" w:lineRule="auto"/>
              <w:ind w:firstLine="0"/>
              <w:jc w:val="center"/>
              <w:rPr>
                <w:rFonts w:ascii="Times New Roman" w:hAnsi="Times New Roman"/>
                <w:b/>
                <w:bCs/>
                <w:color w:val="000000"/>
                <w:sz w:val="22"/>
              </w:rPr>
            </w:pPr>
            <w:r>
              <w:rPr>
                <w:rFonts w:ascii="Times New Roman" w:hAnsi="Times New Roman"/>
                <w:b/>
                <w:bCs/>
                <w:color w:val="000000"/>
                <w:sz w:val="22"/>
              </w:rPr>
              <w:t>序号</w:t>
            </w:r>
          </w:p>
        </w:tc>
        <w:tc>
          <w:tcPr>
            <w:tcW w:w="1273" w:type="dxa"/>
            <w:vMerge w:val="restart"/>
            <w:noWrap w:val="0"/>
            <w:vAlign w:val="center"/>
          </w:tcPr>
          <w:p>
            <w:pPr>
              <w:widowControl/>
              <w:spacing w:line="240" w:lineRule="auto"/>
              <w:ind w:firstLine="0"/>
              <w:jc w:val="center"/>
              <w:rPr>
                <w:rFonts w:ascii="Times New Roman" w:hAnsi="Times New Roman"/>
                <w:b/>
                <w:bCs/>
                <w:color w:val="000000"/>
                <w:sz w:val="22"/>
              </w:rPr>
            </w:pPr>
            <w:r>
              <w:rPr>
                <w:rFonts w:ascii="Times New Roman" w:hAnsi="Times New Roman"/>
                <w:b/>
                <w:bCs/>
                <w:color w:val="000000"/>
                <w:sz w:val="22"/>
              </w:rPr>
              <w:t>乡、镇</w:t>
            </w:r>
          </w:p>
        </w:tc>
        <w:tc>
          <w:tcPr>
            <w:tcW w:w="3972" w:type="dxa"/>
            <w:gridSpan w:val="5"/>
            <w:noWrap w:val="0"/>
            <w:vAlign w:val="center"/>
          </w:tcPr>
          <w:p>
            <w:pPr>
              <w:widowControl/>
              <w:spacing w:line="240" w:lineRule="auto"/>
              <w:ind w:firstLine="0"/>
              <w:jc w:val="center"/>
              <w:rPr>
                <w:rFonts w:ascii="Times New Roman" w:hAnsi="Times New Roman"/>
                <w:b/>
                <w:bCs/>
                <w:color w:val="000000"/>
                <w:sz w:val="22"/>
              </w:rPr>
            </w:pPr>
            <w:r>
              <w:rPr>
                <w:rFonts w:ascii="Times New Roman" w:hAnsi="Times New Roman"/>
                <w:b/>
                <w:bCs/>
                <w:color w:val="000000"/>
                <w:sz w:val="22"/>
              </w:rPr>
              <w:t>隐患点类型（个）</w:t>
            </w:r>
          </w:p>
        </w:tc>
        <w:tc>
          <w:tcPr>
            <w:tcW w:w="3544" w:type="dxa"/>
            <w:gridSpan w:val="5"/>
            <w:noWrap w:val="0"/>
            <w:vAlign w:val="center"/>
          </w:tcPr>
          <w:p>
            <w:pPr>
              <w:widowControl/>
              <w:spacing w:line="240" w:lineRule="auto"/>
              <w:ind w:firstLine="0"/>
              <w:jc w:val="center"/>
              <w:rPr>
                <w:rFonts w:ascii="Times New Roman" w:hAnsi="Times New Roman"/>
                <w:b/>
                <w:bCs/>
                <w:color w:val="000000"/>
                <w:sz w:val="22"/>
              </w:rPr>
            </w:pPr>
            <w:r>
              <w:rPr>
                <w:rFonts w:ascii="Times New Roman" w:hAnsi="Times New Roman"/>
                <w:b/>
                <w:bCs/>
                <w:color w:val="000000"/>
                <w:sz w:val="22"/>
              </w:rPr>
              <w:t>隐患点险情（个）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blHeader/>
        </w:trPr>
        <w:tc>
          <w:tcPr>
            <w:tcW w:w="567" w:type="dxa"/>
            <w:vMerge w:val="continue"/>
            <w:noWrap w:val="0"/>
            <w:vAlign w:val="center"/>
          </w:tcPr>
          <w:p>
            <w:pPr>
              <w:widowControl/>
              <w:spacing w:line="240" w:lineRule="auto"/>
              <w:ind w:firstLine="0"/>
              <w:jc w:val="center"/>
              <w:rPr>
                <w:rFonts w:ascii="Times New Roman" w:hAnsi="Times New Roman"/>
                <w:b/>
                <w:bCs/>
                <w:color w:val="000000"/>
                <w:sz w:val="22"/>
              </w:rPr>
            </w:pPr>
          </w:p>
        </w:tc>
        <w:tc>
          <w:tcPr>
            <w:tcW w:w="1273" w:type="dxa"/>
            <w:vMerge w:val="continue"/>
            <w:noWrap w:val="0"/>
            <w:vAlign w:val="center"/>
          </w:tcPr>
          <w:p>
            <w:pPr>
              <w:widowControl/>
              <w:spacing w:line="240" w:lineRule="auto"/>
              <w:ind w:firstLine="0"/>
              <w:jc w:val="center"/>
              <w:rPr>
                <w:rFonts w:ascii="Times New Roman" w:hAnsi="Times New Roman"/>
                <w:b/>
                <w:bCs/>
                <w:color w:val="000000"/>
                <w:sz w:val="22"/>
              </w:rPr>
            </w:pPr>
          </w:p>
        </w:tc>
        <w:tc>
          <w:tcPr>
            <w:tcW w:w="708" w:type="dxa"/>
            <w:noWrap w:val="0"/>
            <w:vAlign w:val="center"/>
          </w:tcPr>
          <w:p>
            <w:pPr>
              <w:widowControl/>
              <w:spacing w:line="240" w:lineRule="auto"/>
              <w:ind w:firstLine="0"/>
              <w:jc w:val="center"/>
              <w:rPr>
                <w:rFonts w:ascii="Times New Roman" w:hAnsi="Times New Roman"/>
                <w:b/>
                <w:bCs/>
                <w:color w:val="000000"/>
                <w:sz w:val="22"/>
              </w:rPr>
            </w:pPr>
            <w:r>
              <w:rPr>
                <w:rFonts w:ascii="Times New Roman" w:hAnsi="Times New Roman"/>
                <w:b/>
                <w:bCs/>
                <w:color w:val="000000"/>
                <w:sz w:val="22"/>
              </w:rPr>
              <w:t>滑坡</w:t>
            </w:r>
          </w:p>
        </w:tc>
        <w:tc>
          <w:tcPr>
            <w:tcW w:w="851" w:type="dxa"/>
            <w:noWrap w:val="0"/>
            <w:vAlign w:val="center"/>
          </w:tcPr>
          <w:p>
            <w:pPr>
              <w:widowControl/>
              <w:spacing w:line="240" w:lineRule="auto"/>
              <w:ind w:firstLine="0"/>
              <w:jc w:val="center"/>
              <w:rPr>
                <w:rFonts w:ascii="Times New Roman" w:hAnsi="Times New Roman"/>
                <w:b/>
                <w:bCs/>
                <w:color w:val="000000"/>
                <w:sz w:val="22"/>
              </w:rPr>
            </w:pPr>
            <w:r>
              <w:rPr>
                <w:rFonts w:ascii="Times New Roman" w:hAnsi="Times New Roman"/>
                <w:b/>
                <w:bCs/>
                <w:color w:val="000000"/>
                <w:sz w:val="22"/>
              </w:rPr>
              <w:t>崩塌</w:t>
            </w:r>
          </w:p>
        </w:tc>
        <w:tc>
          <w:tcPr>
            <w:tcW w:w="996" w:type="dxa"/>
            <w:noWrap w:val="0"/>
            <w:vAlign w:val="center"/>
          </w:tcPr>
          <w:p>
            <w:pPr>
              <w:widowControl/>
              <w:spacing w:line="240" w:lineRule="auto"/>
              <w:ind w:firstLine="0"/>
              <w:jc w:val="center"/>
              <w:rPr>
                <w:rFonts w:ascii="Times New Roman" w:hAnsi="Times New Roman"/>
                <w:b/>
                <w:bCs/>
                <w:color w:val="000000"/>
                <w:sz w:val="22"/>
              </w:rPr>
            </w:pPr>
            <w:r>
              <w:rPr>
                <w:rFonts w:ascii="Times New Roman" w:hAnsi="Times New Roman"/>
                <w:b/>
                <w:bCs/>
                <w:color w:val="000000"/>
                <w:sz w:val="22"/>
              </w:rPr>
              <w:t>泥石流</w:t>
            </w:r>
          </w:p>
        </w:tc>
        <w:tc>
          <w:tcPr>
            <w:tcW w:w="708" w:type="dxa"/>
            <w:noWrap w:val="0"/>
            <w:vAlign w:val="center"/>
          </w:tcPr>
          <w:p>
            <w:pPr>
              <w:widowControl/>
              <w:spacing w:line="240" w:lineRule="auto"/>
              <w:ind w:firstLine="0"/>
              <w:jc w:val="center"/>
              <w:rPr>
                <w:rFonts w:ascii="Times New Roman" w:hAnsi="Times New Roman"/>
                <w:b/>
                <w:bCs/>
                <w:color w:val="000000"/>
                <w:sz w:val="22"/>
              </w:rPr>
            </w:pPr>
            <w:r>
              <w:rPr>
                <w:rFonts w:ascii="Times New Roman" w:hAnsi="Times New Roman"/>
                <w:b/>
                <w:bCs/>
                <w:color w:val="000000"/>
                <w:sz w:val="22"/>
              </w:rPr>
              <w:t>地面塌陷</w:t>
            </w:r>
          </w:p>
        </w:tc>
        <w:tc>
          <w:tcPr>
            <w:tcW w:w="709" w:type="dxa"/>
            <w:noWrap w:val="0"/>
            <w:vAlign w:val="center"/>
          </w:tcPr>
          <w:p>
            <w:pPr>
              <w:widowControl/>
              <w:spacing w:line="240" w:lineRule="auto"/>
              <w:ind w:firstLine="0"/>
              <w:jc w:val="center"/>
              <w:rPr>
                <w:rFonts w:ascii="Times New Roman" w:hAnsi="Times New Roman"/>
                <w:b/>
                <w:bCs/>
                <w:color w:val="000000"/>
                <w:sz w:val="22"/>
              </w:rPr>
            </w:pPr>
            <w:r>
              <w:rPr>
                <w:rFonts w:ascii="Times New Roman" w:hAnsi="Times New Roman"/>
                <w:b/>
                <w:bCs/>
                <w:color w:val="000000"/>
                <w:sz w:val="22"/>
              </w:rPr>
              <w:t>合计</w:t>
            </w:r>
          </w:p>
        </w:tc>
        <w:tc>
          <w:tcPr>
            <w:tcW w:w="709" w:type="dxa"/>
            <w:noWrap w:val="0"/>
            <w:vAlign w:val="center"/>
          </w:tcPr>
          <w:p>
            <w:pPr>
              <w:widowControl/>
              <w:spacing w:line="240" w:lineRule="auto"/>
              <w:ind w:firstLine="0"/>
              <w:jc w:val="center"/>
              <w:rPr>
                <w:rFonts w:ascii="Times New Roman" w:hAnsi="Times New Roman"/>
                <w:b/>
                <w:bCs/>
                <w:color w:val="000000"/>
                <w:sz w:val="22"/>
              </w:rPr>
            </w:pPr>
            <w:r>
              <w:rPr>
                <w:rFonts w:ascii="Times New Roman" w:hAnsi="Times New Roman"/>
                <w:b/>
                <w:bCs/>
                <w:color w:val="000000"/>
                <w:sz w:val="22"/>
              </w:rPr>
              <w:t>特大型</w:t>
            </w:r>
          </w:p>
        </w:tc>
        <w:tc>
          <w:tcPr>
            <w:tcW w:w="709" w:type="dxa"/>
            <w:noWrap w:val="0"/>
            <w:vAlign w:val="center"/>
          </w:tcPr>
          <w:p>
            <w:pPr>
              <w:widowControl/>
              <w:spacing w:line="240" w:lineRule="auto"/>
              <w:ind w:firstLine="0"/>
              <w:jc w:val="center"/>
              <w:rPr>
                <w:rFonts w:ascii="Times New Roman" w:hAnsi="Times New Roman"/>
                <w:b/>
                <w:bCs/>
                <w:color w:val="000000"/>
                <w:sz w:val="22"/>
              </w:rPr>
            </w:pPr>
            <w:r>
              <w:rPr>
                <w:rFonts w:ascii="Times New Roman" w:hAnsi="Times New Roman"/>
                <w:b/>
                <w:bCs/>
                <w:color w:val="000000"/>
                <w:sz w:val="22"/>
              </w:rPr>
              <w:t>大型</w:t>
            </w:r>
          </w:p>
        </w:tc>
        <w:tc>
          <w:tcPr>
            <w:tcW w:w="708" w:type="dxa"/>
            <w:noWrap w:val="0"/>
            <w:vAlign w:val="center"/>
          </w:tcPr>
          <w:p>
            <w:pPr>
              <w:widowControl/>
              <w:spacing w:line="240" w:lineRule="auto"/>
              <w:ind w:firstLine="0"/>
              <w:jc w:val="center"/>
              <w:rPr>
                <w:rFonts w:ascii="Times New Roman" w:hAnsi="Times New Roman"/>
                <w:b/>
                <w:bCs/>
                <w:color w:val="000000"/>
                <w:sz w:val="22"/>
              </w:rPr>
            </w:pPr>
            <w:r>
              <w:rPr>
                <w:rFonts w:ascii="Times New Roman" w:hAnsi="Times New Roman"/>
                <w:b/>
                <w:bCs/>
                <w:color w:val="000000"/>
                <w:sz w:val="22"/>
              </w:rPr>
              <w:t>中型</w:t>
            </w:r>
          </w:p>
        </w:tc>
        <w:tc>
          <w:tcPr>
            <w:tcW w:w="710" w:type="dxa"/>
            <w:noWrap w:val="0"/>
            <w:vAlign w:val="center"/>
          </w:tcPr>
          <w:p>
            <w:pPr>
              <w:widowControl/>
              <w:spacing w:line="240" w:lineRule="auto"/>
              <w:ind w:firstLine="0"/>
              <w:jc w:val="center"/>
              <w:rPr>
                <w:rFonts w:ascii="Times New Roman" w:hAnsi="Times New Roman"/>
                <w:b/>
                <w:bCs/>
                <w:color w:val="000000"/>
                <w:sz w:val="22"/>
              </w:rPr>
            </w:pPr>
            <w:r>
              <w:rPr>
                <w:rFonts w:ascii="Times New Roman" w:hAnsi="Times New Roman"/>
                <w:b/>
                <w:bCs/>
                <w:color w:val="000000"/>
                <w:sz w:val="22"/>
              </w:rPr>
              <w:t>小型</w:t>
            </w:r>
          </w:p>
        </w:tc>
        <w:tc>
          <w:tcPr>
            <w:tcW w:w="708" w:type="dxa"/>
            <w:noWrap w:val="0"/>
            <w:vAlign w:val="center"/>
          </w:tcPr>
          <w:p>
            <w:pPr>
              <w:widowControl/>
              <w:spacing w:line="240" w:lineRule="auto"/>
              <w:ind w:firstLine="0"/>
              <w:jc w:val="center"/>
              <w:rPr>
                <w:rFonts w:ascii="Times New Roman" w:hAnsi="Times New Roman"/>
                <w:b/>
                <w:bCs/>
                <w:color w:val="000000"/>
                <w:sz w:val="22"/>
              </w:rPr>
            </w:pPr>
            <w:r>
              <w:rPr>
                <w:rFonts w:ascii="Times New Roman" w:hAnsi="Times New Roman"/>
                <w:b/>
                <w:bCs/>
                <w:color w:val="000000"/>
                <w:sz w:val="22"/>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67" w:type="dxa"/>
            <w:noWrap/>
            <w:vAlign w:val="center"/>
          </w:tcPr>
          <w:p>
            <w:pPr>
              <w:widowControl/>
              <w:spacing w:line="240" w:lineRule="auto"/>
              <w:ind w:firstLine="0"/>
              <w:jc w:val="center"/>
              <w:rPr>
                <w:rFonts w:ascii="Times New Roman" w:hAnsi="Times New Roman"/>
                <w:color w:val="000000"/>
                <w:sz w:val="22"/>
              </w:rPr>
            </w:pPr>
            <w:r>
              <w:rPr>
                <w:rFonts w:ascii="Times New Roman" w:hAnsi="Times New Roman"/>
                <w:color w:val="000000"/>
                <w:sz w:val="22"/>
              </w:rPr>
              <w:t>1</w:t>
            </w:r>
          </w:p>
        </w:tc>
        <w:tc>
          <w:tcPr>
            <w:tcW w:w="1273" w:type="dxa"/>
            <w:noWrap/>
            <w:vAlign w:val="center"/>
          </w:tcPr>
          <w:p>
            <w:pPr>
              <w:widowControl/>
              <w:spacing w:line="240" w:lineRule="auto"/>
              <w:ind w:firstLine="0"/>
              <w:jc w:val="center"/>
              <w:rPr>
                <w:rFonts w:ascii="Times New Roman" w:hAnsi="Times New Roman"/>
                <w:color w:val="000000"/>
                <w:sz w:val="22"/>
              </w:rPr>
            </w:pPr>
            <w:r>
              <w:rPr>
                <w:rFonts w:ascii="Times New Roman" w:hAnsi="Times New Roman"/>
                <w:color w:val="000000"/>
                <w:sz w:val="22"/>
              </w:rPr>
              <w:t>风平镇</w:t>
            </w:r>
          </w:p>
        </w:tc>
        <w:tc>
          <w:tcPr>
            <w:tcW w:w="708"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14</w:t>
            </w:r>
          </w:p>
        </w:tc>
        <w:tc>
          <w:tcPr>
            <w:tcW w:w="851"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996"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7</w:t>
            </w:r>
          </w:p>
        </w:tc>
        <w:tc>
          <w:tcPr>
            <w:tcW w:w="708"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21</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8"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9</w:t>
            </w:r>
          </w:p>
        </w:tc>
        <w:tc>
          <w:tcPr>
            <w:tcW w:w="710"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12</w:t>
            </w:r>
          </w:p>
        </w:tc>
        <w:tc>
          <w:tcPr>
            <w:tcW w:w="708"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67" w:type="dxa"/>
            <w:noWrap/>
            <w:vAlign w:val="center"/>
          </w:tcPr>
          <w:p>
            <w:pPr>
              <w:widowControl/>
              <w:spacing w:line="240" w:lineRule="auto"/>
              <w:ind w:firstLine="0"/>
              <w:jc w:val="center"/>
              <w:rPr>
                <w:rFonts w:ascii="Times New Roman" w:hAnsi="Times New Roman"/>
                <w:color w:val="000000"/>
                <w:sz w:val="22"/>
              </w:rPr>
            </w:pPr>
            <w:r>
              <w:rPr>
                <w:rFonts w:ascii="Times New Roman" w:hAnsi="Times New Roman"/>
                <w:color w:val="000000"/>
                <w:sz w:val="22"/>
              </w:rPr>
              <w:t>2</w:t>
            </w:r>
          </w:p>
        </w:tc>
        <w:tc>
          <w:tcPr>
            <w:tcW w:w="1273" w:type="dxa"/>
            <w:noWrap/>
            <w:vAlign w:val="center"/>
          </w:tcPr>
          <w:p>
            <w:pPr>
              <w:widowControl/>
              <w:spacing w:line="240" w:lineRule="auto"/>
              <w:ind w:firstLine="0"/>
              <w:jc w:val="center"/>
              <w:rPr>
                <w:rFonts w:ascii="Times New Roman" w:hAnsi="Times New Roman"/>
                <w:color w:val="000000"/>
                <w:sz w:val="22"/>
              </w:rPr>
            </w:pPr>
            <w:r>
              <w:rPr>
                <w:rFonts w:ascii="Times New Roman" w:hAnsi="Times New Roman"/>
                <w:color w:val="000000"/>
                <w:sz w:val="22"/>
              </w:rPr>
              <w:t>江东乡</w:t>
            </w:r>
          </w:p>
        </w:tc>
        <w:tc>
          <w:tcPr>
            <w:tcW w:w="708"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31</w:t>
            </w:r>
          </w:p>
        </w:tc>
        <w:tc>
          <w:tcPr>
            <w:tcW w:w="851"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w:t>
            </w:r>
          </w:p>
        </w:tc>
        <w:tc>
          <w:tcPr>
            <w:tcW w:w="996"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8"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32</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3</w:t>
            </w:r>
          </w:p>
        </w:tc>
        <w:tc>
          <w:tcPr>
            <w:tcW w:w="708"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26</w:t>
            </w:r>
          </w:p>
        </w:tc>
        <w:tc>
          <w:tcPr>
            <w:tcW w:w="710"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3</w:t>
            </w:r>
          </w:p>
        </w:tc>
        <w:tc>
          <w:tcPr>
            <w:tcW w:w="708"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67" w:type="dxa"/>
            <w:noWrap/>
            <w:vAlign w:val="center"/>
          </w:tcPr>
          <w:p>
            <w:pPr>
              <w:widowControl/>
              <w:spacing w:line="240" w:lineRule="auto"/>
              <w:ind w:firstLine="0"/>
              <w:jc w:val="center"/>
              <w:rPr>
                <w:rFonts w:ascii="Times New Roman" w:hAnsi="Times New Roman"/>
                <w:color w:val="000000"/>
                <w:sz w:val="22"/>
              </w:rPr>
            </w:pPr>
            <w:r>
              <w:rPr>
                <w:rFonts w:ascii="Times New Roman" w:hAnsi="Times New Roman"/>
                <w:color w:val="000000"/>
                <w:sz w:val="22"/>
              </w:rPr>
              <w:t>3</w:t>
            </w:r>
          </w:p>
        </w:tc>
        <w:tc>
          <w:tcPr>
            <w:tcW w:w="1273" w:type="dxa"/>
            <w:noWrap/>
            <w:vAlign w:val="center"/>
          </w:tcPr>
          <w:p>
            <w:pPr>
              <w:widowControl/>
              <w:spacing w:line="240" w:lineRule="auto"/>
              <w:ind w:firstLine="0"/>
              <w:jc w:val="center"/>
              <w:rPr>
                <w:rFonts w:ascii="Times New Roman" w:hAnsi="Times New Roman"/>
                <w:color w:val="000000"/>
                <w:sz w:val="22"/>
              </w:rPr>
            </w:pPr>
            <w:r>
              <w:rPr>
                <w:rFonts w:ascii="Times New Roman" w:hAnsi="Times New Roman"/>
                <w:color w:val="000000"/>
                <w:sz w:val="22"/>
              </w:rPr>
              <w:t>芒海镇</w:t>
            </w:r>
          </w:p>
        </w:tc>
        <w:tc>
          <w:tcPr>
            <w:tcW w:w="708"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10</w:t>
            </w:r>
          </w:p>
        </w:tc>
        <w:tc>
          <w:tcPr>
            <w:tcW w:w="851"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996"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2</w:t>
            </w:r>
          </w:p>
        </w:tc>
        <w:tc>
          <w:tcPr>
            <w:tcW w:w="708"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12</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8"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2</w:t>
            </w:r>
          </w:p>
        </w:tc>
        <w:tc>
          <w:tcPr>
            <w:tcW w:w="710"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9</w:t>
            </w:r>
          </w:p>
        </w:tc>
        <w:tc>
          <w:tcPr>
            <w:tcW w:w="708"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67"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4</w:t>
            </w:r>
          </w:p>
        </w:tc>
        <w:tc>
          <w:tcPr>
            <w:tcW w:w="1273"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芒市镇</w:t>
            </w:r>
          </w:p>
        </w:tc>
        <w:tc>
          <w:tcPr>
            <w:tcW w:w="708"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16</w:t>
            </w:r>
          </w:p>
        </w:tc>
        <w:tc>
          <w:tcPr>
            <w:tcW w:w="851"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996"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10</w:t>
            </w:r>
          </w:p>
        </w:tc>
        <w:tc>
          <w:tcPr>
            <w:tcW w:w="708"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26</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w:t>
            </w:r>
          </w:p>
        </w:tc>
        <w:tc>
          <w:tcPr>
            <w:tcW w:w="708"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14</w:t>
            </w:r>
          </w:p>
        </w:tc>
        <w:tc>
          <w:tcPr>
            <w:tcW w:w="710"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11</w:t>
            </w:r>
          </w:p>
        </w:tc>
        <w:tc>
          <w:tcPr>
            <w:tcW w:w="708"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67" w:type="dxa"/>
            <w:noWrap/>
            <w:vAlign w:val="center"/>
          </w:tcPr>
          <w:p>
            <w:pPr>
              <w:widowControl/>
              <w:spacing w:line="240" w:lineRule="auto"/>
              <w:ind w:firstLine="0"/>
              <w:jc w:val="center"/>
              <w:rPr>
                <w:rFonts w:ascii="Times New Roman" w:hAnsi="Times New Roman"/>
                <w:color w:val="000000"/>
                <w:sz w:val="22"/>
              </w:rPr>
            </w:pPr>
            <w:r>
              <w:rPr>
                <w:rFonts w:ascii="Times New Roman" w:hAnsi="Times New Roman"/>
                <w:color w:val="000000"/>
                <w:sz w:val="22"/>
              </w:rPr>
              <w:t>5</w:t>
            </w:r>
          </w:p>
        </w:tc>
        <w:tc>
          <w:tcPr>
            <w:tcW w:w="1273" w:type="dxa"/>
            <w:noWrap/>
            <w:vAlign w:val="center"/>
          </w:tcPr>
          <w:p>
            <w:pPr>
              <w:widowControl/>
              <w:spacing w:line="240" w:lineRule="auto"/>
              <w:ind w:firstLine="0"/>
              <w:jc w:val="center"/>
              <w:rPr>
                <w:rFonts w:ascii="Times New Roman" w:hAnsi="Times New Roman"/>
                <w:color w:val="000000"/>
                <w:sz w:val="22"/>
              </w:rPr>
            </w:pPr>
            <w:r>
              <w:rPr>
                <w:rFonts w:ascii="Times New Roman" w:hAnsi="Times New Roman"/>
                <w:color w:val="000000"/>
                <w:sz w:val="22"/>
              </w:rPr>
              <w:t>勐嘎镇</w:t>
            </w:r>
          </w:p>
        </w:tc>
        <w:tc>
          <w:tcPr>
            <w:tcW w:w="708"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11</w:t>
            </w:r>
          </w:p>
        </w:tc>
        <w:tc>
          <w:tcPr>
            <w:tcW w:w="851"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996"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8"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12</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8"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6</w:t>
            </w:r>
          </w:p>
        </w:tc>
        <w:tc>
          <w:tcPr>
            <w:tcW w:w="710"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6</w:t>
            </w:r>
          </w:p>
        </w:tc>
        <w:tc>
          <w:tcPr>
            <w:tcW w:w="708"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67" w:type="dxa"/>
            <w:noWrap/>
            <w:vAlign w:val="center"/>
          </w:tcPr>
          <w:p>
            <w:pPr>
              <w:widowControl/>
              <w:spacing w:line="240" w:lineRule="auto"/>
              <w:ind w:firstLine="0"/>
              <w:jc w:val="center"/>
              <w:rPr>
                <w:rFonts w:ascii="Times New Roman" w:hAnsi="Times New Roman"/>
                <w:color w:val="000000"/>
                <w:sz w:val="22"/>
              </w:rPr>
            </w:pPr>
            <w:r>
              <w:rPr>
                <w:rFonts w:ascii="Times New Roman" w:hAnsi="Times New Roman"/>
                <w:color w:val="000000"/>
                <w:sz w:val="22"/>
              </w:rPr>
              <w:t>6</w:t>
            </w:r>
          </w:p>
        </w:tc>
        <w:tc>
          <w:tcPr>
            <w:tcW w:w="1273" w:type="dxa"/>
            <w:noWrap/>
            <w:vAlign w:val="center"/>
          </w:tcPr>
          <w:p>
            <w:pPr>
              <w:widowControl/>
              <w:spacing w:line="240" w:lineRule="auto"/>
              <w:ind w:firstLine="0"/>
              <w:jc w:val="center"/>
              <w:rPr>
                <w:rFonts w:ascii="Times New Roman" w:hAnsi="Times New Roman"/>
                <w:color w:val="000000"/>
                <w:sz w:val="22"/>
              </w:rPr>
            </w:pPr>
            <w:r>
              <w:rPr>
                <w:rFonts w:ascii="Times New Roman" w:hAnsi="Times New Roman"/>
                <w:color w:val="000000"/>
                <w:sz w:val="22"/>
              </w:rPr>
              <w:t>三台山乡</w:t>
            </w:r>
          </w:p>
        </w:tc>
        <w:tc>
          <w:tcPr>
            <w:tcW w:w="708"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9</w:t>
            </w:r>
          </w:p>
        </w:tc>
        <w:tc>
          <w:tcPr>
            <w:tcW w:w="851" w:type="dxa"/>
            <w:noWrap/>
            <w:vAlign w:val="center"/>
          </w:tcPr>
          <w:p>
            <w:pPr>
              <w:spacing w:line="240" w:lineRule="auto"/>
              <w:ind w:firstLine="0"/>
              <w:jc w:val="center"/>
              <w:rPr>
                <w:rFonts w:ascii="Times New Roman" w:hAnsi="Times New Roman" w:eastAsia="等线"/>
                <w:color w:val="000000"/>
                <w:sz w:val="22"/>
              </w:rPr>
            </w:pPr>
            <w:r>
              <w:rPr>
                <w:rFonts w:hint="eastAsia" w:ascii="Times New Roman" w:hAnsi="Times New Roman" w:eastAsia="等线"/>
                <w:color w:val="000000"/>
                <w:sz w:val="22"/>
              </w:rPr>
              <w:t>1</w:t>
            </w:r>
          </w:p>
        </w:tc>
        <w:tc>
          <w:tcPr>
            <w:tcW w:w="996"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8"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9</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8"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10"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9</w:t>
            </w:r>
          </w:p>
        </w:tc>
        <w:tc>
          <w:tcPr>
            <w:tcW w:w="708"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67" w:type="dxa"/>
            <w:noWrap/>
            <w:vAlign w:val="center"/>
          </w:tcPr>
          <w:p>
            <w:pPr>
              <w:widowControl/>
              <w:spacing w:line="240" w:lineRule="auto"/>
              <w:ind w:firstLine="0"/>
              <w:jc w:val="center"/>
              <w:rPr>
                <w:rFonts w:ascii="Times New Roman" w:hAnsi="Times New Roman"/>
                <w:color w:val="000000"/>
                <w:sz w:val="22"/>
              </w:rPr>
            </w:pPr>
            <w:r>
              <w:rPr>
                <w:rFonts w:ascii="Times New Roman" w:hAnsi="Times New Roman"/>
                <w:color w:val="000000"/>
                <w:sz w:val="22"/>
              </w:rPr>
              <w:t>7</w:t>
            </w:r>
          </w:p>
        </w:tc>
        <w:tc>
          <w:tcPr>
            <w:tcW w:w="1273" w:type="dxa"/>
            <w:noWrap/>
            <w:vAlign w:val="center"/>
          </w:tcPr>
          <w:p>
            <w:pPr>
              <w:widowControl/>
              <w:spacing w:line="240" w:lineRule="auto"/>
              <w:ind w:firstLine="0"/>
              <w:jc w:val="center"/>
              <w:rPr>
                <w:rFonts w:ascii="Times New Roman" w:hAnsi="Times New Roman"/>
                <w:color w:val="000000"/>
                <w:sz w:val="22"/>
              </w:rPr>
            </w:pPr>
            <w:r>
              <w:rPr>
                <w:rFonts w:ascii="Times New Roman" w:hAnsi="Times New Roman"/>
                <w:color w:val="000000"/>
                <w:sz w:val="22"/>
              </w:rPr>
              <w:t>五岔路乡</w:t>
            </w:r>
          </w:p>
        </w:tc>
        <w:tc>
          <w:tcPr>
            <w:tcW w:w="708"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18</w:t>
            </w:r>
          </w:p>
        </w:tc>
        <w:tc>
          <w:tcPr>
            <w:tcW w:w="851"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996"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8"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18</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w:t>
            </w:r>
          </w:p>
        </w:tc>
        <w:tc>
          <w:tcPr>
            <w:tcW w:w="708"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5</w:t>
            </w:r>
          </w:p>
        </w:tc>
        <w:tc>
          <w:tcPr>
            <w:tcW w:w="710"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12</w:t>
            </w:r>
          </w:p>
        </w:tc>
        <w:tc>
          <w:tcPr>
            <w:tcW w:w="708"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67" w:type="dxa"/>
            <w:noWrap/>
            <w:vAlign w:val="center"/>
          </w:tcPr>
          <w:p>
            <w:pPr>
              <w:widowControl/>
              <w:spacing w:line="240" w:lineRule="auto"/>
              <w:ind w:firstLine="0"/>
              <w:jc w:val="center"/>
              <w:rPr>
                <w:rFonts w:ascii="Times New Roman" w:hAnsi="Times New Roman"/>
                <w:color w:val="000000"/>
                <w:sz w:val="22"/>
              </w:rPr>
            </w:pPr>
            <w:r>
              <w:rPr>
                <w:rFonts w:ascii="Times New Roman" w:hAnsi="Times New Roman"/>
                <w:color w:val="000000"/>
                <w:sz w:val="22"/>
              </w:rPr>
              <w:t>8</w:t>
            </w:r>
          </w:p>
        </w:tc>
        <w:tc>
          <w:tcPr>
            <w:tcW w:w="1273" w:type="dxa"/>
            <w:noWrap/>
            <w:vAlign w:val="center"/>
          </w:tcPr>
          <w:p>
            <w:pPr>
              <w:widowControl/>
              <w:spacing w:line="240" w:lineRule="auto"/>
              <w:ind w:firstLine="0"/>
              <w:jc w:val="center"/>
              <w:rPr>
                <w:rFonts w:ascii="Times New Roman" w:hAnsi="Times New Roman"/>
                <w:color w:val="000000"/>
                <w:sz w:val="22"/>
              </w:rPr>
            </w:pPr>
            <w:r>
              <w:rPr>
                <w:rFonts w:ascii="Times New Roman" w:hAnsi="Times New Roman"/>
                <w:color w:val="000000"/>
                <w:sz w:val="22"/>
              </w:rPr>
              <w:t>西山乡</w:t>
            </w:r>
          </w:p>
        </w:tc>
        <w:tc>
          <w:tcPr>
            <w:tcW w:w="708"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8</w:t>
            </w:r>
          </w:p>
        </w:tc>
        <w:tc>
          <w:tcPr>
            <w:tcW w:w="851"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996"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8"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8</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8"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w:t>
            </w:r>
          </w:p>
        </w:tc>
        <w:tc>
          <w:tcPr>
            <w:tcW w:w="710"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7</w:t>
            </w:r>
          </w:p>
        </w:tc>
        <w:tc>
          <w:tcPr>
            <w:tcW w:w="708"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67" w:type="dxa"/>
            <w:noWrap/>
            <w:vAlign w:val="center"/>
          </w:tcPr>
          <w:p>
            <w:pPr>
              <w:widowControl/>
              <w:spacing w:line="240" w:lineRule="auto"/>
              <w:ind w:firstLine="0"/>
              <w:jc w:val="center"/>
              <w:rPr>
                <w:rFonts w:ascii="Times New Roman" w:hAnsi="Times New Roman"/>
                <w:color w:val="000000"/>
                <w:sz w:val="22"/>
              </w:rPr>
            </w:pPr>
            <w:r>
              <w:rPr>
                <w:rFonts w:ascii="Times New Roman" w:hAnsi="Times New Roman"/>
                <w:color w:val="000000"/>
                <w:sz w:val="22"/>
              </w:rPr>
              <w:t>9</w:t>
            </w:r>
          </w:p>
        </w:tc>
        <w:tc>
          <w:tcPr>
            <w:tcW w:w="1273" w:type="dxa"/>
            <w:noWrap/>
            <w:vAlign w:val="center"/>
          </w:tcPr>
          <w:p>
            <w:pPr>
              <w:widowControl/>
              <w:spacing w:line="240" w:lineRule="auto"/>
              <w:ind w:firstLine="0"/>
              <w:jc w:val="center"/>
              <w:rPr>
                <w:rFonts w:ascii="Times New Roman" w:hAnsi="Times New Roman"/>
                <w:color w:val="000000"/>
                <w:sz w:val="22"/>
              </w:rPr>
            </w:pPr>
            <w:r>
              <w:rPr>
                <w:rFonts w:ascii="Times New Roman" w:hAnsi="Times New Roman"/>
                <w:color w:val="000000"/>
                <w:sz w:val="22"/>
              </w:rPr>
              <w:t>轩岗乡</w:t>
            </w:r>
          </w:p>
        </w:tc>
        <w:tc>
          <w:tcPr>
            <w:tcW w:w="708"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4</w:t>
            </w:r>
          </w:p>
        </w:tc>
        <w:tc>
          <w:tcPr>
            <w:tcW w:w="851"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w:t>
            </w:r>
          </w:p>
        </w:tc>
        <w:tc>
          <w:tcPr>
            <w:tcW w:w="996"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8"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5</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8"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3</w:t>
            </w:r>
          </w:p>
        </w:tc>
        <w:tc>
          <w:tcPr>
            <w:tcW w:w="710"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2</w:t>
            </w:r>
          </w:p>
        </w:tc>
        <w:tc>
          <w:tcPr>
            <w:tcW w:w="708"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67" w:type="dxa"/>
            <w:noWrap/>
            <w:vAlign w:val="center"/>
          </w:tcPr>
          <w:p>
            <w:pPr>
              <w:widowControl/>
              <w:spacing w:line="240" w:lineRule="auto"/>
              <w:ind w:firstLine="0"/>
              <w:jc w:val="center"/>
              <w:rPr>
                <w:rFonts w:ascii="Times New Roman" w:hAnsi="Times New Roman"/>
                <w:color w:val="000000"/>
                <w:sz w:val="22"/>
              </w:rPr>
            </w:pPr>
            <w:r>
              <w:rPr>
                <w:rFonts w:ascii="Times New Roman" w:hAnsi="Times New Roman"/>
                <w:color w:val="000000"/>
                <w:sz w:val="22"/>
              </w:rPr>
              <w:t>10</w:t>
            </w:r>
          </w:p>
        </w:tc>
        <w:tc>
          <w:tcPr>
            <w:tcW w:w="1273" w:type="dxa"/>
            <w:noWrap/>
            <w:vAlign w:val="center"/>
          </w:tcPr>
          <w:p>
            <w:pPr>
              <w:widowControl/>
              <w:spacing w:line="240" w:lineRule="auto"/>
              <w:ind w:firstLine="0"/>
              <w:jc w:val="center"/>
              <w:rPr>
                <w:rFonts w:ascii="Times New Roman" w:hAnsi="Times New Roman"/>
                <w:color w:val="000000"/>
                <w:sz w:val="22"/>
              </w:rPr>
            </w:pPr>
            <w:r>
              <w:rPr>
                <w:rFonts w:ascii="Times New Roman" w:hAnsi="Times New Roman"/>
                <w:color w:val="000000"/>
                <w:sz w:val="22"/>
              </w:rPr>
              <w:t>中山乡</w:t>
            </w:r>
          </w:p>
        </w:tc>
        <w:tc>
          <w:tcPr>
            <w:tcW w:w="708"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8</w:t>
            </w:r>
          </w:p>
        </w:tc>
        <w:tc>
          <w:tcPr>
            <w:tcW w:w="851"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996"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w:t>
            </w:r>
          </w:p>
        </w:tc>
        <w:tc>
          <w:tcPr>
            <w:tcW w:w="708"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9</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w:t>
            </w:r>
          </w:p>
        </w:tc>
        <w:tc>
          <w:tcPr>
            <w:tcW w:w="708"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3</w:t>
            </w:r>
          </w:p>
        </w:tc>
        <w:tc>
          <w:tcPr>
            <w:tcW w:w="710"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5</w:t>
            </w:r>
          </w:p>
        </w:tc>
        <w:tc>
          <w:tcPr>
            <w:tcW w:w="708"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67" w:type="dxa"/>
            <w:noWrap/>
            <w:vAlign w:val="center"/>
          </w:tcPr>
          <w:p>
            <w:pPr>
              <w:widowControl/>
              <w:spacing w:line="240" w:lineRule="auto"/>
              <w:ind w:firstLine="0"/>
              <w:jc w:val="center"/>
              <w:rPr>
                <w:rFonts w:ascii="Times New Roman" w:hAnsi="Times New Roman"/>
                <w:color w:val="000000"/>
                <w:sz w:val="22"/>
              </w:rPr>
            </w:pPr>
            <w:r>
              <w:rPr>
                <w:rFonts w:ascii="Times New Roman" w:hAnsi="Times New Roman"/>
                <w:color w:val="000000"/>
                <w:sz w:val="22"/>
              </w:rPr>
              <w:t>11</w:t>
            </w:r>
          </w:p>
        </w:tc>
        <w:tc>
          <w:tcPr>
            <w:tcW w:w="1273" w:type="dxa"/>
            <w:noWrap/>
            <w:vAlign w:val="center"/>
          </w:tcPr>
          <w:p>
            <w:pPr>
              <w:widowControl/>
              <w:spacing w:line="240" w:lineRule="auto"/>
              <w:ind w:firstLine="0"/>
              <w:jc w:val="center"/>
              <w:rPr>
                <w:rFonts w:ascii="Times New Roman" w:hAnsi="Times New Roman"/>
                <w:color w:val="000000"/>
                <w:sz w:val="22"/>
              </w:rPr>
            </w:pPr>
            <w:r>
              <w:rPr>
                <w:rFonts w:ascii="Times New Roman" w:hAnsi="Times New Roman"/>
                <w:color w:val="000000"/>
                <w:sz w:val="22"/>
              </w:rPr>
              <w:t>遮放镇</w:t>
            </w:r>
          </w:p>
        </w:tc>
        <w:tc>
          <w:tcPr>
            <w:tcW w:w="708"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10</w:t>
            </w:r>
          </w:p>
        </w:tc>
        <w:tc>
          <w:tcPr>
            <w:tcW w:w="851"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w:t>
            </w:r>
          </w:p>
        </w:tc>
        <w:tc>
          <w:tcPr>
            <w:tcW w:w="996"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2</w:t>
            </w:r>
          </w:p>
        </w:tc>
        <w:tc>
          <w:tcPr>
            <w:tcW w:w="708"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13</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8"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6</w:t>
            </w:r>
          </w:p>
        </w:tc>
        <w:tc>
          <w:tcPr>
            <w:tcW w:w="710"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7</w:t>
            </w:r>
          </w:p>
        </w:tc>
        <w:tc>
          <w:tcPr>
            <w:tcW w:w="708"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67" w:type="dxa"/>
            <w:noWrap/>
            <w:vAlign w:val="center"/>
          </w:tcPr>
          <w:p>
            <w:pPr>
              <w:widowControl/>
              <w:spacing w:line="240" w:lineRule="auto"/>
              <w:ind w:firstLine="0"/>
              <w:jc w:val="center"/>
              <w:rPr>
                <w:rFonts w:ascii="Times New Roman" w:hAnsi="Times New Roman"/>
                <w:color w:val="000000"/>
                <w:sz w:val="22"/>
              </w:rPr>
            </w:pPr>
            <w:r>
              <w:rPr>
                <w:rFonts w:ascii="Times New Roman" w:hAnsi="Times New Roman"/>
                <w:color w:val="000000"/>
                <w:sz w:val="22"/>
              </w:rPr>
              <w:t>12</w:t>
            </w:r>
          </w:p>
        </w:tc>
        <w:tc>
          <w:tcPr>
            <w:tcW w:w="1273" w:type="dxa"/>
            <w:noWrap/>
            <w:vAlign w:val="center"/>
          </w:tcPr>
          <w:p>
            <w:pPr>
              <w:widowControl/>
              <w:spacing w:line="240" w:lineRule="auto"/>
              <w:ind w:firstLine="0"/>
              <w:jc w:val="center"/>
              <w:rPr>
                <w:rFonts w:ascii="Times New Roman" w:hAnsi="Times New Roman"/>
                <w:color w:val="000000"/>
                <w:sz w:val="22"/>
              </w:rPr>
            </w:pPr>
            <w:r>
              <w:rPr>
                <w:rFonts w:ascii="Times New Roman" w:hAnsi="Times New Roman"/>
                <w:color w:val="000000"/>
                <w:sz w:val="22"/>
              </w:rPr>
              <w:t>遮放农场</w:t>
            </w:r>
          </w:p>
        </w:tc>
        <w:tc>
          <w:tcPr>
            <w:tcW w:w="708"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4</w:t>
            </w:r>
          </w:p>
        </w:tc>
        <w:tc>
          <w:tcPr>
            <w:tcW w:w="851"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996"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8" w:type="dxa"/>
            <w:noWrap/>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4</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08"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0</w:t>
            </w:r>
          </w:p>
        </w:tc>
        <w:tc>
          <w:tcPr>
            <w:tcW w:w="710"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4</w:t>
            </w:r>
          </w:p>
        </w:tc>
        <w:tc>
          <w:tcPr>
            <w:tcW w:w="708"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1840" w:type="dxa"/>
            <w:gridSpan w:val="2"/>
            <w:noWrap w:val="0"/>
            <w:vAlign w:val="center"/>
          </w:tcPr>
          <w:p>
            <w:pPr>
              <w:widowControl/>
              <w:spacing w:line="240" w:lineRule="auto"/>
              <w:ind w:firstLine="0"/>
              <w:jc w:val="center"/>
              <w:rPr>
                <w:rFonts w:ascii="Times New Roman" w:hAnsi="Times New Roman"/>
                <w:sz w:val="22"/>
              </w:rPr>
            </w:pPr>
            <w:r>
              <w:rPr>
                <w:rFonts w:ascii="Times New Roman" w:hAnsi="Times New Roman"/>
                <w:sz w:val="22"/>
              </w:rPr>
              <w:t>合计</w:t>
            </w:r>
          </w:p>
        </w:tc>
        <w:tc>
          <w:tcPr>
            <w:tcW w:w="708"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143</w:t>
            </w:r>
          </w:p>
        </w:tc>
        <w:tc>
          <w:tcPr>
            <w:tcW w:w="851" w:type="dxa"/>
            <w:noWrap w:val="0"/>
            <w:vAlign w:val="center"/>
          </w:tcPr>
          <w:p>
            <w:pPr>
              <w:spacing w:line="240" w:lineRule="auto"/>
              <w:ind w:firstLine="0"/>
              <w:jc w:val="center"/>
              <w:rPr>
                <w:rFonts w:ascii="Times New Roman" w:hAnsi="Times New Roman" w:eastAsia="等线"/>
                <w:color w:val="000000"/>
                <w:sz w:val="22"/>
              </w:rPr>
            </w:pPr>
            <w:r>
              <w:rPr>
                <w:rFonts w:hint="eastAsia" w:ascii="Times New Roman" w:hAnsi="Times New Roman" w:eastAsia="等线"/>
                <w:color w:val="000000"/>
                <w:sz w:val="22"/>
              </w:rPr>
              <w:t>4</w:t>
            </w:r>
          </w:p>
        </w:tc>
        <w:tc>
          <w:tcPr>
            <w:tcW w:w="996"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2</w:t>
            </w:r>
            <w:r>
              <w:rPr>
                <w:rFonts w:hint="eastAsia" w:ascii="Times New Roman" w:hAnsi="Times New Roman" w:eastAsia="等线"/>
                <w:color w:val="000000"/>
                <w:sz w:val="22"/>
              </w:rPr>
              <w:t>1</w:t>
            </w:r>
          </w:p>
        </w:tc>
        <w:tc>
          <w:tcPr>
            <w:tcW w:w="708"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169</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w:t>
            </w:r>
          </w:p>
        </w:tc>
        <w:tc>
          <w:tcPr>
            <w:tcW w:w="709"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6</w:t>
            </w:r>
          </w:p>
        </w:tc>
        <w:tc>
          <w:tcPr>
            <w:tcW w:w="708"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75</w:t>
            </w:r>
          </w:p>
        </w:tc>
        <w:tc>
          <w:tcPr>
            <w:tcW w:w="710"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87</w:t>
            </w:r>
          </w:p>
        </w:tc>
        <w:tc>
          <w:tcPr>
            <w:tcW w:w="708" w:type="dxa"/>
            <w:noWrap w:val="0"/>
            <w:vAlign w:val="center"/>
          </w:tcPr>
          <w:p>
            <w:pPr>
              <w:spacing w:line="240" w:lineRule="auto"/>
              <w:ind w:firstLine="0"/>
              <w:jc w:val="center"/>
              <w:rPr>
                <w:rFonts w:ascii="Times New Roman" w:hAnsi="Times New Roman" w:eastAsia="等线"/>
                <w:color w:val="000000"/>
                <w:sz w:val="22"/>
              </w:rPr>
            </w:pPr>
            <w:r>
              <w:rPr>
                <w:rFonts w:ascii="Times New Roman" w:hAnsi="Times New Roman" w:eastAsia="等线"/>
                <w:color w:val="000000"/>
                <w:sz w:val="22"/>
              </w:rPr>
              <w:t>169</w:t>
            </w:r>
          </w:p>
        </w:tc>
      </w:tr>
    </w:tbl>
    <w:p>
      <w:pPr>
        <w:ind w:firstLine="0"/>
        <w:jc w:val="center"/>
        <w:rPr>
          <w:rFonts w:ascii="Times New Roman" w:hAnsi="Times New Roman"/>
          <w:b/>
          <w:bCs/>
          <w:color w:val="FF0000"/>
          <w:sz w:val="24"/>
          <w:szCs w:val="24"/>
        </w:rPr>
      </w:pPr>
    </w:p>
    <w:p>
      <w:pPr>
        <w:pStyle w:val="184"/>
        <w:spacing w:after="0"/>
        <w:rPr>
          <w:rStyle w:val="197"/>
          <w:rFonts w:ascii="Times New Roman" w:hAnsi="Times New Roman"/>
          <w:b/>
          <w:bCs w:val="0"/>
        </w:rPr>
      </w:pPr>
      <w:bookmarkStart w:id="15" w:name="_Toc137671393"/>
      <w:bookmarkStart w:id="16" w:name="_Toc131872709"/>
      <w:r>
        <w:rPr>
          <w:rStyle w:val="197"/>
          <w:rFonts w:ascii="Times New Roman" w:hAnsi="Times New Roman"/>
          <w:b/>
          <w:bCs w:val="0"/>
        </w:rPr>
        <w:t>3、地质灾害威胁情况</w:t>
      </w:r>
      <w:bookmarkEnd w:id="15"/>
      <w:bookmarkEnd w:id="16"/>
    </w:p>
    <w:p>
      <w:pPr>
        <w:ind w:firstLine="560"/>
        <w:rPr>
          <w:rFonts w:hint="eastAsia" w:ascii="Times New Roman" w:hAnsi="Times New Roman"/>
        </w:rPr>
      </w:pPr>
      <w:r>
        <w:rPr>
          <w:rFonts w:ascii="Times New Roman" w:hAnsi="Times New Roman"/>
        </w:rPr>
        <w:t>我市现状自然地质灾害主要威胁村庄、集镇、及学校等设施的隐患点169个，目前共威胁25559人，威胁资产49136万元。根据各地质灾害隐患威胁的人口及资产划分地质灾害险情等级列表统计如下（表1-3）。</w:t>
      </w:r>
    </w:p>
    <w:p>
      <w:pPr>
        <w:pStyle w:val="184"/>
        <w:spacing w:after="0"/>
        <w:rPr>
          <w:rStyle w:val="197"/>
          <w:rFonts w:ascii="Times New Roman" w:hAnsi="Times New Roman"/>
          <w:b/>
          <w:bCs w:val="0"/>
        </w:rPr>
      </w:pPr>
      <w:bookmarkStart w:id="17" w:name="_Toc131872710"/>
      <w:bookmarkStart w:id="18" w:name="_Toc137671394"/>
      <w:r>
        <w:rPr>
          <w:rStyle w:val="197"/>
          <w:rFonts w:ascii="Times New Roman" w:hAnsi="Times New Roman"/>
          <w:b/>
          <w:bCs w:val="0"/>
        </w:rPr>
        <w:t>4、地质灾害发展趋势</w:t>
      </w:r>
      <w:bookmarkEnd w:id="17"/>
      <w:bookmarkEnd w:id="18"/>
    </w:p>
    <w:p>
      <w:pPr>
        <w:ind w:firstLine="560"/>
        <w:rPr>
          <w:rFonts w:ascii="Times New Roman" w:hAnsi="Times New Roman"/>
          <w:sz w:val="32"/>
        </w:rPr>
      </w:pPr>
      <w:r>
        <w:rPr>
          <w:rFonts w:ascii="Times New Roman" w:hAnsi="Times New Roman"/>
        </w:rPr>
        <w:t>根据多年的调查评价、工程治理、避险搬迁及群测群防工作取得的经验，结合我市特殊的地理位置及地质环境条件，对地质灾害发展趋势进行简要评价：我市地质环境条件复杂，区内山多平地少，雨量充沛且降雨集中，地质灾害发生的自然条件没有改变，加之随着人类工程活动的不断加剧，极端天气频率增高，地质灾害的诱发因素也在不断加重，地质灾害隐患的数量仍将长期居高不下。另外，随着近年地质灾害防治工作的不断推进，避险搬迁等项目的大力实施，对农村切坡建房管控力度的不断增强，地质灾害的多发易发区逐渐从偏远山区向盆地边缘山麓地带转移，城镇及山区的地质灾害防治任务依然严峻。</w:t>
      </w:r>
    </w:p>
    <w:p>
      <w:pPr>
        <w:spacing w:line="240" w:lineRule="auto"/>
        <w:ind w:firstLine="0"/>
        <w:jc w:val="center"/>
        <w:rPr>
          <w:rFonts w:ascii="Times New Roman" w:hAnsi="Times New Roman"/>
          <w:b/>
          <w:bCs/>
          <w:sz w:val="24"/>
          <w:szCs w:val="24"/>
        </w:rPr>
      </w:pPr>
      <w:r>
        <w:rPr>
          <w:rFonts w:ascii="Times New Roman" w:hAnsi="Times New Roman"/>
          <w:b/>
          <w:bCs/>
          <w:sz w:val="24"/>
          <w:szCs w:val="24"/>
        </w:rPr>
        <w:t>表1-3   芒市不同规模地质灾害威胁情况统计表</w:t>
      </w:r>
    </w:p>
    <w:tbl>
      <w:tblPr>
        <w:tblStyle w:val="28"/>
        <w:tblW w:w="9715" w:type="dxa"/>
        <w:tblInd w:w="-4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0"/>
        <w:gridCol w:w="459"/>
        <w:gridCol w:w="639"/>
        <w:gridCol w:w="697"/>
        <w:gridCol w:w="439"/>
        <w:gridCol w:w="639"/>
        <w:gridCol w:w="716"/>
        <w:gridCol w:w="459"/>
        <w:gridCol w:w="739"/>
        <w:gridCol w:w="739"/>
        <w:gridCol w:w="478"/>
        <w:gridCol w:w="678"/>
        <w:gridCol w:w="700"/>
        <w:gridCol w:w="716"/>
        <w:gridCol w:w="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20" w:type="dxa"/>
            <w:vMerge w:val="restart"/>
            <w:noWrap w:val="0"/>
            <w:vAlign w:val="center"/>
          </w:tcPr>
          <w:p>
            <w:pPr>
              <w:widowControl/>
              <w:spacing w:line="240" w:lineRule="auto"/>
              <w:ind w:firstLine="0"/>
              <w:jc w:val="center"/>
              <w:rPr>
                <w:rFonts w:ascii="Times New Roman" w:hAnsi="Times New Roman"/>
                <w:b/>
                <w:bCs/>
                <w:color w:val="000000"/>
                <w:sz w:val="20"/>
                <w:szCs w:val="20"/>
              </w:rPr>
            </w:pPr>
            <w:r>
              <w:rPr>
                <w:rFonts w:ascii="Times New Roman" w:hAnsi="Times New Roman"/>
                <w:b/>
                <w:bCs/>
                <w:color w:val="000000"/>
                <w:sz w:val="20"/>
                <w:szCs w:val="20"/>
              </w:rPr>
              <w:t>乡、镇</w:t>
            </w:r>
          </w:p>
        </w:tc>
        <w:tc>
          <w:tcPr>
            <w:tcW w:w="1795" w:type="dxa"/>
            <w:gridSpan w:val="3"/>
            <w:noWrap w:val="0"/>
            <w:vAlign w:val="center"/>
          </w:tcPr>
          <w:p>
            <w:pPr>
              <w:widowControl/>
              <w:spacing w:line="240" w:lineRule="auto"/>
              <w:ind w:firstLine="0"/>
              <w:jc w:val="center"/>
              <w:rPr>
                <w:rFonts w:ascii="Times New Roman" w:hAnsi="Times New Roman"/>
                <w:b/>
                <w:bCs/>
                <w:color w:val="000000"/>
                <w:sz w:val="20"/>
                <w:szCs w:val="20"/>
              </w:rPr>
            </w:pPr>
            <w:r>
              <w:rPr>
                <w:rFonts w:ascii="Times New Roman" w:hAnsi="Times New Roman"/>
                <w:b/>
                <w:bCs/>
                <w:color w:val="000000"/>
                <w:sz w:val="20"/>
                <w:szCs w:val="20"/>
              </w:rPr>
              <w:t>特大型</w:t>
            </w:r>
          </w:p>
        </w:tc>
        <w:tc>
          <w:tcPr>
            <w:tcW w:w="1794" w:type="dxa"/>
            <w:gridSpan w:val="3"/>
            <w:noWrap w:val="0"/>
            <w:vAlign w:val="center"/>
          </w:tcPr>
          <w:p>
            <w:pPr>
              <w:widowControl/>
              <w:spacing w:line="240" w:lineRule="auto"/>
              <w:ind w:firstLine="0"/>
              <w:jc w:val="center"/>
              <w:rPr>
                <w:rFonts w:ascii="Times New Roman" w:hAnsi="Times New Roman"/>
                <w:b/>
                <w:bCs/>
                <w:color w:val="000000"/>
                <w:sz w:val="20"/>
                <w:szCs w:val="20"/>
              </w:rPr>
            </w:pPr>
            <w:r>
              <w:rPr>
                <w:rFonts w:ascii="Times New Roman" w:hAnsi="Times New Roman"/>
                <w:b/>
                <w:bCs/>
                <w:color w:val="000000"/>
                <w:sz w:val="20"/>
                <w:szCs w:val="20"/>
              </w:rPr>
              <w:t>大型</w:t>
            </w:r>
          </w:p>
        </w:tc>
        <w:tc>
          <w:tcPr>
            <w:tcW w:w="1937" w:type="dxa"/>
            <w:gridSpan w:val="3"/>
            <w:noWrap w:val="0"/>
            <w:vAlign w:val="center"/>
          </w:tcPr>
          <w:p>
            <w:pPr>
              <w:widowControl/>
              <w:spacing w:line="240" w:lineRule="auto"/>
              <w:ind w:firstLine="0"/>
              <w:jc w:val="center"/>
              <w:rPr>
                <w:rFonts w:ascii="Times New Roman" w:hAnsi="Times New Roman"/>
                <w:b/>
                <w:bCs/>
                <w:color w:val="000000"/>
                <w:sz w:val="20"/>
                <w:szCs w:val="20"/>
              </w:rPr>
            </w:pPr>
            <w:r>
              <w:rPr>
                <w:rFonts w:ascii="Times New Roman" w:hAnsi="Times New Roman"/>
                <w:b/>
                <w:bCs/>
                <w:color w:val="000000"/>
                <w:sz w:val="20"/>
                <w:szCs w:val="20"/>
              </w:rPr>
              <w:t>中型</w:t>
            </w:r>
          </w:p>
        </w:tc>
        <w:tc>
          <w:tcPr>
            <w:tcW w:w="1856" w:type="dxa"/>
            <w:gridSpan w:val="3"/>
            <w:noWrap w:val="0"/>
            <w:vAlign w:val="center"/>
          </w:tcPr>
          <w:p>
            <w:pPr>
              <w:widowControl/>
              <w:spacing w:line="240" w:lineRule="auto"/>
              <w:ind w:firstLine="0"/>
              <w:jc w:val="center"/>
              <w:rPr>
                <w:rFonts w:ascii="Times New Roman" w:hAnsi="Times New Roman"/>
                <w:b/>
                <w:bCs/>
                <w:color w:val="000000"/>
                <w:sz w:val="20"/>
                <w:szCs w:val="20"/>
              </w:rPr>
            </w:pPr>
            <w:r>
              <w:rPr>
                <w:rFonts w:ascii="Times New Roman" w:hAnsi="Times New Roman"/>
                <w:b/>
                <w:bCs/>
                <w:color w:val="000000"/>
                <w:sz w:val="20"/>
                <w:szCs w:val="20"/>
              </w:rPr>
              <w:t>小型</w:t>
            </w:r>
          </w:p>
        </w:tc>
        <w:tc>
          <w:tcPr>
            <w:tcW w:w="1513" w:type="dxa"/>
            <w:gridSpan w:val="2"/>
            <w:vMerge w:val="restart"/>
            <w:noWrap w:val="0"/>
            <w:vAlign w:val="center"/>
          </w:tcPr>
          <w:p>
            <w:pPr>
              <w:widowControl/>
              <w:spacing w:line="240" w:lineRule="auto"/>
              <w:ind w:firstLine="0"/>
              <w:jc w:val="center"/>
              <w:rPr>
                <w:rFonts w:ascii="Times New Roman" w:hAnsi="Times New Roman"/>
                <w:b/>
                <w:bCs/>
                <w:color w:val="000000"/>
                <w:sz w:val="20"/>
                <w:szCs w:val="20"/>
              </w:rPr>
            </w:pPr>
            <w:r>
              <w:rPr>
                <w:rFonts w:ascii="Times New Roman" w:hAnsi="Times New Roman"/>
                <w:b/>
                <w:bCs/>
                <w:color w:val="000000"/>
                <w:sz w:val="20"/>
                <w:szCs w:val="20"/>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trPr>
        <w:tc>
          <w:tcPr>
            <w:tcW w:w="820" w:type="dxa"/>
            <w:vMerge w:val="continue"/>
            <w:noWrap w:val="0"/>
            <w:vAlign w:val="center"/>
          </w:tcPr>
          <w:p>
            <w:pPr>
              <w:widowControl/>
              <w:spacing w:line="240" w:lineRule="auto"/>
              <w:ind w:firstLine="0"/>
              <w:jc w:val="left"/>
              <w:rPr>
                <w:rFonts w:ascii="Times New Roman" w:hAnsi="Times New Roman"/>
                <w:b/>
                <w:bCs/>
                <w:color w:val="000000"/>
                <w:sz w:val="20"/>
                <w:szCs w:val="20"/>
              </w:rPr>
            </w:pPr>
          </w:p>
        </w:tc>
        <w:tc>
          <w:tcPr>
            <w:tcW w:w="459" w:type="dxa"/>
            <w:vMerge w:val="restart"/>
            <w:noWrap w:val="0"/>
            <w:vAlign w:val="center"/>
          </w:tcPr>
          <w:p>
            <w:pPr>
              <w:widowControl/>
              <w:spacing w:line="240" w:lineRule="auto"/>
              <w:ind w:firstLine="0"/>
              <w:jc w:val="center"/>
              <w:rPr>
                <w:rFonts w:ascii="Times New Roman" w:hAnsi="Times New Roman"/>
                <w:b/>
                <w:bCs/>
                <w:color w:val="000000"/>
                <w:sz w:val="20"/>
                <w:szCs w:val="20"/>
              </w:rPr>
            </w:pPr>
            <w:r>
              <w:rPr>
                <w:rFonts w:ascii="Times New Roman" w:hAnsi="Times New Roman"/>
                <w:b/>
                <w:bCs/>
                <w:color w:val="000000"/>
                <w:sz w:val="20"/>
                <w:szCs w:val="20"/>
              </w:rPr>
              <w:t>个数</w:t>
            </w:r>
          </w:p>
        </w:tc>
        <w:tc>
          <w:tcPr>
            <w:tcW w:w="1336" w:type="dxa"/>
            <w:gridSpan w:val="2"/>
            <w:noWrap w:val="0"/>
            <w:vAlign w:val="center"/>
          </w:tcPr>
          <w:p>
            <w:pPr>
              <w:widowControl/>
              <w:spacing w:line="240" w:lineRule="auto"/>
              <w:ind w:firstLine="0"/>
              <w:jc w:val="center"/>
              <w:rPr>
                <w:rFonts w:ascii="Times New Roman" w:hAnsi="Times New Roman"/>
                <w:b/>
                <w:bCs/>
                <w:color w:val="000000"/>
                <w:sz w:val="20"/>
                <w:szCs w:val="20"/>
              </w:rPr>
            </w:pPr>
            <w:r>
              <w:rPr>
                <w:rFonts w:ascii="Times New Roman" w:hAnsi="Times New Roman"/>
                <w:b/>
                <w:bCs/>
                <w:color w:val="000000"/>
                <w:sz w:val="20"/>
                <w:szCs w:val="20"/>
              </w:rPr>
              <w:t>威胁</w:t>
            </w:r>
          </w:p>
        </w:tc>
        <w:tc>
          <w:tcPr>
            <w:tcW w:w="439" w:type="dxa"/>
            <w:vMerge w:val="restart"/>
            <w:noWrap w:val="0"/>
            <w:vAlign w:val="center"/>
          </w:tcPr>
          <w:p>
            <w:pPr>
              <w:widowControl/>
              <w:spacing w:line="240" w:lineRule="auto"/>
              <w:ind w:firstLine="0"/>
              <w:jc w:val="center"/>
              <w:rPr>
                <w:rFonts w:ascii="Times New Roman" w:hAnsi="Times New Roman"/>
                <w:b/>
                <w:bCs/>
                <w:color w:val="000000"/>
                <w:sz w:val="20"/>
                <w:szCs w:val="20"/>
              </w:rPr>
            </w:pPr>
            <w:r>
              <w:rPr>
                <w:rFonts w:ascii="Times New Roman" w:hAnsi="Times New Roman"/>
                <w:b/>
                <w:bCs/>
                <w:color w:val="000000"/>
                <w:sz w:val="20"/>
                <w:szCs w:val="20"/>
              </w:rPr>
              <w:t>个数</w:t>
            </w:r>
          </w:p>
        </w:tc>
        <w:tc>
          <w:tcPr>
            <w:tcW w:w="1355" w:type="dxa"/>
            <w:gridSpan w:val="2"/>
            <w:noWrap w:val="0"/>
            <w:vAlign w:val="center"/>
          </w:tcPr>
          <w:p>
            <w:pPr>
              <w:widowControl/>
              <w:spacing w:line="240" w:lineRule="auto"/>
              <w:ind w:firstLine="0"/>
              <w:jc w:val="center"/>
              <w:rPr>
                <w:rFonts w:ascii="Times New Roman" w:hAnsi="Times New Roman"/>
                <w:b/>
                <w:bCs/>
                <w:color w:val="000000"/>
                <w:sz w:val="20"/>
                <w:szCs w:val="20"/>
              </w:rPr>
            </w:pPr>
            <w:r>
              <w:rPr>
                <w:rFonts w:ascii="Times New Roman" w:hAnsi="Times New Roman"/>
                <w:b/>
                <w:bCs/>
                <w:color w:val="000000"/>
                <w:sz w:val="20"/>
                <w:szCs w:val="20"/>
              </w:rPr>
              <w:t>威胁</w:t>
            </w:r>
          </w:p>
        </w:tc>
        <w:tc>
          <w:tcPr>
            <w:tcW w:w="459" w:type="dxa"/>
            <w:vMerge w:val="restart"/>
            <w:noWrap w:val="0"/>
            <w:vAlign w:val="center"/>
          </w:tcPr>
          <w:p>
            <w:pPr>
              <w:widowControl/>
              <w:spacing w:line="240" w:lineRule="auto"/>
              <w:ind w:firstLine="0"/>
              <w:jc w:val="center"/>
              <w:rPr>
                <w:rFonts w:ascii="Times New Roman" w:hAnsi="Times New Roman"/>
                <w:b/>
                <w:bCs/>
                <w:color w:val="000000"/>
                <w:sz w:val="20"/>
                <w:szCs w:val="20"/>
              </w:rPr>
            </w:pPr>
            <w:r>
              <w:rPr>
                <w:rFonts w:ascii="Times New Roman" w:hAnsi="Times New Roman"/>
                <w:b/>
                <w:bCs/>
                <w:color w:val="000000"/>
                <w:sz w:val="20"/>
                <w:szCs w:val="20"/>
              </w:rPr>
              <w:t>个数</w:t>
            </w:r>
          </w:p>
        </w:tc>
        <w:tc>
          <w:tcPr>
            <w:tcW w:w="1478" w:type="dxa"/>
            <w:gridSpan w:val="2"/>
            <w:noWrap w:val="0"/>
            <w:vAlign w:val="center"/>
          </w:tcPr>
          <w:p>
            <w:pPr>
              <w:widowControl/>
              <w:spacing w:line="240" w:lineRule="auto"/>
              <w:ind w:firstLine="0"/>
              <w:jc w:val="center"/>
              <w:rPr>
                <w:rFonts w:ascii="Times New Roman" w:hAnsi="Times New Roman"/>
                <w:b/>
                <w:bCs/>
                <w:color w:val="000000"/>
                <w:sz w:val="20"/>
                <w:szCs w:val="20"/>
              </w:rPr>
            </w:pPr>
            <w:r>
              <w:rPr>
                <w:rFonts w:ascii="Times New Roman" w:hAnsi="Times New Roman"/>
                <w:b/>
                <w:bCs/>
                <w:color w:val="000000"/>
                <w:sz w:val="20"/>
                <w:szCs w:val="20"/>
              </w:rPr>
              <w:t>威胁</w:t>
            </w:r>
          </w:p>
        </w:tc>
        <w:tc>
          <w:tcPr>
            <w:tcW w:w="478" w:type="dxa"/>
            <w:vMerge w:val="restart"/>
            <w:noWrap w:val="0"/>
            <w:vAlign w:val="center"/>
          </w:tcPr>
          <w:p>
            <w:pPr>
              <w:widowControl/>
              <w:spacing w:line="240" w:lineRule="auto"/>
              <w:ind w:firstLine="0"/>
              <w:jc w:val="center"/>
              <w:rPr>
                <w:rFonts w:ascii="Times New Roman" w:hAnsi="Times New Roman"/>
                <w:b/>
                <w:bCs/>
                <w:color w:val="000000"/>
                <w:sz w:val="20"/>
                <w:szCs w:val="20"/>
              </w:rPr>
            </w:pPr>
            <w:r>
              <w:rPr>
                <w:rFonts w:ascii="Times New Roman" w:hAnsi="Times New Roman"/>
                <w:b/>
                <w:bCs/>
                <w:color w:val="000000"/>
                <w:sz w:val="20"/>
                <w:szCs w:val="20"/>
              </w:rPr>
              <w:t>个数</w:t>
            </w:r>
          </w:p>
        </w:tc>
        <w:tc>
          <w:tcPr>
            <w:tcW w:w="1378" w:type="dxa"/>
            <w:gridSpan w:val="2"/>
            <w:noWrap w:val="0"/>
            <w:vAlign w:val="center"/>
          </w:tcPr>
          <w:p>
            <w:pPr>
              <w:widowControl/>
              <w:spacing w:line="240" w:lineRule="auto"/>
              <w:ind w:firstLine="0"/>
              <w:jc w:val="center"/>
              <w:rPr>
                <w:rFonts w:ascii="Times New Roman" w:hAnsi="Times New Roman"/>
                <w:b/>
                <w:bCs/>
                <w:color w:val="000000"/>
                <w:sz w:val="20"/>
                <w:szCs w:val="20"/>
              </w:rPr>
            </w:pPr>
            <w:r>
              <w:rPr>
                <w:rFonts w:ascii="Times New Roman" w:hAnsi="Times New Roman"/>
                <w:b/>
                <w:bCs/>
                <w:color w:val="000000"/>
                <w:sz w:val="20"/>
                <w:szCs w:val="20"/>
              </w:rPr>
              <w:t>威胁</w:t>
            </w:r>
          </w:p>
        </w:tc>
        <w:tc>
          <w:tcPr>
            <w:tcW w:w="1513" w:type="dxa"/>
            <w:gridSpan w:val="2"/>
            <w:vMerge w:val="continue"/>
            <w:noWrap w:val="0"/>
            <w:vAlign w:val="center"/>
          </w:tcPr>
          <w:p>
            <w:pPr>
              <w:widowControl/>
              <w:spacing w:line="240" w:lineRule="auto"/>
              <w:ind w:firstLine="0"/>
              <w:jc w:val="left"/>
              <w:rPr>
                <w:rFonts w:ascii="Times New Roman" w:hAnsi="Times New Roman"/>
                <w:b/>
                <w:bCs/>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20" w:type="dxa"/>
            <w:vMerge w:val="continue"/>
            <w:noWrap w:val="0"/>
            <w:vAlign w:val="center"/>
          </w:tcPr>
          <w:p>
            <w:pPr>
              <w:widowControl/>
              <w:spacing w:line="240" w:lineRule="auto"/>
              <w:ind w:firstLine="0"/>
              <w:jc w:val="left"/>
              <w:rPr>
                <w:rFonts w:ascii="Times New Roman" w:hAnsi="Times New Roman"/>
                <w:b/>
                <w:bCs/>
                <w:color w:val="000000"/>
                <w:sz w:val="20"/>
                <w:szCs w:val="20"/>
              </w:rPr>
            </w:pPr>
          </w:p>
        </w:tc>
        <w:tc>
          <w:tcPr>
            <w:tcW w:w="459" w:type="dxa"/>
            <w:vMerge w:val="continue"/>
            <w:noWrap w:val="0"/>
            <w:vAlign w:val="center"/>
          </w:tcPr>
          <w:p>
            <w:pPr>
              <w:widowControl/>
              <w:spacing w:line="240" w:lineRule="auto"/>
              <w:ind w:firstLine="0"/>
              <w:jc w:val="left"/>
              <w:rPr>
                <w:rFonts w:ascii="Times New Roman" w:hAnsi="Times New Roman"/>
                <w:b/>
                <w:bCs/>
                <w:color w:val="000000"/>
                <w:sz w:val="20"/>
                <w:szCs w:val="20"/>
              </w:rPr>
            </w:pPr>
          </w:p>
        </w:tc>
        <w:tc>
          <w:tcPr>
            <w:tcW w:w="639" w:type="dxa"/>
            <w:noWrap w:val="0"/>
            <w:vAlign w:val="center"/>
          </w:tcPr>
          <w:p>
            <w:pPr>
              <w:widowControl/>
              <w:spacing w:line="240" w:lineRule="auto"/>
              <w:ind w:firstLine="0"/>
              <w:jc w:val="center"/>
              <w:rPr>
                <w:rFonts w:ascii="Times New Roman" w:hAnsi="Times New Roman"/>
                <w:b/>
                <w:bCs/>
                <w:color w:val="000000"/>
                <w:sz w:val="20"/>
                <w:szCs w:val="20"/>
              </w:rPr>
            </w:pPr>
            <w:r>
              <w:rPr>
                <w:rFonts w:ascii="Times New Roman" w:hAnsi="Times New Roman"/>
                <w:b/>
                <w:bCs/>
                <w:color w:val="000000"/>
                <w:sz w:val="20"/>
                <w:szCs w:val="20"/>
              </w:rPr>
              <w:t>人口(人)</w:t>
            </w:r>
          </w:p>
        </w:tc>
        <w:tc>
          <w:tcPr>
            <w:tcW w:w="697" w:type="dxa"/>
            <w:noWrap w:val="0"/>
            <w:vAlign w:val="center"/>
          </w:tcPr>
          <w:p>
            <w:pPr>
              <w:widowControl/>
              <w:spacing w:line="240" w:lineRule="auto"/>
              <w:ind w:firstLine="0"/>
              <w:jc w:val="center"/>
              <w:rPr>
                <w:rFonts w:ascii="Times New Roman" w:hAnsi="Times New Roman"/>
                <w:b/>
                <w:bCs/>
                <w:color w:val="000000"/>
                <w:sz w:val="20"/>
                <w:szCs w:val="20"/>
              </w:rPr>
            </w:pPr>
            <w:r>
              <w:rPr>
                <w:rFonts w:ascii="Times New Roman" w:hAnsi="Times New Roman"/>
                <w:b/>
                <w:bCs/>
                <w:color w:val="000000"/>
                <w:sz w:val="20"/>
                <w:szCs w:val="20"/>
              </w:rPr>
              <w:t>财产(万元)</w:t>
            </w:r>
          </w:p>
        </w:tc>
        <w:tc>
          <w:tcPr>
            <w:tcW w:w="439" w:type="dxa"/>
            <w:vMerge w:val="continue"/>
            <w:noWrap w:val="0"/>
            <w:vAlign w:val="center"/>
          </w:tcPr>
          <w:p>
            <w:pPr>
              <w:widowControl/>
              <w:spacing w:line="240" w:lineRule="auto"/>
              <w:ind w:firstLine="0"/>
              <w:jc w:val="left"/>
              <w:rPr>
                <w:rFonts w:ascii="Times New Roman" w:hAnsi="Times New Roman"/>
                <w:b/>
                <w:bCs/>
                <w:color w:val="000000"/>
                <w:sz w:val="20"/>
                <w:szCs w:val="20"/>
              </w:rPr>
            </w:pPr>
          </w:p>
        </w:tc>
        <w:tc>
          <w:tcPr>
            <w:tcW w:w="639" w:type="dxa"/>
            <w:noWrap w:val="0"/>
            <w:vAlign w:val="center"/>
          </w:tcPr>
          <w:p>
            <w:pPr>
              <w:widowControl/>
              <w:spacing w:line="240" w:lineRule="auto"/>
              <w:ind w:firstLine="0"/>
              <w:jc w:val="center"/>
              <w:rPr>
                <w:rFonts w:ascii="Times New Roman" w:hAnsi="Times New Roman"/>
                <w:b/>
                <w:bCs/>
                <w:color w:val="000000"/>
                <w:sz w:val="20"/>
                <w:szCs w:val="20"/>
              </w:rPr>
            </w:pPr>
            <w:r>
              <w:rPr>
                <w:rFonts w:ascii="Times New Roman" w:hAnsi="Times New Roman"/>
                <w:b/>
                <w:bCs/>
                <w:color w:val="000000"/>
                <w:sz w:val="20"/>
                <w:szCs w:val="20"/>
              </w:rPr>
              <w:t>人口(人)</w:t>
            </w:r>
          </w:p>
        </w:tc>
        <w:tc>
          <w:tcPr>
            <w:tcW w:w="716" w:type="dxa"/>
            <w:noWrap w:val="0"/>
            <w:vAlign w:val="center"/>
          </w:tcPr>
          <w:p>
            <w:pPr>
              <w:widowControl/>
              <w:spacing w:line="240" w:lineRule="auto"/>
              <w:ind w:firstLine="0"/>
              <w:jc w:val="center"/>
              <w:rPr>
                <w:rFonts w:ascii="Times New Roman" w:hAnsi="Times New Roman"/>
                <w:b/>
                <w:bCs/>
                <w:color w:val="000000"/>
                <w:sz w:val="20"/>
                <w:szCs w:val="20"/>
              </w:rPr>
            </w:pPr>
            <w:r>
              <w:rPr>
                <w:rFonts w:ascii="Times New Roman" w:hAnsi="Times New Roman"/>
                <w:b/>
                <w:bCs/>
                <w:color w:val="000000"/>
                <w:sz w:val="20"/>
                <w:szCs w:val="20"/>
              </w:rPr>
              <w:t>财产(万元)</w:t>
            </w:r>
          </w:p>
        </w:tc>
        <w:tc>
          <w:tcPr>
            <w:tcW w:w="459" w:type="dxa"/>
            <w:vMerge w:val="continue"/>
            <w:noWrap w:val="0"/>
            <w:vAlign w:val="center"/>
          </w:tcPr>
          <w:p>
            <w:pPr>
              <w:widowControl/>
              <w:spacing w:line="240" w:lineRule="auto"/>
              <w:ind w:firstLine="0"/>
              <w:jc w:val="left"/>
              <w:rPr>
                <w:rFonts w:ascii="Times New Roman" w:hAnsi="Times New Roman"/>
                <w:b/>
                <w:bCs/>
                <w:color w:val="000000"/>
                <w:sz w:val="20"/>
                <w:szCs w:val="20"/>
              </w:rPr>
            </w:pPr>
          </w:p>
        </w:tc>
        <w:tc>
          <w:tcPr>
            <w:tcW w:w="739" w:type="dxa"/>
            <w:noWrap w:val="0"/>
            <w:vAlign w:val="center"/>
          </w:tcPr>
          <w:p>
            <w:pPr>
              <w:widowControl/>
              <w:spacing w:line="240" w:lineRule="auto"/>
              <w:ind w:firstLine="0"/>
              <w:jc w:val="center"/>
              <w:rPr>
                <w:rFonts w:ascii="Times New Roman" w:hAnsi="Times New Roman"/>
                <w:b/>
                <w:bCs/>
                <w:color w:val="000000"/>
                <w:sz w:val="20"/>
                <w:szCs w:val="20"/>
              </w:rPr>
            </w:pPr>
            <w:r>
              <w:rPr>
                <w:rFonts w:ascii="Times New Roman" w:hAnsi="Times New Roman"/>
                <w:b/>
                <w:bCs/>
                <w:color w:val="000000"/>
                <w:sz w:val="20"/>
                <w:szCs w:val="20"/>
              </w:rPr>
              <w:t>人口(人)</w:t>
            </w:r>
          </w:p>
        </w:tc>
        <w:tc>
          <w:tcPr>
            <w:tcW w:w="739" w:type="dxa"/>
            <w:noWrap w:val="0"/>
            <w:vAlign w:val="center"/>
          </w:tcPr>
          <w:p>
            <w:pPr>
              <w:widowControl/>
              <w:spacing w:line="240" w:lineRule="auto"/>
              <w:ind w:firstLine="0"/>
              <w:jc w:val="center"/>
              <w:rPr>
                <w:rFonts w:ascii="Times New Roman" w:hAnsi="Times New Roman"/>
                <w:b/>
                <w:bCs/>
                <w:color w:val="000000"/>
                <w:sz w:val="20"/>
                <w:szCs w:val="20"/>
              </w:rPr>
            </w:pPr>
            <w:r>
              <w:rPr>
                <w:rFonts w:ascii="Times New Roman" w:hAnsi="Times New Roman"/>
                <w:b/>
                <w:bCs/>
                <w:color w:val="000000"/>
                <w:sz w:val="20"/>
                <w:szCs w:val="20"/>
              </w:rPr>
              <w:t>财产(万元)</w:t>
            </w:r>
          </w:p>
        </w:tc>
        <w:tc>
          <w:tcPr>
            <w:tcW w:w="478" w:type="dxa"/>
            <w:vMerge w:val="continue"/>
            <w:noWrap w:val="0"/>
            <w:vAlign w:val="center"/>
          </w:tcPr>
          <w:p>
            <w:pPr>
              <w:widowControl/>
              <w:spacing w:line="240" w:lineRule="auto"/>
              <w:ind w:firstLine="0"/>
              <w:jc w:val="left"/>
              <w:rPr>
                <w:rFonts w:ascii="Times New Roman" w:hAnsi="Times New Roman"/>
                <w:b/>
                <w:bCs/>
                <w:color w:val="000000"/>
                <w:sz w:val="20"/>
                <w:szCs w:val="20"/>
              </w:rPr>
            </w:pPr>
          </w:p>
        </w:tc>
        <w:tc>
          <w:tcPr>
            <w:tcW w:w="678" w:type="dxa"/>
            <w:noWrap w:val="0"/>
            <w:vAlign w:val="center"/>
          </w:tcPr>
          <w:p>
            <w:pPr>
              <w:widowControl/>
              <w:spacing w:line="240" w:lineRule="auto"/>
              <w:ind w:firstLine="0"/>
              <w:jc w:val="center"/>
              <w:rPr>
                <w:rFonts w:ascii="Times New Roman" w:hAnsi="Times New Roman"/>
                <w:b/>
                <w:bCs/>
                <w:color w:val="000000"/>
                <w:sz w:val="20"/>
                <w:szCs w:val="20"/>
              </w:rPr>
            </w:pPr>
            <w:r>
              <w:rPr>
                <w:rFonts w:ascii="Times New Roman" w:hAnsi="Times New Roman"/>
                <w:b/>
                <w:bCs/>
                <w:color w:val="000000"/>
                <w:sz w:val="20"/>
                <w:szCs w:val="20"/>
              </w:rPr>
              <w:t>人口(人)</w:t>
            </w:r>
          </w:p>
        </w:tc>
        <w:tc>
          <w:tcPr>
            <w:tcW w:w="700" w:type="dxa"/>
            <w:noWrap w:val="0"/>
            <w:vAlign w:val="center"/>
          </w:tcPr>
          <w:p>
            <w:pPr>
              <w:widowControl/>
              <w:spacing w:line="240" w:lineRule="auto"/>
              <w:ind w:firstLine="0"/>
              <w:jc w:val="center"/>
              <w:rPr>
                <w:rFonts w:ascii="Times New Roman" w:hAnsi="Times New Roman"/>
                <w:b/>
                <w:bCs/>
                <w:color w:val="000000"/>
                <w:sz w:val="20"/>
                <w:szCs w:val="20"/>
              </w:rPr>
            </w:pPr>
            <w:r>
              <w:rPr>
                <w:rFonts w:ascii="Times New Roman" w:hAnsi="Times New Roman"/>
                <w:b/>
                <w:bCs/>
                <w:color w:val="000000"/>
                <w:sz w:val="20"/>
                <w:szCs w:val="20"/>
              </w:rPr>
              <w:t>财产(万元)</w:t>
            </w:r>
          </w:p>
        </w:tc>
        <w:tc>
          <w:tcPr>
            <w:tcW w:w="716" w:type="dxa"/>
            <w:noWrap w:val="0"/>
            <w:vAlign w:val="center"/>
          </w:tcPr>
          <w:p>
            <w:pPr>
              <w:widowControl/>
              <w:spacing w:line="240" w:lineRule="auto"/>
              <w:ind w:firstLine="0"/>
              <w:jc w:val="center"/>
              <w:rPr>
                <w:rFonts w:ascii="Times New Roman" w:hAnsi="Times New Roman"/>
                <w:b/>
                <w:bCs/>
                <w:color w:val="000000"/>
                <w:sz w:val="20"/>
                <w:szCs w:val="20"/>
              </w:rPr>
            </w:pPr>
            <w:r>
              <w:rPr>
                <w:rFonts w:ascii="Times New Roman" w:hAnsi="Times New Roman"/>
                <w:b/>
                <w:bCs/>
                <w:color w:val="000000"/>
                <w:sz w:val="20"/>
                <w:szCs w:val="20"/>
              </w:rPr>
              <w:t>人口(人)</w:t>
            </w:r>
          </w:p>
        </w:tc>
        <w:tc>
          <w:tcPr>
            <w:tcW w:w="797" w:type="dxa"/>
            <w:noWrap w:val="0"/>
            <w:vAlign w:val="center"/>
          </w:tcPr>
          <w:p>
            <w:pPr>
              <w:widowControl/>
              <w:spacing w:line="240" w:lineRule="auto"/>
              <w:ind w:firstLine="0"/>
              <w:jc w:val="center"/>
              <w:rPr>
                <w:rFonts w:ascii="Times New Roman" w:hAnsi="Times New Roman"/>
                <w:b/>
                <w:bCs/>
                <w:color w:val="000000"/>
                <w:sz w:val="20"/>
                <w:szCs w:val="20"/>
              </w:rPr>
            </w:pPr>
            <w:r>
              <w:rPr>
                <w:rFonts w:ascii="Times New Roman" w:hAnsi="Times New Roman"/>
                <w:b/>
                <w:bCs/>
                <w:color w:val="000000"/>
                <w:sz w:val="20"/>
                <w:szCs w:val="20"/>
              </w:rPr>
              <w:t>财产(万元)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20" w:type="dxa"/>
            <w:noWrap/>
            <w:vAlign w:val="center"/>
          </w:tcPr>
          <w:p>
            <w:pPr>
              <w:widowControl/>
              <w:spacing w:line="240" w:lineRule="auto"/>
              <w:ind w:firstLine="0"/>
              <w:jc w:val="center"/>
              <w:rPr>
                <w:rFonts w:ascii="Times New Roman" w:hAnsi="Times New Roman"/>
                <w:color w:val="000000"/>
                <w:sz w:val="20"/>
                <w:szCs w:val="20"/>
              </w:rPr>
            </w:pPr>
            <w:r>
              <w:rPr>
                <w:rFonts w:ascii="Times New Roman" w:hAnsi="Times New Roman"/>
                <w:color w:val="000000"/>
                <w:sz w:val="20"/>
                <w:szCs w:val="20"/>
              </w:rPr>
              <w:t>风平镇</w:t>
            </w:r>
          </w:p>
        </w:tc>
        <w:tc>
          <w:tcPr>
            <w:tcW w:w="459" w:type="dxa"/>
            <w:noWrap w:val="0"/>
            <w:vAlign w:val="center"/>
          </w:tcPr>
          <w:p>
            <w:pPr>
              <w:spacing w:line="240" w:lineRule="auto"/>
              <w:ind w:firstLine="0"/>
              <w:jc w:val="center"/>
              <w:rPr>
                <w:rFonts w:ascii="Times New Roman" w:hAnsi="Times New Roman"/>
                <w:sz w:val="20"/>
                <w:szCs w:val="20"/>
              </w:rPr>
            </w:pPr>
          </w:p>
        </w:tc>
        <w:tc>
          <w:tcPr>
            <w:tcW w:w="639" w:type="dxa"/>
            <w:noWrap w:val="0"/>
            <w:vAlign w:val="center"/>
          </w:tcPr>
          <w:p>
            <w:pPr>
              <w:spacing w:line="240" w:lineRule="auto"/>
              <w:ind w:firstLine="0"/>
              <w:jc w:val="center"/>
              <w:rPr>
                <w:rFonts w:ascii="Times New Roman" w:hAnsi="Times New Roman"/>
                <w:sz w:val="20"/>
                <w:szCs w:val="20"/>
              </w:rPr>
            </w:pPr>
          </w:p>
        </w:tc>
        <w:tc>
          <w:tcPr>
            <w:tcW w:w="697" w:type="dxa"/>
            <w:noWrap w:val="0"/>
            <w:vAlign w:val="center"/>
          </w:tcPr>
          <w:p>
            <w:pPr>
              <w:spacing w:line="240" w:lineRule="auto"/>
              <w:ind w:firstLine="0"/>
              <w:jc w:val="center"/>
              <w:rPr>
                <w:rFonts w:ascii="Times New Roman" w:hAnsi="Times New Roman"/>
                <w:sz w:val="20"/>
                <w:szCs w:val="20"/>
              </w:rPr>
            </w:pPr>
          </w:p>
        </w:tc>
        <w:tc>
          <w:tcPr>
            <w:tcW w:w="439" w:type="dxa"/>
            <w:noWrap w:val="0"/>
            <w:vAlign w:val="center"/>
          </w:tcPr>
          <w:p>
            <w:pPr>
              <w:spacing w:line="240" w:lineRule="auto"/>
              <w:ind w:firstLine="0"/>
              <w:jc w:val="center"/>
              <w:rPr>
                <w:rFonts w:ascii="Times New Roman" w:hAnsi="Times New Roman"/>
                <w:sz w:val="20"/>
                <w:szCs w:val="20"/>
              </w:rPr>
            </w:pPr>
          </w:p>
        </w:tc>
        <w:tc>
          <w:tcPr>
            <w:tcW w:w="639" w:type="dxa"/>
            <w:noWrap w:val="0"/>
            <w:vAlign w:val="center"/>
          </w:tcPr>
          <w:p>
            <w:pPr>
              <w:spacing w:line="240" w:lineRule="auto"/>
              <w:ind w:firstLine="0"/>
              <w:jc w:val="center"/>
              <w:rPr>
                <w:rFonts w:ascii="Times New Roman" w:hAnsi="Times New Roman"/>
                <w:sz w:val="20"/>
                <w:szCs w:val="20"/>
              </w:rPr>
            </w:pPr>
          </w:p>
        </w:tc>
        <w:tc>
          <w:tcPr>
            <w:tcW w:w="716" w:type="dxa"/>
            <w:noWrap w:val="0"/>
            <w:vAlign w:val="center"/>
          </w:tcPr>
          <w:p>
            <w:pPr>
              <w:spacing w:line="240" w:lineRule="auto"/>
              <w:ind w:firstLine="0"/>
              <w:jc w:val="center"/>
              <w:rPr>
                <w:rFonts w:ascii="Times New Roman" w:hAnsi="Times New Roman"/>
                <w:sz w:val="20"/>
                <w:szCs w:val="20"/>
              </w:rPr>
            </w:pPr>
          </w:p>
        </w:tc>
        <w:tc>
          <w:tcPr>
            <w:tcW w:w="45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9</w:t>
            </w:r>
          </w:p>
        </w:tc>
        <w:tc>
          <w:tcPr>
            <w:tcW w:w="7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2466</w:t>
            </w:r>
          </w:p>
        </w:tc>
        <w:tc>
          <w:tcPr>
            <w:tcW w:w="7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1727</w:t>
            </w:r>
          </w:p>
        </w:tc>
        <w:tc>
          <w:tcPr>
            <w:tcW w:w="478"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12</w:t>
            </w:r>
          </w:p>
        </w:tc>
        <w:tc>
          <w:tcPr>
            <w:tcW w:w="678"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609</w:t>
            </w:r>
          </w:p>
        </w:tc>
        <w:tc>
          <w:tcPr>
            <w:tcW w:w="700"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821</w:t>
            </w:r>
          </w:p>
        </w:tc>
        <w:tc>
          <w:tcPr>
            <w:tcW w:w="716"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3075</w:t>
            </w:r>
          </w:p>
        </w:tc>
        <w:tc>
          <w:tcPr>
            <w:tcW w:w="797"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2548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20" w:type="dxa"/>
            <w:noWrap/>
            <w:vAlign w:val="center"/>
          </w:tcPr>
          <w:p>
            <w:pPr>
              <w:widowControl/>
              <w:spacing w:line="240" w:lineRule="auto"/>
              <w:ind w:firstLine="0"/>
              <w:jc w:val="center"/>
              <w:rPr>
                <w:rFonts w:ascii="Times New Roman" w:hAnsi="Times New Roman"/>
                <w:color w:val="000000"/>
                <w:sz w:val="20"/>
                <w:szCs w:val="20"/>
              </w:rPr>
            </w:pPr>
            <w:r>
              <w:rPr>
                <w:rFonts w:ascii="Times New Roman" w:hAnsi="Times New Roman"/>
                <w:color w:val="000000"/>
                <w:sz w:val="20"/>
                <w:szCs w:val="20"/>
              </w:rPr>
              <w:t>江东乡</w:t>
            </w:r>
          </w:p>
        </w:tc>
        <w:tc>
          <w:tcPr>
            <w:tcW w:w="459" w:type="dxa"/>
            <w:noWrap w:val="0"/>
            <w:vAlign w:val="center"/>
          </w:tcPr>
          <w:p>
            <w:pPr>
              <w:spacing w:line="240" w:lineRule="auto"/>
              <w:ind w:firstLine="0"/>
              <w:jc w:val="center"/>
              <w:rPr>
                <w:rFonts w:ascii="Times New Roman" w:hAnsi="Times New Roman"/>
                <w:sz w:val="20"/>
                <w:szCs w:val="20"/>
              </w:rPr>
            </w:pPr>
          </w:p>
        </w:tc>
        <w:tc>
          <w:tcPr>
            <w:tcW w:w="639" w:type="dxa"/>
            <w:noWrap w:val="0"/>
            <w:vAlign w:val="center"/>
          </w:tcPr>
          <w:p>
            <w:pPr>
              <w:spacing w:line="240" w:lineRule="auto"/>
              <w:ind w:firstLine="0"/>
              <w:jc w:val="center"/>
              <w:rPr>
                <w:rFonts w:ascii="Times New Roman" w:hAnsi="Times New Roman"/>
                <w:sz w:val="20"/>
                <w:szCs w:val="20"/>
              </w:rPr>
            </w:pPr>
          </w:p>
        </w:tc>
        <w:tc>
          <w:tcPr>
            <w:tcW w:w="697" w:type="dxa"/>
            <w:noWrap w:val="0"/>
            <w:vAlign w:val="center"/>
          </w:tcPr>
          <w:p>
            <w:pPr>
              <w:spacing w:line="240" w:lineRule="auto"/>
              <w:ind w:firstLine="0"/>
              <w:jc w:val="center"/>
              <w:rPr>
                <w:rFonts w:ascii="Times New Roman" w:hAnsi="Times New Roman"/>
                <w:sz w:val="20"/>
                <w:szCs w:val="20"/>
              </w:rPr>
            </w:pPr>
          </w:p>
        </w:tc>
        <w:tc>
          <w:tcPr>
            <w:tcW w:w="4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3</w:t>
            </w:r>
          </w:p>
        </w:tc>
        <w:tc>
          <w:tcPr>
            <w:tcW w:w="6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2026</w:t>
            </w:r>
          </w:p>
        </w:tc>
        <w:tc>
          <w:tcPr>
            <w:tcW w:w="716"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4600</w:t>
            </w:r>
          </w:p>
        </w:tc>
        <w:tc>
          <w:tcPr>
            <w:tcW w:w="45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26</w:t>
            </w:r>
          </w:p>
        </w:tc>
        <w:tc>
          <w:tcPr>
            <w:tcW w:w="7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5641</w:t>
            </w:r>
          </w:p>
        </w:tc>
        <w:tc>
          <w:tcPr>
            <w:tcW w:w="7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7230</w:t>
            </w:r>
          </w:p>
        </w:tc>
        <w:tc>
          <w:tcPr>
            <w:tcW w:w="478"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3</w:t>
            </w:r>
          </w:p>
        </w:tc>
        <w:tc>
          <w:tcPr>
            <w:tcW w:w="678"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225</w:t>
            </w:r>
          </w:p>
        </w:tc>
        <w:tc>
          <w:tcPr>
            <w:tcW w:w="700"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280</w:t>
            </w:r>
          </w:p>
        </w:tc>
        <w:tc>
          <w:tcPr>
            <w:tcW w:w="716"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7892</w:t>
            </w:r>
          </w:p>
        </w:tc>
        <w:tc>
          <w:tcPr>
            <w:tcW w:w="797"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12110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20" w:type="dxa"/>
            <w:noWrap/>
            <w:vAlign w:val="center"/>
          </w:tcPr>
          <w:p>
            <w:pPr>
              <w:widowControl/>
              <w:spacing w:line="240" w:lineRule="auto"/>
              <w:ind w:firstLine="0"/>
              <w:jc w:val="center"/>
              <w:rPr>
                <w:rFonts w:ascii="Times New Roman" w:hAnsi="Times New Roman"/>
                <w:color w:val="000000"/>
                <w:sz w:val="20"/>
                <w:szCs w:val="20"/>
              </w:rPr>
            </w:pPr>
            <w:r>
              <w:rPr>
                <w:rFonts w:ascii="Times New Roman" w:hAnsi="Times New Roman"/>
                <w:color w:val="000000"/>
                <w:sz w:val="20"/>
                <w:szCs w:val="20"/>
              </w:rPr>
              <w:t>芒海镇</w:t>
            </w:r>
          </w:p>
        </w:tc>
        <w:tc>
          <w:tcPr>
            <w:tcW w:w="45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1</w:t>
            </w:r>
          </w:p>
        </w:tc>
        <w:tc>
          <w:tcPr>
            <w:tcW w:w="639" w:type="dxa"/>
            <w:noWrap w:val="0"/>
            <w:vAlign w:val="center"/>
          </w:tcPr>
          <w:p>
            <w:pPr>
              <w:spacing w:line="240" w:lineRule="auto"/>
              <w:ind w:firstLine="0"/>
              <w:jc w:val="center"/>
              <w:rPr>
                <w:rFonts w:ascii="Times New Roman" w:hAnsi="Times New Roman"/>
                <w:color w:val="000000"/>
                <w:sz w:val="20"/>
                <w:szCs w:val="20"/>
              </w:rPr>
            </w:pPr>
            <w:r>
              <w:rPr>
                <w:rFonts w:ascii="Times New Roman" w:hAnsi="Times New Roman"/>
                <w:color w:val="000000"/>
                <w:sz w:val="20"/>
                <w:szCs w:val="20"/>
              </w:rPr>
              <w:t>1448</w:t>
            </w:r>
          </w:p>
        </w:tc>
        <w:tc>
          <w:tcPr>
            <w:tcW w:w="697" w:type="dxa"/>
            <w:noWrap w:val="0"/>
            <w:vAlign w:val="center"/>
          </w:tcPr>
          <w:p>
            <w:pPr>
              <w:spacing w:line="240" w:lineRule="auto"/>
              <w:ind w:firstLine="0"/>
              <w:jc w:val="center"/>
              <w:rPr>
                <w:rFonts w:ascii="Times New Roman" w:hAnsi="Times New Roman"/>
                <w:color w:val="000000"/>
                <w:sz w:val="20"/>
                <w:szCs w:val="20"/>
              </w:rPr>
            </w:pPr>
            <w:r>
              <w:rPr>
                <w:rFonts w:ascii="Times New Roman" w:hAnsi="Times New Roman"/>
                <w:color w:val="000000"/>
                <w:sz w:val="20"/>
                <w:szCs w:val="20"/>
              </w:rPr>
              <w:t>8000</w:t>
            </w:r>
          </w:p>
        </w:tc>
        <w:tc>
          <w:tcPr>
            <w:tcW w:w="439" w:type="dxa"/>
            <w:noWrap w:val="0"/>
            <w:vAlign w:val="center"/>
          </w:tcPr>
          <w:p>
            <w:pPr>
              <w:spacing w:line="240" w:lineRule="auto"/>
              <w:ind w:firstLine="0"/>
              <w:jc w:val="center"/>
              <w:rPr>
                <w:rFonts w:ascii="Times New Roman" w:hAnsi="Times New Roman"/>
                <w:sz w:val="20"/>
                <w:szCs w:val="20"/>
              </w:rPr>
            </w:pPr>
          </w:p>
        </w:tc>
        <w:tc>
          <w:tcPr>
            <w:tcW w:w="639" w:type="dxa"/>
            <w:noWrap w:val="0"/>
            <w:vAlign w:val="center"/>
          </w:tcPr>
          <w:p>
            <w:pPr>
              <w:spacing w:line="240" w:lineRule="auto"/>
              <w:ind w:firstLine="0"/>
              <w:jc w:val="center"/>
              <w:rPr>
                <w:rFonts w:ascii="Times New Roman" w:hAnsi="Times New Roman"/>
                <w:sz w:val="20"/>
                <w:szCs w:val="20"/>
              </w:rPr>
            </w:pPr>
          </w:p>
        </w:tc>
        <w:tc>
          <w:tcPr>
            <w:tcW w:w="716" w:type="dxa"/>
            <w:noWrap w:val="0"/>
            <w:vAlign w:val="center"/>
          </w:tcPr>
          <w:p>
            <w:pPr>
              <w:spacing w:line="240" w:lineRule="auto"/>
              <w:ind w:firstLine="0"/>
              <w:jc w:val="center"/>
              <w:rPr>
                <w:rFonts w:ascii="Times New Roman" w:hAnsi="Times New Roman"/>
                <w:sz w:val="20"/>
                <w:szCs w:val="20"/>
              </w:rPr>
            </w:pPr>
          </w:p>
        </w:tc>
        <w:tc>
          <w:tcPr>
            <w:tcW w:w="45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2</w:t>
            </w:r>
          </w:p>
        </w:tc>
        <w:tc>
          <w:tcPr>
            <w:tcW w:w="7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560</w:t>
            </w:r>
          </w:p>
        </w:tc>
        <w:tc>
          <w:tcPr>
            <w:tcW w:w="7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900</w:t>
            </w:r>
          </w:p>
        </w:tc>
        <w:tc>
          <w:tcPr>
            <w:tcW w:w="478"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9</w:t>
            </w:r>
          </w:p>
        </w:tc>
        <w:tc>
          <w:tcPr>
            <w:tcW w:w="678"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292</w:t>
            </w:r>
          </w:p>
        </w:tc>
        <w:tc>
          <w:tcPr>
            <w:tcW w:w="700"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540</w:t>
            </w:r>
          </w:p>
        </w:tc>
        <w:tc>
          <w:tcPr>
            <w:tcW w:w="716"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2300</w:t>
            </w:r>
          </w:p>
        </w:tc>
        <w:tc>
          <w:tcPr>
            <w:tcW w:w="797"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9440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20" w:type="dxa"/>
            <w:noWrap/>
            <w:vAlign w:val="center"/>
          </w:tcPr>
          <w:p>
            <w:pPr>
              <w:widowControl/>
              <w:spacing w:line="240" w:lineRule="auto"/>
              <w:ind w:firstLine="0"/>
              <w:jc w:val="center"/>
              <w:rPr>
                <w:rFonts w:ascii="Times New Roman" w:hAnsi="Times New Roman"/>
                <w:color w:val="000000"/>
                <w:sz w:val="20"/>
                <w:szCs w:val="20"/>
              </w:rPr>
            </w:pPr>
            <w:r>
              <w:rPr>
                <w:rFonts w:ascii="Times New Roman" w:hAnsi="Times New Roman"/>
                <w:color w:val="000000"/>
                <w:sz w:val="20"/>
                <w:szCs w:val="20"/>
              </w:rPr>
              <w:t>芒市镇</w:t>
            </w:r>
          </w:p>
        </w:tc>
        <w:tc>
          <w:tcPr>
            <w:tcW w:w="459" w:type="dxa"/>
            <w:noWrap w:val="0"/>
            <w:vAlign w:val="center"/>
          </w:tcPr>
          <w:p>
            <w:pPr>
              <w:spacing w:line="240" w:lineRule="auto"/>
              <w:ind w:firstLine="0"/>
              <w:jc w:val="center"/>
              <w:rPr>
                <w:rFonts w:ascii="Times New Roman" w:hAnsi="Times New Roman"/>
                <w:sz w:val="20"/>
                <w:szCs w:val="20"/>
              </w:rPr>
            </w:pPr>
          </w:p>
        </w:tc>
        <w:tc>
          <w:tcPr>
            <w:tcW w:w="639" w:type="dxa"/>
            <w:noWrap w:val="0"/>
            <w:vAlign w:val="center"/>
          </w:tcPr>
          <w:p>
            <w:pPr>
              <w:spacing w:line="240" w:lineRule="auto"/>
              <w:ind w:firstLine="0"/>
              <w:jc w:val="center"/>
              <w:rPr>
                <w:rFonts w:ascii="Times New Roman" w:hAnsi="Times New Roman"/>
                <w:sz w:val="20"/>
                <w:szCs w:val="20"/>
              </w:rPr>
            </w:pPr>
          </w:p>
        </w:tc>
        <w:tc>
          <w:tcPr>
            <w:tcW w:w="697" w:type="dxa"/>
            <w:noWrap w:val="0"/>
            <w:vAlign w:val="center"/>
          </w:tcPr>
          <w:p>
            <w:pPr>
              <w:spacing w:line="240" w:lineRule="auto"/>
              <w:ind w:firstLine="0"/>
              <w:jc w:val="center"/>
              <w:rPr>
                <w:rFonts w:ascii="Times New Roman" w:hAnsi="Times New Roman"/>
                <w:sz w:val="20"/>
                <w:szCs w:val="20"/>
              </w:rPr>
            </w:pPr>
          </w:p>
        </w:tc>
        <w:tc>
          <w:tcPr>
            <w:tcW w:w="4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1</w:t>
            </w:r>
          </w:p>
        </w:tc>
        <w:tc>
          <w:tcPr>
            <w:tcW w:w="6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511</w:t>
            </w:r>
          </w:p>
        </w:tc>
        <w:tc>
          <w:tcPr>
            <w:tcW w:w="716"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100</w:t>
            </w:r>
          </w:p>
        </w:tc>
        <w:tc>
          <w:tcPr>
            <w:tcW w:w="45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14</w:t>
            </w:r>
          </w:p>
        </w:tc>
        <w:tc>
          <w:tcPr>
            <w:tcW w:w="7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3029</w:t>
            </w:r>
          </w:p>
        </w:tc>
        <w:tc>
          <w:tcPr>
            <w:tcW w:w="7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6212</w:t>
            </w:r>
          </w:p>
        </w:tc>
        <w:tc>
          <w:tcPr>
            <w:tcW w:w="478"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11</w:t>
            </w:r>
          </w:p>
        </w:tc>
        <w:tc>
          <w:tcPr>
            <w:tcW w:w="678"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598</w:t>
            </w:r>
          </w:p>
        </w:tc>
        <w:tc>
          <w:tcPr>
            <w:tcW w:w="700"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600</w:t>
            </w:r>
          </w:p>
        </w:tc>
        <w:tc>
          <w:tcPr>
            <w:tcW w:w="716"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4138</w:t>
            </w:r>
          </w:p>
        </w:tc>
        <w:tc>
          <w:tcPr>
            <w:tcW w:w="797"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6912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20" w:type="dxa"/>
            <w:noWrap/>
            <w:vAlign w:val="center"/>
          </w:tcPr>
          <w:p>
            <w:pPr>
              <w:widowControl/>
              <w:spacing w:line="240" w:lineRule="auto"/>
              <w:ind w:firstLine="0"/>
              <w:jc w:val="center"/>
              <w:rPr>
                <w:rFonts w:ascii="Times New Roman" w:hAnsi="Times New Roman"/>
                <w:color w:val="000000"/>
                <w:sz w:val="20"/>
                <w:szCs w:val="20"/>
              </w:rPr>
            </w:pPr>
            <w:r>
              <w:rPr>
                <w:rFonts w:ascii="Times New Roman" w:hAnsi="Times New Roman"/>
                <w:color w:val="000000"/>
                <w:sz w:val="20"/>
                <w:szCs w:val="20"/>
              </w:rPr>
              <w:t>勐嘎镇</w:t>
            </w:r>
          </w:p>
        </w:tc>
        <w:tc>
          <w:tcPr>
            <w:tcW w:w="459" w:type="dxa"/>
            <w:noWrap w:val="0"/>
            <w:vAlign w:val="center"/>
          </w:tcPr>
          <w:p>
            <w:pPr>
              <w:spacing w:line="240" w:lineRule="auto"/>
              <w:ind w:firstLine="0"/>
              <w:jc w:val="center"/>
              <w:rPr>
                <w:rFonts w:ascii="Times New Roman" w:hAnsi="Times New Roman"/>
                <w:sz w:val="20"/>
                <w:szCs w:val="20"/>
              </w:rPr>
            </w:pPr>
          </w:p>
        </w:tc>
        <w:tc>
          <w:tcPr>
            <w:tcW w:w="639" w:type="dxa"/>
            <w:noWrap w:val="0"/>
            <w:vAlign w:val="center"/>
          </w:tcPr>
          <w:p>
            <w:pPr>
              <w:spacing w:line="240" w:lineRule="auto"/>
              <w:ind w:firstLine="0"/>
              <w:jc w:val="center"/>
              <w:rPr>
                <w:rFonts w:ascii="Times New Roman" w:hAnsi="Times New Roman"/>
                <w:sz w:val="20"/>
                <w:szCs w:val="20"/>
              </w:rPr>
            </w:pPr>
          </w:p>
        </w:tc>
        <w:tc>
          <w:tcPr>
            <w:tcW w:w="697" w:type="dxa"/>
            <w:noWrap w:val="0"/>
            <w:vAlign w:val="center"/>
          </w:tcPr>
          <w:p>
            <w:pPr>
              <w:spacing w:line="240" w:lineRule="auto"/>
              <w:ind w:firstLine="0"/>
              <w:jc w:val="center"/>
              <w:rPr>
                <w:rFonts w:ascii="Times New Roman" w:hAnsi="Times New Roman"/>
                <w:sz w:val="20"/>
                <w:szCs w:val="20"/>
              </w:rPr>
            </w:pPr>
          </w:p>
        </w:tc>
        <w:tc>
          <w:tcPr>
            <w:tcW w:w="439" w:type="dxa"/>
            <w:noWrap w:val="0"/>
            <w:vAlign w:val="center"/>
          </w:tcPr>
          <w:p>
            <w:pPr>
              <w:spacing w:line="240" w:lineRule="auto"/>
              <w:ind w:firstLine="0"/>
              <w:jc w:val="center"/>
              <w:rPr>
                <w:rFonts w:ascii="Times New Roman" w:hAnsi="Times New Roman"/>
                <w:color w:val="FF0000"/>
                <w:sz w:val="20"/>
                <w:szCs w:val="20"/>
              </w:rPr>
            </w:pPr>
          </w:p>
        </w:tc>
        <w:tc>
          <w:tcPr>
            <w:tcW w:w="639" w:type="dxa"/>
            <w:noWrap w:val="0"/>
            <w:vAlign w:val="center"/>
          </w:tcPr>
          <w:p>
            <w:pPr>
              <w:spacing w:line="240" w:lineRule="auto"/>
              <w:ind w:firstLine="0"/>
              <w:jc w:val="center"/>
              <w:rPr>
                <w:rFonts w:ascii="Times New Roman" w:hAnsi="Times New Roman"/>
                <w:color w:val="FF0000"/>
                <w:sz w:val="20"/>
                <w:szCs w:val="20"/>
              </w:rPr>
            </w:pPr>
          </w:p>
        </w:tc>
        <w:tc>
          <w:tcPr>
            <w:tcW w:w="716" w:type="dxa"/>
            <w:noWrap w:val="0"/>
            <w:vAlign w:val="center"/>
          </w:tcPr>
          <w:p>
            <w:pPr>
              <w:spacing w:line="240" w:lineRule="auto"/>
              <w:ind w:firstLine="0"/>
              <w:jc w:val="center"/>
              <w:rPr>
                <w:rFonts w:ascii="Times New Roman" w:hAnsi="Times New Roman"/>
                <w:color w:val="FF0000"/>
                <w:sz w:val="20"/>
                <w:szCs w:val="20"/>
              </w:rPr>
            </w:pPr>
          </w:p>
        </w:tc>
        <w:tc>
          <w:tcPr>
            <w:tcW w:w="45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6</w:t>
            </w:r>
          </w:p>
        </w:tc>
        <w:tc>
          <w:tcPr>
            <w:tcW w:w="7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1339</w:t>
            </w:r>
          </w:p>
        </w:tc>
        <w:tc>
          <w:tcPr>
            <w:tcW w:w="7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2230</w:t>
            </w:r>
          </w:p>
        </w:tc>
        <w:tc>
          <w:tcPr>
            <w:tcW w:w="478"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6</w:t>
            </w:r>
          </w:p>
        </w:tc>
        <w:tc>
          <w:tcPr>
            <w:tcW w:w="678"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393</w:t>
            </w:r>
          </w:p>
        </w:tc>
        <w:tc>
          <w:tcPr>
            <w:tcW w:w="700"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620</w:t>
            </w:r>
          </w:p>
        </w:tc>
        <w:tc>
          <w:tcPr>
            <w:tcW w:w="716"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1732</w:t>
            </w:r>
          </w:p>
        </w:tc>
        <w:tc>
          <w:tcPr>
            <w:tcW w:w="797"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2850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20" w:type="dxa"/>
            <w:noWrap/>
            <w:vAlign w:val="center"/>
          </w:tcPr>
          <w:p>
            <w:pPr>
              <w:widowControl/>
              <w:spacing w:line="240" w:lineRule="exact"/>
              <w:ind w:firstLine="0"/>
              <w:jc w:val="center"/>
              <w:rPr>
                <w:rFonts w:ascii="Times New Roman" w:hAnsi="Times New Roman"/>
                <w:color w:val="000000"/>
                <w:sz w:val="20"/>
                <w:szCs w:val="20"/>
              </w:rPr>
            </w:pPr>
            <w:r>
              <w:rPr>
                <w:rFonts w:ascii="Times New Roman" w:hAnsi="Times New Roman"/>
                <w:color w:val="000000"/>
                <w:sz w:val="20"/>
                <w:szCs w:val="20"/>
              </w:rPr>
              <w:t>三台山乡</w:t>
            </w:r>
          </w:p>
        </w:tc>
        <w:tc>
          <w:tcPr>
            <w:tcW w:w="459" w:type="dxa"/>
            <w:noWrap w:val="0"/>
            <w:vAlign w:val="center"/>
          </w:tcPr>
          <w:p>
            <w:pPr>
              <w:spacing w:line="240" w:lineRule="auto"/>
              <w:ind w:firstLine="0"/>
              <w:jc w:val="center"/>
              <w:rPr>
                <w:rFonts w:ascii="Times New Roman" w:hAnsi="Times New Roman"/>
                <w:sz w:val="20"/>
                <w:szCs w:val="20"/>
              </w:rPr>
            </w:pPr>
          </w:p>
        </w:tc>
        <w:tc>
          <w:tcPr>
            <w:tcW w:w="639" w:type="dxa"/>
            <w:noWrap w:val="0"/>
            <w:vAlign w:val="center"/>
          </w:tcPr>
          <w:p>
            <w:pPr>
              <w:spacing w:line="240" w:lineRule="auto"/>
              <w:ind w:firstLine="0"/>
              <w:jc w:val="center"/>
              <w:rPr>
                <w:rFonts w:ascii="Times New Roman" w:hAnsi="Times New Roman"/>
                <w:sz w:val="20"/>
                <w:szCs w:val="20"/>
              </w:rPr>
            </w:pPr>
          </w:p>
        </w:tc>
        <w:tc>
          <w:tcPr>
            <w:tcW w:w="697" w:type="dxa"/>
            <w:noWrap w:val="0"/>
            <w:vAlign w:val="center"/>
          </w:tcPr>
          <w:p>
            <w:pPr>
              <w:spacing w:line="240" w:lineRule="auto"/>
              <w:ind w:firstLine="0"/>
              <w:jc w:val="center"/>
              <w:rPr>
                <w:rFonts w:ascii="Times New Roman" w:hAnsi="Times New Roman"/>
                <w:sz w:val="20"/>
                <w:szCs w:val="20"/>
              </w:rPr>
            </w:pPr>
          </w:p>
        </w:tc>
        <w:tc>
          <w:tcPr>
            <w:tcW w:w="439" w:type="dxa"/>
            <w:noWrap w:val="0"/>
            <w:vAlign w:val="center"/>
          </w:tcPr>
          <w:p>
            <w:pPr>
              <w:spacing w:line="240" w:lineRule="auto"/>
              <w:ind w:firstLine="0"/>
              <w:jc w:val="center"/>
              <w:rPr>
                <w:rFonts w:ascii="Times New Roman" w:hAnsi="Times New Roman"/>
                <w:color w:val="FF0000"/>
                <w:sz w:val="20"/>
                <w:szCs w:val="20"/>
              </w:rPr>
            </w:pPr>
          </w:p>
        </w:tc>
        <w:tc>
          <w:tcPr>
            <w:tcW w:w="639" w:type="dxa"/>
            <w:noWrap w:val="0"/>
            <w:vAlign w:val="center"/>
          </w:tcPr>
          <w:p>
            <w:pPr>
              <w:spacing w:line="240" w:lineRule="auto"/>
              <w:ind w:firstLine="0"/>
              <w:jc w:val="center"/>
              <w:rPr>
                <w:rFonts w:ascii="Times New Roman" w:hAnsi="Times New Roman"/>
                <w:color w:val="FF0000"/>
                <w:sz w:val="20"/>
                <w:szCs w:val="20"/>
              </w:rPr>
            </w:pPr>
          </w:p>
        </w:tc>
        <w:tc>
          <w:tcPr>
            <w:tcW w:w="716" w:type="dxa"/>
            <w:noWrap w:val="0"/>
            <w:vAlign w:val="center"/>
          </w:tcPr>
          <w:p>
            <w:pPr>
              <w:spacing w:line="240" w:lineRule="auto"/>
              <w:ind w:firstLine="0"/>
              <w:jc w:val="center"/>
              <w:rPr>
                <w:rFonts w:ascii="Times New Roman" w:hAnsi="Times New Roman"/>
                <w:color w:val="FF0000"/>
                <w:sz w:val="20"/>
                <w:szCs w:val="20"/>
              </w:rPr>
            </w:pPr>
          </w:p>
        </w:tc>
        <w:tc>
          <w:tcPr>
            <w:tcW w:w="459" w:type="dxa"/>
            <w:noWrap w:val="0"/>
            <w:vAlign w:val="center"/>
          </w:tcPr>
          <w:p>
            <w:pPr>
              <w:spacing w:line="240" w:lineRule="auto"/>
              <w:ind w:firstLine="0"/>
              <w:jc w:val="center"/>
              <w:rPr>
                <w:rFonts w:ascii="Times New Roman" w:hAnsi="Times New Roman"/>
                <w:color w:val="FF0000"/>
                <w:sz w:val="20"/>
                <w:szCs w:val="20"/>
              </w:rPr>
            </w:pPr>
          </w:p>
        </w:tc>
        <w:tc>
          <w:tcPr>
            <w:tcW w:w="739" w:type="dxa"/>
            <w:noWrap w:val="0"/>
            <w:vAlign w:val="center"/>
          </w:tcPr>
          <w:p>
            <w:pPr>
              <w:spacing w:line="240" w:lineRule="auto"/>
              <w:ind w:firstLine="0"/>
              <w:jc w:val="center"/>
              <w:rPr>
                <w:rFonts w:ascii="Times New Roman" w:hAnsi="Times New Roman"/>
                <w:color w:val="FF0000"/>
                <w:sz w:val="20"/>
                <w:szCs w:val="20"/>
              </w:rPr>
            </w:pPr>
          </w:p>
        </w:tc>
        <w:tc>
          <w:tcPr>
            <w:tcW w:w="739" w:type="dxa"/>
            <w:noWrap w:val="0"/>
            <w:vAlign w:val="center"/>
          </w:tcPr>
          <w:p>
            <w:pPr>
              <w:spacing w:line="240" w:lineRule="auto"/>
              <w:ind w:firstLine="0"/>
              <w:jc w:val="center"/>
              <w:rPr>
                <w:rFonts w:ascii="Times New Roman" w:hAnsi="Times New Roman"/>
                <w:color w:val="FF0000"/>
                <w:sz w:val="20"/>
                <w:szCs w:val="20"/>
              </w:rPr>
            </w:pPr>
          </w:p>
        </w:tc>
        <w:tc>
          <w:tcPr>
            <w:tcW w:w="478"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9</w:t>
            </w:r>
          </w:p>
        </w:tc>
        <w:tc>
          <w:tcPr>
            <w:tcW w:w="678"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249</w:t>
            </w:r>
          </w:p>
        </w:tc>
        <w:tc>
          <w:tcPr>
            <w:tcW w:w="700"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592</w:t>
            </w:r>
          </w:p>
        </w:tc>
        <w:tc>
          <w:tcPr>
            <w:tcW w:w="716"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249</w:t>
            </w:r>
          </w:p>
        </w:tc>
        <w:tc>
          <w:tcPr>
            <w:tcW w:w="797"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592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20" w:type="dxa"/>
            <w:noWrap/>
            <w:vAlign w:val="center"/>
          </w:tcPr>
          <w:p>
            <w:pPr>
              <w:widowControl/>
              <w:spacing w:line="240" w:lineRule="exact"/>
              <w:ind w:firstLine="0"/>
              <w:jc w:val="center"/>
              <w:rPr>
                <w:rFonts w:ascii="Times New Roman" w:hAnsi="Times New Roman"/>
                <w:color w:val="000000"/>
                <w:sz w:val="20"/>
                <w:szCs w:val="20"/>
              </w:rPr>
            </w:pPr>
            <w:r>
              <w:rPr>
                <w:rFonts w:ascii="Times New Roman" w:hAnsi="Times New Roman"/>
                <w:color w:val="000000"/>
                <w:sz w:val="20"/>
                <w:szCs w:val="20"/>
              </w:rPr>
              <w:t>五岔路乡</w:t>
            </w:r>
          </w:p>
        </w:tc>
        <w:tc>
          <w:tcPr>
            <w:tcW w:w="459" w:type="dxa"/>
            <w:noWrap w:val="0"/>
            <w:vAlign w:val="center"/>
          </w:tcPr>
          <w:p>
            <w:pPr>
              <w:spacing w:line="240" w:lineRule="auto"/>
              <w:ind w:firstLine="0"/>
              <w:jc w:val="center"/>
              <w:rPr>
                <w:rFonts w:ascii="Times New Roman" w:hAnsi="Times New Roman"/>
                <w:sz w:val="20"/>
                <w:szCs w:val="20"/>
              </w:rPr>
            </w:pPr>
          </w:p>
        </w:tc>
        <w:tc>
          <w:tcPr>
            <w:tcW w:w="639" w:type="dxa"/>
            <w:noWrap w:val="0"/>
            <w:vAlign w:val="center"/>
          </w:tcPr>
          <w:p>
            <w:pPr>
              <w:spacing w:line="240" w:lineRule="auto"/>
              <w:ind w:firstLine="0"/>
              <w:jc w:val="center"/>
              <w:rPr>
                <w:rFonts w:ascii="Times New Roman" w:hAnsi="Times New Roman"/>
                <w:sz w:val="20"/>
                <w:szCs w:val="20"/>
              </w:rPr>
            </w:pPr>
          </w:p>
        </w:tc>
        <w:tc>
          <w:tcPr>
            <w:tcW w:w="697" w:type="dxa"/>
            <w:noWrap w:val="0"/>
            <w:vAlign w:val="center"/>
          </w:tcPr>
          <w:p>
            <w:pPr>
              <w:spacing w:line="240" w:lineRule="auto"/>
              <w:ind w:firstLine="0"/>
              <w:jc w:val="center"/>
              <w:rPr>
                <w:rFonts w:ascii="Times New Roman" w:hAnsi="Times New Roman"/>
                <w:sz w:val="20"/>
                <w:szCs w:val="20"/>
              </w:rPr>
            </w:pPr>
          </w:p>
        </w:tc>
        <w:tc>
          <w:tcPr>
            <w:tcW w:w="4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1</w:t>
            </w:r>
          </w:p>
        </w:tc>
        <w:tc>
          <w:tcPr>
            <w:tcW w:w="6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527</w:t>
            </w:r>
          </w:p>
        </w:tc>
        <w:tc>
          <w:tcPr>
            <w:tcW w:w="716"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1200</w:t>
            </w:r>
          </w:p>
        </w:tc>
        <w:tc>
          <w:tcPr>
            <w:tcW w:w="45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5</w:t>
            </w:r>
          </w:p>
        </w:tc>
        <w:tc>
          <w:tcPr>
            <w:tcW w:w="7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798</w:t>
            </w:r>
          </w:p>
        </w:tc>
        <w:tc>
          <w:tcPr>
            <w:tcW w:w="7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1400</w:t>
            </w:r>
          </w:p>
        </w:tc>
        <w:tc>
          <w:tcPr>
            <w:tcW w:w="478"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12</w:t>
            </w:r>
          </w:p>
        </w:tc>
        <w:tc>
          <w:tcPr>
            <w:tcW w:w="678"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705</w:t>
            </w:r>
          </w:p>
        </w:tc>
        <w:tc>
          <w:tcPr>
            <w:tcW w:w="700"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1010</w:t>
            </w:r>
          </w:p>
        </w:tc>
        <w:tc>
          <w:tcPr>
            <w:tcW w:w="716"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2030</w:t>
            </w:r>
          </w:p>
        </w:tc>
        <w:tc>
          <w:tcPr>
            <w:tcW w:w="797"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3610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20" w:type="dxa"/>
            <w:noWrap/>
            <w:vAlign w:val="center"/>
          </w:tcPr>
          <w:p>
            <w:pPr>
              <w:widowControl/>
              <w:spacing w:line="240" w:lineRule="auto"/>
              <w:ind w:firstLine="0"/>
              <w:jc w:val="center"/>
              <w:rPr>
                <w:rFonts w:ascii="Times New Roman" w:hAnsi="Times New Roman"/>
                <w:color w:val="000000"/>
                <w:sz w:val="20"/>
                <w:szCs w:val="20"/>
              </w:rPr>
            </w:pPr>
            <w:r>
              <w:rPr>
                <w:rFonts w:ascii="Times New Roman" w:hAnsi="Times New Roman"/>
                <w:color w:val="000000"/>
                <w:sz w:val="20"/>
                <w:szCs w:val="20"/>
              </w:rPr>
              <w:t>西山乡</w:t>
            </w:r>
          </w:p>
        </w:tc>
        <w:tc>
          <w:tcPr>
            <w:tcW w:w="459" w:type="dxa"/>
            <w:noWrap w:val="0"/>
            <w:vAlign w:val="center"/>
          </w:tcPr>
          <w:p>
            <w:pPr>
              <w:spacing w:line="240" w:lineRule="auto"/>
              <w:ind w:firstLine="0"/>
              <w:jc w:val="center"/>
              <w:rPr>
                <w:rFonts w:ascii="Times New Roman" w:hAnsi="Times New Roman"/>
                <w:sz w:val="20"/>
                <w:szCs w:val="20"/>
              </w:rPr>
            </w:pPr>
          </w:p>
        </w:tc>
        <w:tc>
          <w:tcPr>
            <w:tcW w:w="639" w:type="dxa"/>
            <w:noWrap w:val="0"/>
            <w:vAlign w:val="center"/>
          </w:tcPr>
          <w:p>
            <w:pPr>
              <w:spacing w:line="240" w:lineRule="auto"/>
              <w:ind w:firstLine="0"/>
              <w:jc w:val="center"/>
              <w:rPr>
                <w:rFonts w:ascii="Times New Roman" w:hAnsi="Times New Roman"/>
                <w:sz w:val="20"/>
                <w:szCs w:val="20"/>
              </w:rPr>
            </w:pPr>
          </w:p>
        </w:tc>
        <w:tc>
          <w:tcPr>
            <w:tcW w:w="697" w:type="dxa"/>
            <w:noWrap w:val="0"/>
            <w:vAlign w:val="center"/>
          </w:tcPr>
          <w:p>
            <w:pPr>
              <w:spacing w:line="240" w:lineRule="auto"/>
              <w:ind w:firstLine="0"/>
              <w:jc w:val="center"/>
              <w:rPr>
                <w:rFonts w:ascii="Times New Roman" w:hAnsi="Times New Roman"/>
                <w:sz w:val="20"/>
                <w:szCs w:val="20"/>
              </w:rPr>
            </w:pPr>
          </w:p>
        </w:tc>
        <w:tc>
          <w:tcPr>
            <w:tcW w:w="439" w:type="dxa"/>
            <w:noWrap w:val="0"/>
            <w:vAlign w:val="center"/>
          </w:tcPr>
          <w:p>
            <w:pPr>
              <w:spacing w:line="240" w:lineRule="auto"/>
              <w:ind w:firstLine="0"/>
              <w:jc w:val="center"/>
              <w:rPr>
                <w:rFonts w:ascii="Times New Roman" w:hAnsi="Times New Roman"/>
                <w:color w:val="FF0000"/>
                <w:sz w:val="20"/>
                <w:szCs w:val="20"/>
              </w:rPr>
            </w:pPr>
          </w:p>
        </w:tc>
        <w:tc>
          <w:tcPr>
            <w:tcW w:w="639" w:type="dxa"/>
            <w:noWrap w:val="0"/>
            <w:vAlign w:val="center"/>
          </w:tcPr>
          <w:p>
            <w:pPr>
              <w:spacing w:line="240" w:lineRule="auto"/>
              <w:ind w:firstLine="0"/>
              <w:jc w:val="center"/>
              <w:rPr>
                <w:rFonts w:ascii="Times New Roman" w:hAnsi="Times New Roman"/>
                <w:color w:val="FF0000"/>
                <w:sz w:val="20"/>
                <w:szCs w:val="20"/>
              </w:rPr>
            </w:pPr>
          </w:p>
        </w:tc>
        <w:tc>
          <w:tcPr>
            <w:tcW w:w="716" w:type="dxa"/>
            <w:noWrap w:val="0"/>
            <w:vAlign w:val="center"/>
          </w:tcPr>
          <w:p>
            <w:pPr>
              <w:spacing w:line="240" w:lineRule="auto"/>
              <w:ind w:firstLine="0"/>
              <w:jc w:val="center"/>
              <w:rPr>
                <w:rFonts w:ascii="Times New Roman" w:hAnsi="Times New Roman"/>
                <w:color w:val="FF0000"/>
                <w:sz w:val="20"/>
                <w:szCs w:val="20"/>
              </w:rPr>
            </w:pPr>
          </w:p>
        </w:tc>
        <w:tc>
          <w:tcPr>
            <w:tcW w:w="45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1</w:t>
            </w:r>
          </w:p>
        </w:tc>
        <w:tc>
          <w:tcPr>
            <w:tcW w:w="7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120</w:t>
            </w:r>
          </w:p>
        </w:tc>
        <w:tc>
          <w:tcPr>
            <w:tcW w:w="7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150</w:t>
            </w:r>
          </w:p>
        </w:tc>
        <w:tc>
          <w:tcPr>
            <w:tcW w:w="478"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7</w:t>
            </w:r>
          </w:p>
        </w:tc>
        <w:tc>
          <w:tcPr>
            <w:tcW w:w="678"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332</w:t>
            </w:r>
          </w:p>
        </w:tc>
        <w:tc>
          <w:tcPr>
            <w:tcW w:w="700"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390</w:t>
            </w:r>
          </w:p>
        </w:tc>
        <w:tc>
          <w:tcPr>
            <w:tcW w:w="716"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452</w:t>
            </w:r>
          </w:p>
        </w:tc>
        <w:tc>
          <w:tcPr>
            <w:tcW w:w="797"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540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20" w:type="dxa"/>
            <w:noWrap/>
            <w:vAlign w:val="center"/>
          </w:tcPr>
          <w:p>
            <w:pPr>
              <w:widowControl/>
              <w:spacing w:line="240" w:lineRule="auto"/>
              <w:ind w:firstLine="0"/>
              <w:jc w:val="center"/>
              <w:rPr>
                <w:rFonts w:ascii="Times New Roman" w:hAnsi="Times New Roman"/>
                <w:color w:val="000000"/>
                <w:sz w:val="20"/>
                <w:szCs w:val="20"/>
              </w:rPr>
            </w:pPr>
            <w:r>
              <w:rPr>
                <w:rFonts w:ascii="Times New Roman" w:hAnsi="Times New Roman"/>
                <w:color w:val="000000"/>
                <w:sz w:val="20"/>
                <w:szCs w:val="20"/>
              </w:rPr>
              <w:t>轩岗乡</w:t>
            </w:r>
          </w:p>
        </w:tc>
        <w:tc>
          <w:tcPr>
            <w:tcW w:w="459" w:type="dxa"/>
            <w:noWrap w:val="0"/>
            <w:vAlign w:val="center"/>
          </w:tcPr>
          <w:p>
            <w:pPr>
              <w:spacing w:line="240" w:lineRule="auto"/>
              <w:ind w:firstLine="0"/>
              <w:jc w:val="center"/>
              <w:rPr>
                <w:rFonts w:ascii="Times New Roman" w:hAnsi="Times New Roman"/>
                <w:sz w:val="20"/>
                <w:szCs w:val="20"/>
              </w:rPr>
            </w:pPr>
          </w:p>
        </w:tc>
        <w:tc>
          <w:tcPr>
            <w:tcW w:w="639" w:type="dxa"/>
            <w:noWrap w:val="0"/>
            <w:vAlign w:val="center"/>
          </w:tcPr>
          <w:p>
            <w:pPr>
              <w:spacing w:line="240" w:lineRule="auto"/>
              <w:ind w:firstLine="0"/>
              <w:jc w:val="center"/>
              <w:rPr>
                <w:rFonts w:ascii="Times New Roman" w:hAnsi="Times New Roman"/>
                <w:sz w:val="20"/>
                <w:szCs w:val="20"/>
              </w:rPr>
            </w:pPr>
          </w:p>
        </w:tc>
        <w:tc>
          <w:tcPr>
            <w:tcW w:w="697" w:type="dxa"/>
            <w:noWrap w:val="0"/>
            <w:vAlign w:val="center"/>
          </w:tcPr>
          <w:p>
            <w:pPr>
              <w:spacing w:line="240" w:lineRule="auto"/>
              <w:ind w:firstLine="0"/>
              <w:jc w:val="center"/>
              <w:rPr>
                <w:rFonts w:ascii="Times New Roman" w:hAnsi="Times New Roman"/>
                <w:sz w:val="20"/>
                <w:szCs w:val="20"/>
              </w:rPr>
            </w:pPr>
          </w:p>
        </w:tc>
        <w:tc>
          <w:tcPr>
            <w:tcW w:w="439" w:type="dxa"/>
            <w:noWrap w:val="0"/>
            <w:vAlign w:val="center"/>
          </w:tcPr>
          <w:p>
            <w:pPr>
              <w:spacing w:line="240" w:lineRule="auto"/>
              <w:ind w:firstLine="0"/>
              <w:jc w:val="center"/>
              <w:rPr>
                <w:rFonts w:ascii="Times New Roman" w:hAnsi="Times New Roman"/>
                <w:color w:val="FF0000"/>
                <w:sz w:val="20"/>
                <w:szCs w:val="20"/>
              </w:rPr>
            </w:pPr>
          </w:p>
        </w:tc>
        <w:tc>
          <w:tcPr>
            <w:tcW w:w="639" w:type="dxa"/>
            <w:noWrap w:val="0"/>
            <w:vAlign w:val="center"/>
          </w:tcPr>
          <w:p>
            <w:pPr>
              <w:spacing w:line="240" w:lineRule="auto"/>
              <w:ind w:firstLine="0"/>
              <w:jc w:val="center"/>
              <w:rPr>
                <w:rFonts w:ascii="Times New Roman" w:hAnsi="Times New Roman"/>
                <w:color w:val="FF0000"/>
                <w:sz w:val="20"/>
                <w:szCs w:val="20"/>
              </w:rPr>
            </w:pPr>
          </w:p>
        </w:tc>
        <w:tc>
          <w:tcPr>
            <w:tcW w:w="716" w:type="dxa"/>
            <w:noWrap w:val="0"/>
            <w:vAlign w:val="center"/>
          </w:tcPr>
          <w:p>
            <w:pPr>
              <w:spacing w:line="240" w:lineRule="auto"/>
              <w:ind w:firstLine="0"/>
              <w:jc w:val="center"/>
              <w:rPr>
                <w:rFonts w:ascii="Times New Roman" w:hAnsi="Times New Roman"/>
                <w:color w:val="FF0000"/>
                <w:sz w:val="20"/>
                <w:szCs w:val="20"/>
              </w:rPr>
            </w:pPr>
          </w:p>
        </w:tc>
        <w:tc>
          <w:tcPr>
            <w:tcW w:w="45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3</w:t>
            </w:r>
          </w:p>
        </w:tc>
        <w:tc>
          <w:tcPr>
            <w:tcW w:w="7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663</w:t>
            </w:r>
          </w:p>
        </w:tc>
        <w:tc>
          <w:tcPr>
            <w:tcW w:w="7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976</w:t>
            </w:r>
          </w:p>
        </w:tc>
        <w:tc>
          <w:tcPr>
            <w:tcW w:w="478"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2</w:t>
            </w:r>
          </w:p>
        </w:tc>
        <w:tc>
          <w:tcPr>
            <w:tcW w:w="678"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84</w:t>
            </w:r>
          </w:p>
        </w:tc>
        <w:tc>
          <w:tcPr>
            <w:tcW w:w="700"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198</w:t>
            </w:r>
          </w:p>
        </w:tc>
        <w:tc>
          <w:tcPr>
            <w:tcW w:w="716"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747</w:t>
            </w:r>
          </w:p>
        </w:tc>
        <w:tc>
          <w:tcPr>
            <w:tcW w:w="797"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1174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20" w:type="dxa"/>
            <w:noWrap/>
            <w:vAlign w:val="center"/>
          </w:tcPr>
          <w:p>
            <w:pPr>
              <w:widowControl/>
              <w:spacing w:line="240" w:lineRule="auto"/>
              <w:ind w:firstLine="0"/>
              <w:jc w:val="center"/>
              <w:rPr>
                <w:rFonts w:ascii="Times New Roman" w:hAnsi="Times New Roman"/>
                <w:color w:val="000000"/>
                <w:sz w:val="20"/>
                <w:szCs w:val="20"/>
              </w:rPr>
            </w:pPr>
            <w:r>
              <w:rPr>
                <w:rFonts w:ascii="Times New Roman" w:hAnsi="Times New Roman"/>
                <w:color w:val="000000"/>
                <w:sz w:val="20"/>
                <w:szCs w:val="20"/>
              </w:rPr>
              <w:t>中山乡</w:t>
            </w:r>
          </w:p>
        </w:tc>
        <w:tc>
          <w:tcPr>
            <w:tcW w:w="459" w:type="dxa"/>
            <w:noWrap w:val="0"/>
            <w:vAlign w:val="center"/>
          </w:tcPr>
          <w:p>
            <w:pPr>
              <w:spacing w:line="240" w:lineRule="auto"/>
              <w:ind w:firstLine="0"/>
              <w:jc w:val="center"/>
              <w:rPr>
                <w:rFonts w:ascii="Times New Roman" w:hAnsi="Times New Roman"/>
                <w:sz w:val="20"/>
                <w:szCs w:val="20"/>
              </w:rPr>
            </w:pPr>
          </w:p>
        </w:tc>
        <w:tc>
          <w:tcPr>
            <w:tcW w:w="639" w:type="dxa"/>
            <w:noWrap w:val="0"/>
            <w:vAlign w:val="center"/>
          </w:tcPr>
          <w:p>
            <w:pPr>
              <w:spacing w:line="240" w:lineRule="auto"/>
              <w:ind w:firstLine="0"/>
              <w:jc w:val="center"/>
              <w:rPr>
                <w:rFonts w:ascii="Times New Roman" w:hAnsi="Times New Roman"/>
                <w:sz w:val="20"/>
                <w:szCs w:val="20"/>
              </w:rPr>
            </w:pPr>
          </w:p>
        </w:tc>
        <w:tc>
          <w:tcPr>
            <w:tcW w:w="697" w:type="dxa"/>
            <w:noWrap w:val="0"/>
            <w:vAlign w:val="center"/>
          </w:tcPr>
          <w:p>
            <w:pPr>
              <w:spacing w:line="240" w:lineRule="auto"/>
              <w:ind w:firstLine="0"/>
              <w:jc w:val="center"/>
              <w:rPr>
                <w:rFonts w:ascii="Times New Roman" w:hAnsi="Times New Roman"/>
                <w:sz w:val="20"/>
                <w:szCs w:val="20"/>
              </w:rPr>
            </w:pPr>
          </w:p>
        </w:tc>
        <w:tc>
          <w:tcPr>
            <w:tcW w:w="4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1</w:t>
            </w:r>
          </w:p>
        </w:tc>
        <w:tc>
          <w:tcPr>
            <w:tcW w:w="6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580</w:t>
            </w:r>
          </w:p>
        </w:tc>
        <w:tc>
          <w:tcPr>
            <w:tcW w:w="716"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5000</w:t>
            </w:r>
          </w:p>
        </w:tc>
        <w:tc>
          <w:tcPr>
            <w:tcW w:w="45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3</w:t>
            </w:r>
          </w:p>
        </w:tc>
        <w:tc>
          <w:tcPr>
            <w:tcW w:w="7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581</w:t>
            </w:r>
          </w:p>
        </w:tc>
        <w:tc>
          <w:tcPr>
            <w:tcW w:w="7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1100</w:t>
            </w:r>
          </w:p>
        </w:tc>
        <w:tc>
          <w:tcPr>
            <w:tcW w:w="478"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5</w:t>
            </w:r>
          </w:p>
        </w:tc>
        <w:tc>
          <w:tcPr>
            <w:tcW w:w="678"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301</w:t>
            </w:r>
          </w:p>
        </w:tc>
        <w:tc>
          <w:tcPr>
            <w:tcW w:w="700" w:type="dxa"/>
            <w:noWrap/>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635</w:t>
            </w:r>
          </w:p>
        </w:tc>
        <w:tc>
          <w:tcPr>
            <w:tcW w:w="716"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1462</w:t>
            </w:r>
          </w:p>
        </w:tc>
        <w:tc>
          <w:tcPr>
            <w:tcW w:w="797"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6735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20" w:type="dxa"/>
            <w:noWrap/>
            <w:vAlign w:val="center"/>
          </w:tcPr>
          <w:p>
            <w:pPr>
              <w:widowControl/>
              <w:spacing w:line="240" w:lineRule="auto"/>
              <w:ind w:firstLine="0"/>
              <w:jc w:val="center"/>
              <w:rPr>
                <w:rFonts w:ascii="Times New Roman" w:hAnsi="Times New Roman"/>
                <w:color w:val="000000"/>
                <w:sz w:val="20"/>
                <w:szCs w:val="20"/>
              </w:rPr>
            </w:pPr>
            <w:r>
              <w:rPr>
                <w:rFonts w:ascii="Times New Roman" w:hAnsi="Times New Roman"/>
                <w:color w:val="000000"/>
                <w:sz w:val="20"/>
                <w:szCs w:val="20"/>
              </w:rPr>
              <w:t>遮放镇</w:t>
            </w:r>
          </w:p>
        </w:tc>
        <w:tc>
          <w:tcPr>
            <w:tcW w:w="459" w:type="dxa"/>
            <w:noWrap w:val="0"/>
            <w:vAlign w:val="center"/>
          </w:tcPr>
          <w:p>
            <w:pPr>
              <w:spacing w:line="240" w:lineRule="auto"/>
              <w:ind w:firstLine="0"/>
              <w:jc w:val="center"/>
              <w:rPr>
                <w:rFonts w:ascii="Times New Roman" w:hAnsi="Times New Roman"/>
                <w:sz w:val="20"/>
                <w:szCs w:val="20"/>
              </w:rPr>
            </w:pPr>
          </w:p>
        </w:tc>
        <w:tc>
          <w:tcPr>
            <w:tcW w:w="639" w:type="dxa"/>
            <w:noWrap w:val="0"/>
            <w:vAlign w:val="center"/>
          </w:tcPr>
          <w:p>
            <w:pPr>
              <w:spacing w:line="240" w:lineRule="auto"/>
              <w:ind w:firstLine="0"/>
              <w:jc w:val="center"/>
              <w:rPr>
                <w:rFonts w:ascii="Times New Roman" w:hAnsi="Times New Roman"/>
                <w:sz w:val="20"/>
                <w:szCs w:val="20"/>
              </w:rPr>
            </w:pPr>
          </w:p>
        </w:tc>
        <w:tc>
          <w:tcPr>
            <w:tcW w:w="697" w:type="dxa"/>
            <w:noWrap w:val="0"/>
            <w:vAlign w:val="center"/>
          </w:tcPr>
          <w:p>
            <w:pPr>
              <w:spacing w:line="240" w:lineRule="auto"/>
              <w:ind w:firstLine="0"/>
              <w:jc w:val="center"/>
              <w:rPr>
                <w:rFonts w:ascii="Times New Roman" w:hAnsi="Times New Roman"/>
                <w:sz w:val="20"/>
                <w:szCs w:val="20"/>
              </w:rPr>
            </w:pPr>
          </w:p>
        </w:tc>
        <w:tc>
          <w:tcPr>
            <w:tcW w:w="439" w:type="dxa"/>
            <w:noWrap w:val="0"/>
            <w:vAlign w:val="center"/>
          </w:tcPr>
          <w:p>
            <w:pPr>
              <w:spacing w:line="240" w:lineRule="auto"/>
              <w:ind w:firstLine="0"/>
              <w:jc w:val="center"/>
              <w:rPr>
                <w:rFonts w:ascii="Times New Roman" w:hAnsi="Times New Roman"/>
                <w:color w:val="FF0000"/>
                <w:sz w:val="20"/>
                <w:szCs w:val="20"/>
              </w:rPr>
            </w:pPr>
          </w:p>
        </w:tc>
        <w:tc>
          <w:tcPr>
            <w:tcW w:w="639" w:type="dxa"/>
            <w:noWrap w:val="0"/>
            <w:vAlign w:val="center"/>
          </w:tcPr>
          <w:p>
            <w:pPr>
              <w:spacing w:line="240" w:lineRule="auto"/>
              <w:ind w:firstLine="0"/>
              <w:jc w:val="center"/>
              <w:rPr>
                <w:rFonts w:ascii="Times New Roman" w:hAnsi="Times New Roman"/>
                <w:color w:val="FF0000"/>
                <w:sz w:val="20"/>
                <w:szCs w:val="20"/>
              </w:rPr>
            </w:pPr>
          </w:p>
        </w:tc>
        <w:tc>
          <w:tcPr>
            <w:tcW w:w="716" w:type="dxa"/>
            <w:noWrap w:val="0"/>
            <w:vAlign w:val="center"/>
          </w:tcPr>
          <w:p>
            <w:pPr>
              <w:spacing w:line="240" w:lineRule="auto"/>
              <w:ind w:firstLine="0"/>
              <w:jc w:val="center"/>
              <w:rPr>
                <w:rFonts w:ascii="Times New Roman" w:hAnsi="Times New Roman"/>
                <w:color w:val="FF0000"/>
                <w:sz w:val="20"/>
                <w:szCs w:val="20"/>
              </w:rPr>
            </w:pPr>
          </w:p>
        </w:tc>
        <w:tc>
          <w:tcPr>
            <w:tcW w:w="45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6</w:t>
            </w:r>
          </w:p>
        </w:tc>
        <w:tc>
          <w:tcPr>
            <w:tcW w:w="7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900</w:t>
            </w:r>
          </w:p>
        </w:tc>
        <w:tc>
          <w:tcPr>
            <w:tcW w:w="7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1410</w:t>
            </w:r>
          </w:p>
        </w:tc>
        <w:tc>
          <w:tcPr>
            <w:tcW w:w="478"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7</w:t>
            </w:r>
          </w:p>
        </w:tc>
        <w:tc>
          <w:tcPr>
            <w:tcW w:w="678"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436</w:t>
            </w:r>
          </w:p>
        </w:tc>
        <w:tc>
          <w:tcPr>
            <w:tcW w:w="700"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865</w:t>
            </w:r>
          </w:p>
        </w:tc>
        <w:tc>
          <w:tcPr>
            <w:tcW w:w="716"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1336</w:t>
            </w:r>
          </w:p>
        </w:tc>
        <w:tc>
          <w:tcPr>
            <w:tcW w:w="797"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2275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20" w:type="dxa"/>
            <w:noWrap/>
            <w:vAlign w:val="center"/>
          </w:tcPr>
          <w:p>
            <w:pPr>
              <w:widowControl/>
              <w:spacing w:line="240" w:lineRule="exact"/>
              <w:ind w:firstLine="0"/>
              <w:jc w:val="center"/>
              <w:rPr>
                <w:rFonts w:ascii="Times New Roman" w:hAnsi="Times New Roman"/>
                <w:color w:val="000000"/>
                <w:sz w:val="20"/>
                <w:szCs w:val="20"/>
              </w:rPr>
            </w:pPr>
            <w:r>
              <w:rPr>
                <w:rFonts w:ascii="Times New Roman" w:hAnsi="Times New Roman"/>
                <w:color w:val="000000"/>
                <w:sz w:val="20"/>
                <w:szCs w:val="20"/>
              </w:rPr>
              <w:t>遮放农场</w:t>
            </w:r>
          </w:p>
        </w:tc>
        <w:tc>
          <w:tcPr>
            <w:tcW w:w="459" w:type="dxa"/>
            <w:noWrap w:val="0"/>
            <w:vAlign w:val="center"/>
          </w:tcPr>
          <w:p>
            <w:pPr>
              <w:spacing w:line="240" w:lineRule="auto"/>
              <w:ind w:firstLine="0"/>
              <w:jc w:val="center"/>
              <w:rPr>
                <w:rFonts w:ascii="Times New Roman" w:hAnsi="Times New Roman"/>
                <w:sz w:val="20"/>
                <w:szCs w:val="20"/>
              </w:rPr>
            </w:pPr>
          </w:p>
        </w:tc>
        <w:tc>
          <w:tcPr>
            <w:tcW w:w="639" w:type="dxa"/>
            <w:noWrap w:val="0"/>
            <w:vAlign w:val="center"/>
          </w:tcPr>
          <w:p>
            <w:pPr>
              <w:spacing w:line="240" w:lineRule="auto"/>
              <w:ind w:firstLine="0"/>
              <w:jc w:val="center"/>
              <w:rPr>
                <w:rFonts w:ascii="Times New Roman" w:hAnsi="Times New Roman"/>
                <w:sz w:val="20"/>
                <w:szCs w:val="20"/>
              </w:rPr>
            </w:pPr>
          </w:p>
        </w:tc>
        <w:tc>
          <w:tcPr>
            <w:tcW w:w="697" w:type="dxa"/>
            <w:noWrap w:val="0"/>
            <w:vAlign w:val="center"/>
          </w:tcPr>
          <w:p>
            <w:pPr>
              <w:spacing w:line="240" w:lineRule="auto"/>
              <w:ind w:firstLine="0"/>
              <w:jc w:val="center"/>
              <w:rPr>
                <w:rFonts w:ascii="Times New Roman" w:hAnsi="Times New Roman"/>
                <w:sz w:val="20"/>
                <w:szCs w:val="20"/>
              </w:rPr>
            </w:pPr>
          </w:p>
        </w:tc>
        <w:tc>
          <w:tcPr>
            <w:tcW w:w="439" w:type="dxa"/>
            <w:noWrap w:val="0"/>
            <w:vAlign w:val="center"/>
          </w:tcPr>
          <w:p>
            <w:pPr>
              <w:spacing w:line="240" w:lineRule="auto"/>
              <w:ind w:firstLine="0"/>
              <w:jc w:val="center"/>
              <w:rPr>
                <w:rFonts w:ascii="Times New Roman" w:hAnsi="Times New Roman"/>
                <w:color w:val="FF0000"/>
                <w:sz w:val="20"/>
                <w:szCs w:val="20"/>
              </w:rPr>
            </w:pPr>
          </w:p>
        </w:tc>
        <w:tc>
          <w:tcPr>
            <w:tcW w:w="639" w:type="dxa"/>
            <w:noWrap w:val="0"/>
            <w:vAlign w:val="center"/>
          </w:tcPr>
          <w:p>
            <w:pPr>
              <w:spacing w:line="240" w:lineRule="auto"/>
              <w:ind w:firstLine="0"/>
              <w:jc w:val="center"/>
              <w:rPr>
                <w:rFonts w:ascii="Times New Roman" w:hAnsi="Times New Roman"/>
                <w:color w:val="FF0000"/>
                <w:sz w:val="20"/>
                <w:szCs w:val="20"/>
              </w:rPr>
            </w:pPr>
          </w:p>
        </w:tc>
        <w:tc>
          <w:tcPr>
            <w:tcW w:w="716" w:type="dxa"/>
            <w:noWrap w:val="0"/>
            <w:vAlign w:val="center"/>
          </w:tcPr>
          <w:p>
            <w:pPr>
              <w:spacing w:line="240" w:lineRule="auto"/>
              <w:ind w:firstLine="0"/>
              <w:jc w:val="center"/>
              <w:rPr>
                <w:rFonts w:ascii="Times New Roman" w:hAnsi="Times New Roman"/>
                <w:color w:val="FF0000"/>
                <w:sz w:val="20"/>
                <w:szCs w:val="20"/>
              </w:rPr>
            </w:pPr>
          </w:p>
        </w:tc>
        <w:tc>
          <w:tcPr>
            <w:tcW w:w="459" w:type="dxa"/>
            <w:noWrap w:val="0"/>
            <w:vAlign w:val="center"/>
          </w:tcPr>
          <w:p>
            <w:pPr>
              <w:spacing w:line="240" w:lineRule="auto"/>
              <w:ind w:firstLine="0"/>
              <w:jc w:val="center"/>
              <w:rPr>
                <w:rFonts w:ascii="Times New Roman" w:hAnsi="Times New Roman"/>
                <w:color w:val="FF0000"/>
                <w:sz w:val="20"/>
                <w:szCs w:val="20"/>
              </w:rPr>
            </w:pPr>
          </w:p>
        </w:tc>
        <w:tc>
          <w:tcPr>
            <w:tcW w:w="739" w:type="dxa"/>
            <w:noWrap w:val="0"/>
            <w:vAlign w:val="center"/>
          </w:tcPr>
          <w:p>
            <w:pPr>
              <w:spacing w:line="240" w:lineRule="auto"/>
              <w:ind w:firstLine="0"/>
              <w:jc w:val="center"/>
              <w:rPr>
                <w:rFonts w:ascii="Times New Roman" w:hAnsi="Times New Roman"/>
                <w:color w:val="FF0000"/>
                <w:sz w:val="20"/>
                <w:szCs w:val="20"/>
              </w:rPr>
            </w:pPr>
          </w:p>
        </w:tc>
        <w:tc>
          <w:tcPr>
            <w:tcW w:w="739" w:type="dxa"/>
            <w:noWrap w:val="0"/>
            <w:vAlign w:val="center"/>
          </w:tcPr>
          <w:p>
            <w:pPr>
              <w:spacing w:line="240" w:lineRule="auto"/>
              <w:ind w:firstLine="0"/>
              <w:jc w:val="center"/>
              <w:rPr>
                <w:rFonts w:ascii="Times New Roman" w:hAnsi="Times New Roman"/>
                <w:color w:val="FF0000"/>
                <w:sz w:val="20"/>
                <w:szCs w:val="20"/>
              </w:rPr>
            </w:pPr>
          </w:p>
        </w:tc>
        <w:tc>
          <w:tcPr>
            <w:tcW w:w="478"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4</w:t>
            </w:r>
          </w:p>
        </w:tc>
        <w:tc>
          <w:tcPr>
            <w:tcW w:w="678"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146</w:t>
            </w:r>
          </w:p>
        </w:tc>
        <w:tc>
          <w:tcPr>
            <w:tcW w:w="700"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350</w:t>
            </w:r>
          </w:p>
        </w:tc>
        <w:tc>
          <w:tcPr>
            <w:tcW w:w="716"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146</w:t>
            </w:r>
          </w:p>
        </w:tc>
        <w:tc>
          <w:tcPr>
            <w:tcW w:w="797"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20"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合计</w:t>
            </w:r>
          </w:p>
        </w:tc>
        <w:tc>
          <w:tcPr>
            <w:tcW w:w="45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1</w:t>
            </w:r>
          </w:p>
        </w:tc>
        <w:tc>
          <w:tcPr>
            <w:tcW w:w="6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1448</w:t>
            </w:r>
          </w:p>
        </w:tc>
        <w:tc>
          <w:tcPr>
            <w:tcW w:w="697"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8000</w:t>
            </w:r>
          </w:p>
        </w:tc>
        <w:tc>
          <w:tcPr>
            <w:tcW w:w="4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6</w:t>
            </w:r>
          </w:p>
        </w:tc>
        <w:tc>
          <w:tcPr>
            <w:tcW w:w="6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3644</w:t>
            </w:r>
          </w:p>
        </w:tc>
        <w:tc>
          <w:tcPr>
            <w:tcW w:w="716"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10900</w:t>
            </w:r>
          </w:p>
        </w:tc>
        <w:tc>
          <w:tcPr>
            <w:tcW w:w="45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75</w:t>
            </w:r>
          </w:p>
        </w:tc>
        <w:tc>
          <w:tcPr>
            <w:tcW w:w="7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16097</w:t>
            </w:r>
          </w:p>
        </w:tc>
        <w:tc>
          <w:tcPr>
            <w:tcW w:w="739"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23335</w:t>
            </w:r>
          </w:p>
        </w:tc>
        <w:tc>
          <w:tcPr>
            <w:tcW w:w="478"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87</w:t>
            </w:r>
          </w:p>
        </w:tc>
        <w:tc>
          <w:tcPr>
            <w:tcW w:w="678"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4370</w:t>
            </w:r>
          </w:p>
        </w:tc>
        <w:tc>
          <w:tcPr>
            <w:tcW w:w="700"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6901</w:t>
            </w:r>
          </w:p>
        </w:tc>
        <w:tc>
          <w:tcPr>
            <w:tcW w:w="716"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25559</w:t>
            </w:r>
          </w:p>
        </w:tc>
        <w:tc>
          <w:tcPr>
            <w:tcW w:w="797" w:type="dxa"/>
            <w:noWrap w:val="0"/>
            <w:vAlign w:val="center"/>
          </w:tcPr>
          <w:p>
            <w:pPr>
              <w:spacing w:line="240" w:lineRule="auto"/>
              <w:ind w:firstLine="0"/>
              <w:jc w:val="center"/>
              <w:rPr>
                <w:rFonts w:ascii="Times New Roman" w:hAnsi="Times New Roman"/>
                <w:sz w:val="20"/>
                <w:szCs w:val="20"/>
              </w:rPr>
            </w:pPr>
            <w:r>
              <w:rPr>
                <w:rFonts w:ascii="Times New Roman" w:hAnsi="Times New Roman"/>
                <w:sz w:val="20"/>
                <w:szCs w:val="20"/>
              </w:rPr>
              <w:t>49136</w:t>
            </w:r>
          </w:p>
        </w:tc>
      </w:tr>
    </w:tbl>
    <w:p>
      <w:pPr>
        <w:ind w:firstLine="0"/>
        <w:jc w:val="center"/>
        <w:rPr>
          <w:rFonts w:ascii="Times New Roman" w:hAnsi="Times New Roman"/>
          <w:b/>
          <w:bCs/>
          <w:color w:val="FF0000"/>
          <w:sz w:val="24"/>
          <w:szCs w:val="24"/>
        </w:rPr>
      </w:pPr>
    </w:p>
    <w:p>
      <w:pPr>
        <w:pStyle w:val="183"/>
        <w:spacing w:before="120" w:after="120"/>
        <w:rPr>
          <w:rFonts w:ascii="Times New Roman" w:hAnsi="Times New Roman"/>
          <w:b/>
        </w:rPr>
      </w:pPr>
      <w:bookmarkStart w:id="19" w:name="_Toc137671395"/>
      <w:r>
        <w:rPr>
          <w:rFonts w:ascii="Times New Roman" w:hAnsi="Times New Roman"/>
          <w:b/>
        </w:rPr>
        <w:t>（二）“十三五”地质灾害防治成效</w:t>
      </w:r>
      <w:bookmarkEnd w:id="19"/>
    </w:p>
    <w:p>
      <w:pPr>
        <w:pStyle w:val="184"/>
        <w:spacing w:after="0"/>
        <w:rPr>
          <w:rStyle w:val="197"/>
          <w:rFonts w:ascii="Times New Roman" w:hAnsi="Times New Roman"/>
          <w:b/>
          <w:bCs w:val="0"/>
        </w:rPr>
      </w:pPr>
      <w:bookmarkStart w:id="20" w:name="_Toc137671396"/>
      <w:bookmarkStart w:id="21" w:name="_Toc131872712"/>
      <w:r>
        <w:rPr>
          <w:rStyle w:val="197"/>
          <w:rFonts w:ascii="Times New Roman" w:hAnsi="Times New Roman"/>
          <w:b/>
          <w:bCs w:val="0"/>
        </w:rPr>
        <w:t>1、“十三五”目标完成情况</w:t>
      </w:r>
      <w:bookmarkEnd w:id="20"/>
      <w:bookmarkEnd w:id="21"/>
    </w:p>
    <w:p>
      <w:pPr>
        <w:ind w:firstLine="560"/>
        <w:rPr>
          <w:rFonts w:ascii="Times New Roman" w:hAnsi="Times New Roman"/>
        </w:rPr>
      </w:pPr>
      <w:r>
        <w:rPr>
          <w:rFonts w:ascii="Times New Roman" w:hAnsi="Times New Roman"/>
        </w:rPr>
        <w:t>（1）地质灾害调查评价</w:t>
      </w:r>
    </w:p>
    <w:p>
      <w:pPr>
        <w:ind w:firstLine="560"/>
        <w:rPr>
          <w:rFonts w:ascii="Times New Roman" w:hAnsi="Times New Roman"/>
        </w:rPr>
      </w:pPr>
      <w:r>
        <w:rPr>
          <w:rFonts w:ascii="Times New Roman" w:hAnsi="Times New Roman"/>
        </w:rPr>
        <w:t>“十三五”期间，我市地质灾害防治工作已由防范为主向防治兼顾，并全面展开发展，地质灾害的调查评价工作也因专业技术队伍的支持而得到不断深入。“十三五”初期，主要由市自然资源局组织部门人员进行巡查，聘请专业技术队伍，采取群专结合的方式全面开展地质灾害“三查”工作，五年累计完成地质灾害排查巡查核查共929次。2015年，完成了1:5万地质灾害详细调查工作。“十三五”期间，严格执行地质灾害危险性评估制度，对地质灾害易发区内建设项目进行地质灾害危险性评估。</w:t>
      </w:r>
    </w:p>
    <w:p>
      <w:pPr>
        <w:ind w:firstLine="560"/>
        <w:rPr>
          <w:rFonts w:ascii="Times New Roman" w:hAnsi="Times New Roman"/>
        </w:rPr>
      </w:pPr>
      <w:r>
        <w:rPr>
          <w:rFonts w:ascii="Times New Roman" w:hAnsi="Times New Roman"/>
        </w:rPr>
        <w:t>（2）监测预警</w:t>
      </w:r>
    </w:p>
    <w:p>
      <w:pPr>
        <w:ind w:firstLine="560"/>
        <w:rPr>
          <w:rFonts w:ascii="Times New Roman" w:hAnsi="Times New Roman"/>
        </w:rPr>
      </w:pPr>
      <w:r>
        <w:rPr>
          <w:rFonts w:hint="eastAsia" w:hAnsi="宋体" w:cs="宋体"/>
        </w:rPr>
        <w:t>①</w:t>
      </w:r>
      <w:r>
        <w:rPr>
          <w:rFonts w:ascii="Times New Roman" w:hAnsi="Times New Roman"/>
        </w:rPr>
        <w:t>群测群防体系建设</w:t>
      </w:r>
    </w:p>
    <w:p>
      <w:pPr>
        <w:ind w:firstLine="560"/>
        <w:rPr>
          <w:rFonts w:ascii="Times New Roman" w:hAnsi="Times New Roman"/>
        </w:rPr>
      </w:pPr>
      <w:r>
        <w:rPr>
          <w:rFonts w:ascii="Times New Roman" w:hAnsi="Times New Roman"/>
        </w:rPr>
        <w:t>经过多年的努力，在排查基础上进一步建立健全了州、市、乡（镇）、村、组五级地质灾害群测群防体系，对已发现的所有地质灾害隐患点都成立了以村干部和骨干群众为主体的群测群防队伍，2020年按照群测群防网络体系建设标准确定了169名监测负责人及317名监测员。</w:t>
      </w:r>
    </w:p>
    <w:p>
      <w:pPr>
        <w:ind w:firstLine="560"/>
        <w:rPr>
          <w:rFonts w:ascii="Times New Roman" w:hAnsi="Times New Roman"/>
        </w:rPr>
      </w:pPr>
      <w:r>
        <w:rPr>
          <w:rFonts w:hint="eastAsia" w:hAnsi="宋体" w:cs="宋体"/>
        </w:rPr>
        <w:t>②</w:t>
      </w:r>
      <w:r>
        <w:rPr>
          <w:rFonts w:ascii="Times New Roman" w:hAnsi="Times New Roman"/>
        </w:rPr>
        <w:t>气象预警</w:t>
      </w:r>
    </w:p>
    <w:p>
      <w:pPr>
        <w:ind w:firstLine="560"/>
        <w:rPr>
          <w:rFonts w:ascii="Times New Roman" w:hAnsi="Times New Roman"/>
        </w:rPr>
      </w:pPr>
      <w:r>
        <w:rPr>
          <w:rFonts w:ascii="Times New Roman" w:hAnsi="Times New Roman"/>
        </w:rPr>
        <w:t>“十三五”期间，我市成立了市地质灾害应急指挥部，市人民政府分管副市长任指挥长，下设办公室在芒市自然资源局；同时积极加强与气象部门的联动，建立了气象地质灾害预警预报信息共享平台，每天的气象信息及时传递到监测员及相关地质灾害防治工作人员手中。</w:t>
      </w:r>
    </w:p>
    <w:p>
      <w:pPr>
        <w:ind w:firstLine="560"/>
        <w:rPr>
          <w:rFonts w:ascii="Times New Roman" w:hAnsi="Times New Roman"/>
        </w:rPr>
      </w:pPr>
      <w:r>
        <w:rPr>
          <w:rFonts w:hint="eastAsia" w:hAnsi="宋体" w:cs="宋体"/>
        </w:rPr>
        <w:t>③</w:t>
      </w:r>
      <w:r>
        <w:rPr>
          <w:rFonts w:ascii="Times New Roman" w:hAnsi="Times New Roman"/>
        </w:rPr>
        <w:t>普适型及专业监测预警工程建设</w:t>
      </w:r>
    </w:p>
    <w:p>
      <w:pPr>
        <w:ind w:firstLine="560"/>
        <w:rPr>
          <w:rFonts w:ascii="Times New Roman" w:hAnsi="Times New Roman"/>
        </w:rPr>
      </w:pPr>
      <w:r>
        <w:rPr>
          <w:rFonts w:ascii="Times New Roman" w:hAnsi="Times New Roman"/>
        </w:rPr>
        <w:t>“十三五”期间，我市完成普适型监测预警工程6处，并为“十四五”全面开展监测预警工程建设做好准备工作。</w:t>
      </w:r>
    </w:p>
    <w:p>
      <w:pPr>
        <w:ind w:firstLine="560"/>
        <w:rPr>
          <w:rFonts w:ascii="Times New Roman" w:hAnsi="Times New Roman"/>
          <w:szCs w:val="28"/>
        </w:rPr>
      </w:pPr>
      <w:r>
        <w:rPr>
          <w:rFonts w:ascii="Times New Roman" w:hAnsi="Times New Roman"/>
          <w:szCs w:val="28"/>
        </w:rPr>
        <w:t>（3）工程治理与避险搬迁</w:t>
      </w:r>
    </w:p>
    <w:p>
      <w:pPr>
        <w:ind w:firstLine="560"/>
        <w:rPr>
          <w:rFonts w:ascii="Times New Roman" w:hAnsi="Times New Roman"/>
          <w:szCs w:val="28"/>
        </w:rPr>
      </w:pPr>
      <w:r>
        <w:rPr>
          <w:rFonts w:ascii="Times New Roman" w:hAnsi="Times New Roman"/>
        </w:rPr>
        <w:t>“十三五”</w:t>
      </w:r>
      <w:r>
        <w:rPr>
          <w:rFonts w:ascii="Times New Roman" w:hAnsi="Times New Roman"/>
          <w:szCs w:val="28"/>
        </w:rPr>
        <w:t>期间，立项工程治理项目62个，其中小型</w:t>
      </w:r>
      <w:r>
        <w:rPr>
          <w:rFonts w:ascii="Times New Roman" w:hAnsi="Times New Roman"/>
        </w:rPr>
        <w:t>（其中特大型1个、大型4个、中小型55个），</w:t>
      </w:r>
      <w:r>
        <w:rPr>
          <w:rFonts w:ascii="Times New Roman" w:hAnsi="Times New Roman"/>
          <w:szCs w:val="28"/>
        </w:rPr>
        <w:t>累计工程治理预算资金6370.94万元，</w:t>
      </w:r>
      <w:r>
        <w:rPr>
          <w:rFonts w:ascii="Times New Roman" w:hAnsi="Times New Roman"/>
        </w:rPr>
        <w:t>项目完成后可以解除共7481人和32354万元财产免受地质灾害威胁。</w:t>
      </w:r>
    </w:p>
    <w:p>
      <w:pPr>
        <w:ind w:firstLine="560"/>
        <w:rPr>
          <w:rFonts w:ascii="Times New Roman" w:hAnsi="Times New Roman"/>
        </w:rPr>
      </w:pPr>
      <w:r>
        <w:rPr>
          <w:rFonts w:ascii="Times New Roman" w:hAnsi="Times New Roman"/>
        </w:rPr>
        <w:t>“十三五”</w:t>
      </w:r>
      <w:r>
        <w:rPr>
          <w:rFonts w:ascii="Times New Roman" w:hAnsi="Times New Roman"/>
          <w:szCs w:val="28"/>
        </w:rPr>
        <w:t>期间，陆续开展集中搬迁避让选址地质灾害危险性调查并形成评估报告71份，通过集中（或自主）搬迁避让1410户6345人，累计投入搬迁补助资金3630万元。</w:t>
      </w:r>
    </w:p>
    <w:p>
      <w:pPr>
        <w:ind w:firstLine="560"/>
        <w:rPr>
          <w:rFonts w:ascii="Times New Roman" w:hAnsi="Times New Roman"/>
        </w:rPr>
      </w:pPr>
      <w:r>
        <w:rPr>
          <w:rFonts w:ascii="Times New Roman" w:hAnsi="Times New Roman"/>
        </w:rPr>
        <w:t>（4）应急能力建设</w:t>
      </w:r>
    </w:p>
    <w:p>
      <w:pPr>
        <w:ind w:firstLine="560"/>
        <w:rPr>
          <w:rFonts w:ascii="Times New Roman" w:hAnsi="Times New Roman"/>
          <w:szCs w:val="28"/>
        </w:rPr>
      </w:pPr>
      <w:r>
        <w:rPr>
          <w:rFonts w:ascii="Times New Roman" w:hAnsi="Times New Roman"/>
        </w:rPr>
        <w:t>“十三五”初期，地质灾害应急处置工作主要由专业技术单位配合主管部门完成，群众参与度还不够高。随着云南省地质灾害防治技术支撑体系的不断推进和实施，使我市地质灾害应急工作得到进一步巩固和提升，2016-2020年全市共</w:t>
      </w:r>
      <w:r>
        <w:rPr>
          <w:rFonts w:ascii="Times New Roman" w:hAnsi="Times New Roman"/>
          <w:szCs w:val="28"/>
        </w:rPr>
        <w:t>开展应急调查30次、应急处置30次。</w:t>
      </w:r>
    </w:p>
    <w:p>
      <w:pPr>
        <w:ind w:firstLine="560"/>
        <w:rPr>
          <w:rFonts w:ascii="Times New Roman" w:hAnsi="Times New Roman"/>
        </w:rPr>
      </w:pPr>
      <w:r>
        <w:rPr>
          <w:rFonts w:ascii="Times New Roman" w:hAnsi="Times New Roman"/>
        </w:rPr>
        <w:t>（5）科技能力建设</w:t>
      </w:r>
    </w:p>
    <w:p>
      <w:pPr>
        <w:ind w:firstLine="560"/>
        <w:rPr>
          <w:rFonts w:ascii="Times New Roman" w:hAnsi="Times New Roman"/>
        </w:rPr>
      </w:pPr>
      <w:r>
        <w:rPr>
          <w:rFonts w:ascii="Times New Roman" w:hAnsi="Times New Roman"/>
        </w:rPr>
        <w:t>“十三五”期间，科技能力建设是一个相对薄弱的环节，地质灾害调查评价、应急排查、监测等工作还是一直在采用传统的地质工作方法手段。直到后期，在无人机拍摄等综合遥感技术以及普适型、专业监测设备的应用和地质灾害信息采集管理系统的建设使用，才逐步将地质灾害工作逐渐向科技进步方向推动。</w:t>
      </w:r>
    </w:p>
    <w:p>
      <w:pPr>
        <w:ind w:firstLine="560"/>
        <w:rPr>
          <w:rFonts w:ascii="Times New Roman" w:hAnsi="Times New Roman"/>
        </w:rPr>
      </w:pPr>
      <w:r>
        <w:rPr>
          <w:rFonts w:ascii="Times New Roman" w:hAnsi="Times New Roman"/>
        </w:rPr>
        <w:t>（6）制度建设</w:t>
      </w:r>
    </w:p>
    <w:p>
      <w:pPr>
        <w:ind w:firstLine="560"/>
        <w:rPr>
          <w:rFonts w:ascii="Times New Roman" w:hAnsi="Times New Roman"/>
        </w:rPr>
      </w:pPr>
      <w:r>
        <w:rPr>
          <w:rFonts w:ascii="Times New Roman" w:hAnsi="Times New Roman"/>
        </w:rPr>
        <w:t>为切实做好地质灾害防治管理工作，我市在多年的实践中严格按照国家和省级部署要求，不断完善地方管理制度，目前主要实行的制度有：“分级负责制度”、“应急预案制度”、“监测员管理制度”、“两卡发放制度”、“汛期三查制度”、“汛期值班制度”、“灾（险）情速报制度”、 “宣传培训制度”、“应急演练制度”、“监测员经费补助制度”。</w:t>
      </w:r>
    </w:p>
    <w:p>
      <w:pPr>
        <w:ind w:firstLine="560"/>
        <w:rPr>
          <w:rFonts w:ascii="Times New Roman" w:hAnsi="Times New Roman"/>
        </w:rPr>
      </w:pPr>
      <w:r>
        <w:rPr>
          <w:rFonts w:ascii="Times New Roman" w:hAnsi="Times New Roman"/>
        </w:rPr>
        <w:t>（7）宣传培训</w:t>
      </w:r>
    </w:p>
    <w:p>
      <w:pPr>
        <w:ind w:firstLine="560"/>
        <w:rPr>
          <w:rFonts w:ascii="Times New Roman" w:hAnsi="Times New Roman"/>
        </w:rPr>
      </w:pPr>
      <w:r>
        <w:rPr>
          <w:rFonts w:ascii="Times New Roman" w:hAnsi="Times New Roman"/>
        </w:rPr>
        <w:t>“十三五”期间共开展了地质灾害防治工作培训及各种宣传</w:t>
      </w:r>
      <w:r>
        <w:rPr>
          <w:rFonts w:ascii="Times New Roman" w:hAnsi="Times New Roman"/>
          <w:szCs w:val="28"/>
        </w:rPr>
        <w:t>79次，参训人员15233人次</w:t>
      </w:r>
      <w:r>
        <w:rPr>
          <w:rFonts w:ascii="Times New Roman" w:hAnsi="Times New Roman"/>
        </w:rPr>
        <w:t>，为</w:t>
      </w:r>
      <w:r>
        <w:rPr>
          <w:rFonts w:hint="eastAsia" w:ascii="Times New Roman" w:hAnsi="Times New Roman"/>
        </w:rPr>
        <w:t>全市</w:t>
      </w:r>
      <w:r>
        <w:rPr>
          <w:rFonts w:ascii="Times New Roman" w:hAnsi="Times New Roman"/>
        </w:rPr>
        <w:t>地质灾害应急体系建设奠定了坚实的基础。</w:t>
      </w:r>
    </w:p>
    <w:p>
      <w:pPr>
        <w:pStyle w:val="184"/>
        <w:spacing w:after="0"/>
        <w:rPr>
          <w:rStyle w:val="197"/>
          <w:rFonts w:ascii="Times New Roman" w:hAnsi="Times New Roman"/>
          <w:b/>
          <w:bCs w:val="0"/>
        </w:rPr>
      </w:pPr>
      <w:bookmarkStart w:id="22" w:name="_Toc131872713"/>
      <w:bookmarkStart w:id="23" w:name="_Toc137671397"/>
      <w:r>
        <w:rPr>
          <w:rStyle w:val="197"/>
          <w:rFonts w:ascii="Times New Roman" w:hAnsi="Times New Roman"/>
          <w:b/>
          <w:bCs w:val="0"/>
        </w:rPr>
        <w:t>2、“十三五”防灾效果评述</w:t>
      </w:r>
      <w:bookmarkEnd w:id="22"/>
      <w:bookmarkEnd w:id="23"/>
    </w:p>
    <w:p>
      <w:pPr>
        <w:ind w:firstLine="560"/>
        <w:rPr>
          <w:rFonts w:ascii="Times New Roman" w:hAnsi="Times New Roman"/>
        </w:rPr>
      </w:pPr>
      <w:r>
        <w:rPr>
          <w:rFonts w:ascii="Times New Roman" w:hAnsi="Times New Roman"/>
        </w:rPr>
        <w:t>（1）地质灾害隐患数量</w:t>
      </w:r>
    </w:p>
    <w:p>
      <w:pPr>
        <w:ind w:firstLine="560"/>
        <w:rPr>
          <w:rFonts w:ascii="Times New Roman" w:hAnsi="Times New Roman"/>
        </w:rPr>
      </w:pPr>
      <w:r>
        <w:rPr>
          <w:rFonts w:ascii="Times New Roman" w:hAnsi="Times New Roman"/>
        </w:rPr>
        <w:t>“十三五”期间，我市的地质灾害隐患数量由“十二五”初期的122处增加至211处达到峰值，之后逐年下降，截止2020年底，在册地质灾害隐患169处，“十三五”期间共核销隐患49处。</w:t>
      </w:r>
    </w:p>
    <w:p>
      <w:pPr>
        <w:ind w:firstLine="560"/>
        <w:rPr>
          <w:rFonts w:ascii="Times New Roman" w:hAnsi="Times New Roman"/>
        </w:rPr>
      </w:pPr>
      <w:r>
        <w:rPr>
          <w:rFonts w:ascii="Times New Roman" w:hAnsi="Times New Roman"/>
        </w:rPr>
        <w:t>（2）威胁对象</w:t>
      </w:r>
    </w:p>
    <w:p>
      <w:pPr>
        <w:ind w:firstLine="560"/>
        <w:rPr>
          <w:rFonts w:ascii="Times New Roman" w:hAnsi="Times New Roman"/>
        </w:rPr>
      </w:pPr>
      <w:r>
        <w:rPr>
          <w:rFonts w:ascii="Times New Roman" w:hAnsi="Times New Roman"/>
        </w:rPr>
        <w:t>通过十年的治理、搬迁工作，我市受地质灾害威胁人口共减少13826人，解除威胁的人数超过上一轮规划基数（威胁人口9462人）。</w:t>
      </w:r>
    </w:p>
    <w:p>
      <w:pPr>
        <w:ind w:firstLine="560"/>
        <w:rPr>
          <w:rFonts w:ascii="Times New Roman" w:hAnsi="Times New Roman"/>
        </w:rPr>
      </w:pPr>
      <w:r>
        <w:rPr>
          <w:rFonts w:ascii="Times New Roman" w:hAnsi="Times New Roman"/>
        </w:rPr>
        <w:t>（3）地质灾害灾情</w:t>
      </w:r>
    </w:p>
    <w:p>
      <w:pPr>
        <w:ind w:firstLine="560"/>
        <w:rPr>
          <w:rFonts w:ascii="Times New Roman" w:hAnsi="Times New Roman"/>
        </w:rPr>
      </w:pPr>
      <w:r>
        <w:rPr>
          <w:rFonts w:ascii="Times New Roman" w:hAnsi="Times New Roman"/>
        </w:rPr>
        <w:t>自“十三五”实施以来，我市积极实施地质灾害防治工作，发生地质灾害的数量总体呈下降趋势，五年来因地质灾害造成2人伤亡，其中1人死亡、1人受伤，直接经济损失398.7万元，因灾伤亡人数和直接经济损失下降明显。</w:t>
      </w:r>
    </w:p>
    <w:p>
      <w:pPr>
        <w:ind w:firstLine="560"/>
        <w:rPr>
          <w:rFonts w:ascii="Times New Roman" w:hAnsi="Times New Roman"/>
        </w:rPr>
      </w:pPr>
      <w:r>
        <w:rPr>
          <w:rFonts w:ascii="Times New Roman" w:hAnsi="Times New Roman"/>
        </w:rPr>
        <w:t>（4）成功预报避险</w:t>
      </w:r>
    </w:p>
    <w:p>
      <w:pPr>
        <w:ind w:firstLine="560"/>
        <w:rPr>
          <w:rFonts w:ascii="Times New Roman" w:hAnsi="Times New Roman"/>
        </w:rPr>
      </w:pPr>
      <w:r>
        <w:rPr>
          <w:rFonts w:ascii="Times New Roman" w:hAnsi="Times New Roman"/>
        </w:rPr>
        <w:t>由于地质灾害监管制度不断完善，群众防灾减灾意识不断增强，地质灾害监测预警手段不断提升，2016年以来，我市成功预报地质灾害6起，使29人成功避灾，避免直接经济损失数千万元。</w:t>
      </w:r>
    </w:p>
    <w:p>
      <w:pPr>
        <w:pStyle w:val="183"/>
        <w:spacing w:before="120" w:after="120"/>
        <w:rPr>
          <w:rFonts w:ascii="Times New Roman" w:hAnsi="Times New Roman"/>
          <w:b/>
        </w:rPr>
      </w:pPr>
      <w:bookmarkStart w:id="24" w:name="_Toc137671398"/>
      <w:r>
        <w:rPr>
          <w:rFonts w:ascii="Times New Roman" w:hAnsi="Times New Roman"/>
          <w:b/>
        </w:rPr>
        <w:t>（三）地质灾害防治存在的主要问题</w:t>
      </w:r>
      <w:bookmarkEnd w:id="24"/>
    </w:p>
    <w:p>
      <w:pPr>
        <w:ind w:firstLine="560"/>
        <w:rPr>
          <w:rFonts w:ascii="Times New Roman" w:hAnsi="Times New Roman"/>
        </w:rPr>
      </w:pPr>
      <w:r>
        <w:rPr>
          <w:rFonts w:ascii="Times New Roman" w:hAnsi="Times New Roman"/>
        </w:rPr>
        <w:t>（1）对地质灾害隐患风险早期识别和动态变化规律认识还存在不足</w:t>
      </w:r>
    </w:p>
    <w:p>
      <w:pPr>
        <w:ind w:firstLine="560"/>
        <w:rPr>
          <w:rFonts w:ascii="Times New Roman" w:hAnsi="Times New Roman"/>
        </w:rPr>
      </w:pPr>
      <w:r>
        <w:rPr>
          <w:rFonts w:ascii="Times New Roman" w:hAnsi="Times New Roman"/>
        </w:rPr>
        <w:t>由于地质灾害不仅受地质条件控制，还与降雨、地震、人类工程活动等关系密切，具有很强的隐蔽性和复杂性。目前，我市对地质灾害易发区域的调查深度和精度不足、地质灾害风险评价不够深入，导致防范范围局限等问题，在地质灾害核销的同时也有大量新增地质灾害隐患。</w:t>
      </w:r>
    </w:p>
    <w:p>
      <w:pPr>
        <w:ind w:firstLine="560"/>
        <w:rPr>
          <w:rFonts w:ascii="Times New Roman" w:hAnsi="Times New Roman"/>
        </w:rPr>
      </w:pPr>
      <w:r>
        <w:rPr>
          <w:rFonts w:ascii="Times New Roman" w:hAnsi="Times New Roman"/>
        </w:rPr>
        <w:t>（2）地质灾害风险防控能力有待加强</w:t>
      </w:r>
    </w:p>
    <w:p>
      <w:pPr>
        <w:ind w:firstLine="560"/>
        <w:rPr>
          <w:rFonts w:ascii="Times New Roman" w:hAnsi="Times New Roman"/>
        </w:rPr>
      </w:pPr>
      <w:r>
        <w:rPr>
          <w:rFonts w:ascii="Times New Roman" w:hAnsi="Times New Roman"/>
        </w:rPr>
        <w:t>受工作精度、技术方法和手段等多种因素影响，地质灾害隐患精准识别、精准把握成灾规律存在不足，难以对地质灾害隐患进行有效识别，责任监测范围之外时有地质灾害发生。</w:t>
      </w:r>
    </w:p>
    <w:p>
      <w:pPr>
        <w:ind w:firstLine="560"/>
        <w:rPr>
          <w:rFonts w:ascii="Times New Roman" w:hAnsi="Times New Roman"/>
        </w:rPr>
      </w:pPr>
      <w:r>
        <w:rPr>
          <w:rFonts w:ascii="Times New Roman" w:hAnsi="Times New Roman"/>
        </w:rPr>
        <w:t>（3）监测预警科技水平亟待提高</w:t>
      </w:r>
    </w:p>
    <w:p>
      <w:pPr>
        <w:ind w:firstLine="560"/>
        <w:rPr>
          <w:rFonts w:ascii="Times New Roman" w:hAnsi="Times New Roman"/>
        </w:rPr>
      </w:pPr>
      <w:r>
        <w:rPr>
          <w:rFonts w:ascii="Times New Roman" w:hAnsi="Times New Roman"/>
        </w:rPr>
        <w:t>我市地质灾害监测自动化程度低、科技水平低、专业监测、信息化建设比较落后，监测预警覆盖面和精准度还需进一步提高。监测员对地质灾害及隐患认识不足、监测重点把握不到位、监测范围不全面等问题。</w:t>
      </w:r>
    </w:p>
    <w:p>
      <w:pPr>
        <w:ind w:firstLine="560"/>
        <w:rPr>
          <w:rFonts w:ascii="Times New Roman" w:hAnsi="Times New Roman"/>
        </w:rPr>
      </w:pPr>
      <w:r>
        <w:rPr>
          <w:rFonts w:ascii="Times New Roman" w:hAnsi="Times New Roman"/>
        </w:rPr>
        <w:t>（4）地质灾害工程治理任务依然艰巨</w:t>
      </w:r>
    </w:p>
    <w:p>
      <w:pPr>
        <w:ind w:firstLine="560"/>
        <w:rPr>
          <w:rFonts w:ascii="Times New Roman" w:hAnsi="Times New Roman"/>
        </w:rPr>
      </w:pPr>
      <w:r>
        <w:rPr>
          <w:rFonts w:ascii="Times New Roman" w:hAnsi="Times New Roman"/>
        </w:rPr>
        <w:t>近十年，我市地质灾害隐患数量经历了一个先增后减的变化过程，前期隐患数量增加时，由于每年均有新增隐患，但地质灾害工程治理才刚起步，防治效果还不突出，后期的逐年减少就突出了“十三五”期间的地质灾害工程治理成效。即使2015～2020年间，共核销了地质灾害隐患49处，但地质灾害隐患总数仍居高不下，说明新增隐患较多，所以地质灾害工程治理的任务依然间距。另外，由于我市经济的发展和人民生活质量的提高，导致地质灾害威胁的财产变高。再者，我市地质灾害隐患存在显著的点多面广、单点规模小、突发性强的特点，山区交通及建筑材料等条件相对较差，工程治理投资成本较大，工程实施及监管难度大。</w:t>
      </w:r>
    </w:p>
    <w:p>
      <w:pPr>
        <w:ind w:firstLine="560"/>
        <w:rPr>
          <w:rFonts w:ascii="Times New Roman" w:hAnsi="Times New Roman"/>
        </w:rPr>
      </w:pPr>
      <w:r>
        <w:rPr>
          <w:rFonts w:ascii="Times New Roman" w:hAnsi="Times New Roman"/>
        </w:rPr>
        <w:t>（5）科技创新、推进新技术和方法在地质灾害防治工作的应用还不够深入。</w:t>
      </w:r>
    </w:p>
    <w:p>
      <w:pPr>
        <w:ind w:firstLine="560"/>
        <w:rPr>
          <w:rFonts w:ascii="Times New Roman" w:hAnsi="Times New Roman"/>
        </w:rPr>
      </w:pPr>
      <w:r>
        <w:rPr>
          <w:rFonts w:ascii="Times New Roman" w:hAnsi="Times New Roman"/>
        </w:rPr>
        <w:t>（6）群众防灾、避灾意识不强</w:t>
      </w:r>
    </w:p>
    <w:p>
      <w:pPr>
        <w:ind w:firstLine="560"/>
        <w:rPr>
          <w:rFonts w:ascii="Times New Roman" w:hAnsi="Times New Roman"/>
        </w:rPr>
      </w:pPr>
      <w:r>
        <w:rPr>
          <w:rFonts w:ascii="Times New Roman" w:hAnsi="Times New Roman"/>
        </w:rPr>
        <w:t xml:space="preserve">目前地质灾害点宣传培训，主要集中在自然资源主管部门、监测员、受灾群众等参与地质灾害防治相关的工作人员，而广大群众的防灾、避灾意识不强，此外项目建设单位履行法定义务的自觉性不高，特别是随着社会经济的发展，人类工程活动不断加剧，因山区建设工程的不合理堆渣、切坡建房、土地资源和矿产资源开发引发的地质灾害只会有增无减，地质灾害的防治及监管任重道远。 </w:t>
      </w:r>
    </w:p>
    <w:p>
      <w:pPr>
        <w:ind w:firstLine="560"/>
        <w:rPr>
          <w:rFonts w:ascii="Times New Roman" w:hAnsi="Times New Roman"/>
        </w:rPr>
      </w:pPr>
      <w:r>
        <w:rPr>
          <w:rFonts w:ascii="Times New Roman" w:hAnsi="Times New Roman"/>
        </w:rPr>
        <w:t>（7）管理问题</w:t>
      </w:r>
    </w:p>
    <w:p>
      <w:pPr>
        <w:ind w:firstLine="560"/>
        <w:rPr>
          <w:rFonts w:ascii="Times New Roman" w:hAnsi="Times New Roman"/>
        </w:rPr>
      </w:pPr>
      <w:r>
        <w:rPr>
          <w:rFonts w:ascii="Times New Roman" w:hAnsi="Times New Roman"/>
        </w:rPr>
        <w:t>地质灾害防治工程同国土空间规划、生态修复、城镇建设、乡村振兴、交通、水利等统筹谋划的程度低。主要表现在：一是城市规划对地质灾害问题考虑不到位，往往城镇建设在前，地质灾害治理滞后，导致某些地质灾害在工程治理实施方面受到严重限制而使地质灾害无法彻底消除。二是部分泥石流排泄通道被居民建筑、公共设施、道路等挤占，无法满足过流，且无法实施排导工程。</w:t>
      </w:r>
    </w:p>
    <w:p>
      <w:pPr>
        <w:pStyle w:val="183"/>
        <w:spacing w:before="120" w:after="120"/>
        <w:rPr>
          <w:rFonts w:ascii="Times New Roman" w:hAnsi="Times New Roman"/>
          <w:b/>
        </w:rPr>
      </w:pPr>
      <w:bookmarkStart w:id="25" w:name="_Toc137671399"/>
      <w:r>
        <w:rPr>
          <w:rFonts w:ascii="Times New Roman" w:hAnsi="Times New Roman"/>
          <w:b/>
        </w:rPr>
        <w:t>（四）“十四五”地质灾害防治面临的形势</w:t>
      </w:r>
      <w:bookmarkEnd w:id="25"/>
    </w:p>
    <w:p>
      <w:pPr>
        <w:ind w:firstLine="560"/>
        <w:rPr>
          <w:rFonts w:ascii="Times New Roman" w:hAnsi="Times New Roman"/>
        </w:rPr>
      </w:pPr>
      <w:r>
        <w:rPr>
          <w:rFonts w:ascii="Times New Roman" w:hAnsi="Times New Roman"/>
        </w:rPr>
        <w:t>根据“十三五”时期地质灾害防治工作总结的问题和经验，以及各领域、各级政府财政事权和支出责任划分改革等重大事项，在“十四五”期间，我市地质灾害防治面临的主要形势为：</w:t>
      </w:r>
    </w:p>
    <w:p>
      <w:pPr>
        <w:pStyle w:val="184"/>
        <w:spacing w:after="0"/>
        <w:rPr>
          <w:rStyle w:val="197"/>
          <w:rFonts w:ascii="Times New Roman" w:hAnsi="Times New Roman"/>
          <w:b/>
          <w:bCs w:val="0"/>
        </w:rPr>
      </w:pPr>
      <w:bookmarkStart w:id="26" w:name="_Toc131872716"/>
      <w:bookmarkStart w:id="27" w:name="_Toc137671400"/>
      <w:r>
        <w:rPr>
          <w:rStyle w:val="197"/>
          <w:rFonts w:ascii="Times New Roman" w:hAnsi="Times New Roman"/>
          <w:b/>
          <w:bCs w:val="0"/>
        </w:rPr>
        <w:t>1、有利形势</w:t>
      </w:r>
      <w:bookmarkEnd w:id="26"/>
      <w:bookmarkEnd w:id="27"/>
    </w:p>
    <w:p>
      <w:pPr>
        <w:ind w:firstLine="560"/>
        <w:rPr>
          <w:rFonts w:ascii="Times New Roman" w:hAnsi="Times New Roman"/>
        </w:rPr>
      </w:pPr>
      <w:r>
        <w:rPr>
          <w:rFonts w:ascii="Times New Roman" w:hAnsi="Times New Roman"/>
        </w:rPr>
        <w:t>（1）</w:t>
      </w:r>
      <w:r>
        <w:rPr>
          <w:rFonts w:hint="eastAsia" w:ascii="Times New Roman" w:hAnsi="Times New Roman"/>
        </w:rPr>
        <w:t>习近平</w:t>
      </w:r>
      <w:r>
        <w:rPr>
          <w:rFonts w:ascii="Times New Roman" w:hAnsi="Times New Roman"/>
        </w:rPr>
        <w:t>总书记、党中央、国务院、自然资源部对地质灾害防治工作的更高要求。</w:t>
      </w:r>
    </w:p>
    <w:p>
      <w:pPr>
        <w:ind w:firstLine="560"/>
        <w:rPr>
          <w:rFonts w:ascii="Times New Roman" w:hAnsi="Times New Roman"/>
        </w:rPr>
      </w:pPr>
      <w:r>
        <w:rPr>
          <w:rFonts w:ascii="Times New Roman" w:hAnsi="Times New Roman"/>
        </w:rPr>
        <w:t>党的十九大报告中明确提出“加强地质灾害防治”。2018年10月，习近平总书记在中央财经委员会第三次会议上指出，要建立高效科学的自然灾害防治体系，提高全社会自然灾害防治能力，为保护人民群众生命财产安全和国家安全提供有力保障。《云南省国民经济和社会发展第十四个五年规划和二〇三五年远景目标纲要》提出，“坚持人民至上、生命至上，全面提高公共安全保障能力”“实施自然灾害风险普查与重点隐患排查、地震易发区房屋设施加固等工程，提升洪涝干旱、森林草原火灾、地震等自然灾害防御工程标准”“建立重大风险预警、识别、治理、分析研判等全方位联合防控体系，提高防灾、减灾、抗灾、救灾能力”。落实上述要求，需要系统掌握全市地质灾害情况，总结上一轮规划的成效与问题，采取合理有效的防范措施，切实提高人民生命安全保障能力。</w:t>
      </w:r>
    </w:p>
    <w:p>
      <w:pPr>
        <w:ind w:firstLine="560"/>
        <w:rPr>
          <w:rFonts w:ascii="Times New Roman" w:hAnsi="Times New Roman"/>
        </w:rPr>
      </w:pPr>
      <w:r>
        <w:rPr>
          <w:rFonts w:ascii="Times New Roman" w:hAnsi="Times New Roman"/>
        </w:rPr>
        <w:t>（2）地质灾害防治思路转变</w:t>
      </w:r>
    </w:p>
    <w:p>
      <w:pPr>
        <w:ind w:firstLine="560"/>
        <w:rPr>
          <w:rFonts w:ascii="Times New Roman" w:hAnsi="Times New Roman"/>
        </w:rPr>
      </w:pPr>
      <w:r>
        <w:rPr>
          <w:rFonts w:ascii="Times New Roman" w:hAnsi="Times New Roman"/>
        </w:rPr>
        <w:t>习近平总书记多次对新时期地质灾害防治工作进行了重要部署，强调要健全风险防范化解机制，坚持从源头上防范化解重大安全风险，真正把问题解决在萌芽之时、成灾之前，提出新时期减灾防灾的“两个坚持、三个转变”理念，即坚持以防为主、防抗救相结合、坚持常态减灾和非常态救灾相统一、从注重灾后救助向注重灾前预防转变、从应对单一灾种向综合减灾转变、从减少灾害损失向减轻灾害风险转变。“十四五”期间需要充分开展灾害体构造、地质结构的精细化调查、区域风险调查与评价，支撑地质灾害防治管理工作由“点”向“点面结合”转变，并能满足资源环境保护和社会经济发展的重要需求。</w:t>
      </w:r>
    </w:p>
    <w:p>
      <w:pPr>
        <w:pStyle w:val="184"/>
        <w:spacing w:after="0"/>
        <w:rPr>
          <w:rStyle w:val="197"/>
          <w:rFonts w:ascii="Times New Roman" w:hAnsi="Times New Roman"/>
          <w:b/>
          <w:bCs w:val="0"/>
        </w:rPr>
      </w:pPr>
      <w:bookmarkStart w:id="28" w:name="_Toc131872717"/>
      <w:bookmarkStart w:id="29" w:name="_Toc137671401"/>
      <w:r>
        <w:rPr>
          <w:rStyle w:val="197"/>
          <w:rFonts w:ascii="Times New Roman" w:hAnsi="Times New Roman"/>
          <w:b/>
          <w:bCs w:val="0"/>
        </w:rPr>
        <w:t>2、不利形势</w:t>
      </w:r>
      <w:bookmarkEnd w:id="28"/>
      <w:bookmarkEnd w:id="29"/>
    </w:p>
    <w:p>
      <w:pPr>
        <w:ind w:firstLine="560"/>
        <w:rPr>
          <w:rFonts w:ascii="Times New Roman" w:hAnsi="Times New Roman"/>
        </w:rPr>
      </w:pPr>
      <w:r>
        <w:rPr>
          <w:rFonts w:ascii="Times New Roman" w:hAnsi="Times New Roman"/>
        </w:rPr>
        <w:t>（1）我市山区占比大、地质环境条件复杂，地质灾害多发频发的基础没有发生根本变化，加之近年气候条件特殊多变，异常天气事件频发，地质灾害隐患数量总体居高不下，地质灾害威胁将长期存在，地质灾害防治任务依然繁重。</w:t>
      </w:r>
    </w:p>
    <w:p>
      <w:pPr>
        <w:ind w:firstLine="560"/>
        <w:rPr>
          <w:rFonts w:ascii="Times New Roman" w:hAnsi="Times New Roman"/>
        </w:rPr>
      </w:pPr>
      <w:r>
        <w:rPr>
          <w:rFonts w:ascii="Times New Roman" w:hAnsi="Times New Roman"/>
        </w:rPr>
        <w:t>（2）我市地质灾害隐患点多面广、单点规模小、突发性强的特点依然没变，山区交通及建筑材料等条件相对较差问题长期存在，工程治理实施及监管难度依然较大，这就要求我们不断探索和创新，采用新技术、新方法，推进地质灾害治理向更彻底、更高效、更经济、更环保方向发展。</w:t>
      </w:r>
    </w:p>
    <w:p>
      <w:pPr>
        <w:ind w:firstLine="560"/>
        <w:rPr>
          <w:rFonts w:ascii="Times New Roman" w:hAnsi="Times New Roman"/>
        </w:rPr>
      </w:pPr>
      <w:r>
        <w:rPr>
          <w:rFonts w:ascii="Times New Roman" w:hAnsi="Times New Roman"/>
        </w:rPr>
        <w:t>（3）近年随着人类工程活动的不断增强，一些新的问题也不断涌现，如各类地质环境问题及地质灾害变得更加复杂。地质灾害防治工作应加强与城乡建设、国土空间规划、生态修复保护、乡村振兴等相关工作部门的协作，统筹谋划，尽量避免因人类工程活动引起的地质灾害发生。</w:t>
      </w:r>
    </w:p>
    <w:p>
      <w:pPr>
        <w:ind w:firstLine="560"/>
        <w:rPr>
          <w:rFonts w:ascii="Times New Roman" w:hAnsi="Times New Roman"/>
        </w:rPr>
      </w:pPr>
      <w:r>
        <w:rPr>
          <w:rFonts w:ascii="Times New Roman" w:hAnsi="Times New Roman"/>
        </w:rPr>
        <w:t>（4）地质灾害工程治理任务多，但经济下行压力大，单一的地方财政投入难以支撑防治经费支出。</w:t>
      </w:r>
    </w:p>
    <w:p>
      <w:pPr>
        <w:pStyle w:val="182"/>
        <w:spacing w:line="360" w:lineRule="auto"/>
        <w:rPr>
          <w:rFonts w:ascii="Times New Roman" w:hAnsi="Times New Roman"/>
          <w:b/>
        </w:rPr>
      </w:pPr>
      <w:bookmarkStart w:id="30" w:name="_Toc137671402"/>
      <w:r>
        <w:rPr>
          <w:rFonts w:ascii="Times New Roman" w:hAnsi="Times New Roman"/>
          <w:b/>
        </w:rPr>
        <w:t>二、指导思想和规划目标</w:t>
      </w:r>
      <w:bookmarkEnd w:id="30"/>
    </w:p>
    <w:p>
      <w:pPr>
        <w:pStyle w:val="183"/>
        <w:spacing w:before="120" w:after="120"/>
        <w:rPr>
          <w:rFonts w:ascii="Times New Roman" w:hAnsi="Times New Roman"/>
          <w:b/>
        </w:rPr>
      </w:pPr>
      <w:bookmarkStart w:id="31" w:name="_Toc137671403"/>
      <w:r>
        <w:rPr>
          <w:rFonts w:ascii="Times New Roman" w:hAnsi="Times New Roman"/>
          <w:b/>
        </w:rPr>
        <w:t>（一）指导思想</w:t>
      </w:r>
      <w:bookmarkEnd w:id="31"/>
    </w:p>
    <w:p>
      <w:pPr>
        <w:ind w:firstLine="560"/>
        <w:rPr>
          <w:rFonts w:ascii="Times New Roman" w:hAnsi="Times New Roman"/>
          <w:szCs w:val="28"/>
        </w:rPr>
      </w:pPr>
      <w:r>
        <w:rPr>
          <w:rFonts w:ascii="Times New Roman" w:hAnsi="Times New Roman"/>
        </w:rPr>
        <w:t>以习近平新时代中国特色社会主义思想为指导，贯彻党的十九大、十九届二中、三中、四中、五中全会精神，全面贯彻落实习近平总书记关于防灾减灾救灾的系列重要论述指示及中央财经委第八次会议精神，坚持“人民至上、生命至上”的理念，牢固树立地质灾害防治是“生命工程”、“民生工程”的思想</w:t>
      </w:r>
      <w:r>
        <w:rPr>
          <w:rFonts w:ascii="Times New Roman" w:hAnsi="Times New Roman"/>
          <w:szCs w:val="28"/>
        </w:rPr>
        <w:t>，把保障人民群众生命财产安全放在首位，尊重自然、顺应自然、保护自然，加强统筹协调，以地质灾害风险识别、风险管控为主线，充分依靠科技进步和管理创新，全面提高地质灾害综合防治能力，为我市的发展战略建设营造安全稳定的环境。</w:t>
      </w:r>
    </w:p>
    <w:p>
      <w:pPr>
        <w:pStyle w:val="183"/>
        <w:spacing w:before="120" w:after="120"/>
        <w:rPr>
          <w:rFonts w:ascii="Times New Roman" w:hAnsi="Times New Roman"/>
          <w:b/>
        </w:rPr>
      </w:pPr>
      <w:bookmarkStart w:id="32" w:name="_Toc137671404"/>
      <w:r>
        <w:rPr>
          <w:rFonts w:ascii="Times New Roman" w:hAnsi="Times New Roman"/>
          <w:b/>
        </w:rPr>
        <w:t>（二）规划原则</w:t>
      </w:r>
      <w:bookmarkEnd w:id="32"/>
    </w:p>
    <w:p>
      <w:pPr>
        <w:pStyle w:val="184"/>
        <w:spacing w:after="0"/>
        <w:rPr>
          <w:rStyle w:val="197"/>
          <w:rFonts w:ascii="Times New Roman" w:hAnsi="Times New Roman"/>
          <w:b/>
          <w:bCs w:val="0"/>
        </w:rPr>
      </w:pPr>
      <w:bookmarkStart w:id="33" w:name="_Toc137671405"/>
      <w:bookmarkStart w:id="34" w:name="_Toc131872721"/>
      <w:bookmarkStart w:id="35" w:name="_Toc74152586"/>
      <w:bookmarkStart w:id="36" w:name="_Hlk69223231"/>
      <w:r>
        <w:rPr>
          <w:rStyle w:val="197"/>
          <w:rFonts w:ascii="Times New Roman" w:hAnsi="Times New Roman"/>
          <w:b/>
          <w:bCs w:val="0"/>
        </w:rPr>
        <w:t>1、坚持依法防治和分工负责</w:t>
      </w:r>
      <w:bookmarkEnd w:id="33"/>
      <w:bookmarkEnd w:id="34"/>
      <w:bookmarkEnd w:id="35"/>
    </w:p>
    <w:p>
      <w:pPr>
        <w:ind w:firstLine="560"/>
        <w:rPr>
          <w:rFonts w:ascii="Times New Roman" w:hAnsi="Times New Roman"/>
        </w:rPr>
      </w:pPr>
      <w:r>
        <w:rPr>
          <w:rFonts w:ascii="Times New Roman" w:hAnsi="Times New Roman"/>
        </w:rPr>
        <w:t>加强和完善地质灾害防治管理制度建设，严格遵守《地质灾害防治条例》及相关法规、规章、管理办法及行业标准，做到依法防灾。按照“属地为主、分级负责”的原则，严格落实各级党委政府的属地责任，落实各行业部门及相关责任单位的管理责任和主体责任。</w:t>
      </w:r>
    </w:p>
    <w:p>
      <w:pPr>
        <w:pStyle w:val="184"/>
        <w:spacing w:after="0"/>
        <w:rPr>
          <w:rStyle w:val="197"/>
          <w:rFonts w:ascii="Times New Roman" w:hAnsi="Times New Roman"/>
          <w:b/>
          <w:bCs w:val="0"/>
        </w:rPr>
      </w:pPr>
      <w:bookmarkStart w:id="37" w:name="_Toc131872722"/>
      <w:bookmarkStart w:id="38" w:name="_Toc137671406"/>
      <w:bookmarkStart w:id="39" w:name="_Toc74152587"/>
      <w:r>
        <w:rPr>
          <w:rStyle w:val="197"/>
          <w:rFonts w:ascii="Times New Roman" w:hAnsi="Times New Roman"/>
          <w:b/>
          <w:bCs w:val="0"/>
        </w:rPr>
        <w:t>2、坚持重心前移和统筹科学规划</w:t>
      </w:r>
      <w:bookmarkEnd w:id="36"/>
      <w:bookmarkEnd w:id="37"/>
      <w:bookmarkEnd w:id="38"/>
    </w:p>
    <w:p>
      <w:pPr>
        <w:ind w:firstLine="560"/>
        <w:rPr>
          <w:rFonts w:ascii="Times New Roman" w:hAnsi="Times New Roman"/>
        </w:rPr>
      </w:pPr>
      <w:r>
        <w:rPr>
          <w:rFonts w:ascii="Times New Roman" w:hAnsi="Times New Roman"/>
        </w:rPr>
        <w:t>将地质灾害防治工作的重点从灾后救助、灾后治理转移到灾前预防、灾前规避。强化隐患点基础调查排查和风险管控，不断提升地质灾害隐患识别能力，逐步完善监测预警体系，将地质灾害风险管控理念融入国土空间与用途管控，从源头减轻风险。对威胁城区、学校、医院、移民安置点等人口密集区及重要工程设施的重大地质灾害隐患，按风险高低分期有序实施防治，适时处理好局部与整体、近期与远期的关系。</w:t>
      </w:r>
    </w:p>
    <w:p>
      <w:pPr>
        <w:pStyle w:val="184"/>
        <w:rPr>
          <w:rStyle w:val="197"/>
          <w:rFonts w:ascii="Times New Roman" w:hAnsi="Times New Roman"/>
          <w:b/>
          <w:bCs w:val="0"/>
        </w:rPr>
      </w:pPr>
      <w:bookmarkStart w:id="40" w:name="_Toc137671407"/>
      <w:bookmarkStart w:id="41" w:name="_Toc74152588"/>
      <w:bookmarkStart w:id="42" w:name="_Toc131872723"/>
      <w:r>
        <w:rPr>
          <w:rStyle w:val="197"/>
          <w:rFonts w:ascii="Times New Roman" w:hAnsi="Times New Roman"/>
          <w:b/>
          <w:bCs w:val="0"/>
        </w:rPr>
        <w:t>3、坚持</w:t>
      </w:r>
      <w:bookmarkEnd w:id="39"/>
      <w:r>
        <w:rPr>
          <w:rStyle w:val="197"/>
          <w:rFonts w:ascii="Times New Roman" w:hAnsi="Times New Roman"/>
          <w:b/>
          <w:bCs w:val="0"/>
        </w:rPr>
        <w:t>“以人为本，避让与治理相结合”</w:t>
      </w:r>
      <w:bookmarkEnd w:id="40"/>
      <w:bookmarkEnd w:id="41"/>
    </w:p>
    <w:p>
      <w:pPr>
        <w:ind w:firstLine="560"/>
        <w:rPr>
          <w:rFonts w:ascii="Times New Roman" w:hAnsi="Times New Roman"/>
        </w:rPr>
      </w:pPr>
      <w:r>
        <w:rPr>
          <w:rFonts w:ascii="Times New Roman" w:hAnsi="Times New Roman"/>
        </w:rPr>
        <w:t>充分发挥各级政府在地质灾害防治建设中的主导地位，动员社会各方面力量，在深入开展地质灾害调查与评价的基础上，建立健全具有各地特色的地质灾害监测预警体系，加大地质灾害的综合治理与避险搬迁力度，实现国民经济和生态环境的协调发展。</w:t>
      </w:r>
    </w:p>
    <w:p>
      <w:pPr>
        <w:pStyle w:val="184"/>
        <w:spacing w:after="0"/>
        <w:rPr>
          <w:rStyle w:val="197"/>
          <w:rFonts w:ascii="Times New Roman" w:hAnsi="Times New Roman"/>
          <w:b/>
          <w:bCs w:val="0"/>
        </w:rPr>
      </w:pPr>
      <w:bookmarkStart w:id="43" w:name="_Toc74152589"/>
      <w:bookmarkStart w:id="44" w:name="_Toc131872724"/>
      <w:bookmarkStart w:id="45" w:name="_Toc137671408"/>
      <w:r>
        <w:rPr>
          <w:rStyle w:val="197"/>
          <w:rFonts w:ascii="Times New Roman" w:hAnsi="Times New Roman"/>
          <w:b/>
          <w:bCs w:val="0"/>
        </w:rPr>
        <w:t>4、充分依靠科技进步和管理创新</w:t>
      </w:r>
      <w:bookmarkEnd w:id="42"/>
      <w:bookmarkEnd w:id="43"/>
      <w:bookmarkEnd w:id="44"/>
    </w:p>
    <w:p>
      <w:pPr>
        <w:ind w:firstLine="560"/>
        <w:rPr>
          <w:rFonts w:ascii="Times New Roman" w:hAnsi="Times New Roman"/>
        </w:rPr>
      </w:pPr>
      <w:r>
        <w:rPr>
          <w:rFonts w:ascii="Times New Roman" w:hAnsi="Times New Roman"/>
        </w:rPr>
        <w:t>大力加强地质灾害调查评价、监测预警、综合治理与避险移民搬迁以及防治技术装备现代化，加强信息化系统完善、维护和地理信息技术在地质灾害隐患识别、监测预警、应急响应、动态巡查排查核查等方面的应用，加强高新技术的推广与应用，做到科学防灾减灾，探索并逐步推广开展“隐患点＋风险区”双控管理的制度与措施。</w:t>
      </w:r>
    </w:p>
    <w:p>
      <w:pPr>
        <w:pStyle w:val="184"/>
        <w:spacing w:after="0"/>
        <w:rPr>
          <w:rStyle w:val="197"/>
          <w:rFonts w:ascii="Times New Roman" w:hAnsi="Times New Roman"/>
          <w:b/>
          <w:bCs w:val="0"/>
        </w:rPr>
      </w:pPr>
      <w:bookmarkStart w:id="46" w:name="_Toc131872725"/>
      <w:bookmarkStart w:id="47" w:name="_Toc137671409"/>
      <w:bookmarkStart w:id="48" w:name="_Toc74152590"/>
      <w:r>
        <w:rPr>
          <w:rStyle w:val="197"/>
          <w:rFonts w:ascii="Times New Roman" w:hAnsi="Times New Roman"/>
          <w:b/>
          <w:bCs w:val="0"/>
        </w:rPr>
        <w:t>5、坚持与各类规划的相互衔接和协调</w:t>
      </w:r>
      <w:bookmarkEnd w:id="45"/>
      <w:bookmarkEnd w:id="46"/>
      <w:bookmarkEnd w:id="47"/>
    </w:p>
    <w:p>
      <w:pPr>
        <w:ind w:firstLine="560"/>
        <w:rPr>
          <w:rFonts w:ascii="Times New Roman" w:hAnsi="Times New Roman"/>
        </w:rPr>
      </w:pPr>
      <w:r>
        <w:rPr>
          <w:rFonts w:ascii="Times New Roman" w:hAnsi="Times New Roman"/>
        </w:rPr>
        <w:t>在国土空间规划的统筹下，强化与经济社会发展、国土空间开发利用、生态保护修复、矿产资源、水资源开发与保护、山洪灾害防治、农村民居地震安全工程、校安工程、扶贫工程等工作的衔接，做到齐抓共管，实施综合治理。</w:t>
      </w:r>
    </w:p>
    <w:bookmarkEnd w:id="48"/>
    <w:p>
      <w:pPr>
        <w:pStyle w:val="183"/>
        <w:spacing w:before="120" w:after="120"/>
        <w:rPr>
          <w:rFonts w:ascii="Times New Roman" w:hAnsi="Times New Roman"/>
          <w:b/>
        </w:rPr>
      </w:pPr>
      <w:bookmarkStart w:id="49" w:name="_Toc137671410"/>
      <w:r>
        <w:rPr>
          <w:rFonts w:ascii="Times New Roman" w:hAnsi="Times New Roman"/>
          <w:b/>
        </w:rPr>
        <w:t>（三）规划目标</w:t>
      </w:r>
      <w:bookmarkEnd w:id="49"/>
    </w:p>
    <w:p>
      <w:pPr>
        <w:pStyle w:val="184"/>
        <w:spacing w:after="0"/>
        <w:rPr>
          <w:rStyle w:val="197"/>
          <w:rFonts w:ascii="Times New Roman" w:hAnsi="Times New Roman"/>
          <w:b/>
          <w:bCs w:val="0"/>
        </w:rPr>
      </w:pPr>
      <w:bookmarkStart w:id="50" w:name="_Toc137671411"/>
      <w:bookmarkStart w:id="51" w:name="_Toc131872727"/>
      <w:r>
        <w:rPr>
          <w:rStyle w:val="197"/>
          <w:rFonts w:ascii="Times New Roman" w:hAnsi="Times New Roman"/>
          <w:b/>
          <w:bCs w:val="0"/>
        </w:rPr>
        <w:t>1、总体目标</w:t>
      </w:r>
      <w:bookmarkEnd w:id="50"/>
      <w:bookmarkEnd w:id="51"/>
    </w:p>
    <w:p>
      <w:pPr>
        <w:ind w:firstLine="560"/>
        <w:rPr>
          <w:rFonts w:ascii="Times New Roman" w:hAnsi="Times New Roman"/>
        </w:rPr>
      </w:pPr>
      <w:r>
        <w:rPr>
          <w:rFonts w:ascii="Times New Roman" w:hAnsi="Times New Roman"/>
        </w:rPr>
        <w:t>“十四五”期间，着力全面构建全市地质灾害综合防治体系，切实提升地质灾害综合防治能力。建设完善“灾害风险调查和重点隐患排查、自然灾害综合治理和避险移民搬迁、自然灾害监测预警信息化、自然灾害防治技术装备现代化”四大工程。以隐患识别排查、风险评价和分级防控为主线，开展重点区域地质灾害风险调查和评价，掌握风险底数，进行风险区划和防治区划，支撑地质灾害防治管理工作由“点”向“点面结合”转变；逐步建成新型高效的“群专结合、专群并重”监测预警和气象风险预警网络体系；基本完成高风险区大型以上地质灾害隐患的工程治理和避险移民搬迁，力争“十四五”规划期末受地质灾害威胁人数的25%（6390人），受威胁资产的4</w:t>
      </w:r>
      <w:r>
        <w:rPr>
          <w:rFonts w:hint="eastAsia" w:ascii="Times New Roman" w:hAnsi="Times New Roman"/>
        </w:rPr>
        <w:t>5</w:t>
      </w:r>
      <w:r>
        <w:rPr>
          <w:rFonts w:ascii="Times New Roman" w:hAnsi="Times New Roman"/>
        </w:rPr>
        <w:t>%（</w:t>
      </w:r>
      <w:r>
        <w:rPr>
          <w:rFonts w:hint="eastAsia" w:ascii="Times New Roman" w:hAnsi="Times New Roman"/>
        </w:rPr>
        <w:t>220</w:t>
      </w:r>
      <w:r>
        <w:rPr>
          <w:rFonts w:ascii="Times New Roman" w:hAnsi="Times New Roman"/>
        </w:rPr>
        <w:t>00万元）得到直接保障。</w:t>
      </w:r>
    </w:p>
    <w:p>
      <w:pPr>
        <w:pStyle w:val="184"/>
        <w:spacing w:after="0"/>
        <w:rPr>
          <w:rStyle w:val="197"/>
          <w:rFonts w:ascii="Times New Roman" w:hAnsi="Times New Roman"/>
          <w:b/>
          <w:bCs w:val="0"/>
        </w:rPr>
      </w:pPr>
      <w:bookmarkStart w:id="52" w:name="_Toc137671412"/>
      <w:bookmarkStart w:id="53" w:name="_Toc131872728"/>
      <w:r>
        <w:rPr>
          <w:rStyle w:val="197"/>
          <w:rFonts w:ascii="Times New Roman" w:hAnsi="Times New Roman"/>
          <w:b/>
          <w:bCs w:val="0"/>
        </w:rPr>
        <w:t>2、规划期目标</w:t>
      </w:r>
      <w:bookmarkEnd w:id="52"/>
      <w:bookmarkEnd w:id="53"/>
    </w:p>
    <w:p>
      <w:pPr>
        <w:ind w:firstLine="560"/>
        <w:rPr>
          <w:rFonts w:ascii="Times New Roman" w:hAnsi="Times New Roman"/>
        </w:rPr>
      </w:pPr>
      <w:r>
        <w:rPr>
          <w:rFonts w:ascii="Times New Roman" w:hAnsi="Times New Roman"/>
        </w:rPr>
        <w:t>规划期目标主要体现在以下几个方面，主要措施目标即完成本《规划》第四章的防治规划。</w:t>
      </w:r>
    </w:p>
    <w:p>
      <w:pPr>
        <w:ind w:firstLine="560"/>
        <w:rPr>
          <w:rFonts w:ascii="Times New Roman" w:hAnsi="Times New Roman"/>
        </w:rPr>
      </w:pPr>
      <w:r>
        <w:rPr>
          <w:rFonts w:ascii="Times New Roman" w:hAnsi="Times New Roman"/>
        </w:rPr>
        <w:t>（1）调查评价</w:t>
      </w:r>
    </w:p>
    <w:p>
      <w:pPr>
        <w:ind w:firstLine="560"/>
        <w:rPr>
          <w:rFonts w:ascii="Times New Roman" w:hAnsi="Times New Roman"/>
        </w:rPr>
      </w:pPr>
      <w:r>
        <w:rPr>
          <w:rFonts w:ascii="Times New Roman" w:hAnsi="Times New Roman"/>
        </w:rPr>
        <w:t>在既往调查的基础上，开展县域1:5万地质灾害精细化调查与风险评价项目，并对高、中易发区或受威胁严重的城镇等重点区域开展1:1万地质灾害精细化调查，充分掌握我市地质灾害风险底数和变化特征。</w:t>
      </w:r>
    </w:p>
    <w:p>
      <w:pPr>
        <w:ind w:firstLine="560"/>
        <w:rPr>
          <w:rFonts w:ascii="Times New Roman" w:hAnsi="Times New Roman"/>
        </w:rPr>
      </w:pPr>
      <w:r>
        <w:rPr>
          <w:rFonts w:ascii="Times New Roman" w:hAnsi="Times New Roman"/>
        </w:rPr>
        <w:t>（2）监测预警</w:t>
      </w:r>
    </w:p>
    <w:p>
      <w:pPr>
        <w:ind w:firstLine="560"/>
        <w:rPr>
          <w:rFonts w:ascii="Times New Roman" w:hAnsi="Times New Roman"/>
        </w:rPr>
      </w:pPr>
      <w:r>
        <w:rPr>
          <w:rFonts w:ascii="Times New Roman" w:hAnsi="Times New Roman"/>
        </w:rPr>
        <w:t>全面开展普适型及专业监测预警工程建设，构建更加完善的群测群防+专业监测预警网络和气象预警体系，使群测群防和气象风险预警体系更加科学完善。</w:t>
      </w:r>
    </w:p>
    <w:p>
      <w:pPr>
        <w:ind w:firstLine="560"/>
        <w:rPr>
          <w:rFonts w:ascii="Times New Roman" w:hAnsi="Times New Roman"/>
        </w:rPr>
      </w:pPr>
      <w:r>
        <w:rPr>
          <w:rFonts w:ascii="Times New Roman" w:hAnsi="Times New Roman"/>
        </w:rPr>
        <w:t>（3）工程治理及避险搬迁</w:t>
      </w:r>
    </w:p>
    <w:p>
      <w:pPr>
        <w:ind w:firstLine="560"/>
        <w:rPr>
          <w:rFonts w:ascii="Times New Roman" w:hAnsi="Times New Roman"/>
        </w:rPr>
      </w:pPr>
      <w:r>
        <w:rPr>
          <w:rFonts w:ascii="Times New Roman" w:hAnsi="Times New Roman"/>
        </w:rPr>
        <w:t>进一步推进集中、重点威胁人民生命财产安全的地质灾害综合治理和避让搬迁，并完成部分已建工程的延续配套治理。</w:t>
      </w:r>
    </w:p>
    <w:p>
      <w:pPr>
        <w:ind w:firstLine="560"/>
        <w:rPr>
          <w:rFonts w:ascii="Times New Roman" w:hAnsi="Times New Roman"/>
        </w:rPr>
      </w:pPr>
      <w:r>
        <w:rPr>
          <w:rFonts w:ascii="Times New Roman" w:hAnsi="Times New Roman"/>
        </w:rPr>
        <w:t>（4）技术支撑</w:t>
      </w:r>
    </w:p>
    <w:p>
      <w:pPr>
        <w:ind w:firstLine="560"/>
        <w:rPr>
          <w:rFonts w:ascii="Times New Roman" w:hAnsi="Times New Roman"/>
          <w:b/>
          <w:color w:val="FF0000"/>
          <w:sz w:val="24"/>
          <w:szCs w:val="24"/>
        </w:rPr>
      </w:pPr>
      <w:r>
        <w:rPr>
          <w:rFonts w:ascii="Times New Roman" w:hAnsi="Times New Roman"/>
        </w:rPr>
        <w:t>突出地质灾害防治驻地队伍的技术支撑作用，进一步夯实专业资质队伍驻州包县、驻县联乡的保障机制，巩固和提升州和各县市地质灾害防治技术支撑能力，提高地质灾害应急救援高新技术装备水平，规范和完善地质灾害应急响应内容、制度与流程，为科学、高效、有序地做好地质灾害应急救援工作提供有力的技术支撑服务；升级完善和用好地质灾害防治管理信息系统，不断提升信息化管理水平。</w:t>
      </w:r>
    </w:p>
    <w:p>
      <w:pPr>
        <w:ind w:firstLine="560"/>
        <w:rPr>
          <w:rFonts w:ascii="Times New Roman" w:hAnsi="Times New Roman"/>
        </w:rPr>
      </w:pPr>
      <w:r>
        <w:rPr>
          <w:rFonts w:ascii="Times New Roman" w:hAnsi="Times New Roman"/>
        </w:rPr>
        <w:t>（5）制度建设</w:t>
      </w:r>
    </w:p>
    <w:p>
      <w:pPr>
        <w:ind w:firstLine="560"/>
        <w:rPr>
          <w:rFonts w:ascii="Times New Roman" w:hAnsi="Times New Roman"/>
        </w:rPr>
      </w:pPr>
      <w:r>
        <w:rPr>
          <w:rFonts w:ascii="Times New Roman" w:hAnsi="Times New Roman"/>
        </w:rPr>
        <w:t>进一步完善地质灾害管理的各项制度，加强各部门、各领域间的协调和统筹谋划，在管理好自然地质灾害的同时，使人为地质灾害得到有效控制。同时使宣传及培训教育制度形成常态化机制，使防灾减灾意识进一步在各领域及各类人群中更加普及。</w:t>
      </w:r>
    </w:p>
    <w:p>
      <w:pPr>
        <w:pStyle w:val="184"/>
        <w:spacing w:after="0"/>
        <w:rPr>
          <w:rStyle w:val="197"/>
          <w:rFonts w:ascii="Times New Roman" w:hAnsi="Times New Roman"/>
          <w:b/>
          <w:bCs w:val="0"/>
        </w:rPr>
      </w:pPr>
      <w:bookmarkStart w:id="54" w:name="_Toc137671413"/>
      <w:bookmarkStart w:id="55" w:name="_Toc131872729"/>
      <w:r>
        <w:rPr>
          <w:rStyle w:val="197"/>
          <w:rFonts w:ascii="Times New Roman" w:hAnsi="Times New Roman"/>
          <w:b/>
          <w:bCs w:val="0"/>
        </w:rPr>
        <w:t>3、远景展望</w:t>
      </w:r>
      <w:bookmarkEnd w:id="54"/>
      <w:bookmarkEnd w:id="55"/>
    </w:p>
    <w:p>
      <w:pPr>
        <w:ind w:firstLine="560"/>
        <w:rPr>
          <w:rFonts w:ascii="Times New Roman" w:hAnsi="Times New Roman"/>
        </w:rPr>
      </w:pPr>
      <w:r>
        <w:rPr>
          <w:rFonts w:ascii="Times New Roman" w:hAnsi="Times New Roman"/>
        </w:rPr>
        <w:t>预期到2035年，我市地质灾害综合防治能力全面提升后不断融入先进科学技术，实现传统手段与现代科技的有机结合，地质灾害风险得到全面有效管控，现代化地质灾害防治体系逐步建立和完善。</w:t>
      </w:r>
    </w:p>
    <w:p>
      <w:pPr>
        <w:ind w:firstLine="560"/>
        <w:rPr>
          <w:rFonts w:ascii="Times New Roman" w:hAnsi="Times New Roman"/>
        </w:rPr>
      </w:pPr>
      <w:r>
        <w:rPr>
          <w:rFonts w:ascii="Times New Roman" w:hAnsi="Times New Roman"/>
        </w:rPr>
        <w:t>（1）系统化地质灾害风险调查和防控系统，纳入地区发展规划，在相应风险管控制度和要求下指导地区生产建设。</w:t>
      </w:r>
    </w:p>
    <w:p>
      <w:pPr>
        <w:ind w:firstLine="560"/>
        <w:rPr>
          <w:rFonts w:ascii="Times New Roman" w:hAnsi="Times New Roman"/>
        </w:rPr>
      </w:pPr>
      <w:r>
        <w:rPr>
          <w:rFonts w:ascii="Times New Roman" w:hAnsi="Times New Roman"/>
        </w:rPr>
        <w:t>（2）强化地质灾害治理广度、深度和力度，做到与地区发展的相互协调，消除中型以上或其他危险性大的地质灾害隐患。</w:t>
      </w:r>
    </w:p>
    <w:p>
      <w:pPr>
        <w:ind w:firstLine="560"/>
        <w:rPr>
          <w:rFonts w:ascii="Times New Roman" w:hAnsi="Times New Roman"/>
        </w:rPr>
        <w:sectPr>
          <w:footerReference r:id="rId11" w:type="default"/>
          <w:pgSz w:w="11907" w:h="16840" w:orient="landscape"/>
          <w:pgMar w:top="1247" w:right="1247" w:bottom="1247" w:left="1588" w:header="851" w:footer="591" w:gutter="0"/>
          <w:cols w:space="1701" w:num="1"/>
        </w:sectPr>
      </w:pPr>
      <w:r>
        <w:rPr>
          <w:rFonts w:ascii="Times New Roman" w:hAnsi="Times New Roman"/>
        </w:rPr>
        <w:t>（3）对未采取治理、搬迁的地质灾害隐患部署普适型监测，提升监测精度和预警效果，避免地质灾害群死群伤事件发生，做到治理搬迁和普适型监测覆盖</w:t>
      </w:r>
      <w:r>
        <w:rPr>
          <w:rFonts w:hint="eastAsia" w:ascii="Times New Roman" w:hAnsi="Times New Roman"/>
        </w:rPr>
        <w:t>全市</w:t>
      </w:r>
      <w:r>
        <w:rPr>
          <w:rFonts w:ascii="Times New Roman" w:hAnsi="Times New Roman"/>
        </w:rPr>
        <w:t>。</w:t>
      </w:r>
    </w:p>
    <w:p>
      <w:pPr>
        <w:ind w:firstLine="560"/>
        <w:rPr>
          <w:rFonts w:ascii="Times New Roman" w:hAnsi="Times New Roman"/>
        </w:rPr>
      </w:pPr>
      <w:r>
        <w:rPr>
          <w:rFonts w:ascii="Times New Roman" w:hAnsi="Times New Roman"/>
        </w:rPr>
        <w:t>（4）建成芒市地质灾害信息平台，实现地质灾害实时监测信息和预警信号的网上管理、传输和发布，推进地质灾害风险数据库互联互通和动态更新，推动跨行业、跨部门、跨领域地质灾害大数据共享。</w:t>
      </w:r>
    </w:p>
    <w:p>
      <w:pPr>
        <w:ind w:firstLine="560"/>
        <w:rPr>
          <w:rFonts w:ascii="Times New Roman" w:hAnsi="Times New Roman"/>
        </w:rPr>
      </w:pPr>
      <w:r>
        <w:rPr>
          <w:rFonts w:ascii="Times New Roman" w:hAnsi="Times New Roman"/>
        </w:rPr>
        <w:t>（5）建立与社会经济发展水平相适应的地质灾害防治体系，全面应用高新技术、高新设备和高新方法，从各个方面提升地质灾害防灾减灾能力，结合海量地质灾害风险数据和基础地质信息，及时、科学监管地质灾害隐患点，有效、精准管控地质灾害风险区。</w:t>
      </w:r>
    </w:p>
    <w:p>
      <w:pPr>
        <w:ind w:firstLine="560"/>
        <w:rPr>
          <w:rFonts w:ascii="Times New Roman" w:hAnsi="Times New Roman"/>
        </w:rPr>
      </w:pPr>
      <w:r>
        <w:rPr>
          <w:rFonts w:ascii="Times New Roman" w:hAnsi="Times New Roman"/>
        </w:rPr>
        <w:t>（6）对地质环境脆弱、受地质灾害威胁、且有条件进行土地整治的区域，按照统筹规划、突出重点、多措并举、兼顾生态的原则， 探索统筹整合工程治理、避险搬迁、监测预警、生态修复、乡村振兴等措施，开展地质环境综合整治工作。</w:t>
      </w:r>
    </w:p>
    <w:p>
      <w:pPr>
        <w:pStyle w:val="182"/>
        <w:spacing w:line="360" w:lineRule="auto"/>
        <w:rPr>
          <w:rFonts w:ascii="Times New Roman" w:hAnsi="Times New Roman"/>
          <w:b/>
        </w:rPr>
      </w:pPr>
      <w:bookmarkStart w:id="56" w:name="_Toc137671414"/>
      <w:r>
        <w:rPr>
          <w:rFonts w:ascii="Times New Roman" w:hAnsi="Times New Roman"/>
          <w:b/>
        </w:rPr>
        <w:t>三、地质灾害易发区与重点防治区</w:t>
      </w:r>
      <w:bookmarkEnd w:id="56"/>
    </w:p>
    <w:p>
      <w:pPr>
        <w:pStyle w:val="183"/>
        <w:spacing w:before="120" w:after="120"/>
        <w:rPr>
          <w:rFonts w:ascii="Times New Roman" w:hAnsi="Times New Roman"/>
          <w:b/>
        </w:rPr>
      </w:pPr>
      <w:bookmarkStart w:id="57" w:name="_Toc137671415"/>
      <w:r>
        <w:rPr>
          <w:rFonts w:ascii="Times New Roman" w:hAnsi="Times New Roman"/>
          <w:b/>
        </w:rPr>
        <w:t>（一）地质灾害易发性分区</w:t>
      </w:r>
      <w:bookmarkEnd w:id="57"/>
    </w:p>
    <w:p>
      <w:pPr>
        <w:ind w:firstLine="560"/>
        <w:rPr>
          <w:rFonts w:ascii="Times New Roman" w:hAnsi="Times New Roman"/>
        </w:rPr>
      </w:pPr>
      <w:r>
        <w:rPr>
          <w:rFonts w:ascii="Times New Roman" w:hAnsi="Times New Roman"/>
        </w:rPr>
        <w:t>依据我市1:5万地质灾害风险普查结果，全市地质灾害易发性划分为地质灾害高易发区、中易发区、低易发区和非易发区四级，详见图4-1，其中高易发区</w:t>
      </w:r>
      <w:r>
        <w:rPr>
          <w:rFonts w:hint="eastAsia" w:ascii="Times New Roman" w:hAnsi="Times New Roman"/>
        </w:rPr>
        <w:t>共</w:t>
      </w:r>
      <w:r>
        <w:rPr>
          <w:rFonts w:ascii="Times New Roman" w:hAnsi="Times New Roman"/>
        </w:rPr>
        <w:t>4个亚区，面积共869.25km</w:t>
      </w:r>
      <w:r>
        <w:rPr>
          <w:rFonts w:ascii="Times New Roman" w:hAnsi="Times New Roman"/>
          <w:vertAlign w:val="superscript"/>
        </w:rPr>
        <w:t>2</w:t>
      </w:r>
      <w:r>
        <w:rPr>
          <w:rFonts w:ascii="Times New Roman" w:hAnsi="Times New Roman"/>
        </w:rPr>
        <w:t>，占总面积的29.96%；中易发区</w:t>
      </w:r>
      <w:r>
        <w:rPr>
          <w:rFonts w:hint="eastAsia" w:ascii="Times New Roman" w:hAnsi="Times New Roman"/>
        </w:rPr>
        <w:t>共</w:t>
      </w:r>
      <w:r>
        <w:rPr>
          <w:rFonts w:ascii="Times New Roman" w:hAnsi="Times New Roman"/>
        </w:rPr>
        <w:t>2个亚区，面积共993.61km</w:t>
      </w:r>
      <w:r>
        <w:rPr>
          <w:rFonts w:ascii="Times New Roman" w:hAnsi="Times New Roman"/>
          <w:vertAlign w:val="superscript"/>
        </w:rPr>
        <w:t>2</w:t>
      </w:r>
      <w:r>
        <w:rPr>
          <w:rFonts w:ascii="Times New Roman" w:hAnsi="Times New Roman"/>
        </w:rPr>
        <w:t>，占总面积的32.45%；低易发区</w:t>
      </w:r>
      <w:r>
        <w:rPr>
          <w:rFonts w:hint="eastAsia" w:ascii="Times New Roman" w:hAnsi="Times New Roman"/>
        </w:rPr>
        <w:t>共</w:t>
      </w:r>
      <w:r>
        <w:rPr>
          <w:rFonts w:ascii="Times New Roman" w:hAnsi="Times New Roman"/>
        </w:rPr>
        <w:t>1个亚区，面积共935.43km</w:t>
      </w:r>
      <w:r>
        <w:rPr>
          <w:rFonts w:ascii="Times New Roman" w:hAnsi="Times New Roman"/>
          <w:vertAlign w:val="superscript"/>
        </w:rPr>
        <w:t>2</w:t>
      </w:r>
      <w:r>
        <w:rPr>
          <w:rFonts w:ascii="Times New Roman" w:hAnsi="Times New Roman"/>
        </w:rPr>
        <w:t>，占总面积的32.25%；非易发区</w:t>
      </w:r>
      <w:r>
        <w:rPr>
          <w:rFonts w:hint="eastAsia" w:ascii="Times New Roman" w:hAnsi="Times New Roman"/>
        </w:rPr>
        <w:t>共</w:t>
      </w:r>
      <w:r>
        <w:rPr>
          <w:rFonts w:ascii="Times New Roman" w:hAnsi="Times New Roman"/>
        </w:rPr>
        <w:t>1个亚区，面积共102.62km</w:t>
      </w:r>
      <w:r>
        <w:rPr>
          <w:rFonts w:ascii="Times New Roman" w:hAnsi="Times New Roman"/>
          <w:vertAlign w:val="superscript"/>
        </w:rPr>
        <w:t>2</w:t>
      </w:r>
      <w:r>
        <w:rPr>
          <w:rFonts w:ascii="Times New Roman" w:hAnsi="Times New Roman"/>
        </w:rPr>
        <w:t>，占总面积的3.54%。各区基本特征见表3-1。</w:t>
      </w:r>
    </w:p>
    <w:p>
      <w:pPr>
        <w:pStyle w:val="183"/>
        <w:spacing w:before="120" w:after="120"/>
        <w:rPr>
          <w:rFonts w:ascii="Times New Roman" w:hAnsi="Times New Roman"/>
          <w:b/>
        </w:rPr>
      </w:pPr>
      <w:bookmarkStart w:id="58" w:name="_Toc137671416"/>
      <w:r>
        <w:rPr>
          <w:rFonts w:ascii="Times New Roman" w:hAnsi="Times New Roman"/>
          <w:b/>
        </w:rPr>
        <w:t>（二）地质灾害防治分区</w:t>
      </w:r>
      <w:bookmarkEnd w:id="58"/>
    </w:p>
    <w:p>
      <w:pPr>
        <w:ind w:firstLine="560"/>
        <w:rPr>
          <w:rFonts w:ascii="Times New Roman" w:hAnsi="Times New Roman"/>
        </w:rPr>
      </w:pPr>
      <w:r>
        <w:rPr>
          <w:rFonts w:ascii="Times New Roman" w:hAnsi="Times New Roman"/>
        </w:rPr>
        <w:t>“十四五”期间，将</w:t>
      </w:r>
      <w:r>
        <w:rPr>
          <w:rFonts w:hint="eastAsia" w:ascii="Times New Roman" w:hAnsi="Times New Roman"/>
          <w:bCs/>
        </w:rPr>
        <w:t>全市</w:t>
      </w:r>
      <w:r>
        <w:rPr>
          <w:rFonts w:ascii="Times New Roman" w:hAnsi="Times New Roman"/>
        </w:rPr>
        <w:t>划分为地质灾害重点防治区（A）、地质灾害次重点防治区（B）、地质灾害一般防治区（C）三大类十个亚区（图3-2），其中重点防治区</w:t>
      </w:r>
      <w:r>
        <w:rPr>
          <w:rFonts w:hint="eastAsia" w:ascii="Times New Roman" w:hAnsi="Times New Roman"/>
        </w:rPr>
        <w:t>共</w:t>
      </w:r>
      <w:r>
        <w:rPr>
          <w:rFonts w:ascii="Times New Roman" w:hAnsi="Times New Roman"/>
        </w:rPr>
        <w:t>3个</w:t>
      </w:r>
      <w:r>
        <w:rPr>
          <w:rFonts w:hint="eastAsia" w:ascii="Times New Roman" w:hAnsi="Times New Roman"/>
        </w:rPr>
        <w:t>亚区</w:t>
      </w:r>
      <w:r>
        <w:rPr>
          <w:rFonts w:ascii="Times New Roman" w:hAnsi="Times New Roman"/>
        </w:rPr>
        <w:t>（A1～A3），总面积495.55km</w:t>
      </w:r>
      <w:r>
        <w:rPr>
          <w:rFonts w:ascii="Times New Roman" w:hAnsi="Times New Roman"/>
          <w:vertAlign w:val="superscript"/>
        </w:rPr>
        <w:t>2</w:t>
      </w:r>
      <w:r>
        <w:rPr>
          <w:rFonts w:ascii="Times New Roman" w:hAnsi="Times New Roman"/>
        </w:rPr>
        <w:t>，占全区的17.08%；地质灾害次重点防治区</w:t>
      </w:r>
      <w:r>
        <w:rPr>
          <w:rFonts w:hint="eastAsia" w:ascii="Times New Roman" w:hAnsi="Times New Roman"/>
        </w:rPr>
        <w:t>共</w:t>
      </w:r>
      <w:r>
        <w:rPr>
          <w:rFonts w:ascii="Times New Roman" w:hAnsi="Times New Roman"/>
        </w:rPr>
        <w:t>6个</w:t>
      </w:r>
      <w:r>
        <w:rPr>
          <w:rFonts w:hint="eastAsia" w:ascii="Times New Roman" w:hAnsi="Times New Roman"/>
        </w:rPr>
        <w:t>亚区</w:t>
      </w:r>
      <w:r>
        <w:rPr>
          <w:rFonts w:ascii="Times New Roman" w:hAnsi="Times New Roman"/>
        </w:rPr>
        <w:t>（B1～B6），总面积1107.40km</w:t>
      </w:r>
      <w:r>
        <w:rPr>
          <w:rFonts w:ascii="Times New Roman" w:hAnsi="Times New Roman"/>
          <w:vertAlign w:val="superscript"/>
        </w:rPr>
        <w:t>2</w:t>
      </w:r>
      <w:r>
        <w:rPr>
          <w:rFonts w:ascii="Times New Roman" w:hAnsi="Times New Roman"/>
        </w:rPr>
        <w:t>，占全区的38.17%</w:t>
      </w:r>
      <w:r>
        <w:rPr>
          <w:rFonts w:hint="eastAsia" w:ascii="Times New Roman" w:hAnsi="Times New Roman"/>
        </w:rPr>
        <w:t>，</w:t>
      </w:r>
      <w:r>
        <w:rPr>
          <w:rFonts w:ascii="Times New Roman" w:hAnsi="Times New Roman"/>
        </w:rPr>
        <w:t>地质灾害一般防治区</w:t>
      </w:r>
      <w:r>
        <w:rPr>
          <w:rFonts w:hint="eastAsia" w:ascii="Times New Roman" w:hAnsi="Times New Roman"/>
        </w:rPr>
        <w:t>共</w:t>
      </w:r>
      <w:r>
        <w:rPr>
          <w:rFonts w:ascii="Times New Roman" w:hAnsi="Times New Roman"/>
        </w:rPr>
        <w:t>1个</w:t>
      </w:r>
      <w:r>
        <w:rPr>
          <w:rFonts w:hint="eastAsia" w:ascii="Times New Roman" w:hAnsi="Times New Roman"/>
        </w:rPr>
        <w:t>亚区</w:t>
      </w:r>
      <w:r>
        <w:rPr>
          <w:rFonts w:ascii="Times New Roman" w:hAnsi="Times New Roman"/>
        </w:rPr>
        <w:t>（C），总面积1298.10km</w:t>
      </w:r>
      <w:r>
        <w:rPr>
          <w:rFonts w:ascii="Times New Roman" w:hAnsi="Times New Roman"/>
          <w:vertAlign w:val="superscript"/>
        </w:rPr>
        <w:t>2</w:t>
      </w:r>
      <w:r>
        <w:rPr>
          <w:rFonts w:ascii="Times New Roman" w:hAnsi="Times New Roman"/>
        </w:rPr>
        <w:t>，占全区的44.75%。各小区特征及防治建议及分布位置见表3-2和图3-2。</w:t>
      </w:r>
    </w:p>
    <w:p>
      <w:pPr>
        <w:ind w:firstLine="560"/>
        <w:rPr>
          <w:rFonts w:ascii="Times New Roman" w:hAnsi="Times New Roman"/>
        </w:rPr>
        <w:sectPr>
          <w:pgSz w:w="11907" w:h="16840" w:orient="landscape"/>
          <w:pgMar w:top="1134" w:right="1247" w:bottom="1021" w:left="1588" w:header="851" w:footer="590" w:gutter="0"/>
          <w:cols w:space="1701" w:num="1"/>
        </w:sectPr>
      </w:pPr>
    </w:p>
    <w:p>
      <w:pPr>
        <w:spacing w:line="240" w:lineRule="auto"/>
        <w:ind w:firstLine="0"/>
        <w:jc w:val="center"/>
        <w:rPr>
          <w:rFonts w:ascii="Times New Roman" w:hAnsi="Times New Roman"/>
        </w:rPr>
      </w:pPr>
      <w:r>
        <w:rPr>
          <w:rFonts w:ascii="Times New Roman" w:hAnsi="Times New Roman"/>
        </w:rPr>
        <w:drawing>
          <wp:inline distT="0" distB="0" distL="0" distR="0">
            <wp:extent cx="6105525" cy="5654675"/>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1" name="_x0000_i1026"/>
                    <pic:cNvPicPr/>
                  </pic:nvPicPr>
                  <pic:blipFill>
                    <a:blip r:embed="rId13"/>
                    <a:srcRect r="5912" b="6834"/>
                    <a:stretch>
                      <a:fillRect/>
                    </a:stretch>
                  </pic:blipFill>
                  <pic:spPr>
                    <a:xfrm>
                      <a:off x="0" y="0"/>
                      <a:ext cx="6105817" cy="5655031"/>
                    </a:xfrm>
                    <a:prstGeom prst="rect">
                      <a:avLst/>
                    </a:prstGeom>
                    <a:noFill/>
                    <a:ln>
                      <a:noFill/>
                    </a:ln>
                  </pic:spPr>
                </pic:pic>
              </a:graphicData>
            </a:graphic>
          </wp:inline>
        </w:drawing>
      </w:r>
    </w:p>
    <w:p>
      <w:pPr>
        <w:ind w:firstLine="0"/>
        <w:jc w:val="center"/>
        <w:rPr>
          <w:rFonts w:ascii="Times New Roman" w:hAnsi="Times New Roman"/>
        </w:rPr>
      </w:pPr>
      <w:r>
        <w:rPr>
          <w:rFonts w:ascii="Times New Roman" w:hAnsi="Times New Roman"/>
          <w:b/>
          <w:sz w:val="24"/>
          <w:szCs w:val="24"/>
        </w:rPr>
        <w:t>图3-1  芒市地质灾害易发性分区图</w:t>
      </w:r>
    </w:p>
    <w:p>
      <w:pPr>
        <w:ind w:firstLine="560"/>
        <w:rPr>
          <w:rFonts w:ascii="Times New Roman" w:hAnsi="Times New Roman"/>
        </w:rPr>
        <w:sectPr>
          <w:pgSz w:w="16840" w:h="11907"/>
          <w:pgMar w:top="1247" w:right="1247" w:bottom="1247" w:left="1588" w:header="851" w:footer="590" w:gutter="0"/>
          <w:cols w:space="1701" w:num="1"/>
        </w:sectPr>
      </w:pPr>
    </w:p>
    <w:p>
      <w:pPr>
        <w:spacing w:line="240" w:lineRule="auto"/>
        <w:ind w:firstLine="0"/>
        <w:jc w:val="center"/>
        <w:rPr>
          <w:rFonts w:ascii="Times New Roman" w:hAnsi="Times New Roman"/>
          <w:b/>
          <w:sz w:val="24"/>
          <w:szCs w:val="24"/>
        </w:rPr>
      </w:pPr>
      <w:r>
        <w:rPr>
          <w:rFonts w:ascii="Times New Roman" w:hAnsi="Times New Roman"/>
          <w:b/>
          <w:sz w:val="24"/>
          <w:szCs w:val="24"/>
        </w:rPr>
        <w:t>表3-1  芒市地质灾害易发区基本特征统计表</w:t>
      </w:r>
    </w:p>
    <w:tbl>
      <w:tblPr>
        <w:tblStyle w:val="28"/>
        <w:tblW w:w="14885" w:type="dxa"/>
        <w:tblInd w:w="-426" w:type="dxa"/>
        <w:tblLayout w:type="autofit"/>
        <w:tblCellMar>
          <w:top w:w="0" w:type="dxa"/>
          <w:left w:w="108" w:type="dxa"/>
          <w:bottom w:w="0" w:type="dxa"/>
          <w:right w:w="108" w:type="dxa"/>
        </w:tblCellMar>
      </w:tblPr>
      <w:tblGrid>
        <w:gridCol w:w="858"/>
        <w:gridCol w:w="876"/>
        <w:gridCol w:w="1133"/>
        <w:gridCol w:w="809"/>
        <w:gridCol w:w="875"/>
        <w:gridCol w:w="1134"/>
        <w:gridCol w:w="9200"/>
      </w:tblGrid>
      <w:tr>
        <w:tblPrEx>
          <w:tblCellMar>
            <w:top w:w="0" w:type="dxa"/>
            <w:left w:w="108" w:type="dxa"/>
            <w:bottom w:w="0" w:type="dxa"/>
            <w:right w:w="108" w:type="dxa"/>
          </w:tblCellMar>
        </w:tblPrEx>
        <w:trPr>
          <w:trHeight w:val="655" w:hRule="atLeast"/>
          <w:tblHeader/>
        </w:trPr>
        <w:tc>
          <w:tcPr>
            <w:tcW w:w="8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b/>
                <w:bCs/>
                <w:color w:val="000000"/>
                <w:sz w:val="21"/>
              </w:rPr>
            </w:pPr>
            <w:r>
              <w:rPr>
                <w:rFonts w:ascii="Times New Roman" w:hAnsi="Times New Roman" w:eastAsia="仿宋_GB2312"/>
                <w:b/>
                <w:bCs/>
                <w:color w:val="000000"/>
                <w:sz w:val="21"/>
              </w:rPr>
              <w:t>名称</w:t>
            </w:r>
          </w:p>
        </w:tc>
        <w:tc>
          <w:tcPr>
            <w:tcW w:w="876" w:type="dxa"/>
            <w:tcBorders>
              <w:top w:val="single" w:color="000000" w:sz="4" w:space="0"/>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b/>
                <w:bCs/>
                <w:color w:val="000000"/>
                <w:sz w:val="21"/>
              </w:rPr>
            </w:pPr>
            <w:r>
              <w:rPr>
                <w:rFonts w:ascii="Times New Roman" w:hAnsi="Times New Roman" w:eastAsia="仿宋_GB2312"/>
                <w:b/>
                <w:bCs/>
                <w:color w:val="000000"/>
                <w:sz w:val="21"/>
              </w:rPr>
              <w:t>面积(km</w:t>
            </w:r>
            <w:r>
              <w:rPr>
                <w:rFonts w:ascii="Times New Roman" w:hAnsi="Times New Roman" w:eastAsia="仿宋_GB2312"/>
                <w:b/>
                <w:bCs/>
                <w:color w:val="000000"/>
                <w:sz w:val="21"/>
                <w:vertAlign w:val="superscript"/>
              </w:rPr>
              <w:t>2</w:t>
            </w:r>
            <w:r>
              <w:rPr>
                <w:rFonts w:ascii="Times New Roman" w:hAnsi="Times New Roman" w:eastAsia="仿宋_GB2312"/>
                <w:b/>
                <w:bCs/>
                <w:color w:val="000000"/>
                <w:sz w:val="21"/>
              </w:rPr>
              <w:t>)</w:t>
            </w:r>
          </w:p>
        </w:tc>
        <w:tc>
          <w:tcPr>
            <w:tcW w:w="1133" w:type="dxa"/>
            <w:tcBorders>
              <w:top w:val="single" w:color="000000" w:sz="4" w:space="0"/>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b/>
                <w:bCs/>
                <w:color w:val="000000"/>
                <w:sz w:val="21"/>
              </w:rPr>
            </w:pPr>
            <w:r>
              <w:rPr>
                <w:rFonts w:ascii="Times New Roman" w:hAnsi="Times New Roman" w:eastAsia="仿宋_GB2312"/>
                <w:b/>
                <w:bCs/>
                <w:color w:val="000000"/>
                <w:sz w:val="21"/>
              </w:rPr>
              <w:t>占总面积(％)</w:t>
            </w:r>
          </w:p>
        </w:tc>
        <w:tc>
          <w:tcPr>
            <w:tcW w:w="809" w:type="dxa"/>
            <w:tcBorders>
              <w:top w:val="single" w:color="000000" w:sz="4" w:space="0"/>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b/>
                <w:bCs/>
                <w:color w:val="000000"/>
                <w:sz w:val="21"/>
              </w:rPr>
            </w:pPr>
            <w:r>
              <w:rPr>
                <w:rFonts w:ascii="Times New Roman" w:hAnsi="Times New Roman" w:eastAsia="仿宋_GB2312"/>
                <w:b/>
                <w:bCs/>
                <w:color w:val="000000"/>
                <w:sz w:val="21"/>
              </w:rPr>
              <w:t>分区代号</w:t>
            </w:r>
          </w:p>
        </w:tc>
        <w:tc>
          <w:tcPr>
            <w:tcW w:w="875" w:type="dxa"/>
            <w:tcBorders>
              <w:top w:val="single" w:color="000000" w:sz="4" w:space="0"/>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b/>
                <w:bCs/>
                <w:color w:val="000000"/>
                <w:sz w:val="21"/>
              </w:rPr>
            </w:pPr>
            <w:r>
              <w:rPr>
                <w:rFonts w:ascii="Times New Roman" w:hAnsi="Times New Roman" w:eastAsia="仿宋_GB2312"/>
                <w:b/>
                <w:bCs/>
                <w:color w:val="000000"/>
                <w:sz w:val="21"/>
              </w:rPr>
              <w:t>面积(km</w:t>
            </w:r>
            <w:r>
              <w:rPr>
                <w:rFonts w:ascii="Times New Roman" w:hAnsi="Times New Roman" w:eastAsia="仿宋_GB2312"/>
                <w:b/>
                <w:bCs/>
                <w:color w:val="000000"/>
                <w:sz w:val="21"/>
                <w:vertAlign w:val="superscript"/>
              </w:rPr>
              <w:t>2</w:t>
            </w:r>
            <w:r>
              <w:rPr>
                <w:rFonts w:ascii="Times New Roman" w:hAnsi="Times New Roman" w:eastAsia="仿宋_GB2312"/>
                <w:b/>
                <w:bCs/>
                <w:color w:val="000000"/>
                <w:sz w:val="21"/>
              </w:rPr>
              <w:t>)</w:t>
            </w:r>
          </w:p>
        </w:tc>
        <w:tc>
          <w:tcPr>
            <w:tcW w:w="1134" w:type="dxa"/>
            <w:tcBorders>
              <w:top w:val="single" w:color="000000" w:sz="4" w:space="0"/>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b/>
                <w:bCs/>
                <w:color w:val="000000"/>
                <w:sz w:val="21"/>
              </w:rPr>
            </w:pPr>
            <w:r>
              <w:rPr>
                <w:rFonts w:ascii="Times New Roman" w:hAnsi="Times New Roman" w:eastAsia="仿宋_GB2312"/>
                <w:b/>
                <w:bCs/>
                <w:color w:val="000000"/>
                <w:sz w:val="21"/>
              </w:rPr>
              <w:t>名 称</w:t>
            </w:r>
          </w:p>
        </w:tc>
        <w:tc>
          <w:tcPr>
            <w:tcW w:w="9200" w:type="dxa"/>
            <w:tcBorders>
              <w:top w:val="single" w:color="000000" w:sz="4" w:space="0"/>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b/>
                <w:bCs/>
                <w:color w:val="000000"/>
                <w:sz w:val="21"/>
              </w:rPr>
            </w:pPr>
            <w:r>
              <w:rPr>
                <w:rFonts w:ascii="Times New Roman" w:hAnsi="Times New Roman" w:eastAsia="仿宋_GB2312"/>
                <w:b/>
                <w:bCs/>
                <w:color w:val="000000"/>
                <w:sz w:val="21"/>
              </w:rPr>
              <w:t>地质环境条件特征</w:t>
            </w:r>
          </w:p>
        </w:tc>
      </w:tr>
      <w:tr>
        <w:tblPrEx>
          <w:tblCellMar>
            <w:top w:w="0" w:type="dxa"/>
            <w:left w:w="108" w:type="dxa"/>
            <w:bottom w:w="0" w:type="dxa"/>
            <w:right w:w="108" w:type="dxa"/>
          </w:tblCellMar>
        </w:tblPrEx>
        <w:trPr>
          <w:trHeight w:val="2136" w:hRule="atLeast"/>
        </w:trPr>
        <w:tc>
          <w:tcPr>
            <w:tcW w:w="858"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地质灾害高易发区(Ⅰ)</w:t>
            </w:r>
          </w:p>
        </w:tc>
        <w:tc>
          <w:tcPr>
            <w:tcW w:w="876"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 xml:space="preserve">869.25 </w:t>
            </w:r>
          </w:p>
        </w:tc>
        <w:tc>
          <w:tcPr>
            <w:tcW w:w="1133"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29.96%</w:t>
            </w:r>
          </w:p>
        </w:tc>
        <w:tc>
          <w:tcPr>
            <w:tcW w:w="809"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Ⅰ1</w:t>
            </w:r>
          </w:p>
        </w:tc>
        <w:tc>
          <w:tcPr>
            <w:tcW w:w="875" w:type="dxa"/>
            <w:tcBorders>
              <w:top w:val="nil"/>
              <w:left w:val="nil"/>
              <w:bottom w:val="single" w:color="000000" w:sz="4" w:space="0"/>
              <w:right w:val="single" w:color="000000" w:sz="4" w:space="0"/>
            </w:tcBorders>
            <w:noWrap/>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 xml:space="preserve">223.85 </w:t>
            </w:r>
          </w:p>
        </w:tc>
        <w:tc>
          <w:tcPr>
            <w:tcW w:w="113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五岔路—江东高易发亚区</w:t>
            </w:r>
          </w:p>
        </w:tc>
        <w:tc>
          <w:tcPr>
            <w:tcW w:w="9200" w:type="dxa"/>
            <w:tcBorders>
              <w:top w:val="nil"/>
              <w:left w:val="nil"/>
              <w:bottom w:val="single" w:color="000000" w:sz="4" w:space="0"/>
              <w:right w:val="single" w:color="000000" w:sz="4" w:space="0"/>
            </w:tcBorders>
            <w:noWrap w:val="0"/>
            <w:vAlign w:val="center"/>
          </w:tcPr>
          <w:p>
            <w:pPr>
              <w:widowControl/>
              <w:spacing w:line="240" w:lineRule="auto"/>
              <w:ind w:firstLine="0"/>
              <w:rPr>
                <w:rFonts w:ascii="Times New Roman" w:hAnsi="Times New Roman" w:eastAsia="仿宋_GB2312"/>
                <w:color w:val="000000"/>
                <w:sz w:val="21"/>
              </w:rPr>
            </w:pPr>
            <w:r>
              <w:rPr>
                <w:rFonts w:ascii="Times New Roman" w:hAnsi="Times New Roman" w:eastAsia="仿宋_GB2312"/>
                <w:color w:val="000000"/>
                <w:sz w:val="21"/>
              </w:rPr>
              <w:t>该区位于芒市盆地西北部近分水岭地带斜坡部位，坡面倾向北东、北西及南侧，最高点位于老扁坡，海拔2228m，最低位于龙江河谷，海拔921m，相对高差1300余米，地形相对切割深度100.0-600.0m，地形坡度25-35°，局部达45°；斜坡中下部（标高1500.0m以下）地表以旱耕地、农田为主，植被相对较少，中上部（标高1500.0m以上）地表多以灌木、阔叶林为主，植被发育，其地貌类型以中山中切割长垣垄状地形为主。浅表层主要出露第四系松散土层，下伏基岩为寒武系的变质岩为主，岩性主要为混合岩、混合岩化片麻岩等组成，基岩抗风化能力差，风化层厚，人类工程活动较强烈，主要表现为公路建设、农村建房及陡坡垦植等。在人为活动作用下或地表水作用下，滑坡、泥石流等地质灾害高发。</w:t>
            </w:r>
          </w:p>
        </w:tc>
      </w:tr>
      <w:tr>
        <w:tblPrEx>
          <w:tblCellMar>
            <w:top w:w="0" w:type="dxa"/>
            <w:left w:w="108" w:type="dxa"/>
            <w:bottom w:w="0" w:type="dxa"/>
            <w:right w:w="108" w:type="dxa"/>
          </w:tblCellMar>
        </w:tblPrEx>
        <w:trPr>
          <w:trHeight w:val="1826" w:hRule="atLeast"/>
        </w:trPr>
        <w:tc>
          <w:tcPr>
            <w:tcW w:w="85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eastAsia="仿宋_GB2312"/>
                <w:sz w:val="21"/>
              </w:rPr>
            </w:pPr>
          </w:p>
        </w:tc>
        <w:tc>
          <w:tcPr>
            <w:tcW w:w="876"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eastAsia="仿宋_GB2312"/>
                <w:sz w:val="21"/>
              </w:rPr>
            </w:pPr>
          </w:p>
        </w:tc>
        <w:tc>
          <w:tcPr>
            <w:tcW w:w="113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eastAsia="仿宋_GB2312"/>
                <w:sz w:val="21"/>
              </w:rPr>
            </w:pPr>
          </w:p>
        </w:tc>
        <w:tc>
          <w:tcPr>
            <w:tcW w:w="809"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Ⅰ2</w:t>
            </w:r>
          </w:p>
        </w:tc>
        <w:tc>
          <w:tcPr>
            <w:tcW w:w="875" w:type="dxa"/>
            <w:tcBorders>
              <w:top w:val="nil"/>
              <w:left w:val="nil"/>
              <w:bottom w:val="single" w:color="000000" w:sz="4" w:space="0"/>
              <w:right w:val="single" w:color="000000" w:sz="4" w:space="0"/>
            </w:tcBorders>
            <w:noWrap/>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253.47</w:t>
            </w:r>
          </w:p>
        </w:tc>
        <w:tc>
          <w:tcPr>
            <w:tcW w:w="113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河心场村—上东村高易发亚区</w:t>
            </w:r>
          </w:p>
        </w:tc>
        <w:tc>
          <w:tcPr>
            <w:tcW w:w="9200" w:type="dxa"/>
            <w:tcBorders>
              <w:top w:val="nil"/>
              <w:left w:val="nil"/>
              <w:bottom w:val="single" w:color="000000" w:sz="4" w:space="0"/>
              <w:right w:val="single" w:color="000000" w:sz="4" w:space="0"/>
            </w:tcBorders>
            <w:noWrap w:val="0"/>
            <w:vAlign w:val="center"/>
          </w:tcPr>
          <w:p>
            <w:pPr>
              <w:widowControl/>
              <w:spacing w:line="240" w:lineRule="auto"/>
              <w:ind w:firstLine="0"/>
              <w:rPr>
                <w:rFonts w:ascii="Times New Roman" w:hAnsi="Times New Roman" w:eastAsia="仿宋_GB2312"/>
                <w:color w:val="000000"/>
                <w:sz w:val="21"/>
              </w:rPr>
            </w:pPr>
            <w:r>
              <w:rPr>
                <w:rFonts w:ascii="Times New Roman" w:hAnsi="Times New Roman" w:eastAsia="仿宋_GB2312"/>
                <w:color w:val="000000"/>
                <w:sz w:val="21"/>
              </w:rPr>
              <w:t>该区段位于调查区东部，地势北东高、南西低，最高点位于粗糠岭坡南侧的山峰，海拔2703m，最低点位于红岩山的大新田，海拔1051m，相对高差1652m，一般标高1400.0～2000.0m，在地貌上处于岩溶断块山地及中山中切割圆垣状地形地形。浅表层主要出露第四系松散土层，下伏基岩为寒武系的变质岩和燕山期、加里东晚期-华力西中期花岗岩为主，其次为侏泥盆系、奥陶系碎屑岩、碳酸盐岩，基岩抗风化能力差，风化层厚，人类工程活动较强烈，主要表现为公路建设、农村建房及陡坡垦植等。在人为活动作用下或地表水作用下，滑坡、泥石流等地质灾害高发。</w:t>
            </w:r>
          </w:p>
        </w:tc>
      </w:tr>
      <w:tr>
        <w:tblPrEx>
          <w:tblCellMar>
            <w:top w:w="0" w:type="dxa"/>
            <w:left w:w="108" w:type="dxa"/>
            <w:bottom w:w="0" w:type="dxa"/>
            <w:right w:w="108" w:type="dxa"/>
          </w:tblCellMar>
        </w:tblPrEx>
        <w:trPr>
          <w:trHeight w:val="2263" w:hRule="atLeast"/>
        </w:trPr>
        <w:tc>
          <w:tcPr>
            <w:tcW w:w="85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eastAsia="仿宋_GB2312"/>
                <w:sz w:val="21"/>
              </w:rPr>
            </w:pPr>
          </w:p>
        </w:tc>
        <w:tc>
          <w:tcPr>
            <w:tcW w:w="876"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eastAsia="仿宋_GB2312"/>
                <w:sz w:val="21"/>
              </w:rPr>
            </w:pPr>
          </w:p>
        </w:tc>
        <w:tc>
          <w:tcPr>
            <w:tcW w:w="113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eastAsia="仿宋_GB2312"/>
                <w:sz w:val="21"/>
              </w:rPr>
            </w:pPr>
          </w:p>
        </w:tc>
        <w:tc>
          <w:tcPr>
            <w:tcW w:w="809"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Ⅰ3</w:t>
            </w:r>
          </w:p>
        </w:tc>
        <w:tc>
          <w:tcPr>
            <w:tcW w:w="875" w:type="dxa"/>
            <w:tcBorders>
              <w:top w:val="nil"/>
              <w:left w:val="nil"/>
              <w:bottom w:val="single" w:color="000000" w:sz="4" w:space="0"/>
              <w:right w:val="single" w:color="000000" w:sz="4" w:space="0"/>
            </w:tcBorders>
            <w:noWrap/>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211.35</w:t>
            </w:r>
          </w:p>
        </w:tc>
        <w:tc>
          <w:tcPr>
            <w:tcW w:w="113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黄家寨---木城坡---芒丙高易发亚区</w:t>
            </w:r>
          </w:p>
        </w:tc>
        <w:tc>
          <w:tcPr>
            <w:tcW w:w="9200" w:type="dxa"/>
            <w:tcBorders>
              <w:top w:val="nil"/>
              <w:left w:val="nil"/>
              <w:bottom w:val="single" w:color="000000" w:sz="4" w:space="0"/>
              <w:right w:val="single" w:color="000000" w:sz="4" w:space="0"/>
            </w:tcBorders>
            <w:noWrap w:val="0"/>
            <w:vAlign w:val="center"/>
          </w:tcPr>
          <w:p>
            <w:pPr>
              <w:widowControl/>
              <w:spacing w:line="240" w:lineRule="auto"/>
              <w:ind w:firstLine="0"/>
              <w:rPr>
                <w:rFonts w:ascii="Times New Roman" w:hAnsi="Times New Roman" w:eastAsia="仿宋_GB2312"/>
                <w:color w:val="000000"/>
                <w:sz w:val="21"/>
              </w:rPr>
            </w:pPr>
            <w:r>
              <w:rPr>
                <w:rFonts w:ascii="Times New Roman" w:hAnsi="Times New Roman" w:eastAsia="仿宋_GB2312"/>
                <w:color w:val="000000"/>
                <w:sz w:val="21"/>
              </w:rPr>
              <w:t>该区段位于调查区南东部怒江右岸斜坡地段，地势北高、南低，坡面向南东方向倾斜，最高点位于丫口坡东侧的山峰，标高2854m，最低点位于怒江河谷与缅甸的交界处，标高536m，相对高差达2318m；地形坡度一般在15°～40°，局部可达60°，属中山中切割陡坡地形；地表植被发育，多以灌木为主，在村寨附近平缓沟床中及缓坡地带有耕地分布。浅表层主要出露第四系松散土层，下伏基岩主要为寒武系公养河群变质岩，其次为加里东晚期—华里西中期花岗岩，一般地形坡度较陡，山高地陡、冲沟发育，岩体风化程度高，部分区段斜坡与岩层呈顺倾，人口集中处人类活动强烈，主要表现为公路建设、农村建房及陡坡垦植等。在人为活动作用下或地表水作用下，滑坡、泥石流等地质灾害高发。</w:t>
            </w:r>
          </w:p>
        </w:tc>
      </w:tr>
      <w:tr>
        <w:tblPrEx>
          <w:tblCellMar>
            <w:top w:w="0" w:type="dxa"/>
            <w:left w:w="108" w:type="dxa"/>
            <w:bottom w:w="0" w:type="dxa"/>
            <w:right w:w="108" w:type="dxa"/>
          </w:tblCellMar>
        </w:tblPrEx>
        <w:trPr>
          <w:trHeight w:val="2109" w:hRule="atLeast"/>
        </w:trPr>
        <w:tc>
          <w:tcPr>
            <w:tcW w:w="85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eastAsia="仿宋_GB2312"/>
                <w:sz w:val="21"/>
              </w:rPr>
            </w:pPr>
          </w:p>
        </w:tc>
        <w:tc>
          <w:tcPr>
            <w:tcW w:w="876"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eastAsia="仿宋_GB2312"/>
                <w:sz w:val="21"/>
              </w:rPr>
            </w:pPr>
          </w:p>
        </w:tc>
        <w:tc>
          <w:tcPr>
            <w:tcW w:w="113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eastAsia="仿宋_GB2312"/>
                <w:sz w:val="21"/>
              </w:rPr>
            </w:pPr>
          </w:p>
        </w:tc>
        <w:tc>
          <w:tcPr>
            <w:tcW w:w="809"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Ⅰ4</w:t>
            </w:r>
          </w:p>
        </w:tc>
        <w:tc>
          <w:tcPr>
            <w:tcW w:w="875" w:type="dxa"/>
            <w:tcBorders>
              <w:top w:val="nil"/>
              <w:left w:val="nil"/>
              <w:bottom w:val="single" w:color="000000" w:sz="4" w:space="0"/>
              <w:right w:val="single" w:color="000000" w:sz="4" w:space="0"/>
            </w:tcBorders>
            <w:noWrap/>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180.58</w:t>
            </w:r>
          </w:p>
        </w:tc>
        <w:tc>
          <w:tcPr>
            <w:tcW w:w="113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邦达---弄丘---芒海高易发亚区</w:t>
            </w:r>
          </w:p>
        </w:tc>
        <w:tc>
          <w:tcPr>
            <w:tcW w:w="9200" w:type="dxa"/>
            <w:tcBorders>
              <w:top w:val="nil"/>
              <w:left w:val="nil"/>
              <w:bottom w:val="single" w:color="000000" w:sz="4" w:space="0"/>
              <w:right w:val="single" w:color="000000" w:sz="4" w:space="0"/>
            </w:tcBorders>
            <w:noWrap w:val="0"/>
            <w:vAlign w:val="center"/>
          </w:tcPr>
          <w:p>
            <w:pPr>
              <w:widowControl/>
              <w:spacing w:line="240" w:lineRule="auto"/>
              <w:ind w:firstLine="0"/>
              <w:rPr>
                <w:rFonts w:ascii="Times New Roman" w:hAnsi="Times New Roman" w:eastAsia="仿宋_GB2312"/>
                <w:color w:val="000000"/>
                <w:sz w:val="21"/>
              </w:rPr>
            </w:pPr>
            <w:r>
              <w:rPr>
                <w:rFonts w:ascii="Times New Roman" w:hAnsi="Times New Roman" w:eastAsia="仿宋_GB2312"/>
                <w:color w:val="000000"/>
                <w:sz w:val="21"/>
              </w:rPr>
              <w:t>该区位于怒江与芒市大河分水岭地带斜坡部位，坡面主要倾向北和南，最高点位于分水岭山峰，标高2180m，最低点位于勐古河河谷，标高880m，相对高差达1300m，地形坡度一般在15°～40°，局部可达60°，主要属中山中切割陡坡地形；地表植被发育，多以灌木为主，在村寨附近平缓沟床中及缓坡地带有耕地分布。浅表层主要出露第四系松散土层，下伏基岩主要为寒武系公养河群变质岩，一般地形坡度较陡，山高地陡、冲沟发育，岩体风化程度高，部分区段斜坡与岩层呈顺倾，人口集中处人类活动强烈，主要表现为公路建设、农村建房及陡坡垦植等。在人为活动作用下或地表水作用下，滑坡、泥石流等地质灾害高发。</w:t>
            </w:r>
          </w:p>
        </w:tc>
      </w:tr>
      <w:tr>
        <w:tblPrEx>
          <w:tblCellMar>
            <w:top w:w="0" w:type="dxa"/>
            <w:left w:w="108" w:type="dxa"/>
            <w:bottom w:w="0" w:type="dxa"/>
            <w:right w:w="108" w:type="dxa"/>
          </w:tblCellMar>
        </w:tblPrEx>
        <w:trPr>
          <w:trHeight w:val="2165" w:hRule="atLeast"/>
        </w:trPr>
        <w:tc>
          <w:tcPr>
            <w:tcW w:w="858"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地质灾害中易发区（Ⅱ）</w:t>
            </w:r>
          </w:p>
        </w:tc>
        <w:tc>
          <w:tcPr>
            <w:tcW w:w="876"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993.61</w:t>
            </w:r>
          </w:p>
        </w:tc>
        <w:tc>
          <w:tcPr>
            <w:tcW w:w="1133"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34.25%</w:t>
            </w:r>
          </w:p>
        </w:tc>
        <w:tc>
          <w:tcPr>
            <w:tcW w:w="809"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Ⅱ1</w:t>
            </w:r>
          </w:p>
        </w:tc>
        <w:tc>
          <w:tcPr>
            <w:tcW w:w="875" w:type="dxa"/>
            <w:tcBorders>
              <w:top w:val="nil"/>
              <w:left w:val="nil"/>
              <w:bottom w:val="single" w:color="000000" w:sz="4" w:space="0"/>
              <w:right w:val="single" w:color="000000" w:sz="4" w:space="0"/>
            </w:tcBorders>
            <w:noWrap/>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634.19</w:t>
            </w:r>
          </w:p>
        </w:tc>
        <w:tc>
          <w:tcPr>
            <w:tcW w:w="113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芒市西北部中易发亚区</w:t>
            </w:r>
          </w:p>
        </w:tc>
        <w:tc>
          <w:tcPr>
            <w:tcW w:w="9200" w:type="dxa"/>
            <w:tcBorders>
              <w:top w:val="nil"/>
              <w:left w:val="nil"/>
              <w:bottom w:val="single" w:color="000000" w:sz="4" w:space="0"/>
              <w:right w:val="single" w:color="000000" w:sz="4" w:space="0"/>
            </w:tcBorders>
            <w:noWrap w:val="0"/>
            <w:vAlign w:val="center"/>
          </w:tcPr>
          <w:p>
            <w:pPr>
              <w:widowControl/>
              <w:spacing w:line="240" w:lineRule="auto"/>
              <w:ind w:firstLine="0"/>
              <w:rPr>
                <w:rFonts w:ascii="Times New Roman" w:hAnsi="Times New Roman" w:eastAsia="仿宋_GB2312"/>
                <w:color w:val="000000"/>
                <w:sz w:val="21"/>
              </w:rPr>
            </w:pPr>
            <w:r>
              <w:rPr>
                <w:rFonts w:ascii="Times New Roman" w:hAnsi="Times New Roman" w:eastAsia="仿宋_GB2312"/>
                <w:color w:val="000000"/>
                <w:sz w:val="21"/>
              </w:rPr>
              <w:t>该区位于芒市西北部，龙江与芒市大河分水岭两岸斜坡部位，以及轩岗河上游一带和遮放河边寨一带，最高点位于轩岗河上游，标高2290m，最低点位于龙江出境处，标高772m，相对高差达1520m，地形坡度一般在15°～30°，局部大于40°，主要为中山中切割长垣垄状地形，一般地形坡度介于15-35°，冲沟发育；地表植被发育，多以灌木为主，在村寨附近平缓沟床中及缓坡地带有耕地分布。浅表层主要出露第四系松散土层，下伏基岩为寒武系的变质岩为主，其次为三叠系、二叠系碎屑岩、碳酸盐岩，基岩抗风化能力差，风化层厚，人口集中处人类活动强烈，主要表现为公路建设、农村建房及陡坡垦植等。在人为活动作用下或地表水作用下，滑坡、泥石流等地质灾害多发。</w:t>
            </w:r>
          </w:p>
        </w:tc>
      </w:tr>
      <w:tr>
        <w:tblPrEx>
          <w:tblCellMar>
            <w:top w:w="0" w:type="dxa"/>
            <w:left w:w="108" w:type="dxa"/>
            <w:bottom w:w="0" w:type="dxa"/>
            <w:right w:w="108" w:type="dxa"/>
          </w:tblCellMar>
        </w:tblPrEx>
        <w:trPr>
          <w:trHeight w:val="2549" w:hRule="atLeast"/>
        </w:trPr>
        <w:tc>
          <w:tcPr>
            <w:tcW w:w="85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eastAsia="仿宋_GB2312"/>
                <w:sz w:val="21"/>
              </w:rPr>
            </w:pPr>
          </w:p>
        </w:tc>
        <w:tc>
          <w:tcPr>
            <w:tcW w:w="876"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eastAsia="仿宋_GB2312"/>
                <w:sz w:val="21"/>
              </w:rPr>
            </w:pPr>
          </w:p>
        </w:tc>
        <w:tc>
          <w:tcPr>
            <w:tcW w:w="113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eastAsia="仿宋_GB2312"/>
                <w:sz w:val="21"/>
              </w:rPr>
            </w:pPr>
          </w:p>
        </w:tc>
        <w:tc>
          <w:tcPr>
            <w:tcW w:w="809"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Ⅱ2</w:t>
            </w:r>
          </w:p>
        </w:tc>
        <w:tc>
          <w:tcPr>
            <w:tcW w:w="875" w:type="dxa"/>
            <w:tcBorders>
              <w:top w:val="nil"/>
              <w:left w:val="nil"/>
              <w:bottom w:val="single" w:color="000000" w:sz="4" w:space="0"/>
              <w:right w:val="single" w:color="000000" w:sz="4" w:space="0"/>
            </w:tcBorders>
            <w:noWrap/>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359.42</w:t>
            </w:r>
          </w:p>
        </w:tc>
        <w:tc>
          <w:tcPr>
            <w:tcW w:w="113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平河---象塘---杨家场中易发亚区</w:t>
            </w:r>
          </w:p>
        </w:tc>
        <w:tc>
          <w:tcPr>
            <w:tcW w:w="9200" w:type="dxa"/>
            <w:tcBorders>
              <w:top w:val="nil"/>
              <w:left w:val="nil"/>
              <w:bottom w:val="single" w:color="000000" w:sz="4" w:space="0"/>
              <w:right w:val="single" w:color="000000" w:sz="4" w:space="0"/>
            </w:tcBorders>
            <w:noWrap w:val="0"/>
            <w:vAlign w:val="center"/>
          </w:tcPr>
          <w:p>
            <w:pPr>
              <w:widowControl/>
              <w:spacing w:line="240" w:lineRule="auto"/>
              <w:ind w:firstLine="0"/>
              <w:rPr>
                <w:rFonts w:ascii="Times New Roman" w:hAnsi="Times New Roman" w:eastAsia="仿宋_GB2312"/>
                <w:color w:val="000000"/>
                <w:sz w:val="21"/>
              </w:rPr>
            </w:pPr>
            <w:r>
              <w:rPr>
                <w:rFonts w:ascii="Times New Roman" w:hAnsi="Times New Roman" w:eastAsia="仿宋_GB2312"/>
                <w:color w:val="000000"/>
                <w:sz w:val="21"/>
              </w:rPr>
              <w:t>该区位于怒江与芒市大河分水岭地带斜坡部位，坡面主要倾向北和南，最高点位于东侧县界处丫口坡东侧的山峰，标高2854m，最低点位于怒江河谷与缅甸的交界处，标高536m，相对高差达2318m，地形坡度一般在15°～40°，局部可达60°，主要属中山中切割陡坡地形和中山中切割圆垣状地形；地表植被发育，多以灌木为主，在村寨附近平缓沟床中及缓坡地带有耕地分布。浅表层主要出露第四系松散土层，下伏基岩主要为寒武系公养河群变质岩，其次为加里东晚期—华里西中期花岗岩，一般地形坡度较陡，山高地陡、冲沟发育，岩体风化程度高，部分区段斜坡与岩层呈顺倾，人口集中处人类活动强烈，主要表现为公路建设、农村建房及陡坡垦植等。在人为活动作用下或地表水作用下，滑坡、泥石流等地质灾害多发。</w:t>
            </w:r>
          </w:p>
        </w:tc>
      </w:tr>
      <w:tr>
        <w:tblPrEx>
          <w:tblCellMar>
            <w:top w:w="0" w:type="dxa"/>
            <w:left w:w="108" w:type="dxa"/>
            <w:bottom w:w="0" w:type="dxa"/>
            <w:right w:w="108" w:type="dxa"/>
          </w:tblCellMar>
        </w:tblPrEx>
        <w:trPr>
          <w:trHeight w:val="2246" w:hRule="atLeast"/>
        </w:trPr>
        <w:tc>
          <w:tcPr>
            <w:tcW w:w="858" w:type="dxa"/>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地质灾害低易发区（Ⅲ）</w:t>
            </w:r>
          </w:p>
        </w:tc>
        <w:tc>
          <w:tcPr>
            <w:tcW w:w="876"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935.43</w:t>
            </w:r>
          </w:p>
        </w:tc>
        <w:tc>
          <w:tcPr>
            <w:tcW w:w="1133"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32.25%</w:t>
            </w:r>
          </w:p>
        </w:tc>
        <w:tc>
          <w:tcPr>
            <w:tcW w:w="809"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Ⅲ</w:t>
            </w:r>
          </w:p>
        </w:tc>
        <w:tc>
          <w:tcPr>
            <w:tcW w:w="875" w:type="dxa"/>
            <w:tcBorders>
              <w:top w:val="nil"/>
              <w:left w:val="nil"/>
              <w:bottom w:val="single" w:color="000000" w:sz="4" w:space="0"/>
              <w:right w:val="single" w:color="000000" w:sz="4" w:space="0"/>
            </w:tcBorders>
            <w:noWrap/>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935.43</w:t>
            </w:r>
          </w:p>
        </w:tc>
        <w:tc>
          <w:tcPr>
            <w:tcW w:w="113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芒市中部低易发区</w:t>
            </w:r>
          </w:p>
        </w:tc>
        <w:tc>
          <w:tcPr>
            <w:tcW w:w="9200" w:type="dxa"/>
            <w:tcBorders>
              <w:top w:val="nil"/>
              <w:left w:val="nil"/>
              <w:bottom w:val="single" w:color="000000" w:sz="4" w:space="0"/>
              <w:right w:val="single" w:color="000000" w:sz="4" w:space="0"/>
            </w:tcBorders>
            <w:noWrap w:val="0"/>
            <w:vAlign w:val="center"/>
          </w:tcPr>
          <w:p>
            <w:pPr>
              <w:widowControl/>
              <w:spacing w:line="240" w:lineRule="auto"/>
              <w:ind w:firstLine="0"/>
              <w:rPr>
                <w:rFonts w:ascii="Times New Roman" w:hAnsi="Times New Roman" w:eastAsia="仿宋_GB2312"/>
                <w:color w:val="000000"/>
                <w:sz w:val="21"/>
              </w:rPr>
            </w:pPr>
            <w:r>
              <w:rPr>
                <w:rFonts w:ascii="Times New Roman" w:hAnsi="Times New Roman" w:eastAsia="仿宋_GB2312"/>
                <w:color w:val="000000"/>
                <w:sz w:val="21"/>
              </w:rPr>
              <w:t>该区位于芒市中部，包括遮放盆地、芒市盆地周边，三台山乡、轩岗乡、勐戛镇一带，最高点位于中东村南侧梁子坡顶，标高2112m，最低点位于龙江出境处，标高772m，相对高差达1340m，主要为岩溶地貌和湖积台地低丘缓坡地形，一般地形坡度介于10-20°，冲沟较发育；地表植被发育，多以灌木为主，在村寨附近平缓沟床中及缓坡地带有耕地分布。主要出露上第三系半成岩、侏罗系、三叠系、二叠系、泥盆系、奥陶系碎屑岩、碳酸盐岩，以较软弱岩及较坚硬岩为主，岩体节理裂隙发育，完整性较差，岩溶弱~强发育，发育龙陵～瑞丽大断裂，人口集中处人类活动强烈，主要表现为公路建设、农村建房及陡坡垦植等。在人为活动作用下，边坡岩土体易发生崩滑流灾害现象。</w:t>
            </w:r>
          </w:p>
        </w:tc>
      </w:tr>
      <w:tr>
        <w:tblPrEx>
          <w:tblCellMar>
            <w:top w:w="0" w:type="dxa"/>
            <w:left w:w="108" w:type="dxa"/>
            <w:bottom w:w="0" w:type="dxa"/>
            <w:right w:w="108" w:type="dxa"/>
          </w:tblCellMar>
        </w:tblPrEx>
        <w:trPr>
          <w:trHeight w:val="1401" w:hRule="atLeast"/>
        </w:trPr>
        <w:tc>
          <w:tcPr>
            <w:tcW w:w="858" w:type="dxa"/>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地质灾害非易发区（Ⅳ）</w:t>
            </w:r>
          </w:p>
        </w:tc>
        <w:tc>
          <w:tcPr>
            <w:tcW w:w="876"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102.62</w:t>
            </w:r>
          </w:p>
        </w:tc>
        <w:tc>
          <w:tcPr>
            <w:tcW w:w="1133"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3.54%</w:t>
            </w:r>
          </w:p>
        </w:tc>
        <w:tc>
          <w:tcPr>
            <w:tcW w:w="809"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Ⅳ</w:t>
            </w:r>
          </w:p>
        </w:tc>
        <w:tc>
          <w:tcPr>
            <w:tcW w:w="875" w:type="dxa"/>
            <w:tcBorders>
              <w:top w:val="nil"/>
              <w:left w:val="nil"/>
              <w:bottom w:val="single" w:color="000000" w:sz="4" w:space="0"/>
              <w:right w:val="single" w:color="000000" w:sz="4" w:space="0"/>
            </w:tcBorders>
            <w:noWrap/>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102.62</w:t>
            </w:r>
          </w:p>
        </w:tc>
        <w:tc>
          <w:tcPr>
            <w:tcW w:w="113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eastAsia="仿宋_GB2312"/>
                <w:sz w:val="21"/>
              </w:rPr>
            </w:pPr>
            <w:r>
              <w:rPr>
                <w:rFonts w:ascii="Times New Roman" w:hAnsi="Times New Roman" w:eastAsia="仿宋_GB2312"/>
                <w:sz w:val="21"/>
              </w:rPr>
              <w:t>芒市盆地非易发区</w:t>
            </w:r>
          </w:p>
        </w:tc>
        <w:tc>
          <w:tcPr>
            <w:tcW w:w="9200" w:type="dxa"/>
            <w:tcBorders>
              <w:top w:val="nil"/>
              <w:left w:val="nil"/>
              <w:bottom w:val="single" w:color="000000" w:sz="4" w:space="0"/>
              <w:right w:val="single" w:color="000000" w:sz="4" w:space="0"/>
            </w:tcBorders>
            <w:noWrap w:val="0"/>
            <w:vAlign w:val="center"/>
          </w:tcPr>
          <w:p>
            <w:pPr>
              <w:widowControl/>
              <w:spacing w:line="240" w:lineRule="auto"/>
              <w:ind w:firstLine="0"/>
              <w:rPr>
                <w:rFonts w:ascii="Times New Roman" w:hAnsi="Times New Roman" w:eastAsia="仿宋_GB2312"/>
                <w:color w:val="000000"/>
                <w:sz w:val="21"/>
              </w:rPr>
            </w:pPr>
            <w:r>
              <w:rPr>
                <w:rFonts w:ascii="Times New Roman" w:hAnsi="Times New Roman" w:eastAsia="仿宋_GB2312"/>
                <w:color w:val="000000"/>
                <w:sz w:val="21"/>
              </w:rPr>
              <w:t>该区处于芒市、风平河谷堆积地貌区，龙陵-瑞丽大断裂隐伏通过；出露地层主要为块石、砾石、砂卵石、残积粘土、角砾、泥砾、砂砾石粘土，盆地边缘出露上第三系半成岩，地形坡度变化很小，地下水埋深浅，存在软土、饱和砂土、膨胀岩等，人类工程活动强烈，工程建设易引发边坡失稳滑塌、基坑滑坡、涌水、涌砂、地基不均匀沉降、饱和砂土液化等。</w:t>
            </w:r>
          </w:p>
        </w:tc>
      </w:tr>
    </w:tbl>
    <w:p>
      <w:pPr>
        <w:ind w:firstLine="0"/>
        <w:jc w:val="center"/>
        <w:rPr>
          <w:rFonts w:ascii="Times New Roman" w:hAnsi="Times New Roman"/>
          <w:b/>
          <w:sz w:val="10"/>
          <w:szCs w:val="10"/>
        </w:rPr>
      </w:pPr>
    </w:p>
    <w:p>
      <w:pPr>
        <w:ind w:firstLine="0"/>
        <w:jc w:val="center"/>
        <w:rPr>
          <w:rFonts w:ascii="Times New Roman" w:hAnsi="Times New Roman"/>
          <w:b/>
          <w:color w:val="FF0000"/>
        </w:rPr>
        <w:sectPr>
          <w:pgSz w:w="16840" w:h="11907"/>
          <w:pgMar w:top="1247" w:right="1247" w:bottom="1247" w:left="1588" w:header="851" w:footer="591" w:gutter="0"/>
          <w:cols w:space="1701" w:num="1"/>
        </w:sectPr>
      </w:pPr>
    </w:p>
    <w:p>
      <w:pPr>
        <w:spacing w:line="240" w:lineRule="auto"/>
        <w:ind w:firstLine="0"/>
        <w:jc w:val="center"/>
        <w:rPr>
          <w:rFonts w:ascii="Times New Roman" w:hAnsi="Times New Roman"/>
        </w:rPr>
      </w:pPr>
      <w:r>
        <w:rPr>
          <w:rFonts w:ascii="Times New Roman" w:hAnsi="Times New Roman"/>
        </w:rPr>
        <w:drawing>
          <wp:inline distT="0" distB="0" distL="0" distR="0">
            <wp:extent cx="6209665" cy="5747385"/>
            <wp:effectExtent l="0" t="0" r="0" b="0"/>
            <wp:docPr id="2" name="_x0000_i1027"/>
            <wp:cNvGraphicFramePr/>
            <a:graphic xmlns:a="http://schemas.openxmlformats.org/drawingml/2006/main">
              <a:graphicData uri="http://schemas.openxmlformats.org/drawingml/2006/picture">
                <pic:pic xmlns:pic="http://schemas.openxmlformats.org/drawingml/2006/picture">
                  <pic:nvPicPr>
                    <pic:cNvPr id="2" name="_x0000_i1027"/>
                    <pic:cNvPicPr/>
                  </pic:nvPicPr>
                  <pic:blipFill>
                    <a:blip r:embed="rId14"/>
                    <a:srcRect r="5489" b="6739"/>
                    <a:stretch>
                      <a:fillRect/>
                    </a:stretch>
                  </pic:blipFill>
                  <pic:spPr>
                    <a:xfrm>
                      <a:off x="0" y="0"/>
                      <a:ext cx="6210211" cy="5747868"/>
                    </a:xfrm>
                    <a:prstGeom prst="rect">
                      <a:avLst/>
                    </a:prstGeom>
                    <a:noFill/>
                    <a:ln>
                      <a:noFill/>
                    </a:ln>
                  </pic:spPr>
                </pic:pic>
              </a:graphicData>
            </a:graphic>
          </wp:inline>
        </w:drawing>
      </w:r>
    </w:p>
    <w:p>
      <w:pPr>
        <w:ind w:firstLine="0"/>
        <w:jc w:val="center"/>
        <w:rPr>
          <w:rFonts w:ascii="Times New Roman" w:hAnsi="Times New Roman"/>
          <w:b/>
          <w:sz w:val="24"/>
          <w:szCs w:val="24"/>
        </w:rPr>
      </w:pPr>
      <w:r>
        <w:rPr>
          <w:rFonts w:ascii="Times New Roman" w:hAnsi="Times New Roman"/>
          <w:b/>
          <w:sz w:val="24"/>
          <w:szCs w:val="24"/>
        </w:rPr>
        <w:t>图3-2  芒市地质灾害防治规划分区图</w:t>
      </w:r>
    </w:p>
    <w:p>
      <w:pPr>
        <w:ind w:firstLine="0"/>
        <w:jc w:val="center"/>
        <w:rPr>
          <w:rFonts w:ascii="Times New Roman" w:hAnsi="Times New Roman"/>
          <w:b/>
          <w:sz w:val="24"/>
          <w:szCs w:val="24"/>
        </w:rPr>
        <w:sectPr>
          <w:pgSz w:w="16840" w:h="11907"/>
          <w:pgMar w:top="1247" w:right="1247" w:bottom="1247" w:left="1588" w:header="851" w:footer="590" w:gutter="0"/>
          <w:cols w:space="1701" w:num="1"/>
        </w:sectPr>
      </w:pPr>
    </w:p>
    <w:p>
      <w:pPr>
        <w:spacing w:line="240" w:lineRule="auto"/>
        <w:ind w:firstLine="0"/>
        <w:jc w:val="center"/>
        <w:rPr>
          <w:rFonts w:ascii="Times New Roman" w:hAnsi="Times New Roman"/>
          <w:b/>
          <w:sz w:val="22"/>
          <w:szCs w:val="22"/>
        </w:rPr>
      </w:pPr>
      <w:r>
        <w:rPr>
          <w:rFonts w:ascii="Times New Roman" w:hAnsi="Times New Roman"/>
          <w:b/>
          <w:sz w:val="22"/>
          <w:szCs w:val="22"/>
        </w:rPr>
        <w:t>表3-2  芒市地质灾害防治规划分区统计表</w:t>
      </w:r>
    </w:p>
    <w:tbl>
      <w:tblPr>
        <w:tblStyle w:val="28"/>
        <w:tblW w:w="1394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659"/>
        <w:gridCol w:w="899"/>
        <w:gridCol w:w="864"/>
        <w:gridCol w:w="647"/>
        <w:gridCol w:w="899"/>
        <w:gridCol w:w="1106"/>
        <w:gridCol w:w="6804"/>
        <w:gridCol w:w="2068"/>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83" w:hRule="atLeast"/>
          <w:tblHeader/>
          <w:jc w:val="center"/>
        </w:trPr>
        <w:tc>
          <w:tcPr>
            <w:tcW w:w="659" w:type="dxa"/>
            <w:noWrap w:val="0"/>
            <w:vAlign w:val="center"/>
          </w:tcPr>
          <w:p>
            <w:pPr>
              <w:widowControl/>
              <w:spacing w:line="240" w:lineRule="auto"/>
              <w:ind w:firstLine="0"/>
              <w:jc w:val="center"/>
              <w:rPr>
                <w:rFonts w:ascii="Times New Roman" w:hAnsi="Times New Roman"/>
                <w:b/>
                <w:bCs/>
                <w:sz w:val="21"/>
              </w:rPr>
            </w:pPr>
            <w:r>
              <w:rPr>
                <w:rFonts w:ascii="Times New Roman" w:hAnsi="Times New Roman" w:eastAsia="仿宋_GB2312"/>
                <w:b/>
                <w:bCs/>
                <w:sz w:val="21"/>
              </w:rPr>
              <w:t>防治分区</w:t>
            </w:r>
          </w:p>
        </w:tc>
        <w:tc>
          <w:tcPr>
            <w:tcW w:w="899" w:type="dxa"/>
            <w:noWrap w:val="0"/>
            <w:vAlign w:val="center"/>
          </w:tcPr>
          <w:p>
            <w:pPr>
              <w:widowControl/>
              <w:spacing w:line="240" w:lineRule="auto"/>
              <w:ind w:firstLine="0"/>
              <w:jc w:val="center"/>
              <w:rPr>
                <w:rFonts w:ascii="Times New Roman" w:hAnsi="Times New Roman"/>
                <w:b/>
                <w:bCs/>
                <w:sz w:val="21"/>
              </w:rPr>
            </w:pPr>
            <w:r>
              <w:rPr>
                <w:rFonts w:ascii="Times New Roman" w:hAnsi="Times New Roman" w:eastAsia="仿宋_GB2312"/>
                <w:b/>
                <w:bCs/>
                <w:sz w:val="21"/>
              </w:rPr>
              <w:t>面积</w:t>
            </w:r>
            <w:r>
              <w:rPr>
                <w:rFonts w:ascii="Times New Roman" w:hAnsi="Times New Roman"/>
                <w:b/>
                <w:bCs/>
                <w:sz w:val="21"/>
              </w:rPr>
              <w:t>(km</w:t>
            </w:r>
            <w:r>
              <w:rPr>
                <w:rFonts w:ascii="Times New Roman" w:hAnsi="Times New Roman"/>
                <w:b/>
                <w:bCs/>
                <w:sz w:val="21"/>
                <w:vertAlign w:val="superscript"/>
              </w:rPr>
              <w:t>2</w:t>
            </w:r>
            <w:r>
              <w:rPr>
                <w:rFonts w:ascii="Times New Roman" w:hAnsi="Times New Roman"/>
                <w:b/>
                <w:bCs/>
                <w:sz w:val="21"/>
              </w:rPr>
              <w:t>)</w:t>
            </w:r>
          </w:p>
        </w:tc>
        <w:tc>
          <w:tcPr>
            <w:tcW w:w="864" w:type="dxa"/>
            <w:noWrap w:val="0"/>
            <w:vAlign w:val="center"/>
          </w:tcPr>
          <w:p>
            <w:pPr>
              <w:widowControl/>
              <w:spacing w:line="240" w:lineRule="auto"/>
              <w:ind w:firstLine="0"/>
              <w:jc w:val="center"/>
              <w:rPr>
                <w:rFonts w:ascii="Times New Roman" w:hAnsi="Times New Roman"/>
                <w:b/>
                <w:bCs/>
                <w:sz w:val="21"/>
              </w:rPr>
            </w:pPr>
            <w:r>
              <w:rPr>
                <w:rFonts w:ascii="Times New Roman" w:hAnsi="Times New Roman" w:eastAsia="仿宋_GB2312"/>
                <w:b/>
                <w:bCs/>
                <w:sz w:val="21"/>
              </w:rPr>
              <w:t>占总面积</w:t>
            </w:r>
          </w:p>
        </w:tc>
        <w:tc>
          <w:tcPr>
            <w:tcW w:w="647" w:type="dxa"/>
            <w:noWrap w:val="0"/>
            <w:vAlign w:val="center"/>
          </w:tcPr>
          <w:p>
            <w:pPr>
              <w:widowControl/>
              <w:spacing w:line="240" w:lineRule="auto"/>
              <w:ind w:firstLine="0"/>
              <w:jc w:val="center"/>
              <w:rPr>
                <w:rFonts w:ascii="Times New Roman" w:hAnsi="Times New Roman"/>
                <w:b/>
                <w:bCs/>
                <w:sz w:val="21"/>
              </w:rPr>
            </w:pPr>
            <w:r>
              <w:rPr>
                <w:rFonts w:ascii="Times New Roman" w:hAnsi="Times New Roman" w:eastAsia="仿宋_GB2312"/>
                <w:b/>
                <w:bCs/>
                <w:sz w:val="21"/>
              </w:rPr>
              <w:t>分区代号</w:t>
            </w:r>
          </w:p>
        </w:tc>
        <w:tc>
          <w:tcPr>
            <w:tcW w:w="899" w:type="dxa"/>
            <w:noWrap w:val="0"/>
            <w:vAlign w:val="center"/>
          </w:tcPr>
          <w:p>
            <w:pPr>
              <w:widowControl/>
              <w:spacing w:line="240" w:lineRule="auto"/>
              <w:ind w:firstLine="0"/>
              <w:jc w:val="center"/>
              <w:rPr>
                <w:rFonts w:ascii="Times New Roman" w:hAnsi="Times New Roman"/>
                <w:b/>
                <w:bCs/>
                <w:sz w:val="21"/>
              </w:rPr>
            </w:pPr>
            <w:r>
              <w:rPr>
                <w:rFonts w:ascii="Times New Roman" w:hAnsi="Times New Roman" w:eastAsia="仿宋_GB2312"/>
                <w:b/>
                <w:bCs/>
                <w:sz w:val="21"/>
              </w:rPr>
              <w:t>面积</w:t>
            </w:r>
            <w:r>
              <w:rPr>
                <w:rFonts w:ascii="Times New Roman" w:hAnsi="Times New Roman"/>
                <w:b/>
                <w:bCs/>
                <w:sz w:val="21"/>
              </w:rPr>
              <w:t>(km</w:t>
            </w:r>
            <w:r>
              <w:rPr>
                <w:rFonts w:ascii="Times New Roman" w:hAnsi="Times New Roman"/>
                <w:b/>
                <w:bCs/>
                <w:sz w:val="21"/>
                <w:vertAlign w:val="superscript"/>
              </w:rPr>
              <w:t>2</w:t>
            </w:r>
            <w:r>
              <w:rPr>
                <w:rFonts w:ascii="Times New Roman" w:hAnsi="Times New Roman"/>
                <w:b/>
                <w:bCs/>
                <w:sz w:val="21"/>
              </w:rPr>
              <w:t>)</w:t>
            </w:r>
          </w:p>
        </w:tc>
        <w:tc>
          <w:tcPr>
            <w:tcW w:w="1106" w:type="dxa"/>
            <w:noWrap w:val="0"/>
            <w:vAlign w:val="center"/>
          </w:tcPr>
          <w:p>
            <w:pPr>
              <w:widowControl/>
              <w:spacing w:line="240" w:lineRule="auto"/>
              <w:ind w:firstLine="0"/>
              <w:jc w:val="center"/>
              <w:rPr>
                <w:rFonts w:ascii="Times New Roman" w:hAnsi="Times New Roman"/>
                <w:b/>
                <w:bCs/>
                <w:sz w:val="21"/>
              </w:rPr>
            </w:pPr>
            <w:r>
              <w:rPr>
                <w:rFonts w:ascii="Times New Roman" w:hAnsi="Times New Roman" w:eastAsia="仿宋_GB2312"/>
                <w:b/>
                <w:bCs/>
                <w:sz w:val="21"/>
              </w:rPr>
              <w:t>名</w:t>
            </w:r>
            <w:r>
              <w:rPr>
                <w:rFonts w:ascii="Times New Roman" w:hAnsi="Times New Roman"/>
                <w:b/>
                <w:bCs/>
                <w:sz w:val="21"/>
              </w:rPr>
              <w:t xml:space="preserve"> </w:t>
            </w:r>
            <w:r>
              <w:rPr>
                <w:rFonts w:ascii="Times New Roman" w:hAnsi="Times New Roman" w:eastAsia="仿宋_GB2312"/>
                <w:b/>
                <w:bCs/>
                <w:sz w:val="21"/>
              </w:rPr>
              <w:t>称</w:t>
            </w:r>
          </w:p>
        </w:tc>
        <w:tc>
          <w:tcPr>
            <w:tcW w:w="6804" w:type="dxa"/>
            <w:noWrap w:val="0"/>
            <w:vAlign w:val="center"/>
          </w:tcPr>
          <w:p>
            <w:pPr>
              <w:widowControl/>
              <w:spacing w:line="240" w:lineRule="auto"/>
              <w:ind w:firstLine="0"/>
              <w:jc w:val="center"/>
              <w:rPr>
                <w:rFonts w:ascii="Times New Roman" w:hAnsi="Times New Roman"/>
                <w:b/>
                <w:bCs/>
                <w:sz w:val="21"/>
              </w:rPr>
            </w:pPr>
            <w:r>
              <w:rPr>
                <w:rFonts w:ascii="Times New Roman" w:hAnsi="Times New Roman" w:eastAsia="仿宋_GB2312"/>
                <w:b/>
                <w:bCs/>
                <w:sz w:val="21"/>
              </w:rPr>
              <w:t>地质环境条件特征</w:t>
            </w:r>
          </w:p>
        </w:tc>
        <w:tc>
          <w:tcPr>
            <w:tcW w:w="2068" w:type="dxa"/>
            <w:noWrap w:val="0"/>
            <w:vAlign w:val="center"/>
          </w:tcPr>
          <w:p>
            <w:pPr>
              <w:widowControl/>
              <w:spacing w:line="240" w:lineRule="auto"/>
              <w:ind w:firstLine="0"/>
              <w:jc w:val="center"/>
              <w:rPr>
                <w:rFonts w:ascii="Times New Roman" w:hAnsi="Times New Roman" w:eastAsia="仿宋_GB2312"/>
                <w:b/>
                <w:bCs/>
                <w:sz w:val="21"/>
              </w:rPr>
            </w:pPr>
            <w:r>
              <w:rPr>
                <w:rFonts w:ascii="Times New Roman" w:hAnsi="Times New Roman" w:eastAsia="仿宋_GB2312"/>
                <w:b/>
                <w:bCs/>
                <w:sz w:val="21"/>
              </w:rPr>
              <w:t>防治建议</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063" w:hRule="atLeast"/>
          <w:jc w:val="center"/>
        </w:trPr>
        <w:tc>
          <w:tcPr>
            <w:tcW w:w="659" w:type="dxa"/>
            <w:vMerge w:val="restart"/>
            <w:noWrap w:val="0"/>
            <w:vAlign w:val="center"/>
          </w:tcPr>
          <w:p>
            <w:pPr>
              <w:widowControl/>
              <w:spacing w:line="240" w:lineRule="auto"/>
              <w:ind w:firstLine="0"/>
              <w:jc w:val="center"/>
              <w:rPr>
                <w:rFonts w:ascii="Times New Roman" w:hAnsi="Times New Roman"/>
                <w:sz w:val="21"/>
              </w:rPr>
            </w:pPr>
            <w:r>
              <w:rPr>
                <w:rFonts w:ascii="Times New Roman" w:hAnsi="Times New Roman" w:eastAsia="仿宋_GB2312"/>
                <w:sz w:val="21"/>
              </w:rPr>
              <w:t>地质灾害重点防治区</w:t>
            </w:r>
            <w:r>
              <w:rPr>
                <w:rFonts w:ascii="Times New Roman" w:hAnsi="Times New Roman"/>
                <w:sz w:val="21"/>
              </w:rPr>
              <w:t>(A)</w:t>
            </w:r>
          </w:p>
        </w:tc>
        <w:tc>
          <w:tcPr>
            <w:tcW w:w="899" w:type="dxa"/>
            <w:vMerge w:val="restart"/>
            <w:noWrap w:val="0"/>
            <w:vAlign w:val="center"/>
          </w:tcPr>
          <w:p>
            <w:pPr>
              <w:spacing w:line="240" w:lineRule="auto"/>
              <w:ind w:firstLine="0"/>
              <w:jc w:val="center"/>
              <w:rPr>
                <w:rFonts w:ascii="Times New Roman" w:hAnsi="Times New Roman"/>
                <w:sz w:val="21"/>
              </w:rPr>
            </w:pPr>
            <w:r>
              <w:rPr>
                <w:rFonts w:ascii="Times New Roman" w:hAnsi="Times New Roman"/>
                <w:sz w:val="21"/>
              </w:rPr>
              <w:t>495.55</w:t>
            </w:r>
          </w:p>
        </w:tc>
        <w:tc>
          <w:tcPr>
            <w:tcW w:w="864" w:type="dxa"/>
            <w:vMerge w:val="restart"/>
            <w:noWrap w:val="0"/>
            <w:vAlign w:val="center"/>
          </w:tcPr>
          <w:p>
            <w:pPr>
              <w:spacing w:line="240" w:lineRule="auto"/>
              <w:ind w:firstLine="0"/>
              <w:jc w:val="center"/>
              <w:rPr>
                <w:rFonts w:ascii="Times New Roman" w:hAnsi="Times New Roman"/>
                <w:sz w:val="21"/>
              </w:rPr>
            </w:pPr>
            <w:r>
              <w:rPr>
                <w:rFonts w:ascii="Times New Roman" w:hAnsi="Times New Roman"/>
                <w:sz w:val="21"/>
              </w:rPr>
              <w:t>17.08%</w:t>
            </w:r>
          </w:p>
        </w:tc>
        <w:tc>
          <w:tcPr>
            <w:tcW w:w="647" w:type="dxa"/>
            <w:noWrap w:val="0"/>
            <w:vAlign w:val="center"/>
          </w:tcPr>
          <w:p>
            <w:pPr>
              <w:spacing w:line="240" w:lineRule="auto"/>
              <w:ind w:firstLine="0"/>
              <w:jc w:val="center"/>
              <w:rPr>
                <w:rFonts w:ascii="Times New Roman" w:hAnsi="Times New Roman"/>
                <w:color w:val="000000"/>
                <w:sz w:val="21"/>
              </w:rPr>
            </w:pPr>
            <w:r>
              <w:rPr>
                <w:rFonts w:ascii="Times New Roman" w:hAnsi="Times New Roman"/>
                <w:color w:val="000000"/>
                <w:sz w:val="21"/>
              </w:rPr>
              <w:t>A1</w:t>
            </w:r>
          </w:p>
        </w:tc>
        <w:tc>
          <w:tcPr>
            <w:tcW w:w="899" w:type="dxa"/>
            <w:noWrap w:val="0"/>
            <w:vAlign w:val="center"/>
          </w:tcPr>
          <w:p>
            <w:pPr>
              <w:spacing w:line="240" w:lineRule="auto"/>
              <w:ind w:firstLine="0"/>
              <w:jc w:val="center"/>
              <w:rPr>
                <w:rFonts w:ascii="Times New Roman" w:hAnsi="Times New Roman"/>
                <w:sz w:val="21"/>
              </w:rPr>
            </w:pPr>
            <w:r>
              <w:rPr>
                <w:rFonts w:ascii="Times New Roman" w:hAnsi="Times New Roman"/>
                <w:sz w:val="21"/>
              </w:rPr>
              <w:t>210.85</w:t>
            </w:r>
          </w:p>
        </w:tc>
        <w:tc>
          <w:tcPr>
            <w:tcW w:w="1106" w:type="dxa"/>
            <w:noWrap w:val="0"/>
            <w:vAlign w:val="center"/>
          </w:tcPr>
          <w:p>
            <w:pPr>
              <w:spacing w:line="240" w:lineRule="auto"/>
              <w:ind w:firstLine="0"/>
              <w:jc w:val="center"/>
              <w:rPr>
                <w:rFonts w:ascii="Times New Roman" w:hAnsi="Times New Roman" w:eastAsia="仿宋_GB2312"/>
                <w:color w:val="000000"/>
                <w:sz w:val="21"/>
              </w:rPr>
            </w:pPr>
            <w:r>
              <w:rPr>
                <w:rFonts w:ascii="Times New Roman" w:hAnsi="Times New Roman" w:eastAsia="仿宋_GB2312"/>
                <w:color w:val="000000"/>
                <w:sz w:val="21"/>
              </w:rPr>
              <w:t>江东—五岔路重点防治区</w:t>
            </w:r>
          </w:p>
        </w:tc>
        <w:tc>
          <w:tcPr>
            <w:tcW w:w="6804" w:type="dxa"/>
            <w:noWrap w:val="0"/>
            <w:vAlign w:val="center"/>
          </w:tcPr>
          <w:p>
            <w:pPr>
              <w:widowControl/>
              <w:spacing w:line="240" w:lineRule="auto"/>
              <w:ind w:firstLine="0"/>
              <w:jc w:val="left"/>
              <w:rPr>
                <w:rFonts w:ascii="Times New Roman" w:hAnsi="Times New Roman"/>
                <w:sz w:val="21"/>
              </w:rPr>
            </w:pPr>
            <w:r>
              <w:rPr>
                <w:rFonts w:ascii="Times New Roman" w:hAnsi="Times New Roman" w:eastAsia="仿宋_GB2312"/>
                <w:sz w:val="21"/>
              </w:rPr>
              <w:t>该区位于江东—五岔路一带山脊分水岭斜坡区，处于龙陵—瑞丽断层西侧。区内以中山中切割长垣垄状地形为主，海拔高程最低880m，最大2620m，高差1740m，切割小于1000m。山顶多为穹状，山脊呈猪背状。坡面沟谷发育，河谷多呈“V”，坡度最大73°，平均21°，部分具有直坡形态，滑坡发育。村寨分布集中，人类活动主要表现为公路建设、农村建房及陡坡垦植等。地质环境条件总体复杂，地质灾害风险性以高为主，易产生地质灾害，危害程度中等~大，局部小。</w:t>
            </w:r>
          </w:p>
        </w:tc>
        <w:tc>
          <w:tcPr>
            <w:tcW w:w="2068" w:type="dxa"/>
            <w:noWrap w:val="0"/>
            <w:vAlign w:val="center"/>
          </w:tcPr>
          <w:p>
            <w:pPr>
              <w:spacing w:line="240" w:lineRule="auto"/>
              <w:ind w:firstLine="0"/>
              <w:jc w:val="left"/>
              <w:rPr>
                <w:rFonts w:ascii="Times New Roman" w:hAnsi="Times New Roman" w:eastAsia="仿宋_GB2312"/>
                <w:sz w:val="21"/>
              </w:rPr>
            </w:pPr>
            <w:r>
              <w:rPr>
                <w:rFonts w:ascii="Times New Roman" w:hAnsi="Times New Roman" w:eastAsia="仿宋_GB2312"/>
                <w:sz w:val="21"/>
              </w:rPr>
              <w:t>防治原则以工程治理、避险搬迁为主，同时加强监测预警和地质环境保护</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971" w:hRule="atLeast"/>
          <w:jc w:val="center"/>
        </w:trPr>
        <w:tc>
          <w:tcPr>
            <w:tcW w:w="659" w:type="dxa"/>
            <w:vMerge w:val="continue"/>
            <w:noWrap w:val="0"/>
            <w:vAlign w:val="center"/>
          </w:tcPr>
          <w:p>
            <w:pPr>
              <w:widowControl/>
              <w:spacing w:line="240" w:lineRule="auto"/>
              <w:ind w:firstLine="0"/>
              <w:jc w:val="center"/>
              <w:rPr>
                <w:rFonts w:ascii="Times New Roman" w:hAnsi="Times New Roman"/>
                <w:sz w:val="21"/>
              </w:rPr>
            </w:pPr>
          </w:p>
        </w:tc>
        <w:tc>
          <w:tcPr>
            <w:tcW w:w="899" w:type="dxa"/>
            <w:vMerge w:val="continue"/>
            <w:noWrap w:val="0"/>
            <w:vAlign w:val="center"/>
          </w:tcPr>
          <w:p>
            <w:pPr>
              <w:widowControl/>
              <w:spacing w:line="240" w:lineRule="auto"/>
              <w:ind w:firstLine="0"/>
              <w:jc w:val="center"/>
              <w:rPr>
                <w:rFonts w:ascii="Times New Roman" w:hAnsi="Times New Roman"/>
                <w:sz w:val="21"/>
              </w:rPr>
            </w:pPr>
          </w:p>
        </w:tc>
        <w:tc>
          <w:tcPr>
            <w:tcW w:w="864" w:type="dxa"/>
            <w:vMerge w:val="continue"/>
            <w:noWrap w:val="0"/>
            <w:vAlign w:val="center"/>
          </w:tcPr>
          <w:p>
            <w:pPr>
              <w:widowControl/>
              <w:spacing w:line="240" w:lineRule="auto"/>
              <w:ind w:firstLine="0"/>
              <w:jc w:val="center"/>
              <w:rPr>
                <w:rFonts w:ascii="Times New Roman" w:hAnsi="Times New Roman"/>
                <w:sz w:val="21"/>
              </w:rPr>
            </w:pPr>
          </w:p>
        </w:tc>
        <w:tc>
          <w:tcPr>
            <w:tcW w:w="647" w:type="dxa"/>
            <w:noWrap w:val="0"/>
            <w:vAlign w:val="center"/>
          </w:tcPr>
          <w:p>
            <w:pPr>
              <w:spacing w:line="240" w:lineRule="auto"/>
              <w:ind w:firstLine="0"/>
              <w:jc w:val="center"/>
              <w:rPr>
                <w:rFonts w:ascii="Times New Roman" w:hAnsi="Times New Roman"/>
                <w:color w:val="000000"/>
                <w:sz w:val="21"/>
              </w:rPr>
            </w:pPr>
            <w:r>
              <w:rPr>
                <w:rFonts w:ascii="Times New Roman" w:hAnsi="Times New Roman"/>
                <w:color w:val="000000"/>
                <w:sz w:val="21"/>
              </w:rPr>
              <w:t>A2</w:t>
            </w:r>
          </w:p>
        </w:tc>
        <w:tc>
          <w:tcPr>
            <w:tcW w:w="899" w:type="dxa"/>
            <w:noWrap w:val="0"/>
            <w:vAlign w:val="center"/>
          </w:tcPr>
          <w:p>
            <w:pPr>
              <w:spacing w:line="240" w:lineRule="auto"/>
              <w:ind w:firstLine="0"/>
              <w:jc w:val="center"/>
              <w:rPr>
                <w:rFonts w:ascii="Times New Roman" w:hAnsi="Times New Roman"/>
                <w:sz w:val="21"/>
              </w:rPr>
            </w:pPr>
            <w:r>
              <w:rPr>
                <w:rFonts w:ascii="Times New Roman" w:hAnsi="Times New Roman"/>
                <w:sz w:val="21"/>
              </w:rPr>
              <w:t>73.11</w:t>
            </w:r>
          </w:p>
        </w:tc>
        <w:tc>
          <w:tcPr>
            <w:tcW w:w="1106" w:type="dxa"/>
            <w:noWrap w:val="0"/>
            <w:vAlign w:val="center"/>
          </w:tcPr>
          <w:p>
            <w:pPr>
              <w:spacing w:line="240" w:lineRule="auto"/>
              <w:ind w:firstLine="0"/>
              <w:jc w:val="center"/>
              <w:rPr>
                <w:rFonts w:ascii="Times New Roman" w:hAnsi="Times New Roman" w:eastAsia="仿宋_GB2312"/>
                <w:color w:val="000000"/>
                <w:sz w:val="21"/>
              </w:rPr>
            </w:pPr>
            <w:r>
              <w:rPr>
                <w:rFonts w:ascii="Times New Roman" w:hAnsi="Times New Roman" w:eastAsia="仿宋_GB2312"/>
                <w:color w:val="000000"/>
                <w:sz w:val="21"/>
              </w:rPr>
              <w:t>河心场—象滚塘—田头寨重点防治区</w:t>
            </w:r>
          </w:p>
        </w:tc>
        <w:tc>
          <w:tcPr>
            <w:tcW w:w="6804" w:type="dxa"/>
            <w:noWrap w:val="0"/>
            <w:vAlign w:val="center"/>
          </w:tcPr>
          <w:p>
            <w:pPr>
              <w:spacing w:line="240" w:lineRule="auto"/>
              <w:ind w:firstLine="0"/>
              <w:jc w:val="left"/>
              <w:rPr>
                <w:rFonts w:ascii="Times New Roman" w:hAnsi="Times New Roman"/>
                <w:sz w:val="21"/>
              </w:rPr>
            </w:pPr>
            <w:r>
              <w:rPr>
                <w:rFonts w:ascii="Times New Roman" w:hAnsi="Times New Roman" w:eastAsia="仿宋_GB2312"/>
                <w:sz w:val="21"/>
              </w:rPr>
              <w:t>区内以中山中切割长垣垄状地形为主，海拔高程最低1040m，最大 2202m，高差1162m，切割小于1000m，山脊宽缓，坡度最大68°，平均21°，斜坡多为凸形坡，坡面沟谷密度大，水系发育，上游呈“V”字型，中下游呈“U”型。受南北向断层构造影响，岩体节理裂隙发育，结构破碎，风化强烈，松散层、风化壳厚度大，植被覆盖率&gt;80%。地质环境条件总体复杂，地质灾害风险性高，极易产生地质灾害，危害程度以中等~大，局部小。</w:t>
            </w:r>
          </w:p>
        </w:tc>
        <w:tc>
          <w:tcPr>
            <w:tcW w:w="2068" w:type="dxa"/>
            <w:noWrap w:val="0"/>
            <w:vAlign w:val="center"/>
          </w:tcPr>
          <w:p>
            <w:pPr>
              <w:spacing w:line="240" w:lineRule="auto"/>
              <w:ind w:firstLine="0"/>
              <w:jc w:val="left"/>
              <w:rPr>
                <w:rFonts w:ascii="Times New Roman" w:hAnsi="Times New Roman" w:eastAsia="仿宋_GB2312"/>
                <w:sz w:val="21"/>
              </w:rPr>
            </w:pPr>
            <w:r>
              <w:rPr>
                <w:rFonts w:ascii="Times New Roman" w:hAnsi="Times New Roman" w:eastAsia="仿宋_GB2312"/>
                <w:sz w:val="21"/>
              </w:rPr>
              <w:t>防治原则以工程治理为主，个别进行避险搬迁，同时加强监测预警和地质环境保护</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120" w:hRule="atLeast"/>
          <w:jc w:val="center"/>
        </w:trPr>
        <w:tc>
          <w:tcPr>
            <w:tcW w:w="659" w:type="dxa"/>
            <w:vMerge w:val="continue"/>
            <w:noWrap w:val="0"/>
            <w:vAlign w:val="center"/>
          </w:tcPr>
          <w:p>
            <w:pPr>
              <w:widowControl/>
              <w:spacing w:line="240" w:lineRule="auto"/>
              <w:ind w:firstLine="0"/>
              <w:jc w:val="center"/>
              <w:rPr>
                <w:rFonts w:ascii="Times New Roman" w:hAnsi="Times New Roman"/>
                <w:sz w:val="21"/>
              </w:rPr>
            </w:pPr>
          </w:p>
        </w:tc>
        <w:tc>
          <w:tcPr>
            <w:tcW w:w="899" w:type="dxa"/>
            <w:vMerge w:val="continue"/>
            <w:noWrap w:val="0"/>
            <w:vAlign w:val="center"/>
          </w:tcPr>
          <w:p>
            <w:pPr>
              <w:widowControl/>
              <w:spacing w:line="240" w:lineRule="auto"/>
              <w:ind w:firstLine="0"/>
              <w:jc w:val="center"/>
              <w:rPr>
                <w:rFonts w:ascii="Times New Roman" w:hAnsi="Times New Roman"/>
                <w:sz w:val="21"/>
              </w:rPr>
            </w:pPr>
          </w:p>
        </w:tc>
        <w:tc>
          <w:tcPr>
            <w:tcW w:w="864" w:type="dxa"/>
            <w:vMerge w:val="continue"/>
            <w:noWrap w:val="0"/>
            <w:vAlign w:val="center"/>
          </w:tcPr>
          <w:p>
            <w:pPr>
              <w:widowControl/>
              <w:spacing w:line="240" w:lineRule="auto"/>
              <w:ind w:firstLine="0"/>
              <w:jc w:val="center"/>
              <w:rPr>
                <w:rFonts w:ascii="Times New Roman" w:hAnsi="Times New Roman"/>
                <w:sz w:val="21"/>
              </w:rPr>
            </w:pPr>
          </w:p>
        </w:tc>
        <w:tc>
          <w:tcPr>
            <w:tcW w:w="647" w:type="dxa"/>
            <w:noWrap w:val="0"/>
            <w:vAlign w:val="center"/>
          </w:tcPr>
          <w:p>
            <w:pPr>
              <w:spacing w:line="240" w:lineRule="auto"/>
              <w:ind w:firstLine="0"/>
              <w:jc w:val="center"/>
              <w:rPr>
                <w:rFonts w:ascii="Times New Roman" w:hAnsi="Times New Roman"/>
                <w:color w:val="000000"/>
                <w:sz w:val="21"/>
              </w:rPr>
            </w:pPr>
            <w:r>
              <w:rPr>
                <w:rFonts w:ascii="Times New Roman" w:hAnsi="Times New Roman"/>
                <w:color w:val="000000"/>
                <w:sz w:val="21"/>
              </w:rPr>
              <w:t>A3</w:t>
            </w:r>
          </w:p>
        </w:tc>
        <w:tc>
          <w:tcPr>
            <w:tcW w:w="899" w:type="dxa"/>
            <w:noWrap w:val="0"/>
            <w:vAlign w:val="center"/>
          </w:tcPr>
          <w:p>
            <w:pPr>
              <w:spacing w:line="240" w:lineRule="auto"/>
              <w:ind w:firstLine="0"/>
              <w:jc w:val="center"/>
              <w:rPr>
                <w:rFonts w:ascii="Times New Roman" w:hAnsi="Times New Roman"/>
                <w:sz w:val="21"/>
              </w:rPr>
            </w:pPr>
            <w:r>
              <w:rPr>
                <w:rFonts w:ascii="Times New Roman" w:hAnsi="Times New Roman"/>
                <w:sz w:val="21"/>
              </w:rPr>
              <w:t>211.59</w:t>
            </w:r>
          </w:p>
        </w:tc>
        <w:tc>
          <w:tcPr>
            <w:tcW w:w="1106" w:type="dxa"/>
            <w:noWrap w:val="0"/>
            <w:vAlign w:val="center"/>
          </w:tcPr>
          <w:p>
            <w:pPr>
              <w:spacing w:line="240" w:lineRule="auto"/>
              <w:ind w:firstLine="0"/>
              <w:jc w:val="center"/>
              <w:rPr>
                <w:rFonts w:ascii="Times New Roman" w:hAnsi="Times New Roman" w:eastAsia="仿宋_GB2312"/>
                <w:color w:val="000000"/>
                <w:sz w:val="21"/>
              </w:rPr>
            </w:pPr>
            <w:r>
              <w:rPr>
                <w:rFonts w:ascii="Times New Roman" w:hAnsi="Times New Roman" w:eastAsia="仿宋_GB2312"/>
                <w:color w:val="000000"/>
                <w:sz w:val="21"/>
              </w:rPr>
              <w:t>木康检查站—下东—上东—平河重点防治区</w:t>
            </w:r>
          </w:p>
        </w:tc>
        <w:tc>
          <w:tcPr>
            <w:tcW w:w="6804" w:type="dxa"/>
            <w:noWrap w:val="0"/>
            <w:vAlign w:val="center"/>
          </w:tcPr>
          <w:p>
            <w:pPr>
              <w:spacing w:line="240" w:lineRule="auto"/>
              <w:ind w:firstLine="0"/>
              <w:jc w:val="left"/>
              <w:rPr>
                <w:rFonts w:ascii="Times New Roman" w:hAnsi="Times New Roman"/>
                <w:sz w:val="21"/>
              </w:rPr>
            </w:pPr>
            <w:r>
              <w:rPr>
                <w:rFonts w:ascii="Times New Roman" w:hAnsi="Times New Roman" w:eastAsia="仿宋_GB2312"/>
                <w:sz w:val="21"/>
              </w:rPr>
              <w:t>区内以中山中切割圆垣状地形、中山中切割陡坡地形、岩溶断块山地形为主，海拔高程最低960m，最大2513m，高差1553m，切割深度200～500m。处于南北向断层分布区，沿线有灰岩和火山岩分布，山体多为穹丘状或断块山，坡度最大71°，平均20°。岩体结构破碎，风化强烈，但植被覆盖率较高。人类活动主要表现为公路建设、农村建房及陡坡垦植等，地质环境条件总体复杂，地质灾害风险性高，极易产生地质灾害，危害程度以中等~大，局部小。</w:t>
            </w:r>
          </w:p>
        </w:tc>
        <w:tc>
          <w:tcPr>
            <w:tcW w:w="2068" w:type="dxa"/>
            <w:noWrap w:val="0"/>
            <w:vAlign w:val="center"/>
          </w:tcPr>
          <w:p>
            <w:pPr>
              <w:spacing w:line="240" w:lineRule="auto"/>
              <w:ind w:firstLine="0"/>
              <w:jc w:val="left"/>
              <w:rPr>
                <w:rFonts w:ascii="Times New Roman" w:hAnsi="Times New Roman" w:eastAsia="仿宋_GB2312"/>
                <w:sz w:val="21"/>
              </w:rPr>
            </w:pPr>
            <w:r>
              <w:rPr>
                <w:rFonts w:ascii="Times New Roman" w:hAnsi="Times New Roman" w:eastAsia="仿宋_GB2312"/>
                <w:sz w:val="21"/>
              </w:rPr>
              <w:t>防治原则以工程治理、避险搬迁为主，同时加强监测预警和地质环境保护</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762" w:hRule="atLeast"/>
          <w:jc w:val="center"/>
        </w:trPr>
        <w:tc>
          <w:tcPr>
            <w:tcW w:w="659" w:type="dxa"/>
            <w:noWrap w:val="0"/>
            <w:vAlign w:val="center"/>
          </w:tcPr>
          <w:p>
            <w:pPr>
              <w:widowControl/>
              <w:spacing w:line="240" w:lineRule="auto"/>
              <w:ind w:firstLine="0"/>
              <w:jc w:val="center"/>
              <w:rPr>
                <w:rFonts w:ascii="Times New Roman" w:hAnsi="Times New Roman"/>
                <w:sz w:val="21"/>
              </w:rPr>
            </w:pPr>
            <w:r>
              <w:rPr>
                <w:rFonts w:ascii="Times New Roman" w:hAnsi="Times New Roman" w:eastAsia="仿宋_GB2312"/>
                <w:sz w:val="21"/>
              </w:rPr>
              <w:t>地质灾害次重点防治区</w:t>
            </w:r>
            <w:r>
              <w:rPr>
                <w:rFonts w:ascii="Times New Roman" w:hAnsi="Times New Roman"/>
                <w:sz w:val="21"/>
              </w:rPr>
              <w:t>(B)</w:t>
            </w:r>
          </w:p>
        </w:tc>
        <w:tc>
          <w:tcPr>
            <w:tcW w:w="899" w:type="dxa"/>
            <w:noWrap w:val="0"/>
            <w:vAlign w:val="center"/>
          </w:tcPr>
          <w:p>
            <w:pPr>
              <w:spacing w:line="240" w:lineRule="auto"/>
              <w:ind w:firstLine="0"/>
              <w:jc w:val="center"/>
              <w:rPr>
                <w:rFonts w:ascii="Times New Roman" w:hAnsi="Times New Roman"/>
                <w:sz w:val="21"/>
              </w:rPr>
            </w:pPr>
            <w:r>
              <w:rPr>
                <w:rFonts w:ascii="Times New Roman" w:hAnsi="Times New Roman"/>
                <w:sz w:val="21"/>
              </w:rPr>
              <w:t>1107.4</w:t>
            </w:r>
          </w:p>
        </w:tc>
        <w:tc>
          <w:tcPr>
            <w:tcW w:w="864" w:type="dxa"/>
            <w:noWrap w:val="0"/>
            <w:vAlign w:val="center"/>
          </w:tcPr>
          <w:p>
            <w:pPr>
              <w:spacing w:line="240" w:lineRule="auto"/>
              <w:ind w:firstLine="0"/>
              <w:jc w:val="center"/>
              <w:rPr>
                <w:rFonts w:ascii="Times New Roman" w:hAnsi="Times New Roman"/>
                <w:sz w:val="21"/>
              </w:rPr>
            </w:pPr>
            <w:r>
              <w:rPr>
                <w:rFonts w:ascii="Times New Roman" w:hAnsi="Times New Roman"/>
                <w:sz w:val="21"/>
              </w:rPr>
              <w:t>38.17%</w:t>
            </w:r>
          </w:p>
        </w:tc>
        <w:tc>
          <w:tcPr>
            <w:tcW w:w="647" w:type="dxa"/>
            <w:noWrap w:val="0"/>
            <w:vAlign w:val="center"/>
          </w:tcPr>
          <w:p>
            <w:pPr>
              <w:spacing w:line="240" w:lineRule="auto"/>
              <w:ind w:firstLine="0"/>
              <w:jc w:val="center"/>
              <w:rPr>
                <w:rFonts w:ascii="Times New Roman" w:hAnsi="Times New Roman"/>
                <w:color w:val="000000"/>
                <w:sz w:val="21"/>
              </w:rPr>
            </w:pPr>
            <w:r>
              <w:rPr>
                <w:rFonts w:ascii="Times New Roman" w:hAnsi="Times New Roman"/>
                <w:color w:val="000000"/>
                <w:sz w:val="21"/>
              </w:rPr>
              <w:t>B1</w:t>
            </w:r>
          </w:p>
        </w:tc>
        <w:tc>
          <w:tcPr>
            <w:tcW w:w="899" w:type="dxa"/>
            <w:noWrap w:val="0"/>
            <w:vAlign w:val="center"/>
          </w:tcPr>
          <w:p>
            <w:pPr>
              <w:spacing w:line="240" w:lineRule="auto"/>
              <w:ind w:firstLine="0"/>
              <w:jc w:val="center"/>
              <w:rPr>
                <w:rFonts w:ascii="Times New Roman" w:hAnsi="Times New Roman"/>
                <w:sz w:val="21"/>
              </w:rPr>
            </w:pPr>
            <w:r>
              <w:rPr>
                <w:rFonts w:ascii="Times New Roman" w:hAnsi="Times New Roman"/>
                <w:sz w:val="21"/>
              </w:rPr>
              <w:t>135.61</w:t>
            </w:r>
          </w:p>
        </w:tc>
        <w:tc>
          <w:tcPr>
            <w:tcW w:w="1106" w:type="dxa"/>
            <w:noWrap w:val="0"/>
            <w:vAlign w:val="center"/>
          </w:tcPr>
          <w:p>
            <w:pPr>
              <w:spacing w:line="240" w:lineRule="auto"/>
              <w:ind w:firstLine="0"/>
              <w:jc w:val="center"/>
              <w:rPr>
                <w:rFonts w:ascii="Times New Roman" w:hAnsi="Times New Roman" w:eastAsia="仿宋_GB2312"/>
                <w:color w:val="000000"/>
                <w:sz w:val="21"/>
              </w:rPr>
            </w:pPr>
            <w:r>
              <w:rPr>
                <w:rFonts w:ascii="Times New Roman" w:hAnsi="Times New Roman" w:eastAsia="仿宋_GB2312"/>
                <w:color w:val="000000"/>
                <w:sz w:val="21"/>
              </w:rPr>
              <w:t>芒东—弄丙—崩强次重点防治区</w:t>
            </w:r>
          </w:p>
        </w:tc>
        <w:tc>
          <w:tcPr>
            <w:tcW w:w="6804" w:type="dxa"/>
            <w:noWrap w:val="0"/>
            <w:vAlign w:val="center"/>
          </w:tcPr>
          <w:p>
            <w:pPr>
              <w:widowControl/>
              <w:spacing w:line="240" w:lineRule="auto"/>
              <w:ind w:firstLine="0"/>
              <w:jc w:val="left"/>
              <w:rPr>
                <w:rFonts w:ascii="Times New Roman" w:hAnsi="Times New Roman"/>
                <w:sz w:val="21"/>
              </w:rPr>
            </w:pPr>
            <w:r>
              <w:rPr>
                <w:rFonts w:ascii="Times New Roman" w:hAnsi="Times New Roman" w:eastAsia="仿宋_GB2312"/>
                <w:sz w:val="21"/>
              </w:rPr>
              <w:t>区内海拔最低</w:t>
            </w:r>
            <w:r>
              <w:rPr>
                <w:rFonts w:ascii="Times New Roman" w:hAnsi="Times New Roman"/>
                <w:sz w:val="21"/>
              </w:rPr>
              <w:t>850m</w:t>
            </w:r>
            <w:r>
              <w:rPr>
                <w:rFonts w:ascii="Times New Roman" w:hAnsi="Times New Roman" w:eastAsia="仿宋_GB2312"/>
                <w:sz w:val="21"/>
              </w:rPr>
              <w:t>，最高处</w:t>
            </w:r>
            <w:r>
              <w:rPr>
                <w:rFonts w:ascii="Times New Roman" w:hAnsi="Times New Roman"/>
                <w:sz w:val="21"/>
              </w:rPr>
              <w:t>1650m</w:t>
            </w:r>
            <w:r>
              <w:rPr>
                <w:rFonts w:ascii="Times New Roman" w:hAnsi="Times New Roman" w:eastAsia="仿宋_GB2312"/>
                <w:sz w:val="21"/>
              </w:rPr>
              <w:t>，高差</w:t>
            </w:r>
            <w:r>
              <w:rPr>
                <w:rFonts w:ascii="Times New Roman" w:hAnsi="Times New Roman"/>
                <w:sz w:val="21"/>
              </w:rPr>
              <w:t>800m</w:t>
            </w:r>
            <w:r>
              <w:rPr>
                <w:rFonts w:ascii="Times New Roman" w:hAnsi="Times New Roman" w:eastAsia="仿宋_GB2312"/>
                <w:sz w:val="21"/>
              </w:rPr>
              <w:t>，地形切割</w:t>
            </w:r>
            <w:r>
              <w:rPr>
                <w:rFonts w:ascii="Times New Roman" w:hAnsi="Times New Roman"/>
                <w:sz w:val="21"/>
              </w:rPr>
              <w:t>100</w:t>
            </w:r>
            <w:r>
              <w:rPr>
                <w:rFonts w:ascii="Times New Roman" w:hAnsi="Times New Roman" w:eastAsia="仿宋_GB2312"/>
                <w:sz w:val="21"/>
              </w:rPr>
              <w:t>～</w:t>
            </w:r>
            <w:r>
              <w:rPr>
                <w:rFonts w:ascii="Times New Roman" w:hAnsi="Times New Roman"/>
                <w:sz w:val="21"/>
              </w:rPr>
              <w:t>500m</w:t>
            </w:r>
            <w:r>
              <w:rPr>
                <w:rFonts w:ascii="Times New Roman" w:hAnsi="Times New Roman" w:eastAsia="仿宋_GB2312"/>
                <w:sz w:val="21"/>
              </w:rPr>
              <w:t>，地形坡度最大</w:t>
            </w:r>
            <w:r>
              <w:rPr>
                <w:rFonts w:ascii="Times New Roman" w:hAnsi="Times New Roman"/>
                <w:sz w:val="21"/>
              </w:rPr>
              <w:t>89°</w:t>
            </w:r>
            <w:r>
              <w:rPr>
                <w:rFonts w:ascii="Times New Roman" w:hAnsi="Times New Roman" w:eastAsia="仿宋_GB2312"/>
                <w:sz w:val="21"/>
              </w:rPr>
              <w:t>，平均</w:t>
            </w:r>
            <w:r>
              <w:rPr>
                <w:rFonts w:ascii="Times New Roman" w:hAnsi="Times New Roman"/>
                <w:sz w:val="21"/>
              </w:rPr>
              <w:t>17°</w:t>
            </w:r>
            <w:r>
              <w:rPr>
                <w:rFonts w:ascii="Times New Roman" w:hAnsi="Times New Roman" w:eastAsia="仿宋_GB2312"/>
                <w:sz w:val="21"/>
              </w:rPr>
              <w:t>，地形坡度变化较大，表现在地貌上为中山中切割长垣垄状地形。斜坡区域以全强风化岩体为主，局部地段半坚硬岩组分布，岩体结构面较发育，稳定性一般，残坡积厚度较大，植被发育，覆盖率〉85。植被覆盖率较高。地质环境条件中等-复杂，较易产生地质灾害，地质灾害风险性中等，危害程度小~中等。</w:t>
            </w:r>
          </w:p>
        </w:tc>
        <w:tc>
          <w:tcPr>
            <w:tcW w:w="2068" w:type="dxa"/>
            <w:noWrap w:val="0"/>
            <w:vAlign w:val="center"/>
          </w:tcPr>
          <w:p>
            <w:pPr>
              <w:spacing w:line="240" w:lineRule="auto"/>
              <w:ind w:firstLine="0"/>
              <w:jc w:val="left"/>
              <w:rPr>
                <w:rFonts w:ascii="Times New Roman" w:hAnsi="Times New Roman" w:eastAsia="仿宋_GB2312"/>
                <w:sz w:val="21"/>
              </w:rPr>
            </w:pPr>
            <w:r>
              <w:rPr>
                <w:rFonts w:ascii="Times New Roman" w:hAnsi="Times New Roman" w:eastAsia="仿宋_GB2312"/>
                <w:sz w:val="21"/>
              </w:rPr>
              <w:t>防治原则以监测预警和地质环境保护为主，对个别点进行工程治理或避险搬迁</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320" w:hRule="atLeast"/>
          <w:jc w:val="center"/>
        </w:trPr>
        <w:tc>
          <w:tcPr>
            <w:tcW w:w="659" w:type="dxa"/>
            <w:vMerge w:val="restart"/>
            <w:noWrap w:val="0"/>
            <w:vAlign w:val="center"/>
          </w:tcPr>
          <w:p>
            <w:pPr>
              <w:widowControl/>
              <w:spacing w:line="240" w:lineRule="auto"/>
              <w:ind w:firstLine="0"/>
              <w:jc w:val="center"/>
              <w:rPr>
                <w:rFonts w:ascii="Times New Roman" w:hAnsi="Times New Roman"/>
                <w:sz w:val="21"/>
              </w:rPr>
            </w:pPr>
            <w:r>
              <w:rPr>
                <w:rFonts w:ascii="Times New Roman" w:hAnsi="Times New Roman" w:eastAsia="仿宋_GB2312"/>
                <w:sz w:val="21"/>
              </w:rPr>
              <w:t>地质灾害次重点防治区</w:t>
            </w:r>
            <w:r>
              <w:rPr>
                <w:rFonts w:ascii="Times New Roman" w:hAnsi="Times New Roman"/>
                <w:sz w:val="21"/>
              </w:rPr>
              <w:t>(B)</w:t>
            </w:r>
          </w:p>
        </w:tc>
        <w:tc>
          <w:tcPr>
            <w:tcW w:w="899" w:type="dxa"/>
            <w:vMerge w:val="restart"/>
            <w:noWrap w:val="0"/>
            <w:vAlign w:val="center"/>
          </w:tcPr>
          <w:p>
            <w:pPr>
              <w:spacing w:line="240" w:lineRule="auto"/>
              <w:ind w:firstLine="0"/>
              <w:jc w:val="center"/>
              <w:rPr>
                <w:rFonts w:ascii="Times New Roman" w:hAnsi="Times New Roman"/>
                <w:sz w:val="21"/>
              </w:rPr>
            </w:pPr>
            <w:r>
              <w:rPr>
                <w:rFonts w:ascii="Times New Roman" w:hAnsi="Times New Roman"/>
                <w:sz w:val="21"/>
              </w:rPr>
              <w:t>1107.4</w:t>
            </w:r>
          </w:p>
        </w:tc>
        <w:tc>
          <w:tcPr>
            <w:tcW w:w="864" w:type="dxa"/>
            <w:vMerge w:val="restart"/>
            <w:noWrap w:val="0"/>
            <w:vAlign w:val="center"/>
          </w:tcPr>
          <w:p>
            <w:pPr>
              <w:spacing w:line="240" w:lineRule="auto"/>
              <w:ind w:firstLine="0"/>
              <w:jc w:val="center"/>
              <w:rPr>
                <w:rFonts w:ascii="Times New Roman" w:hAnsi="Times New Roman"/>
                <w:sz w:val="21"/>
              </w:rPr>
            </w:pPr>
            <w:r>
              <w:rPr>
                <w:rFonts w:ascii="Times New Roman" w:hAnsi="Times New Roman"/>
                <w:sz w:val="21"/>
              </w:rPr>
              <w:t>38.17%</w:t>
            </w:r>
          </w:p>
        </w:tc>
        <w:tc>
          <w:tcPr>
            <w:tcW w:w="647" w:type="dxa"/>
            <w:noWrap w:val="0"/>
            <w:vAlign w:val="center"/>
          </w:tcPr>
          <w:p>
            <w:pPr>
              <w:spacing w:line="240" w:lineRule="auto"/>
              <w:ind w:firstLine="0"/>
              <w:jc w:val="center"/>
              <w:rPr>
                <w:rFonts w:ascii="Times New Roman" w:hAnsi="Times New Roman"/>
                <w:color w:val="000000"/>
                <w:sz w:val="21"/>
              </w:rPr>
            </w:pPr>
            <w:r>
              <w:rPr>
                <w:rFonts w:ascii="Times New Roman" w:hAnsi="Times New Roman"/>
                <w:color w:val="000000"/>
                <w:sz w:val="21"/>
              </w:rPr>
              <w:t>B2</w:t>
            </w:r>
          </w:p>
        </w:tc>
        <w:tc>
          <w:tcPr>
            <w:tcW w:w="899" w:type="dxa"/>
            <w:noWrap w:val="0"/>
            <w:vAlign w:val="center"/>
          </w:tcPr>
          <w:p>
            <w:pPr>
              <w:spacing w:line="240" w:lineRule="auto"/>
              <w:ind w:firstLine="0"/>
              <w:jc w:val="center"/>
              <w:rPr>
                <w:rFonts w:ascii="Times New Roman" w:hAnsi="Times New Roman"/>
                <w:sz w:val="21"/>
              </w:rPr>
            </w:pPr>
            <w:r>
              <w:rPr>
                <w:rFonts w:ascii="Times New Roman" w:hAnsi="Times New Roman"/>
                <w:sz w:val="21"/>
              </w:rPr>
              <w:t>178.66</w:t>
            </w:r>
          </w:p>
        </w:tc>
        <w:tc>
          <w:tcPr>
            <w:tcW w:w="1106" w:type="dxa"/>
            <w:noWrap w:val="0"/>
            <w:vAlign w:val="center"/>
          </w:tcPr>
          <w:p>
            <w:pPr>
              <w:spacing w:line="240" w:lineRule="auto"/>
              <w:ind w:firstLine="0"/>
              <w:jc w:val="center"/>
              <w:rPr>
                <w:rFonts w:ascii="Times New Roman" w:hAnsi="Times New Roman" w:eastAsia="仿宋_GB2312"/>
                <w:color w:val="000000"/>
                <w:sz w:val="21"/>
              </w:rPr>
            </w:pPr>
            <w:r>
              <w:rPr>
                <w:rFonts w:ascii="Times New Roman" w:hAnsi="Times New Roman" w:eastAsia="仿宋_GB2312"/>
                <w:color w:val="000000"/>
                <w:sz w:val="21"/>
              </w:rPr>
              <w:t>帮外—勐丹—翁角—拱岭次重点防治区</w:t>
            </w:r>
          </w:p>
        </w:tc>
        <w:tc>
          <w:tcPr>
            <w:tcW w:w="6804" w:type="dxa"/>
            <w:noWrap w:val="0"/>
            <w:vAlign w:val="center"/>
          </w:tcPr>
          <w:p>
            <w:pPr>
              <w:spacing w:line="240" w:lineRule="auto"/>
              <w:ind w:firstLine="0"/>
              <w:jc w:val="left"/>
              <w:rPr>
                <w:rFonts w:ascii="Times New Roman" w:hAnsi="Times New Roman"/>
                <w:sz w:val="21"/>
              </w:rPr>
            </w:pPr>
            <w:r>
              <w:rPr>
                <w:rFonts w:ascii="Times New Roman" w:hAnsi="Times New Roman" w:eastAsia="仿宋_GB2312"/>
                <w:sz w:val="21"/>
              </w:rPr>
              <w:t>区内以中山中切割长垣垄状地貌和岩溶地貌为主，海拔高程最低820m，最大2207m，高差1407m，切割小于1000m，山脊宽缓，坡度最大68°，平均21°，斜坡多为凸形坡，坡面沟谷密度大，水系发育，上游呈“V”字型，中下游呈“U”型。斜坡区域以全强风化岩体为主，局部地段半坚硬岩组分布，发育龙瑞大断裂，岩体节理裂隙发育，结构破碎，风化强烈，岩溶中等-强发育，松散层厚度约5m，植被覆盖率&gt;80%。村寨分布较集中，地质环境条件总体中等复杂，地质灾害风险性中等～高，易产生地质灾害，危害程度小~中等。</w:t>
            </w:r>
          </w:p>
        </w:tc>
        <w:tc>
          <w:tcPr>
            <w:tcW w:w="2068" w:type="dxa"/>
            <w:noWrap w:val="0"/>
            <w:vAlign w:val="center"/>
          </w:tcPr>
          <w:p>
            <w:pPr>
              <w:spacing w:line="240" w:lineRule="auto"/>
              <w:ind w:firstLine="0"/>
              <w:jc w:val="left"/>
              <w:rPr>
                <w:rFonts w:ascii="Times New Roman" w:hAnsi="Times New Roman" w:eastAsia="仿宋_GB2312"/>
                <w:sz w:val="21"/>
              </w:rPr>
            </w:pPr>
            <w:r>
              <w:rPr>
                <w:rFonts w:ascii="Times New Roman" w:hAnsi="Times New Roman" w:eastAsia="仿宋_GB2312"/>
                <w:sz w:val="21"/>
              </w:rPr>
              <w:t>防治原则以监测预警和地质环境保护为主，对个别点进行工程治理或避险搬迁</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265" w:hRule="atLeast"/>
          <w:jc w:val="center"/>
        </w:trPr>
        <w:tc>
          <w:tcPr>
            <w:tcW w:w="659" w:type="dxa"/>
            <w:vMerge w:val="continue"/>
            <w:noWrap w:val="0"/>
            <w:vAlign w:val="center"/>
          </w:tcPr>
          <w:p>
            <w:pPr>
              <w:widowControl/>
              <w:spacing w:line="240" w:lineRule="auto"/>
              <w:ind w:firstLine="0"/>
              <w:jc w:val="center"/>
              <w:rPr>
                <w:rFonts w:ascii="Times New Roman" w:hAnsi="Times New Roman"/>
                <w:sz w:val="21"/>
              </w:rPr>
            </w:pPr>
          </w:p>
        </w:tc>
        <w:tc>
          <w:tcPr>
            <w:tcW w:w="899" w:type="dxa"/>
            <w:vMerge w:val="continue"/>
            <w:noWrap w:val="0"/>
            <w:vAlign w:val="center"/>
          </w:tcPr>
          <w:p>
            <w:pPr>
              <w:widowControl/>
              <w:spacing w:line="240" w:lineRule="auto"/>
              <w:ind w:firstLine="0"/>
              <w:jc w:val="center"/>
              <w:rPr>
                <w:rFonts w:ascii="Times New Roman" w:hAnsi="Times New Roman"/>
                <w:sz w:val="21"/>
              </w:rPr>
            </w:pPr>
          </w:p>
        </w:tc>
        <w:tc>
          <w:tcPr>
            <w:tcW w:w="864" w:type="dxa"/>
            <w:vMerge w:val="continue"/>
            <w:noWrap w:val="0"/>
            <w:vAlign w:val="center"/>
          </w:tcPr>
          <w:p>
            <w:pPr>
              <w:widowControl/>
              <w:spacing w:line="240" w:lineRule="auto"/>
              <w:ind w:firstLine="0"/>
              <w:jc w:val="center"/>
              <w:rPr>
                <w:rFonts w:ascii="Times New Roman" w:hAnsi="Times New Roman"/>
                <w:sz w:val="21"/>
              </w:rPr>
            </w:pPr>
          </w:p>
        </w:tc>
        <w:tc>
          <w:tcPr>
            <w:tcW w:w="647" w:type="dxa"/>
            <w:noWrap w:val="0"/>
            <w:vAlign w:val="center"/>
          </w:tcPr>
          <w:p>
            <w:pPr>
              <w:spacing w:line="240" w:lineRule="auto"/>
              <w:ind w:firstLine="0"/>
              <w:jc w:val="center"/>
              <w:rPr>
                <w:rFonts w:ascii="Times New Roman" w:hAnsi="Times New Roman"/>
                <w:color w:val="000000"/>
                <w:sz w:val="21"/>
              </w:rPr>
            </w:pPr>
            <w:r>
              <w:rPr>
                <w:rFonts w:ascii="Times New Roman" w:hAnsi="Times New Roman"/>
                <w:color w:val="000000"/>
                <w:sz w:val="21"/>
              </w:rPr>
              <w:t>B3</w:t>
            </w:r>
          </w:p>
        </w:tc>
        <w:tc>
          <w:tcPr>
            <w:tcW w:w="899" w:type="dxa"/>
            <w:noWrap w:val="0"/>
            <w:vAlign w:val="center"/>
          </w:tcPr>
          <w:p>
            <w:pPr>
              <w:spacing w:line="240" w:lineRule="auto"/>
              <w:ind w:firstLine="0"/>
              <w:jc w:val="center"/>
              <w:rPr>
                <w:rFonts w:ascii="Times New Roman" w:hAnsi="Times New Roman"/>
                <w:sz w:val="21"/>
              </w:rPr>
            </w:pPr>
            <w:r>
              <w:rPr>
                <w:rFonts w:ascii="Times New Roman" w:hAnsi="Times New Roman"/>
                <w:sz w:val="21"/>
              </w:rPr>
              <w:t>119.8</w:t>
            </w:r>
          </w:p>
        </w:tc>
        <w:tc>
          <w:tcPr>
            <w:tcW w:w="1106" w:type="dxa"/>
            <w:noWrap w:val="0"/>
            <w:vAlign w:val="center"/>
          </w:tcPr>
          <w:p>
            <w:pPr>
              <w:spacing w:line="240" w:lineRule="auto"/>
              <w:ind w:firstLine="0"/>
              <w:jc w:val="center"/>
              <w:rPr>
                <w:rFonts w:ascii="Times New Roman" w:hAnsi="Times New Roman" w:eastAsia="仿宋_GB2312"/>
                <w:color w:val="000000"/>
                <w:sz w:val="21"/>
              </w:rPr>
            </w:pPr>
            <w:r>
              <w:rPr>
                <w:rFonts w:ascii="Times New Roman" w:hAnsi="Times New Roman" w:eastAsia="仿宋_GB2312"/>
                <w:color w:val="000000"/>
                <w:sz w:val="21"/>
              </w:rPr>
              <w:t>勐戛—象塘—勐稳次重点防治区</w:t>
            </w:r>
          </w:p>
        </w:tc>
        <w:tc>
          <w:tcPr>
            <w:tcW w:w="6804" w:type="dxa"/>
            <w:noWrap w:val="0"/>
            <w:vAlign w:val="center"/>
          </w:tcPr>
          <w:p>
            <w:pPr>
              <w:spacing w:line="240" w:lineRule="auto"/>
              <w:ind w:firstLine="0"/>
              <w:jc w:val="left"/>
              <w:rPr>
                <w:rFonts w:ascii="Times New Roman" w:hAnsi="Times New Roman"/>
                <w:sz w:val="21"/>
              </w:rPr>
            </w:pPr>
            <w:r>
              <w:rPr>
                <w:rFonts w:ascii="Times New Roman" w:hAnsi="Times New Roman" w:eastAsia="仿宋_GB2312"/>
                <w:sz w:val="21"/>
              </w:rPr>
              <w:t>区内以岩溶地貌与河流堆积盆地相间分布为主，海拔高程介于1100m～2300m，地形坡度10～30°，局部大于30°，地形坡度变化较大，冲沟发育。斜坡区浅部全强风化岩体，局部地段半坚硬岩组分布，岩溶中等~强发育。河谷以农业耕种为主，植被覆盖率高。发育龙瑞大断裂，岩体结构面较发育，稳定性一般，残坡积厚度较大，土壤侵蚀强度中等，村寨分布较集中，人类活动主要表现为公路建设、农村建房及陡坡垦植等。植被覆盖率&gt;80%。村寨分布较集中，地质环境条件总体中等复杂，地质灾害风险性中等～高，易产生地质灾害，危害程度小~中等。</w:t>
            </w:r>
          </w:p>
        </w:tc>
        <w:tc>
          <w:tcPr>
            <w:tcW w:w="2068" w:type="dxa"/>
            <w:noWrap w:val="0"/>
            <w:vAlign w:val="center"/>
          </w:tcPr>
          <w:p>
            <w:pPr>
              <w:spacing w:line="240" w:lineRule="auto"/>
              <w:ind w:firstLine="0"/>
              <w:jc w:val="left"/>
              <w:rPr>
                <w:rFonts w:ascii="Times New Roman" w:hAnsi="Times New Roman" w:eastAsia="仿宋_GB2312"/>
                <w:sz w:val="21"/>
              </w:rPr>
            </w:pPr>
            <w:r>
              <w:rPr>
                <w:rFonts w:ascii="Times New Roman" w:hAnsi="Times New Roman" w:eastAsia="仿宋_GB2312"/>
                <w:sz w:val="21"/>
              </w:rPr>
              <w:t>防治原则以监测预警和地质环境保护为主，对个别点进行工程治理或避险搬迁</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046" w:hRule="atLeast"/>
          <w:jc w:val="center"/>
        </w:trPr>
        <w:tc>
          <w:tcPr>
            <w:tcW w:w="659" w:type="dxa"/>
            <w:vMerge w:val="continue"/>
            <w:noWrap w:val="0"/>
            <w:vAlign w:val="center"/>
          </w:tcPr>
          <w:p>
            <w:pPr>
              <w:widowControl/>
              <w:spacing w:line="240" w:lineRule="auto"/>
              <w:ind w:firstLine="0"/>
              <w:jc w:val="center"/>
              <w:rPr>
                <w:rFonts w:ascii="Times New Roman" w:hAnsi="Times New Roman"/>
                <w:sz w:val="21"/>
              </w:rPr>
            </w:pPr>
          </w:p>
        </w:tc>
        <w:tc>
          <w:tcPr>
            <w:tcW w:w="899" w:type="dxa"/>
            <w:vMerge w:val="continue"/>
            <w:noWrap w:val="0"/>
            <w:vAlign w:val="center"/>
          </w:tcPr>
          <w:p>
            <w:pPr>
              <w:widowControl/>
              <w:spacing w:line="240" w:lineRule="auto"/>
              <w:ind w:firstLine="0"/>
              <w:jc w:val="center"/>
              <w:rPr>
                <w:rFonts w:ascii="Times New Roman" w:hAnsi="Times New Roman"/>
                <w:sz w:val="21"/>
              </w:rPr>
            </w:pPr>
          </w:p>
        </w:tc>
        <w:tc>
          <w:tcPr>
            <w:tcW w:w="864" w:type="dxa"/>
            <w:vMerge w:val="continue"/>
            <w:noWrap w:val="0"/>
            <w:vAlign w:val="center"/>
          </w:tcPr>
          <w:p>
            <w:pPr>
              <w:widowControl/>
              <w:spacing w:line="240" w:lineRule="auto"/>
              <w:ind w:firstLine="0"/>
              <w:jc w:val="center"/>
              <w:rPr>
                <w:rFonts w:ascii="Times New Roman" w:hAnsi="Times New Roman"/>
                <w:sz w:val="21"/>
              </w:rPr>
            </w:pPr>
          </w:p>
        </w:tc>
        <w:tc>
          <w:tcPr>
            <w:tcW w:w="647" w:type="dxa"/>
            <w:noWrap w:val="0"/>
            <w:vAlign w:val="center"/>
          </w:tcPr>
          <w:p>
            <w:pPr>
              <w:spacing w:line="240" w:lineRule="auto"/>
              <w:ind w:firstLine="0"/>
              <w:jc w:val="center"/>
              <w:rPr>
                <w:rFonts w:ascii="Times New Roman" w:hAnsi="Times New Roman"/>
                <w:color w:val="000000"/>
                <w:sz w:val="21"/>
              </w:rPr>
            </w:pPr>
            <w:r>
              <w:rPr>
                <w:rFonts w:ascii="Times New Roman" w:hAnsi="Times New Roman"/>
                <w:color w:val="000000"/>
                <w:sz w:val="21"/>
              </w:rPr>
              <w:t>B4</w:t>
            </w:r>
          </w:p>
        </w:tc>
        <w:tc>
          <w:tcPr>
            <w:tcW w:w="899" w:type="dxa"/>
            <w:noWrap w:val="0"/>
            <w:vAlign w:val="center"/>
          </w:tcPr>
          <w:p>
            <w:pPr>
              <w:spacing w:line="240" w:lineRule="auto"/>
              <w:ind w:firstLine="0"/>
              <w:jc w:val="center"/>
              <w:rPr>
                <w:rFonts w:ascii="Times New Roman" w:hAnsi="Times New Roman"/>
                <w:sz w:val="21"/>
              </w:rPr>
            </w:pPr>
            <w:r>
              <w:rPr>
                <w:rFonts w:ascii="Times New Roman" w:hAnsi="Times New Roman"/>
                <w:sz w:val="21"/>
              </w:rPr>
              <w:t>210.59</w:t>
            </w:r>
          </w:p>
        </w:tc>
        <w:tc>
          <w:tcPr>
            <w:tcW w:w="1106" w:type="dxa"/>
            <w:noWrap w:val="0"/>
            <w:vAlign w:val="center"/>
          </w:tcPr>
          <w:p>
            <w:pPr>
              <w:spacing w:line="240" w:lineRule="auto"/>
              <w:ind w:firstLine="0"/>
              <w:jc w:val="center"/>
              <w:rPr>
                <w:rFonts w:ascii="Times New Roman" w:hAnsi="Times New Roman" w:eastAsia="仿宋_GB2312"/>
                <w:color w:val="000000"/>
                <w:sz w:val="21"/>
              </w:rPr>
            </w:pPr>
            <w:r>
              <w:rPr>
                <w:rFonts w:ascii="Times New Roman" w:hAnsi="Times New Roman" w:eastAsia="仿宋_GB2312"/>
                <w:color w:val="000000"/>
                <w:sz w:val="21"/>
              </w:rPr>
              <w:t>黄家寨—芒丙—木城坡次重点防治区</w:t>
            </w:r>
          </w:p>
        </w:tc>
        <w:tc>
          <w:tcPr>
            <w:tcW w:w="6804" w:type="dxa"/>
            <w:noWrap w:val="0"/>
            <w:vAlign w:val="center"/>
          </w:tcPr>
          <w:p>
            <w:pPr>
              <w:spacing w:line="240" w:lineRule="auto"/>
              <w:ind w:firstLine="0"/>
              <w:jc w:val="left"/>
              <w:rPr>
                <w:rFonts w:ascii="Times New Roman" w:hAnsi="Times New Roman"/>
                <w:sz w:val="21"/>
              </w:rPr>
            </w:pPr>
            <w:r>
              <w:rPr>
                <w:rFonts w:ascii="Times New Roman" w:hAnsi="Times New Roman" w:eastAsia="仿宋_GB2312"/>
                <w:sz w:val="21"/>
              </w:rPr>
              <w:t>区内以中山中切割陡坡地形为主，由古生代变质岩、碎屑岩组成，海拔在530m~2500m，地势起伏大，切割小于800m，河谷呈“V”字型，谷坡下部坡脚60°以上，上部较缓，小于40°，构成滑坡易发地形，谷底谷坡基岩裸露，山脊多呈“猪背”状，山顶呈浑圆－半浑圆状。浅表部松散层厚度大，下伏变质岩、碎屑岩节理裂隙发育，结构破碎，风化强烈，村寨分布较集中，人类活动主要表现为公路建设、农村建房及陡坡垦植等，地质环境条件总体复杂，地质灾害风险性中等-高，易产生地质灾害，危害程度小~中等。</w:t>
            </w:r>
          </w:p>
        </w:tc>
        <w:tc>
          <w:tcPr>
            <w:tcW w:w="2068" w:type="dxa"/>
            <w:noWrap w:val="0"/>
            <w:vAlign w:val="center"/>
          </w:tcPr>
          <w:p>
            <w:pPr>
              <w:spacing w:line="240" w:lineRule="auto"/>
              <w:ind w:firstLine="0"/>
              <w:jc w:val="left"/>
              <w:rPr>
                <w:rFonts w:ascii="Times New Roman" w:hAnsi="Times New Roman" w:eastAsia="仿宋_GB2312"/>
                <w:sz w:val="21"/>
              </w:rPr>
            </w:pPr>
            <w:r>
              <w:rPr>
                <w:rFonts w:ascii="Times New Roman" w:hAnsi="Times New Roman" w:eastAsia="仿宋_GB2312"/>
                <w:sz w:val="21"/>
              </w:rPr>
              <w:t>防治原则以工程治理或避险搬迁、监测预警为主，同时加强地质环境保护</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552" w:hRule="atLeast"/>
          <w:jc w:val="center"/>
        </w:trPr>
        <w:tc>
          <w:tcPr>
            <w:tcW w:w="659" w:type="dxa"/>
            <w:vMerge w:val="continue"/>
            <w:noWrap w:val="0"/>
            <w:vAlign w:val="center"/>
          </w:tcPr>
          <w:p>
            <w:pPr>
              <w:widowControl/>
              <w:spacing w:line="240" w:lineRule="auto"/>
              <w:ind w:firstLine="0"/>
              <w:jc w:val="center"/>
              <w:rPr>
                <w:rFonts w:ascii="Times New Roman" w:hAnsi="Times New Roman"/>
                <w:sz w:val="21"/>
              </w:rPr>
            </w:pPr>
          </w:p>
        </w:tc>
        <w:tc>
          <w:tcPr>
            <w:tcW w:w="899" w:type="dxa"/>
            <w:vMerge w:val="continue"/>
            <w:noWrap w:val="0"/>
            <w:vAlign w:val="center"/>
          </w:tcPr>
          <w:p>
            <w:pPr>
              <w:widowControl/>
              <w:spacing w:line="240" w:lineRule="auto"/>
              <w:ind w:firstLine="0"/>
              <w:jc w:val="center"/>
              <w:rPr>
                <w:rFonts w:ascii="Times New Roman" w:hAnsi="Times New Roman"/>
                <w:sz w:val="21"/>
              </w:rPr>
            </w:pPr>
          </w:p>
        </w:tc>
        <w:tc>
          <w:tcPr>
            <w:tcW w:w="864" w:type="dxa"/>
            <w:vMerge w:val="continue"/>
            <w:noWrap w:val="0"/>
            <w:vAlign w:val="center"/>
          </w:tcPr>
          <w:p>
            <w:pPr>
              <w:widowControl/>
              <w:spacing w:line="240" w:lineRule="auto"/>
              <w:ind w:firstLine="0"/>
              <w:jc w:val="center"/>
              <w:rPr>
                <w:rFonts w:ascii="Times New Roman" w:hAnsi="Times New Roman"/>
                <w:sz w:val="21"/>
              </w:rPr>
            </w:pPr>
          </w:p>
        </w:tc>
        <w:tc>
          <w:tcPr>
            <w:tcW w:w="647" w:type="dxa"/>
            <w:noWrap w:val="0"/>
            <w:vAlign w:val="center"/>
          </w:tcPr>
          <w:p>
            <w:pPr>
              <w:spacing w:line="240" w:lineRule="auto"/>
              <w:ind w:firstLine="0"/>
              <w:jc w:val="center"/>
              <w:rPr>
                <w:rFonts w:ascii="Times New Roman" w:hAnsi="Times New Roman"/>
                <w:color w:val="000000"/>
                <w:sz w:val="21"/>
              </w:rPr>
            </w:pPr>
            <w:r>
              <w:rPr>
                <w:rFonts w:ascii="Times New Roman" w:hAnsi="Times New Roman"/>
                <w:color w:val="000000"/>
                <w:sz w:val="21"/>
              </w:rPr>
              <w:t>B5</w:t>
            </w:r>
          </w:p>
        </w:tc>
        <w:tc>
          <w:tcPr>
            <w:tcW w:w="899" w:type="dxa"/>
            <w:noWrap w:val="0"/>
            <w:vAlign w:val="center"/>
          </w:tcPr>
          <w:p>
            <w:pPr>
              <w:spacing w:line="240" w:lineRule="auto"/>
              <w:ind w:firstLine="0"/>
              <w:jc w:val="center"/>
              <w:rPr>
                <w:rFonts w:ascii="Times New Roman" w:hAnsi="Times New Roman"/>
                <w:sz w:val="21"/>
              </w:rPr>
            </w:pPr>
            <w:r>
              <w:rPr>
                <w:rFonts w:ascii="Times New Roman" w:hAnsi="Times New Roman"/>
                <w:sz w:val="21"/>
              </w:rPr>
              <w:t>147.16</w:t>
            </w:r>
          </w:p>
        </w:tc>
        <w:tc>
          <w:tcPr>
            <w:tcW w:w="1106" w:type="dxa"/>
            <w:noWrap w:val="0"/>
            <w:vAlign w:val="center"/>
          </w:tcPr>
          <w:p>
            <w:pPr>
              <w:spacing w:line="240" w:lineRule="auto"/>
              <w:ind w:firstLine="0"/>
              <w:jc w:val="center"/>
              <w:rPr>
                <w:rFonts w:ascii="Times New Roman" w:hAnsi="Times New Roman" w:eastAsia="仿宋_GB2312"/>
                <w:color w:val="000000"/>
                <w:sz w:val="21"/>
              </w:rPr>
            </w:pPr>
            <w:r>
              <w:rPr>
                <w:rFonts w:ascii="Times New Roman" w:hAnsi="Times New Roman" w:eastAsia="仿宋_GB2312"/>
                <w:color w:val="000000"/>
                <w:sz w:val="21"/>
              </w:rPr>
              <w:t>遮放盆地次重点防治区</w:t>
            </w:r>
          </w:p>
        </w:tc>
        <w:tc>
          <w:tcPr>
            <w:tcW w:w="6804" w:type="dxa"/>
            <w:noWrap w:val="0"/>
            <w:vAlign w:val="center"/>
          </w:tcPr>
          <w:p>
            <w:pPr>
              <w:widowControl/>
              <w:spacing w:line="240" w:lineRule="auto"/>
              <w:ind w:firstLine="0"/>
              <w:jc w:val="left"/>
              <w:rPr>
                <w:rFonts w:ascii="Times New Roman" w:hAnsi="Times New Roman"/>
                <w:sz w:val="21"/>
              </w:rPr>
            </w:pPr>
            <w:r>
              <w:rPr>
                <w:rFonts w:ascii="Times New Roman" w:hAnsi="Times New Roman" w:eastAsia="仿宋_GB2312"/>
                <w:sz w:val="21"/>
              </w:rPr>
              <w:t>主要位于遮放盆地内，地形平坦，出露地层主要为第四系冲洪积层，盆地边缘出露上第三系，存在软土、饱和砂土、膨胀岩等，地下水位埋深浅，龙瑞大断裂隐伏通过。河谷盆地以农业耕种为主，植被覆盖率较低。坝子边缘冲沟发育，沟口多有洪积扇堆积，地质环境条件中等-复杂，地质灾害风险性中等，较易产生地质灾害，人口集中，危害程度小~中等。</w:t>
            </w:r>
          </w:p>
        </w:tc>
        <w:tc>
          <w:tcPr>
            <w:tcW w:w="2068" w:type="dxa"/>
            <w:noWrap w:val="0"/>
            <w:vAlign w:val="center"/>
          </w:tcPr>
          <w:p>
            <w:pPr>
              <w:spacing w:line="240" w:lineRule="auto"/>
              <w:ind w:firstLine="0"/>
              <w:jc w:val="left"/>
              <w:rPr>
                <w:rFonts w:ascii="Times New Roman" w:hAnsi="Times New Roman" w:eastAsia="仿宋_GB2312"/>
                <w:sz w:val="21"/>
              </w:rPr>
            </w:pPr>
            <w:r>
              <w:rPr>
                <w:rFonts w:ascii="Times New Roman" w:hAnsi="Times New Roman" w:eastAsia="仿宋_GB2312"/>
                <w:sz w:val="21"/>
              </w:rPr>
              <w:t>防治原则以监测预警为主，同时加强地质环境保护</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753" w:hRule="atLeast"/>
          <w:jc w:val="center"/>
        </w:trPr>
        <w:tc>
          <w:tcPr>
            <w:tcW w:w="659" w:type="dxa"/>
            <w:vMerge w:val="restart"/>
            <w:noWrap w:val="0"/>
            <w:vAlign w:val="center"/>
          </w:tcPr>
          <w:p>
            <w:pPr>
              <w:widowControl/>
              <w:spacing w:line="240" w:lineRule="auto"/>
              <w:ind w:firstLine="0"/>
              <w:jc w:val="center"/>
              <w:rPr>
                <w:rFonts w:ascii="Times New Roman" w:hAnsi="Times New Roman"/>
                <w:sz w:val="21"/>
              </w:rPr>
            </w:pPr>
            <w:r>
              <w:rPr>
                <w:rFonts w:ascii="Times New Roman" w:hAnsi="Times New Roman" w:eastAsia="仿宋_GB2312"/>
                <w:sz w:val="21"/>
              </w:rPr>
              <w:t>地质灾害次重点防治区</w:t>
            </w:r>
            <w:r>
              <w:rPr>
                <w:rFonts w:ascii="Times New Roman" w:hAnsi="Times New Roman"/>
                <w:sz w:val="21"/>
              </w:rPr>
              <w:t>(B)</w:t>
            </w:r>
          </w:p>
        </w:tc>
        <w:tc>
          <w:tcPr>
            <w:tcW w:w="899" w:type="dxa"/>
            <w:vMerge w:val="restart"/>
            <w:noWrap w:val="0"/>
            <w:vAlign w:val="center"/>
          </w:tcPr>
          <w:p>
            <w:pPr>
              <w:spacing w:line="240" w:lineRule="auto"/>
              <w:ind w:firstLine="0"/>
              <w:jc w:val="center"/>
              <w:rPr>
                <w:rFonts w:ascii="Times New Roman" w:hAnsi="Times New Roman"/>
                <w:sz w:val="21"/>
              </w:rPr>
            </w:pPr>
            <w:r>
              <w:rPr>
                <w:rFonts w:ascii="Times New Roman" w:hAnsi="Times New Roman"/>
                <w:sz w:val="21"/>
              </w:rPr>
              <w:t>1107.4</w:t>
            </w:r>
          </w:p>
        </w:tc>
        <w:tc>
          <w:tcPr>
            <w:tcW w:w="864" w:type="dxa"/>
            <w:vMerge w:val="restart"/>
            <w:noWrap w:val="0"/>
            <w:vAlign w:val="center"/>
          </w:tcPr>
          <w:p>
            <w:pPr>
              <w:spacing w:line="240" w:lineRule="auto"/>
              <w:ind w:firstLine="0"/>
              <w:jc w:val="center"/>
              <w:rPr>
                <w:rFonts w:ascii="Times New Roman" w:hAnsi="Times New Roman"/>
                <w:sz w:val="21"/>
              </w:rPr>
            </w:pPr>
            <w:r>
              <w:rPr>
                <w:rFonts w:ascii="Times New Roman" w:hAnsi="Times New Roman"/>
                <w:sz w:val="21"/>
              </w:rPr>
              <w:t>38.17%</w:t>
            </w:r>
          </w:p>
        </w:tc>
        <w:tc>
          <w:tcPr>
            <w:tcW w:w="647" w:type="dxa"/>
            <w:noWrap w:val="0"/>
            <w:vAlign w:val="center"/>
          </w:tcPr>
          <w:p>
            <w:pPr>
              <w:spacing w:line="240" w:lineRule="auto"/>
              <w:ind w:firstLine="0"/>
              <w:jc w:val="center"/>
              <w:rPr>
                <w:rFonts w:ascii="Times New Roman" w:hAnsi="Times New Roman"/>
                <w:color w:val="000000"/>
                <w:sz w:val="21"/>
              </w:rPr>
            </w:pPr>
            <w:r>
              <w:rPr>
                <w:rFonts w:ascii="Times New Roman" w:hAnsi="Times New Roman"/>
                <w:color w:val="000000"/>
                <w:sz w:val="21"/>
              </w:rPr>
              <w:t>B6</w:t>
            </w:r>
          </w:p>
        </w:tc>
        <w:tc>
          <w:tcPr>
            <w:tcW w:w="899" w:type="dxa"/>
            <w:noWrap w:val="0"/>
            <w:vAlign w:val="center"/>
          </w:tcPr>
          <w:p>
            <w:pPr>
              <w:spacing w:line="240" w:lineRule="auto"/>
              <w:ind w:firstLine="0"/>
              <w:jc w:val="center"/>
              <w:rPr>
                <w:rFonts w:ascii="Times New Roman" w:hAnsi="Times New Roman"/>
                <w:sz w:val="21"/>
              </w:rPr>
            </w:pPr>
            <w:r>
              <w:rPr>
                <w:rFonts w:ascii="Times New Roman" w:hAnsi="Times New Roman"/>
                <w:sz w:val="21"/>
              </w:rPr>
              <w:t>87.21</w:t>
            </w:r>
          </w:p>
        </w:tc>
        <w:tc>
          <w:tcPr>
            <w:tcW w:w="1106" w:type="dxa"/>
            <w:noWrap w:val="0"/>
            <w:vAlign w:val="center"/>
          </w:tcPr>
          <w:p>
            <w:pPr>
              <w:spacing w:line="240" w:lineRule="auto"/>
              <w:ind w:firstLine="0"/>
              <w:jc w:val="center"/>
              <w:rPr>
                <w:rFonts w:ascii="Times New Roman" w:hAnsi="Times New Roman" w:eastAsia="仿宋_GB2312"/>
                <w:color w:val="000000"/>
                <w:sz w:val="21"/>
              </w:rPr>
            </w:pPr>
            <w:r>
              <w:rPr>
                <w:rFonts w:ascii="Times New Roman" w:hAnsi="Times New Roman" w:eastAsia="仿宋_GB2312"/>
                <w:color w:val="000000"/>
                <w:sz w:val="21"/>
              </w:rPr>
              <w:t>邦达—芒海次重点防治区</w:t>
            </w:r>
          </w:p>
        </w:tc>
        <w:tc>
          <w:tcPr>
            <w:tcW w:w="6804" w:type="dxa"/>
            <w:noWrap w:val="0"/>
            <w:vAlign w:val="center"/>
          </w:tcPr>
          <w:p>
            <w:pPr>
              <w:spacing w:line="240" w:lineRule="auto"/>
              <w:ind w:firstLine="0"/>
              <w:jc w:val="left"/>
              <w:rPr>
                <w:rFonts w:ascii="Times New Roman" w:hAnsi="Times New Roman"/>
                <w:sz w:val="21"/>
              </w:rPr>
            </w:pPr>
            <w:r>
              <w:rPr>
                <w:rFonts w:ascii="Times New Roman" w:hAnsi="Times New Roman" w:eastAsia="仿宋_GB2312"/>
                <w:sz w:val="21"/>
              </w:rPr>
              <w:t>区内以中山中切割陡坡地形为主，海拔高程介于900m～2200m，切割深度小于500m。沿线分布寒武系变质岩，坡高地陡，冲沟、河流发育，沟口多有洪积扇堆积，具有明显的侵蚀作用。岩体结构破碎，风化强烈，但植被覆盖率较高。人类活动主要表现为公路建设、农村建房及陡坡垦植等，地质环境条件总体复杂，地质灾害风险性高，易产生地质灾害，危害程度小~中等。</w:t>
            </w:r>
          </w:p>
        </w:tc>
        <w:tc>
          <w:tcPr>
            <w:tcW w:w="2068" w:type="dxa"/>
            <w:noWrap w:val="0"/>
            <w:vAlign w:val="center"/>
          </w:tcPr>
          <w:p>
            <w:pPr>
              <w:spacing w:line="240" w:lineRule="auto"/>
              <w:ind w:firstLine="0"/>
              <w:jc w:val="left"/>
              <w:rPr>
                <w:rFonts w:ascii="Times New Roman" w:hAnsi="Times New Roman" w:eastAsia="仿宋_GB2312"/>
                <w:sz w:val="21"/>
              </w:rPr>
            </w:pPr>
            <w:r>
              <w:rPr>
                <w:rFonts w:ascii="Times New Roman" w:hAnsi="Times New Roman" w:eastAsia="仿宋_GB2312"/>
                <w:sz w:val="21"/>
              </w:rPr>
              <w:t>防治原则以监测预警和地质环境保护为主，对个别点进行工程治理</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192" w:hRule="atLeast"/>
          <w:jc w:val="center"/>
        </w:trPr>
        <w:tc>
          <w:tcPr>
            <w:tcW w:w="659" w:type="dxa"/>
            <w:vMerge w:val="continue"/>
            <w:noWrap w:val="0"/>
            <w:vAlign w:val="center"/>
          </w:tcPr>
          <w:p>
            <w:pPr>
              <w:widowControl/>
              <w:spacing w:line="240" w:lineRule="auto"/>
              <w:ind w:firstLine="0"/>
              <w:jc w:val="center"/>
              <w:rPr>
                <w:rFonts w:ascii="Times New Roman" w:hAnsi="Times New Roman"/>
                <w:sz w:val="21"/>
              </w:rPr>
            </w:pPr>
          </w:p>
        </w:tc>
        <w:tc>
          <w:tcPr>
            <w:tcW w:w="899" w:type="dxa"/>
            <w:vMerge w:val="continue"/>
            <w:noWrap w:val="0"/>
            <w:vAlign w:val="center"/>
          </w:tcPr>
          <w:p>
            <w:pPr>
              <w:spacing w:line="240" w:lineRule="auto"/>
              <w:ind w:firstLine="0"/>
              <w:jc w:val="center"/>
              <w:rPr>
                <w:rFonts w:ascii="Times New Roman" w:hAnsi="Times New Roman"/>
                <w:sz w:val="21"/>
              </w:rPr>
            </w:pPr>
          </w:p>
        </w:tc>
        <w:tc>
          <w:tcPr>
            <w:tcW w:w="864" w:type="dxa"/>
            <w:vMerge w:val="continue"/>
            <w:noWrap w:val="0"/>
            <w:vAlign w:val="center"/>
          </w:tcPr>
          <w:p>
            <w:pPr>
              <w:spacing w:line="240" w:lineRule="auto"/>
              <w:ind w:firstLine="0"/>
              <w:jc w:val="center"/>
              <w:rPr>
                <w:rFonts w:ascii="Times New Roman" w:hAnsi="Times New Roman"/>
                <w:sz w:val="21"/>
              </w:rPr>
            </w:pPr>
          </w:p>
        </w:tc>
        <w:tc>
          <w:tcPr>
            <w:tcW w:w="647" w:type="dxa"/>
            <w:noWrap w:val="0"/>
            <w:vAlign w:val="center"/>
          </w:tcPr>
          <w:p>
            <w:pPr>
              <w:spacing w:line="240" w:lineRule="auto"/>
              <w:ind w:firstLine="0"/>
              <w:jc w:val="center"/>
              <w:rPr>
                <w:rFonts w:ascii="Times New Roman" w:hAnsi="Times New Roman"/>
                <w:color w:val="000000"/>
                <w:sz w:val="21"/>
              </w:rPr>
            </w:pPr>
            <w:r>
              <w:rPr>
                <w:rFonts w:ascii="Times New Roman" w:hAnsi="Times New Roman"/>
                <w:color w:val="000000"/>
                <w:sz w:val="21"/>
              </w:rPr>
              <w:t>B7</w:t>
            </w:r>
          </w:p>
        </w:tc>
        <w:tc>
          <w:tcPr>
            <w:tcW w:w="899" w:type="dxa"/>
            <w:noWrap w:val="0"/>
            <w:vAlign w:val="center"/>
          </w:tcPr>
          <w:p>
            <w:pPr>
              <w:spacing w:line="240" w:lineRule="auto"/>
              <w:ind w:firstLine="0"/>
              <w:jc w:val="center"/>
              <w:rPr>
                <w:rFonts w:ascii="Times New Roman" w:hAnsi="Times New Roman"/>
                <w:sz w:val="21"/>
              </w:rPr>
            </w:pPr>
            <w:r>
              <w:rPr>
                <w:rFonts w:ascii="Times New Roman" w:hAnsi="Times New Roman"/>
                <w:sz w:val="21"/>
              </w:rPr>
              <w:t>228.37</w:t>
            </w:r>
          </w:p>
        </w:tc>
        <w:tc>
          <w:tcPr>
            <w:tcW w:w="1106" w:type="dxa"/>
            <w:noWrap w:val="0"/>
            <w:vAlign w:val="center"/>
          </w:tcPr>
          <w:p>
            <w:pPr>
              <w:spacing w:line="240" w:lineRule="auto"/>
              <w:ind w:firstLine="0"/>
              <w:jc w:val="center"/>
              <w:rPr>
                <w:rFonts w:ascii="Times New Roman" w:hAnsi="Times New Roman" w:eastAsia="仿宋_GB2312"/>
                <w:color w:val="000000"/>
                <w:sz w:val="21"/>
              </w:rPr>
            </w:pPr>
            <w:r>
              <w:rPr>
                <w:rFonts w:ascii="Times New Roman" w:hAnsi="Times New Roman" w:eastAsia="仿宋_GB2312"/>
                <w:color w:val="000000"/>
                <w:sz w:val="21"/>
              </w:rPr>
              <w:t>芒市镇—轩岗—风平次重点防治区</w:t>
            </w:r>
          </w:p>
        </w:tc>
        <w:tc>
          <w:tcPr>
            <w:tcW w:w="6804" w:type="dxa"/>
            <w:noWrap w:val="0"/>
            <w:vAlign w:val="center"/>
          </w:tcPr>
          <w:p>
            <w:pPr>
              <w:spacing w:line="240" w:lineRule="auto"/>
              <w:ind w:firstLine="0"/>
              <w:jc w:val="left"/>
              <w:rPr>
                <w:rFonts w:ascii="Times New Roman" w:hAnsi="Times New Roman"/>
                <w:sz w:val="21"/>
              </w:rPr>
            </w:pPr>
            <w:r>
              <w:rPr>
                <w:rFonts w:ascii="Times New Roman" w:hAnsi="Times New Roman" w:eastAsia="仿宋_GB2312"/>
                <w:sz w:val="21"/>
              </w:rPr>
              <w:t>区内山间河谷冲积平原地形、湖积台地低丘缓坡地形以及岩溶地貌为主，海拔高程一般在900～1770m之间，切割深度50～200m，地坝子内地形平坦，存在软土和饱和砂土，坝子周边地形相对较陡，主要分布半成岩、碳酸盐岩，工程地质条件差，龙瑞大断裂隐伏通过。土壤侵蚀强度中等，村寨分布较集中，人类活动主要表现为公路建设、水利水电建设、农村建房及陡坡垦植等。地质环境条件总体中等复杂，地质灾害风险性低，但该区属城市发展中心，工程建设活动强烈，较易产生地质灾害，危害程度小~中等。</w:t>
            </w:r>
          </w:p>
        </w:tc>
        <w:tc>
          <w:tcPr>
            <w:tcW w:w="2068" w:type="dxa"/>
            <w:noWrap w:val="0"/>
            <w:vAlign w:val="center"/>
          </w:tcPr>
          <w:p>
            <w:pPr>
              <w:spacing w:line="240" w:lineRule="auto"/>
              <w:ind w:firstLine="0"/>
              <w:jc w:val="left"/>
              <w:rPr>
                <w:rFonts w:ascii="Times New Roman" w:hAnsi="Times New Roman" w:eastAsia="仿宋_GB2312"/>
                <w:sz w:val="21"/>
              </w:rPr>
            </w:pPr>
            <w:r>
              <w:rPr>
                <w:rFonts w:ascii="Times New Roman" w:hAnsi="Times New Roman" w:eastAsia="仿宋_GB2312"/>
                <w:sz w:val="21"/>
              </w:rPr>
              <w:t>防治原则以监测预警和地质环境保护为主，对个别点进行工程治理</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410" w:hRule="atLeast"/>
          <w:jc w:val="center"/>
        </w:trPr>
        <w:tc>
          <w:tcPr>
            <w:tcW w:w="659" w:type="dxa"/>
            <w:noWrap w:val="0"/>
            <w:vAlign w:val="center"/>
          </w:tcPr>
          <w:p>
            <w:pPr>
              <w:widowControl/>
              <w:spacing w:line="240" w:lineRule="auto"/>
              <w:ind w:firstLine="0"/>
              <w:jc w:val="center"/>
              <w:rPr>
                <w:rFonts w:ascii="Times New Roman" w:hAnsi="Times New Roman"/>
                <w:sz w:val="21"/>
              </w:rPr>
            </w:pPr>
            <w:r>
              <w:rPr>
                <w:rFonts w:ascii="Times New Roman" w:hAnsi="Times New Roman" w:eastAsia="仿宋_GB2312"/>
                <w:sz w:val="21"/>
              </w:rPr>
              <w:t>地质灾害一般防治区</w:t>
            </w:r>
            <w:r>
              <w:rPr>
                <w:rFonts w:ascii="Times New Roman" w:hAnsi="Times New Roman"/>
                <w:sz w:val="21"/>
              </w:rPr>
              <w:t>(C)</w:t>
            </w:r>
          </w:p>
        </w:tc>
        <w:tc>
          <w:tcPr>
            <w:tcW w:w="899" w:type="dxa"/>
            <w:noWrap w:val="0"/>
            <w:vAlign w:val="center"/>
          </w:tcPr>
          <w:p>
            <w:pPr>
              <w:spacing w:line="240" w:lineRule="auto"/>
              <w:ind w:firstLine="0"/>
              <w:jc w:val="center"/>
              <w:rPr>
                <w:rFonts w:ascii="Times New Roman" w:hAnsi="Times New Roman"/>
                <w:color w:val="000000"/>
                <w:sz w:val="21"/>
              </w:rPr>
            </w:pPr>
            <w:r>
              <w:rPr>
                <w:rFonts w:ascii="Times New Roman" w:hAnsi="Times New Roman"/>
                <w:color w:val="000000"/>
                <w:sz w:val="21"/>
              </w:rPr>
              <w:t>1298.10</w:t>
            </w:r>
          </w:p>
        </w:tc>
        <w:tc>
          <w:tcPr>
            <w:tcW w:w="864" w:type="dxa"/>
            <w:noWrap w:val="0"/>
            <w:vAlign w:val="center"/>
          </w:tcPr>
          <w:p>
            <w:pPr>
              <w:spacing w:line="240" w:lineRule="auto"/>
              <w:ind w:firstLine="0"/>
              <w:jc w:val="center"/>
              <w:rPr>
                <w:rFonts w:ascii="Times New Roman" w:hAnsi="Times New Roman"/>
                <w:color w:val="000000"/>
                <w:sz w:val="21"/>
              </w:rPr>
            </w:pPr>
            <w:r>
              <w:rPr>
                <w:rFonts w:ascii="Times New Roman" w:hAnsi="Times New Roman"/>
                <w:color w:val="000000"/>
                <w:sz w:val="21"/>
              </w:rPr>
              <w:t>44.75%</w:t>
            </w:r>
          </w:p>
        </w:tc>
        <w:tc>
          <w:tcPr>
            <w:tcW w:w="647" w:type="dxa"/>
            <w:noWrap w:val="0"/>
            <w:vAlign w:val="center"/>
          </w:tcPr>
          <w:p>
            <w:pPr>
              <w:spacing w:line="240" w:lineRule="auto"/>
              <w:ind w:firstLine="0"/>
              <w:jc w:val="center"/>
              <w:rPr>
                <w:rFonts w:ascii="Times New Roman" w:hAnsi="Times New Roman"/>
                <w:color w:val="000000"/>
                <w:sz w:val="21"/>
              </w:rPr>
            </w:pPr>
            <w:r>
              <w:rPr>
                <w:rFonts w:ascii="Times New Roman" w:hAnsi="Times New Roman"/>
                <w:color w:val="000000"/>
                <w:sz w:val="21"/>
              </w:rPr>
              <w:t>C</w:t>
            </w:r>
          </w:p>
        </w:tc>
        <w:tc>
          <w:tcPr>
            <w:tcW w:w="899" w:type="dxa"/>
            <w:noWrap w:val="0"/>
            <w:vAlign w:val="center"/>
          </w:tcPr>
          <w:p>
            <w:pPr>
              <w:spacing w:line="240" w:lineRule="auto"/>
              <w:ind w:firstLine="0"/>
              <w:jc w:val="center"/>
              <w:rPr>
                <w:rFonts w:ascii="Times New Roman" w:hAnsi="Times New Roman"/>
                <w:sz w:val="21"/>
              </w:rPr>
            </w:pPr>
            <w:r>
              <w:rPr>
                <w:rFonts w:ascii="Times New Roman" w:hAnsi="Times New Roman"/>
                <w:sz w:val="21"/>
              </w:rPr>
              <w:t>1297.96</w:t>
            </w:r>
          </w:p>
        </w:tc>
        <w:tc>
          <w:tcPr>
            <w:tcW w:w="1106" w:type="dxa"/>
            <w:noWrap w:val="0"/>
            <w:vAlign w:val="center"/>
          </w:tcPr>
          <w:p>
            <w:pPr>
              <w:spacing w:line="240" w:lineRule="auto"/>
              <w:ind w:firstLine="0"/>
              <w:jc w:val="center"/>
              <w:rPr>
                <w:rFonts w:ascii="Times New Roman" w:hAnsi="Times New Roman" w:eastAsia="仿宋_GB2312"/>
                <w:color w:val="000000"/>
                <w:sz w:val="21"/>
              </w:rPr>
            </w:pPr>
            <w:r>
              <w:rPr>
                <w:rFonts w:ascii="Times New Roman" w:hAnsi="Times New Roman" w:eastAsia="仿宋_GB2312"/>
                <w:color w:val="000000"/>
                <w:sz w:val="21"/>
              </w:rPr>
              <w:t>芒市一般防治区</w:t>
            </w:r>
          </w:p>
        </w:tc>
        <w:tc>
          <w:tcPr>
            <w:tcW w:w="6804" w:type="dxa"/>
            <w:noWrap w:val="0"/>
            <w:vAlign w:val="center"/>
          </w:tcPr>
          <w:p>
            <w:pPr>
              <w:spacing w:line="240" w:lineRule="auto"/>
              <w:ind w:firstLine="0"/>
              <w:jc w:val="left"/>
              <w:rPr>
                <w:rFonts w:ascii="Times New Roman" w:hAnsi="Times New Roman"/>
                <w:sz w:val="21"/>
              </w:rPr>
            </w:pPr>
            <w:r>
              <w:rPr>
                <w:rFonts w:ascii="Times New Roman" w:hAnsi="Times New Roman" w:eastAsia="仿宋_GB2312"/>
                <w:sz w:val="21"/>
              </w:rPr>
              <w:t>区内海拔最低640m，最高处2800m，高差2200余米，地形切割50～1000m，地形坡度变化较大，表现在地貌上则为构造侵蚀、构造剥蚀高中山与河流堆积盆地相间分布。斜坡区域以全强风化岩为主，局部地段有半坚硬岩组分布，而山间河谷沉积盆地则以松散土体为主。斜坡区植被发育，覆盖率〉85%，河谷盆地以农业耕种为主，植被覆盖率较低。大部分区域距离断层带稍远，受断层影响一般，岩体结构面较发育，稳定性一般，残坡积厚度较大，土壤侵蚀程度总体一般。村寨分布较分散，地质环境条件总体中等-复杂，地质灾害风险性低-高，危害程度以小为主，局部中等。</w:t>
            </w:r>
          </w:p>
        </w:tc>
        <w:tc>
          <w:tcPr>
            <w:tcW w:w="2068" w:type="dxa"/>
            <w:noWrap w:val="0"/>
            <w:vAlign w:val="center"/>
          </w:tcPr>
          <w:p>
            <w:pPr>
              <w:spacing w:line="240" w:lineRule="auto"/>
              <w:ind w:firstLine="0"/>
              <w:jc w:val="left"/>
              <w:rPr>
                <w:rFonts w:ascii="Times New Roman" w:hAnsi="Times New Roman" w:eastAsia="仿宋_GB2312"/>
                <w:sz w:val="21"/>
              </w:rPr>
            </w:pPr>
            <w:r>
              <w:rPr>
                <w:rFonts w:ascii="Times New Roman" w:hAnsi="Times New Roman" w:eastAsia="仿宋_GB2312"/>
                <w:sz w:val="21"/>
              </w:rPr>
              <w:t>防治原则以监测预警和地质环境保护为主，对个别点进行工程治理或避险搬迁</w:t>
            </w:r>
          </w:p>
        </w:tc>
      </w:tr>
    </w:tbl>
    <w:p>
      <w:pPr>
        <w:ind w:firstLine="0"/>
        <w:jc w:val="center"/>
        <w:rPr>
          <w:rFonts w:ascii="Times New Roman" w:hAnsi="Times New Roman"/>
          <w:b/>
          <w:color w:val="FF0000"/>
          <w:sz w:val="22"/>
          <w:szCs w:val="22"/>
        </w:rPr>
      </w:pPr>
    </w:p>
    <w:p>
      <w:pPr>
        <w:ind w:firstLine="0"/>
        <w:jc w:val="center"/>
        <w:rPr>
          <w:rFonts w:ascii="Times New Roman" w:hAnsi="Times New Roman"/>
          <w:b/>
          <w:color w:val="FF0000"/>
          <w:sz w:val="22"/>
          <w:szCs w:val="22"/>
        </w:rPr>
      </w:pPr>
    </w:p>
    <w:p>
      <w:pPr>
        <w:ind w:firstLine="0"/>
        <w:jc w:val="center"/>
        <w:rPr>
          <w:rFonts w:ascii="Times New Roman" w:hAnsi="Times New Roman"/>
          <w:b/>
          <w:color w:val="FF0000"/>
          <w:sz w:val="22"/>
          <w:szCs w:val="22"/>
        </w:rPr>
      </w:pPr>
    </w:p>
    <w:p>
      <w:pPr>
        <w:ind w:firstLine="0"/>
        <w:jc w:val="center"/>
        <w:rPr>
          <w:rFonts w:ascii="Times New Roman" w:hAnsi="Times New Roman"/>
          <w:b/>
          <w:color w:val="FF0000"/>
          <w:sz w:val="24"/>
          <w:szCs w:val="24"/>
        </w:rPr>
      </w:pPr>
    </w:p>
    <w:p>
      <w:pPr>
        <w:ind w:firstLine="560"/>
        <w:rPr>
          <w:rFonts w:ascii="Times New Roman" w:hAnsi="Times New Roman"/>
          <w:color w:val="FF0000"/>
        </w:rPr>
        <w:sectPr>
          <w:pgSz w:w="16840" w:h="11907"/>
          <w:pgMar w:top="1247" w:right="1247" w:bottom="1247" w:left="1588" w:header="851" w:footer="476" w:gutter="0"/>
          <w:cols w:space="1701" w:num="1"/>
        </w:sectPr>
      </w:pPr>
    </w:p>
    <w:p>
      <w:pPr>
        <w:pStyle w:val="182"/>
        <w:spacing w:line="360" w:lineRule="auto"/>
        <w:rPr>
          <w:rFonts w:ascii="Times New Roman" w:hAnsi="Times New Roman"/>
          <w:b/>
        </w:rPr>
      </w:pPr>
      <w:bookmarkStart w:id="59" w:name="_Toc137671417"/>
      <w:r>
        <w:rPr>
          <w:rFonts w:ascii="Times New Roman" w:hAnsi="Times New Roman"/>
          <w:b/>
        </w:rPr>
        <w:t>四、地质灾害防治规划</w:t>
      </w:r>
      <w:bookmarkEnd w:id="59"/>
    </w:p>
    <w:p>
      <w:pPr>
        <w:ind w:firstLine="560"/>
        <w:rPr>
          <w:rFonts w:ascii="Times New Roman" w:hAnsi="Times New Roman"/>
        </w:rPr>
      </w:pPr>
      <w:r>
        <w:rPr>
          <w:rFonts w:ascii="Times New Roman" w:hAnsi="Times New Roman"/>
        </w:rPr>
        <w:t>按照相关文件要求，结合全市地质灾害现状及“十三五”地质灾害防治管理工作经验、问题总结和形式需要，本次规划将“风险调查、监测预警、风险防控和防灾能力建设”作为重点，以期达到全面构建芒市地质灾害综合防治体系，切实提升地质灾害综合防治能力的目标。</w:t>
      </w:r>
    </w:p>
    <w:p>
      <w:pPr>
        <w:pStyle w:val="183"/>
        <w:spacing w:before="120" w:after="120"/>
        <w:rPr>
          <w:rFonts w:ascii="Times New Roman" w:hAnsi="Times New Roman"/>
          <w:b/>
        </w:rPr>
      </w:pPr>
      <w:bookmarkStart w:id="60" w:name="_Toc137671418"/>
      <w:r>
        <w:rPr>
          <w:rFonts w:ascii="Times New Roman" w:hAnsi="Times New Roman"/>
          <w:b/>
        </w:rPr>
        <w:t>（一）调查评价</w:t>
      </w:r>
      <w:bookmarkEnd w:id="60"/>
    </w:p>
    <w:p>
      <w:pPr>
        <w:pStyle w:val="184"/>
        <w:spacing w:after="0"/>
        <w:rPr>
          <w:rStyle w:val="197"/>
          <w:rFonts w:ascii="Times New Roman" w:hAnsi="Times New Roman"/>
          <w:b/>
          <w:bCs w:val="0"/>
        </w:rPr>
      </w:pPr>
      <w:bookmarkStart w:id="61" w:name="_Toc131872735"/>
      <w:bookmarkStart w:id="62" w:name="_Toc137671419"/>
      <w:r>
        <w:rPr>
          <w:rStyle w:val="197"/>
          <w:rFonts w:ascii="Times New Roman" w:hAnsi="Times New Roman"/>
          <w:b/>
          <w:bCs w:val="0"/>
        </w:rPr>
        <w:t>1、巡查排查</w:t>
      </w:r>
      <w:bookmarkEnd w:id="61"/>
      <w:bookmarkEnd w:id="62"/>
    </w:p>
    <w:p>
      <w:pPr>
        <w:ind w:firstLine="560"/>
        <w:rPr>
          <w:rFonts w:hint="eastAsia" w:ascii="Times New Roman" w:hAnsi="Times New Roman"/>
          <w:szCs w:val="28"/>
        </w:rPr>
      </w:pPr>
      <w:r>
        <w:rPr>
          <w:rFonts w:ascii="Times New Roman" w:hAnsi="Times New Roman"/>
          <w:szCs w:val="28"/>
        </w:rPr>
        <w:t>（1）威胁对象主要是城乡居民或责任主体不明确的地质灾害隐患巡查排查工作，由</w:t>
      </w:r>
      <w:r>
        <w:rPr>
          <w:rFonts w:hint="eastAsia" w:ascii="Times New Roman" w:hAnsi="Times New Roman"/>
          <w:szCs w:val="28"/>
        </w:rPr>
        <w:t>芒市</w:t>
      </w:r>
      <w:r>
        <w:rPr>
          <w:rFonts w:ascii="Times New Roman" w:hAnsi="Times New Roman"/>
          <w:szCs w:val="28"/>
        </w:rPr>
        <w:t>自然资源局组织完成。</w:t>
      </w:r>
      <w:r>
        <w:rPr>
          <w:rFonts w:hint="eastAsia" w:ascii="Times New Roman" w:hAnsi="Times New Roman"/>
          <w:szCs w:val="28"/>
        </w:rPr>
        <w:t>芒市</w:t>
      </w:r>
      <w:r>
        <w:rPr>
          <w:rFonts w:ascii="Times New Roman" w:hAnsi="Times New Roman"/>
          <w:szCs w:val="28"/>
        </w:rPr>
        <w:t>自然资源局应主动联合专业技术支撑单位，做到“汛前排查、汛中巡查、汛后核查”，并对汛中突发地质灾害隐患进行应急调查处置，及时发现、排除、减少隐患点造成的威胁。每年4—5月，开展地质灾害汛前排查，排查隐患点现状，预测发展趋势，检查落实“两卡”发放工作情况，开展宣传教育等。每年6—10月，开展地质灾害汛中巡查，对地质灾害危险区标示牌、逃离路线指示图标和示意图、预警信号、避险地、避险设施等的安放位置和汛期监测工作内容、值班制度的合理性及可行性进行检查指导，同时结合隐患点实际情况开展地质灾害防治知识的宣传、培训。每年11月，开展汛期结束后的核查，核查地质灾害现状及趋势，稳定性程度，为下一年度开展相关工作提出建议。</w:t>
      </w:r>
    </w:p>
    <w:p>
      <w:pPr>
        <w:ind w:firstLine="560"/>
        <w:rPr>
          <w:rFonts w:ascii="Times New Roman" w:hAnsi="Times New Roman"/>
          <w:szCs w:val="28"/>
        </w:rPr>
      </w:pPr>
      <w:r>
        <w:rPr>
          <w:rFonts w:ascii="Times New Roman" w:hAnsi="Times New Roman"/>
          <w:szCs w:val="28"/>
        </w:rPr>
        <w:t>（2）责任主体明确的地质灾害隐患“三查”工作，由对口主管部门督促指导责任主体完成。根据灾害隐患轻重缓急情况，定期或临时委托有资质的单位对水利水电设施、公路、学校、矿山、旅游景区的地质灾害隐患开展专业排查，并提出相应的防治措施和计划，及时将排查成果资料汇交各县市自然资源局备案。责任主体明确的地质灾害隐患“三查”费用由责任主体企业承担。</w:t>
      </w:r>
    </w:p>
    <w:p>
      <w:pPr>
        <w:ind w:firstLine="560"/>
        <w:rPr>
          <w:rFonts w:ascii="Times New Roman" w:hAnsi="Times New Roman"/>
          <w:szCs w:val="28"/>
        </w:rPr>
      </w:pPr>
      <w:r>
        <w:rPr>
          <w:rFonts w:ascii="Times New Roman" w:hAnsi="Times New Roman"/>
          <w:szCs w:val="28"/>
        </w:rPr>
        <w:t>（3）遥感识别疑似隐患点核验</w:t>
      </w:r>
    </w:p>
    <w:p>
      <w:pPr>
        <w:ind w:firstLine="560"/>
        <w:rPr>
          <w:rFonts w:ascii="Times New Roman" w:hAnsi="Times New Roman"/>
          <w:szCs w:val="28"/>
        </w:rPr>
      </w:pPr>
      <w:r>
        <w:rPr>
          <w:rFonts w:ascii="Times New Roman" w:hAnsi="Times New Roman"/>
          <w:szCs w:val="28"/>
        </w:rPr>
        <w:t>以综合遥感、无人机航摄、传统手段相结合，加强地质灾害风险源和隐患早期识别。技术支撑队伍紧密配合自然资源部遥感中心和省地质灾害隐患识别中心，对下发的疑似地质灾害隐患点（区）遥感识别信息，做好现场核验工作，并将核验结果整理、报送至云南省地质调查局，建立地质灾害综合遥感识别长效工作机制。本次仅提出初步工作方案，相关工作由省技术指导中心负责，费用编制纳入省级方案中。2021年我市</w:t>
      </w:r>
      <w:r>
        <w:rPr>
          <w:rFonts w:hint="eastAsia" w:ascii="Times New Roman" w:hAnsi="Times New Roman"/>
          <w:szCs w:val="28"/>
        </w:rPr>
        <w:t>33</w:t>
      </w:r>
      <w:r>
        <w:rPr>
          <w:rFonts w:ascii="Times New Roman" w:hAnsi="Times New Roman"/>
          <w:szCs w:val="28"/>
        </w:rPr>
        <w:t>个核验点已实施完成，2022年完成</w:t>
      </w:r>
      <w:r>
        <w:rPr>
          <w:rFonts w:hint="eastAsia" w:ascii="Times New Roman" w:hAnsi="Times New Roman"/>
          <w:szCs w:val="28"/>
        </w:rPr>
        <w:t>10</w:t>
      </w:r>
      <w:r>
        <w:rPr>
          <w:rFonts w:ascii="Times New Roman" w:hAnsi="Times New Roman"/>
          <w:szCs w:val="28"/>
        </w:rPr>
        <w:t>个疑似隐患点的核查工作，2023—2025年每年按</w:t>
      </w:r>
      <w:r>
        <w:rPr>
          <w:rFonts w:hint="eastAsia" w:ascii="Times New Roman" w:hAnsi="Times New Roman"/>
          <w:szCs w:val="28"/>
        </w:rPr>
        <w:t>1</w:t>
      </w:r>
      <w:r>
        <w:rPr>
          <w:rFonts w:ascii="Times New Roman" w:hAnsi="Times New Roman"/>
          <w:szCs w:val="28"/>
        </w:rPr>
        <w:t>0个点工作量进行规划，“十四五”共规划完成</w:t>
      </w:r>
      <w:r>
        <w:rPr>
          <w:rFonts w:hint="eastAsia" w:ascii="Times New Roman" w:hAnsi="Times New Roman"/>
          <w:szCs w:val="28"/>
        </w:rPr>
        <w:t>73</w:t>
      </w:r>
      <w:r>
        <w:rPr>
          <w:rFonts w:ascii="Times New Roman" w:hAnsi="Times New Roman"/>
          <w:szCs w:val="28"/>
        </w:rPr>
        <w:t>个点。</w:t>
      </w:r>
    </w:p>
    <w:p>
      <w:pPr>
        <w:pStyle w:val="184"/>
        <w:spacing w:after="0"/>
        <w:rPr>
          <w:rStyle w:val="197"/>
          <w:rFonts w:ascii="Times New Roman" w:hAnsi="Times New Roman"/>
          <w:b/>
          <w:bCs w:val="0"/>
        </w:rPr>
      </w:pPr>
      <w:bookmarkStart w:id="63" w:name="_Toc137671420"/>
      <w:bookmarkStart w:id="64" w:name="_Toc131872736"/>
      <w:r>
        <w:rPr>
          <w:rStyle w:val="197"/>
          <w:rFonts w:ascii="Times New Roman" w:hAnsi="Times New Roman"/>
          <w:b/>
          <w:bCs w:val="0"/>
        </w:rPr>
        <w:t>2、精细化调查和风险评价</w:t>
      </w:r>
      <w:bookmarkEnd w:id="63"/>
      <w:bookmarkEnd w:id="64"/>
    </w:p>
    <w:p>
      <w:pPr>
        <w:ind w:firstLine="560"/>
        <w:rPr>
          <w:rFonts w:ascii="Times New Roman" w:hAnsi="Times New Roman"/>
          <w:szCs w:val="28"/>
        </w:rPr>
      </w:pPr>
      <w:r>
        <w:rPr>
          <w:rFonts w:ascii="Times New Roman" w:hAnsi="Times New Roman"/>
          <w:szCs w:val="28"/>
        </w:rPr>
        <w:t>精细化调查及风险评价工作主要包括遥感调查和地面调查两部分，按照相关要求，2023年底规划完成我市精细化调查工作，该项工作调查区总面积2900.56km</w:t>
      </w:r>
      <w:r>
        <w:rPr>
          <w:rFonts w:ascii="Times New Roman" w:hAnsi="Times New Roman"/>
          <w:szCs w:val="28"/>
          <w:vertAlign w:val="superscript"/>
        </w:rPr>
        <w:t>2</w:t>
      </w:r>
      <w:r>
        <w:rPr>
          <w:rFonts w:ascii="Times New Roman" w:hAnsi="Times New Roman"/>
          <w:szCs w:val="28"/>
        </w:rPr>
        <w:t>，重点调查区面积870km</w:t>
      </w:r>
      <w:r>
        <w:rPr>
          <w:rFonts w:ascii="Times New Roman" w:hAnsi="Times New Roman"/>
          <w:szCs w:val="28"/>
          <w:vertAlign w:val="superscript"/>
        </w:rPr>
        <w:t>2</w:t>
      </w:r>
      <w:r>
        <w:rPr>
          <w:rFonts w:ascii="Times New Roman" w:hAnsi="Times New Roman"/>
          <w:szCs w:val="28"/>
        </w:rPr>
        <w:t>，一般调查区面积2030.56km</w:t>
      </w:r>
      <w:r>
        <w:rPr>
          <w:rFonts w:ascii="Times New Roman" w:hAnsi="Times New Roman"/>
          <w:szCs w:val="28"/>
          <w:vertAlign w:val="superscript"/>
        </w:rPr>
        <w:t>2</w:t>
      </w:r>
      <w:r>
        <w:rPr>
          <w:rFonts w:ascii="Times New Roman" w:hAnsi="Times New Roman"/>
          <w:szCs w:val="28"/>
        </w:rPr>
        <w:t>，1:10000精细化调查面积290km</w:t>
      </w:r>
      <w:r>
        <w:rPr>
          <w:rFonts w:ascii="Times New Roman" w:hAnsi="Times New Roman"/>
          <w:szCs w:val="28"/>
          <w:vertAlign w:val="superscript"/>
        </w:rPr>
        <w:t>2</w:t>
      </w:r>
      <w:r>
        <w:rPr>
          <w:rFonts w:ascii="Times New Roman" w:hAnsi="Times New Roman"/>
          <w:szCs w:val="28"/>
        </w:rPr>
        <w:t>。</w:t>
      </w:r>
    </w:p>
    <w:p>
      <w:pPr>
        <w:pStyle w:val="184"/>
        <w:spacing w:after="0"/>
        <w:rPr>
          <w:rStyle w:val="197"/>
          <w:rFonts w:ascii="Times New Roman" w:hAnsi="Times New Roman"/>
          <w:b/>
          <w:bCs w:val="0"/>
        </w:rPr>
      </w:pPr>
      <w:bookmarkStart w:id="65" w:name="_Toc129078131"/>
      <w:bookmarkStart w:id="66" w:name="_Toc137671421"/>
      <w:bookmarkStart w:id="67" w:name="_Toc129077674"/>
      <w:bookmarkStart w:id="68" w:name="_Toc129078700"/>
      <w:bookmarkStart w:id="69" w:name="_Toc131872737"/>
      <w:r>
        <w:rPr>
          <w:rStyle w:val="197"/>
          <w:rFonts w:ascii="Times New Roman" w:hAnsi="Times New Roman"/>
          <w:b/>
          <w:bCs w:val="0"/>
        </w:rPr>
        <w:t>3</w:t>
      </w:r>
      <w:r>
        <w:rPr>
          <w:rStyle w:val="197"/>
          <w:rFonts w:hint="eastAsia" w:ascii="Times New Roman" w:hAnsi="Times New Roman"/>
          <w:b/>
          <w:bCs w:val="0"/>
        </w:rPr>
        <w:t>、</w:t>
      </w:r>
      <w:r>
        <w:rPr>
          <w:rStyle w:val="197"/>
          <w:rFonts w:ascii="Times New Roman" w:hAnsi="Times New Roman"/>
          <w:b/>
          <w:bCs w:val="0"/>
        </w:rPr>
        <w:t>风险普查</w:t>
      </w:r>
      <w:bookmarkEnd w:id="65"/>
      <w:bookmarkEnd w:id="66"/>
      <w:bookmarkEnd w:id="67"/>
      <w:bookmarkEnd w:id="68"/>
      <w:bookmarkEnd w:id="69"/>
    </w:p>
    <w:p>
      <w:pPr>
        <w:ind w:firstLine="560"/>
        <w:rPr>
          <w:rFonts w:hint="eastAsia" w:ascii="Times New Roman" w:hAnsi="Times New Roman"/>
        </w:rPr>
      </w:pPr>
      <w:r>
        <w:rPr>
          <w:rFonts w:ascii="Times New Roman" w:hAnsi="Times New Roman"/>
        </w:rPr>
        <w:t>2022年5月完成芒</w:t>
      </w:r>
      <w:r>
        <w:rPr>
          <w:rFonts w:hint="eastAsia" w:ascii="Times New Roman" w:hAnsi="Times New Roman"/>
        </w:rPr>
        <w:t>市1:5万风险普查工作</w:t>
      </w:r>
      <w:r>
        <w:rPr>
          <w:rFonts w:ascii="Times New Roman" w:hAnsi="Times New Roman"/>
        </w:rPr>
        <w:t>。</w:t>
      </w:r>
    </w:p>
    <w:p>
      <w:pPr>
        <w:ind w:firstLine="0"/>
        <w:jc w:val="center"/>
        <w:rPr>
          <w:rFonts w:hint="eastAsia" w:ascii="Times New Roman" w:hAnsi="Times New Roman"/>
          <w:sz w:val="24"/>
        </w:rPr>
      </w:pPr>
    </w:p>
    <w:p>
      <w:pPr>
        <w:spacing w:line="240" w:lineRule="auto"/>
        <w:ind w:firstLine="0"/>
        <w:jc w:val="center"/>
        <w:rPr>
          <w:rFonts w:ascii="Times New Roman" w:hAnsi="Times New Roman"/>
          <w:b/>
          <w:sz w:val="24"/>
          <w:szCs w:val="24"/>
        </w:rPr>
      </w:pPr>
      <w:r>
        <w:rPr>
          <w:rFonts w:ascii="Times New Roman" w:hAnsi="Times New Roman"/>
          <w:b/>
          <w:sz w:val="24"/>
          <w:szCs w:val="24"/>
        </w:rPr>
        <w:t>专栏一  地质灾害调查评价工程规划表</w:t>
      </w:r>
    </w:p>
    <w:tbl>
      <w:tblPr>
        <w:tblStyle w:val="28"/>
        <w:tblW w:w="490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15" w:type="dxa"/>
          <w:left w:w="15" w:type="dxa"/>
          <w:bottom w:w="0" w:type="dxa"/>
          <w:right w:w="15" w:type="dxa"/>
        </w:tblCellMar>
      </w:tblPr>
      <w:tblGrid>
        <w:gridCol w:w="585"/>
        <w:gridCol w:w="1601"/>
        <w:gridCol w:w="1426"/>
        <w:gridCol w:w="1276"/>
        <w:gridCol w:w="1417"/>
        <w:gridCol w:w="1277"/>
        <w:gridCol w:w="13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0" w:type="dxa"/>
            <w:right w:w="15" w:type="dxa"/>
          </w:tblCellMar>
        </w:tblPrEx>
        <w:trPr>
          <w:trHeight w:val="408" w:hRule="atLeast"/>
          <w:tblHeader/>
          <w:jc w:val="center"/>
        </w:trPr>
        <w:tc>
          <w:tcPr>
            <w:tcW w:w="2186" w:type="dxa"/>
            <w:gridSpan w:val="2"/>
            <w:vMerge w:val="restart"/>
            <w:noWrap w:val="0"/>
            <w:tcMar>
              <w:top w:w="15" w:type="dxa"/>
              <w:left w:w="15" w:type="dxa"/>
              <w:right w:w="15" w:type="dxa"/>
            </w:tcMar>
            <w:vAlign w:val="center"/>
          </w:tcPr>
          <w:p>
            <w:pPr>
              <w:widowControl/>
              <w:spacing w:line="240" w:lineRule="auto"/>
              <w:ind w:right="140" w:firstLine="0"/>
              <w:jc w:val="center"/>
              <w:rPr>
                <w:rFonts w:ascii="Times New Roman" w:hAnsi="Times New Roman"/>
                <w:sz w:val="21"/>
              </w:rPr>
            </w:pPr>
            <w:r>
              <w:rPr>
                <w:rFonts w:ascii="Times New Roman" w:hAnsi="Times New Roman"/>
                <w:sz w:val="21"/>
              </w:rPr>
              <w:t xml:space="preserve">项 </w:t>
            </w:r>
            <w:r>
              <w:rPr>
                <w:rStyle w:val="274"/>
                <w:rFonts w:ascii="Times New Roman" w:hAnsi="Times New Roman" w:cs="Times New Roman"/>
                <w:b w:val="0"/>
                <w:sz w:val="21"/>
              </w:rPr>
              <w:t xml:space="preserve"> 目</w:t>
            </w:r>
          </w:p>
        </w:tc>
        <w:tc>
          <w:tcPr>
            <w:tcW w:w="6739" w:type="dxa"/>
            <w:gridSpan w:val="5"/>
            <w:noWrap w:val="0"/>
            <w:vAlign w:val="center"/>
          </w:tcPr>
          <w:p>
            <w:pPr>
              <w:spacing w:line="240" w:lineRule="auto"/>
              <w:ind w:right="140" w:firstLine="420"/>
              <w:jc w:val="center"/>
              <w:rPr>
                <w:rFonts w:ascii="Times New Roman" w:hAnsi="Times New Roman"/>
                <w:sz w:val="21"/>
              </w:rPr>
            </w:pPr>
            <w:r>
              <w:rPr>
                <w:rFonts w:ascii="Times New Roman" w:hAnsi="Times New Roman"/>
                <w:sz w:val="21"/>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0" w:type="dxa"/>
            <w:right w:w="15" w:type="dxa"/>
          </w:tblCellMar>
        </w:tblPrEx>
        <w:trPr>
          <w:trHeight w:val="415" w:hRule="atLeast"/>
          <w:tblHeader/>
          <w:jc w:val="center"/>
        </w:trPr>
        <w:tc>
          <w:tcPr>
            <w:tcW w:w="2186" w:type="dxa"/>
            <w:gridSpan w:val="2"/>
            <w:vMerge w:val="continue"/>
            <w:noWrap w:val="0"/>
            <w:tcMar>
              <w:top w:w="15" w:type="dxa"/>
              <w:left w:w="15" w:type="dxa"/>
              <w:right w:w="15" w:type="dxa"/>
            </w:tcMar>
            <w:vAlign w:val="center"/>
          </w:tcPr>
          <w:p>
            <w:pPr>
              <w:widowControl/>
              <w:spacing w:line="240" w:lineRule="auto"/>
              <w:ind w:right="140" w:firstLine="0"/>
              <w:jc w:val="center"/>
              <w:rPr>
                <w:rFonts w:ascii="Times New Roman" w:hAnsi="Times New Roman"/>
                <w:sz w:val="21"/>
              </w:rPr>
            </w:pPr>
          </w:p>
        </w:tc>
        <w:tc>
          <w:tcPr>
            <w:tcW w:w="799" w:type="dxa"/>
            <w:noWrap w:val="0"/>
            <w:tcMar>
              <w:top w:w="15" w:type="dxa"/>
              <w:left w:w="15" w:type="dxa"/>
              <w:right w:w="15" w:type="dxa"/>
            </w:tcMar>
            <w:vAlign w:val="center"/>
          </w:tcPr>
          <w:p>
            <w:pPr>
              <w:widowControl/>
              <w:spacing w:line="240" w:lineRule="auto"/>
              <w:ind w:right="140" w:firstLine="0"/>
              <w:jc w:val="center"/>
              <w:rPr>
                <w:rFonts w:ascii="Times New Roman" w:hAnsi="Times New Roman"/>
                <w:sz w:val="21"/>
              </w:rPr>
            </w:pPr>
            <w:r>
              <w:rPr>
                <w:rFonts w:ascii="Times New Roman" w:hAnsi="Times New Roman"/>
                <w:sz w:val="21"/>
              </w:rPr>
              <w:t>2021年</w:t>
            </w:r>
          </w:p>
        </w:tc>
        <w:tc>
          <w:tcPr>
            <w:tcW w:w="715" w:type="dxa"/>
            <w:noWrap w:val="0"/>
            <w:tcMar>
              <w:top w:w="15" w:type="dxa"/>
              <w:left w:w="15" w:type="dxa"/>
              <w:right w:w="15" w:type="dxa"/>
            </w:tcMar>
            <w:vAlign w:val="center"/>
          </w:tcPr>
          <w:p>
            <w:pPr>
              <w:widowControl/>
              <w:spacing w:line="240" w:lineRule="auto"/>
              <w:ind w:right="140" w:firstLine="0"/>
              <w:jc w:val="center"/>
              <w:rPr>
                <w:rFonts w:ascii="Times New Roman" w:hAnsi="Times New Roman"/>
                <w:sz w:val="21"/>
              </w:rPr>
            </w:pPr>
            <w:r>
              <w:rPr>
                <w:rFonts w:ascii="Times New Roman" w:hAnsi="Times New Roman"/>
                <w:sz w:val="21"/>
              </w:rPr>
              <w:t>2022年</w:t>
            </w:r>
          </w:p>
        </w:tc>
        <w:tc>
          <w:tcPr>
            <w:tcW w:w="794" w:type="dxa"/>
            <w:noWrap w:val="0"/>
            <w:tcMar>
              <w:top w:w="15" w:type="dxa"/>
              <w:left w:w="15" w:type="dxa"/>
              <w:right w:w="15" w:type="dxa"/>
            </w:tcMar>
            <w:vAlign w:val="center"/>
          </w:tcPr>
          <w:p>
            <w:pPr>
              <w:widowControl/>
              <w:spacing w:line="240" w:lineRule="auto"/>
              <w:ind w:right="140" w:firstLine="0"/>
              <w:jc w:val="center"/>
              <w:rPr>
                <w:rFonts w:ascii="Times New Roman" w:hAnsi="Times New Roman"/>
                <w:sz w:val="21"/>
              </w:rPr>
            </w:pPr>
            <w:r>
              <w:rPr>
                <w:rFonts w:ascii="Times New Roman" w:hAnsi="Times New Roman"/>
                <w:sz w:val="21"/>
              </w:rPr>
              <w:t>2023年</w:t>
            </w:r>
          </w:p>
        </w:tc>
        <w:tc>
          <w:tcPr>
            <w:tcW w:w="715" w:type="dxa"/>
            <w:noWrap w:val="0"/>
            <w:tcMar>
              <w:top w:w="15" w:type="dxa"/>
              <w:left w:w="15" w:type="dxa"/>
              <w:right w:w="15" w:type="dxa"/>
            </w:tcMar>
            <w:vAlign w:val="center"/>
          </w:tcPr>
          <w:p>
            <w:pPr>
              <w:widowControl/>
              <w:spacing w:line="240" w:lineRule="auto"/>
              <w:ind w:right="140" w:firstLine="0"/>
              <w:jc w:val="center"/>
              <w:rPr>
                <w:rFonts w:ascii="Times New Roman" w:hAnsi="Times New Roman"/>
                <w:sz w:val="21"/>
              </w:rPr>
            </w:pPr>
            <w:r>
              <w:rPr>
                <w:rFonts w:ascii="Times New Roman" w:hAnsi="Times New Roman"/>
                <w:sz w:val="21"/>
              </w:rPr>
              <w:t>2024年</w:t>
            </w:r>
          </w:p>
        </w:tc>
        <w:tc>
          <w:tcPr>
            <w:tcW w:w="752" w:type="dxa"/>
            <w:noWrap w:val="0"/>
            <w:tcMar>
              <w:top w:w="15" w:type="dxa"/>
              <w:left w:w="15" w:type="dxa"/>
              <w:right w:w="15" w:type="dxa"/>
            </w:tcMar>
            <w:vAlign w:val="center"/>
          </w:tcPr>
          <w:p>
            <w:pPr>
              <w:widowControl/>
              <w:spacing w:line="240" w:lineRule="auto"/>
              <w:ind w:right="140" w:firstLine="0"/>
              <w:jc w:val="center"/>
              <w:rPr>
                <w:rFonts w:ascii="Times New Roman" w:hAnsi="Times New Roman"/>
                <w:sz w:val="21"/>
              </w:rPr>
            </w:pPr>
            <w:r>
              <w:rPr>
                <w:rFonts w:ascii="Times New Roman" w:hAnsi="Times New Roman"/>
                <w:sz w:val="21"/>
              </w:rPr>
              <w:t>2025年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0" w:type="dxa"/>
            <w:right w:w="15" w:type="dxa"/>
          </w:tblCellMar>
        </w:tblPrEx>
        <w:trPr>
          <w:trHeight w:val="690" w:hRule="atLeast"/>
          <w:jc w:val="center"/>
        </w:trPr>
        <w:tc>
          <w:tcPr>
            <w:tcW w:w="328" w:type="dxa"/>
            <w:vMerge w:val="restart"/>
            <w:noWrap w:val="0"/>
            <w:tcMar>
              <w:top w:w="15" w:type="dxa"/>
              <w:left w:w="15" w:type="dxa"/>
              <w:right w:w="15" w:type="dxa"/>
            </w:tcMar>
            <w:vAlign w:val="center"/>
          </w:tcPr>
          <w:p>
            <w:pPr>
              <w:widowControl/>
              <w:spacing w:line="240" w:lineRule="auto"/>
              <w:ind w:right="140" w:firstLine="0"/>
              <w:jc w:val="center"/>
              <w:rPr>
                <w:rFonts w:ascii="Times New Roman" w:hAnsi="Times New Roman"/>
                <w:sz w:val="21"/>
              </w:rPr>
            </w:pPr>
            <w:r>
              <w:rPr>
                <w:rFonts w:ascii="Times New Roman" w:hAnsi="Times New Roman"/>
                <w:sz w:val="21"/>
              </w:rPr>
              <w:t>调查评价</w:t>
            </w:r>
          </w:p>
        </w:tc>
        <w:tc>
          <w:tcPr>
            <w:tcW w:w="897" w:type="dxa"/>
            <w:noWrap w:val="0"/>
            <w:tcMar>
              <w:top w:w="15" w:type="dxa"/>
              <w:left w:w="15" w:type="dxa"/>
              <w:right w:w="15" w:type="dxa"/>
            </w:tcMar>
            <w:vAlign w:val="center"/>
          </w:tcPr>
          <w:p>
            <w:pPr>
              <w:widowControl/>
              <w:spacing w:line="240" w:lineRule="auto"/>
              <w:ind w:right="140" w:firstLine="0"/>
              <w:jc w:val="center"/>
              <w:rPr>
                <w:rFonts w:ascii="Times New Roman" w:hAnsi="Times New Roman"/>
                <w:sz w:val="21"/>
              </w:rPr>
            </w:pPr>
            <w:r>
              <w:rPr>
                <w:rFonts w:ascii="Times New Roman" w:hAnsi="Times New Roman"/>
                <w:sz w:val="21"/>
              </w:rPr>
              <w:t>自然地质灾害隐患点排查</w:t>
            </w:r>
          </w:p>
        </w:tc>
        <w:tc>
          <w:tcPr>
            <w:tcW w:w="6739" w:type="dxa"/>
            <w:gridSpan w:val="5"/>
            <w:noWrap w:val="0"/>
            <w:vAlign w:val="center"/>
          </w:tcPr>
          <w:p>
            <w:pPr>
              <w:widowControl/>
              <w:spacing w:line="240" w:lineRule="auto"/>
              <w:ind w:right="140" w:firstLine="0"/>
              <w:jc w:val="left"/>
              <w:rPr>
                <w:rFonts w:ascii="Times New Roman" w:hAnsi="Times New Roman"/>
                <w:sz w:val="21"/>
              </w:rPr>
            </w:pPr>
            <w:r>
              <w:rPr>
                <w:rFonts w:ascii="Times New Roman" w:hAnsi="Times New Roman"/>
                <w:sz w:val="21"/>
              </w:rPr>
              <w:t>市、县组织技术支撑队伍开展，加入隐患点风险评价，依据工作量纳入技术支撑体系建设考核，每年为一个工作周期。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0" w:type="dxa"/>
            <w:right w:w="15" w:type="dxa"/>
          </w:tblCellMar>
        </w:tblPrEx>
        <w:trPr>
          <w:trHeight w:val="20" w:hRule="atLeast"/>
          <w:jc w:val="center"/>
        </w:trPr>
        <w:tc>
          <w:tcPr>
            <w:tcW w:w="328" w:type="dxa"/>
            <w:vMerge w:val="continue"/>
            <w:noWrap w:val="0"/>
            <w:tcMar>
              <w:top w:w="15" w:type="dxa"/>
              <w:left w:w="15" w:type="dxa"/>
              <w:right w:w="15" w:type="dxa"/>
            </w:tcMar>
            <w:vAlign w:val="center"/>
          </w:tcPr>
          <w:p>
            <w:pPr>
              <w:widowControl/>
              <w:spacing w:line="240" w:lineRule="auto"/>
              <w:ind w:right="140" w:firstLine="0"/>
              <w:jc w:val="center"/>
              <w:rPr>
                <w:rFonts w:ascii="Times New Roman" w:hAnsi="Times New Roman"/>
                <w:sz w:val="21"/>
              </w:rPr>
            </w:pPr>
          </w:p>
        </w:tc>
        <w:tc>
          <w:tcPr>
            <w:tcW w:w="897" w:type="dxa"/>
            <w:noWrap w:val="0"/>
            <w:tcMar>
              <w:top w:w="15" w:type="dxa"/>
              <w:left w:w="15" w:type="dxa"/>
              <w:right w:w="15" w:type="dxa"/>
            </w:tcMar>
            <w:vAlign w:val="center"/>
          </w:tcPr>
          <w:p>
            <w:pPr>
              <w:widowControl/>
              <w:spacing w:line="240" w:lineRule="auto"/>
              <w:ind w:right="140" w:firstLine="0"/>
              <w:jc w:val="center"/>
              <w:rPr>
                <w:rFonts w:ascii="Times New Roman" w:hAnsi="Times New Roman"/>
                <w:sz w:val="21"/>
              </w:rPr>
            </w:pPr>
            <w:r>
              <w:rPr>
                <w:rFonts w:ascii="Times New Roman" w:hAnsi="Times New Roman"/>
                <w:sz w:val="21"/>
              </w:rPr>
              <w:t>非自然地质灾害隐患点排查</w:t>
            </w:r>
          </w:p>
        </w:tc>
        <w:tc>
          <w:tcPr>
            <w:tcW w:w="6739" w:type="dxa"/>
            <w:gridSpan w:val="5"/>
            <w:noWrap w:val="0"/>
            <w:vAlign w:val="center"/>
          </w:tcPr>
          <w:p>
            <w:pPr>
              <w:spacing w:line="240" w:lineRule="auto"/>
              <w:ind w:right="140" w:firstLine="420"/>
              <w:jc w:val="center"/>
              <w:rPr>
                <w:rFonts w:ascii="Times New Roman" w:hAnsi="Times New Roman"/>
                <w:sz w:val="21"/>
              </w:rPr>
            </w:pPr>
            <w:r>
              <w:rPr>
                <w:rFonts w:ascii="Times New Roman" w:hAnsi="Times New Roman"/>
                <w:sz w:val="21"/>
              </w:rPr>
              <w:t>由相关主管部门督促责任单位完成。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0" w:type="dxa"/>
            <w:right w:w="15" w:type="dxa"/>
          </w:tblCellMar>
        </w:tblPrEx>
        <w:trPr>
          <w:trHeight w:val="369" w:hRule="atLeast"/>
          <w:jc w:val="center"/>
        </w:trPr>
        <w:tc>
          <w:tcPr>
            <w:tcW w:w="328" w:type="dxa"/>
            <w:vMerge w:val="continue"/>
            <w:noWrap w:val="0"/>
            <w:tcMar>
              <w:top w:w="15" w:type="dxa"/>
              <w:left w:w="15" w:type="dxa"/>
              <w:right w:w="15" w:type="dxa"/>
            </w:tcMar>
            <w:vAlign w:val="center"/>
          </w:tcPr>
          <w:p>
            <w:pPr>
              <w:widowControl/>
              <w:spacing w:line="240" w:lineRule="auto"/>
              <w:ind w:right="140" w:firstLine="0"/>
              <w:jc w:val="center"/>
              <w:rPr>
                <w:rFonts w:ascii="Times New Roman" w:hAnsi="Times New Roman"/>
                <w:sz w:val="21"/>
              </w:rPr>
            </w:pPr>
          </w:p>
        </w:tc>
        <w:tc>
          <w:tcPr>
            <w:tcW w:w="897" w:type="dxa"/>
            <w:vMerge w:val="restart"/>
            <w:noWrap w:val="0"/>
            <w:tcMar>
              <w:top w:w="15" w:type="dxa"/>
              <w:left w:w="15" w:type="dxa"/>
              <w:right w:w="15" w:type="dxa"/>
            </w:tcMar>
            <w:vAlign w:val="center"/>
          </w:tcPr>
          <w:p>
            <w:pPr>
              <w:widowControl/>
              <w:spacing w:line="240" w:lineRule="auto"/>
              <w:ind w:right="140" w:firstLine="0"/>
              <w:jc w:val="center"/>
              <w:rPr>
                <w:rFonts w:ascii="Times New Roman" w:hAnsi="Times New Roman"/>
                <w:sz w:val="21"/>
              </w:rPr>
            </w:pPr>
            <w:r>
              <w:rPr>
                <w:rFonts w:ascii="Times New Roman" w:hAnsi="Times New Roman"/>
                <w:sz w:val="21"/>
              </w:rPr>
              <w:t>遥感识别疑似隐患点核验</w:t>
            </w:r>
          </w:p>
        </w:tc>
        <w:tc>
          <w:tcPr>
            <w:tcW w:w="799" w:type="dxa"/>
            <w:noWrap w:val="0"/>
            <w:tcMar>
              <w:top w:w="15" w:type="dxa"/>
              <w:left w:w="15" w:type="dxa"/>
              <w:right w:w="15" w:type="dxa"/>
            </w:tcMar>
            <w:vAlign w:val="center"/>
          </w:tcPr>
          <w:p>
            <w:pPr>
              <w:widowControl/>
              <w:spacing w:line="240" w:lineRule="auto"/>
              <w:ind w:right="140" w:firstLine="0"/>
              <w:jc w:val="center"/>
              <w:rPr>
                <w:rFonts w:ascii="Times New Roman" w:hAnsi="Times New Roman"/>
                <w:sz w:val="21"/>
              </w:rPr>
            </w:pPr>
            <w:r>
              <w:rPr>
                <w:rFonts w:hint="eastAsia" w:ascii="Times New Roman" w:hAnsi="Times New Roman"/>
                <w:sz w:val="21"/>
              </w:rPr>
              <w:t>33</w:t>
            </w:r>
            <w:r>
              <w:rPr>
                <w:rFonts w:ascii="Times New Roman" w:hAnsi="Times New Roman"/>
                <w:sz w:val="21"/>
              </w:rPr>
              <w:t>（已实施）</w:t>
            </w:r>
          </w:p>
        </w:tc>
        <w:tc>
          <w:tcPr>
            <w:tcW w:w="715" w:type="dxa"/>
            <w:noWrap w:val="0"/>
            <w:tcMar>
              <w:top w:w="15" w:type="dxa"/>
              <w:left w:w="15" w:type="dxa"/>
              <w:right w:w="15" w:type="dxa"/>
            </w:tcMar>
            <w:vAlign w:val="center"/>
          </w:tcPr>
          <w:p>
            <w:pPr>
              <w:widowControl/>
              <w:spacing w:line="240" w:lineRule="auto"/>
              <w:ind w:right="140" w:firstLine="0"/>
              <w:jc w:val="center"/>
              <w:rPr>
                <w:rFonts w:ascii="Times New Roman" w:hAnsi="Times New Roman"/>
                <w:sz w:val="21"/>
              </w:rPr>
            </w:pPr>
            <w:r>
              <w:rPr>
                <w:rFonts w:hint="eastAsia" w:ascii="Times New Roman" w:hAnsi="Times New Roman"/>
                <w:sz w:val="21"/>
              </w:rPr>
              <w:t>10</w:t>
            </w:r>
          </w:p>
        </w:tc>
        <w:tc>
          <w:tcPr>
            <w:tcW w:w="794" w:type="dxa"/>
            <w:noWrap w:val="0"/>
            <w:tcMar>
              <w:top w:w="15" w:type="dxa"/>
              <w:left w:w="15" w:type="dxa"/>
              <w:right w:w="15" w:type="dxa"/>
            </w:tcMar>
            <w:vAlign w:val="center"/>
          </w:tcPr>
          <w:p>
            <w:pPr>
              <w:widowControl/>
              <w:spacing w:line="240" w:lineRule="auto"/>
              <w:ind w:right="140" w:firstLine="0"/>
              <w:jc w:val="center"/>
              <w:rPr>
                <w:rFonts w:ascii="Times New Roman" w:hAnsi="Times New Roman"/>
                <w:sz w:val="21"/>
              </w:rPr>
            </w:pPr>
            <w:r>
              <w:rPr>
                <w:rFonts w:ascii="Times New Roman" w:hAnsi="Times New Roman"/>
                <w:sz w:val="21"/>
              </w:rPr>
              <w:t>10</w:t>
            </w:r>
          </w:p>
        </w:tc>
        <w:tc>
          <w:tcPr>
            <w:tcW w:w="715" w:type="dxa"/>
            <w:noWrap w:val="0"/>
            <w:tcMar>
              <w:top w:w="15" w:type="dxa"/>
              <w:left w:w="15" w:type="dxa"/>
              <w:right w:w="15" w:type="dxa"/>
            </w:tcMar>
            <w:vAlign w:val="center"/>
          </w:tcPr>
          <w:p>
            <w:pPr>
              <w:widowControl/>
              <w:spacing w:line="240" w:lineRule="auto"/>
              <w:ind w:right="140" w:firstLine="0"/>
              <w:jc w:val="center"/>
              <w:rPr>
                <w:rFonts w:ascii="Times New Roman" w:hAnsi="Times New Roman"/>
                <w:sz w:val="21"/>
              </w:rPr>
            </w:pPr>
            <w:r>
              <w:rPr>
                <w:rFonts w:ascii="Times New Roman" w:hAnsi="Times New Roman"/>
                <w:sz w:val="21"/>
              </w:rPr>
              <w:t>10</w:t>
            </w:r>
          </w:p>
        </w:tc>
        <w:tc>
          <w:tcPr>
            <w:tcW w:w="752" w:type="dxa"/>
            <w:noWrap w:val="0"/>
            <w:tcMar>
              <w:top w:w="15" w:type="dxa"/>
              <w:left w:w="15" w:type="dxa"/>
              <w:right w:w="15" w:type="dxa"/>
            </w:tcMar>
            <w:vAlign w:val="center"/>
          </w:tcPr>
          <w:p>
            <w:pPr>
              <w:widowControl/>
              <w:spacing w:line="240" w:lineRule="auto"/>
              <w:ind w:right="140" w:firstLine="0"/>
              <w:jc w:val="center"/>
              <w:rPr>
                <w:rFonts w:ascii="Times New Roman" w:hAnsi="Times New Roman"/>
                <w:sz w:val="21"/>
              </w:rPr>
            </w:pPr>
            <w:r>
              <w:rPr>
                <w:rFonts w:ascii="Times New Roman" w:hAnsi="Times New Roman"/>
                <w:sz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0" w:type="dxa"/>
            <w:right w:w="15" w:type="dxa"/>
          </w:tblCellMar>
        </w:tblPrEx>
        <w:trPr>
          <w:trHeight w:val="984" w:hRule="atLeast"/>
          <w:jc w:val="center"/>
        </w:trPr>
        <w:tc>
          <w:tcPr>
            <w:tcW w:w="328" w:type="dxa"/>
            <w:vMerge w:val="continue"/>
            <w:noWrap w:val="0"/>
            <w:tcMar>
              <w:top w:w="15" w:type="dxa"/>
              <w:left w:w="15" w:type="dxa"/>
              <w:right w:w="15" w:type="dxa"/>
            </w:tcMar>
            <w:vAlign w:val="center"/>
          </w:tcPr>
          <w:p>
            <w:pPr>
              <w:widowControl/>
              <w:spacing w:line="240" w:lineRule="auto"/>
              <w:ind w:right="140" w:firstLine="0"/>
              <w:jc w:val="center"/>
              <w:rPr>
                <w:rFonts w:ascii="Times New Roman" w:hAnsi="Times New Roman"/>
                <w:sz w:val="21"/>
              </w:rPr>
            </w:pPr>
          </w:p>
        </w:tc>
        <w:tc>
          <w:tcPr>
            <w:tcW w:w="897" w:type="dxa"/>
            <w:vMerge w:val="continue"/>
            <w:noWrap w:val="0"/>
            <w:tcMar>
              <w:top w:w="15" w:type="dxa"/>
              <w:left w:w="15" w:type="dxa"/>
              <w:right w:w="15" w:type="dxa"/>
            </w:tcMar>
            <w:vAlign w:val="center"/>
          </w:tcPr>
          <w:p>
            <w:pPr>
              <w:widowControl/>
              <w:spacing w:line="240" w:lineRule="auto"/>
              <w:ind w:right="140" w:firstLine="0"/>
              <w:jc w:val="center"/>
              <w:rPr>
                <w:rFonts w:ascii="Times New Roman" w:hAnsi="Times New Roman"/>
                <w:sz w:val="21"/>
              </w:rPr>
            </w:pPr>
          </w:p>
        </w:tc>
        <w:tc>
          <w:tcPr>
            <w:tcW w:w="6739" w:type="dxa"/>
            <w:gridSpan w:val="5"/>
            <w:noWrap w:val="0"/>
            <w:tcMar>
              <w:top w:w="15" w:type="dxa"/>
              <w:left w:w="15" w:type="dxa"/>
              <w:right w:w="15" w:type="dxa"/>
            </w:tcMar>
            <w:vAlign w:val="center"/>
          </w:tcPr>
          <w:p>
            <w:pPr>
              <w:widowControl/>
              <w:spacing w:line="240" w:lineRule="auto"/>
              <w:ind w:right="140" w:firstLine="0"/>
              <w:jc w:val="left"/>
              <w:rPr>
                <w:rFonts w:ascii="Times New Roman" w:hAnsi="Times New Roman"/>
                <w:sz w:val="21"/>
              </w:rPr>
            </w:pPr>
            <w:r>
              <w:rPr>
                <w:rFonts w:ascii="Times New Roman" w:hAnsi="Times New Roman"/>
                <w:sz w:val="21"/>
              </w:rPr>
              <w:t>自然资源主管部门组织技术支撑队伍开展，依据完成工作量纳入技术支撑体系建设考核，按照实际下达工作量计算，以上工作量为预计工作量，本次仅提出初步工作方案，相关工作由省技术指导中心负责。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0" w:type="dxa"/>
            <w:right w:w="15" w:type="dxa"/>
          </w:tblCellMar>
        </w:tblPrEx>
        <w:trPr>
          <w:trHeight w:val="844" w:hRule="atLeast"/>
          <w:jc w:val="center"/>
        </w:trPr>
        <w:tc>
          <w:tcPr>
            <w:tcW w:w="328" w:type="dxa"/>
            <w:vMerge w:val="continue"/>
            <w:noWrap w:val="0"/>
            <w:tcMar>
              <w:top w:w="15" w:type="dxa"/>
              <w:left w:w="15" w:type="dxa"/>
              <w:right w:w="15" w:type="dxa"/>
            </w:tcMar>
            <w:vAlign w:val="center"/>
          </w:tcPr>
          <w:p>
            <w:pPr>
              <w:widowControl/>
              <w:spacing w:line="240" w:lineRule="auto"/>
              <w:ind w:right="140" w:firstLine="0"/>
              <w:jc w:val="center"/>
              <w:rPr>
                <w:rFonts w:ascii="Times New Roman" w:hAnsi="Times New Roman"/>
                <w:sz w:val="21"/>
              </w:rPr>
            </w:pPr>
          </w:p>
        </w:tc>
        <w:tc>
          <w:tcPr>
            <w:tcW w:w="897" w:type="dxa"/>
            <w:noWrap w:val="0"/>
            <w:tcMar>
              <w:top w:w="15" w:type="dxa"/>
              <w:left w:w="15" w:type="dxa"/>
              <w:right w:w="15" w:type="dxa"/>
            </w:tcMar>
            <w:vAlign w:val="center"/>
          </w:tcPr>
          <w:p>
            <w:pPr>
              <w:widowControl/>
              <w:spacing w:line="240" w:lineRule="auto"/>
              <w:ind w:right="140" w:firstLine="0"/>
              <w:jc w:val="center"/>
              <w:rPr>
                <w:rFonts w:ascii="Times New Roman" w:hAnsi="Times New Roman"/>
                <w:sz w:val="21"/>
              </w:rPr>
            </w:pPr>
            <w:r>
              <w:rPr>
                <w:rFonts w:ascii="Times New Roman" w:hAnsi="Times New Roman"/>
                <w:sz w:val="21"/>
              </w:rPr>
              <w:t>重点区域精细化调查与风险评价</w:t>
            </w:r>
          </w:p>
        </w:tc>
        <w:tc>
          <w:tcPr>
            <w:tcW w:w="6739" w:type="dxa"/>
            <w:gridSpan w:val="5"/>
            <w:noWrap w:val="0"/>
            <w:tcMar>
              <w:top w:w="15" w:type="dxa"/>
              <w:left w:w="15" w:type="dxa"/>
              <w:right w:w="15" w:type="dxa"/>
            </w:tcMar>
            <w:vAlign w:val="center"/>
          </w:tcPr>
          <w:p>
            <w:pPr>
              <w:widowControl/>
              <w:spacing w:line="240" w:lineRule="auto"/>
              <w:ind w:right="140" w:firstLine="0"/>
              <w:jc w:val="left"/>
              <w:rPr>
                <w:rFonts w:ascii="Times New Roman" w:hAnsi="Times New Roman"/>
                <w:sz w:val="21"/>
              </w:rPr>
            </w:pPr>
            <w:r>
              <w:rPr>
                <w:rFonts w:ascii="Times New Roman" w:hAnsi="Times New Roman"/>
                <w:sz w:val="21"/>
              </w:rPr>
              <w:t>精细化调查及风险评价工作主要包括遥感调查和地面调查两部分，预计2023年底完成。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0" w:type="dxa"/>
            <w:right w:w="15" w:type="dxa"/>
          </w:tblCellMar>
        </w:tblPrEx>
        <w:trPr>
          <w:trHeight w:val="402" w:hRule="atLeast"/>
          <w:jc w:val="center"/>
        </w:trPr>
        <w:tc>
          <w:tcPr>
            <w:tcW w:w="328" w:type="dxa"/>
            <w:vMerge w:val="continue"/>
            <w:noWrap w:val="0"/>
            <w:tcMar>
              <w:top w:w="15" w:type="dxa"/>
              <w:left w:w="15" w:type="dxa"/>
              <w:right w:w="15" w:type="dxa"/>
            </w:tcMar>
            <w:vAlign w:val="center"/>
          </w:tcPr>
          <w:p>
            <w:pPr>
              <w:widowControl/>
              <w:spacing w:line="240" w:lineRule="auto"/>
              <w:ind w:right="140" w:firstLine="0"/>
              <w:jc w:val="center"/>
              <w:rPr>
                <w:rFonts w:ascii="Times New Roman" w:hAnsi="Times New Roman"/>
                <w:sz w:val="21"/>
              </w:rPr>
            </w:pPr>
          </w:p>
        </w:tc>
        <w:tc>
          <w:tcPr>
            <w:tcW w:w="897" w:type="dxa"/>
            <w:noWrap w:val="0"/>
            <w:tcMar>
              <w:top w:w="15" w:type="dxa"/>
              <w:left w:w="15" w:type="dxa"/>
              <w:right w:w="15" w:type="dxa"/>
            </w:tcMar>
            <w:vAlign w:val="center"/>
          </w:tcPr>
          <w:p>
            <w:pPr>
              <w:widowControl/>
              <w:spacing w:line="240" w:lineRule="auto"/>
              <w:ind w:right="140" w:firstLine="0"/>
              <w:jc w:val="center"/>
              <w:rPr>
                <w:rFonts w:ascii="Times New Roman" w:hAnsi="Times New Roman"/>
                <w:sz w:val="21"/>
              </w:rPr>
            </w:pPr>
            <w:r>
              <w:rPr>
                <w:rFonts w:ascii="Times New Roman" w:hAnsi="Times New Roman"/>
                <w:sz w:val="21"/>
              </w:rPr>
              <w:t>风险普查</w:t>
            </w:r>
          </w:p>
        </w:tc>
        <w:tc>
          <w:tcPr>
            <w:tcW w:w="6739" w:type="dxa"/>
            <w:gridSpan w:val="5"/>
            <w:noWrap w:val="0"/>
            <w:tcMar>
              <w:top w:w="15" w:type="dxa"/>
              <w:left w:w="15" w:type="dxa"/>
              <w:right w:w="15" w:type="dxa"/>
            </w:tcMar>
            <w:vAlign w:val="center"/>
          </w:tcPr>
          <w:p>
            <w:pPr>
              <w:widowControl/>
              <w:spacing w:line="240" w:lineRule="auto"/>
              <w:ind w:right="140" w:firstLine="0"/>
              <w:jc w:val="center"/>
              <w:rPr>
                <w:rFonts w:ascii="Times New Roman" w:hAnsi="Times New Roman"/>
                <w:sz w:val="21"/>
              </w:rPr>
            </w:pPr>
            <w:r>
              <w:rPr>
                <w:rFonts w:ascii="Times New Roman" w:hAnsi="Times New Roman"/>
                <w:sz w:val="21"/>
              </w:rPr>
              <w:t>2022年5月完成。</w:t>
            </w:r>
          </w:p>
        </w:tc>
      </w:tr>
    </w:tbl>
    <w:p>
      <w:pPr>
        <w:ind w:firstLine="0"/>
        <w:jc w:val="center"/>
        <w:rPr>
          <w:rFonts w:hint="eastAsia" w:ascii="Times New Roman" w:hAnsi="Times New Roman"/>
          <w:b/>
          <w:sz w:val="24"/>
          <w:szCs w:val="28"/>
        </w:rPr>
      </w:pPr>
    </w:p>
    <w:p>
      <w:pPr>
        <w:pStyle w:val="183"/>
        <w:spacing w:before="120" w:after="120"/>
        <w:rPr>
          <w:rFonts w:ascii="Times New Roman" w:hAnsi="Times New Roman"/>
          <w:b/>
        </w:rPr>
      </w:pPr>
      <w:bookmarkStart w:id="70" w:name="_Toc137671422"/>
      <w:r>
        <w:rPr>
          <w:rFonts w:ascii="Times New Roman" w:hAnsi="Times New Roman"/>
          <w:b/>
        </w:rPr>
        <w:t>（二）监测预警</w:t>
      </w:r>
      <w:bookmarkEnd w:id="70"/>
    </w:p>
    <w:p>
      <w:pPr>
        <w:pStyle w:val="184"/>
        <w:spacing w:after="0"/>
        <w:rPr>
          <w:rStyle w:val="197"/>
          <w:rFonts w:ascii="Times New Roman" w:hAnsi="Times New Roman"/>
          <w:b/>
          <w:bCs w:val="0"/>
        </w:rPr>
      </w:pPr>
      <w:bookmarkStart w:id="71" w:name="_Toc131872739"/>
      <w:bookmarkStart w:id="72" w:name="_Toc137671423"/>
      <w:r>
        <w:rPr>
          <w:rStyle w:val="197"/>
          <w:rFonts w:ascii="Times New Roman" w:hAnsi="Times New Roman"/>
          <w:b/>
          <w:bCs w:val="0"/>
        </w:rPr>
        <w:t>1、群测群防</w:t>
      </w:r>
      <w:bookmarkEnd w:id="71"/>
      <w:bookmarkEnd w:id="72"/>
    </w:p>
    <w:p>
      <w:pPr>
        <w:ind w:firstLine="560"/>
        <w:rPr>
          <w:rFonts w:ascii="Times New Roman" w:hAnsi="Times New Roman"/>
        </w:rPr>
      </w:pPr>
      <w:r>
        <w:rPr>
          <w:rFonts w:ascii="Times New Roman" w:hAnsi="Times New Roman"/>
          <w:bCs/>
          <w:szCs w:val="28"/>
        </w:rPr>
        <w:t>进一步完善群测群防监测预警网络建设，将新增隐患点及时纳入群测群防体系，借助专家指导、科普培训等方法，提高群众防灾减灾意识和能力，形成制度全面、网络面广、责任落实、人员到位、任务到点、信息畅通、反应迅速、效果显著的覆盖全县的群专结合综合性群测群防网络。</w:t>
      </w:r>
    </w:p>
    <w:p>
      <w:pPr>
        <w:ind w:firstLine="560"/>
        <w:rPr>
          <w:rFonts w:ascii="Times New Roman" w:hAnsi="Times New Roman"/>
          <w:b/>
          <w:sz w:val="24"/>
          <w:szCs w:val="28"/>
        </w:rPr>
      </w:pPr>
      <w:r>
        <w:rPr>
          <w:rFonts w:ascii="Times New Roman" w:hAnsi="Times New Roman"/>
        </w:rPr>
        <w:t>全市目前在册的地质灾害隐患点均安排有监测员，“十四五”期间，地质灾害隐患会有新增，同时也会有核销，现按在册数量进行统计估算，全市登记在册169个群测群防点，每个点配置两名监测员，同时需对监测员的监测设备更新或更换。</w:t>
      </w:r>
    </w:p>
    <w:p>
      <w:pPr>
        <w:pStyle w:val="184"/>
        <w:spacing w:after="0"/>
        <w:rPr>
          <w:rStyle w:val="197"/>
          <w:rFonts w:ascii="Times New Roman" w:hAnsi="Times New Roman"/>
          <w:b/>
          <w:bCs w:val="0"/>
        </w:rPr>
      </w:pPr>
      <w:bookmarkStart w:id="73" w:name="_Toc131872740"/>
      <w:bookmarkStart w:id="74" w:name="_Toc137671424"/>
      <w:r>
        <w:rPr>
          <w:rStyle w:val="197"/>
          <w:rFonts w:ascii="Times New Roman" w:hAnsi="Times New Roman"/>
          <w:b/>
          <w:bCs w:val="0"/>
        </w:rPr>
        <w:t>2、普适型、专业监测</w:t>
      </w:r>
      <w:bookmarkEnd w:id="73"/>
      <w:bookmarkEnd w:id="74"/>
    </w:p>
    <w:p>
      <w:pPr>
        <w:ind w:firstLine="560"/>
        <w:rPr>
          <w:rFonts w:ascii="Times New Roman" w:hAnsi="Times New Roman"/>
          <w:bCs/>
          <w:szCs w:val="28"/>
        </w:rPr>
      </w:pPr>
      <w:r>
        <w:rPr>
          <w:rFonts w:ascii="Times New Roman" w:hAnsi="Times New Roman"/>
          <w:bCs/>
          <w:szCs w:val="28"/>
        </w:rPr>
        <w:t>对不具备工程治理和近期避险搬迁条件的隐患点，地质灾害高易发区中未规划和未实施搬迁、治理且不稳定的隐患区（段、点），易地扶贫搬迁安置区实施治理工程后，隐患仍不能消除或没有得到有效管控的区（段、点），实施治理工程后仍存在较大风险的地质灾害治理工程隐患（段、点），综合运用GNSS、雨量计、泥位计、裂缝计等智能设备，开展普适型或专业监测预警工程建设，建成新型高效“技防+人防”的地质灾害监测预警体系，助力实现省、州、县三级地质灾害气象风险预报预警全覆盖，完善新型高效的“群专结合、专群并重”监测预警和网络体系。</w:t>
      </w:r>
    </w:p>
    <w:p>
      <w:pPr>
        <w:ind w:firstLine="560"/>
        <w:rPr>
          <w:rFonts w:ascii="Times New Roman" w:hAnsi="Times New Roman"/>
        </w:rPr>
      </w:pPr>
      <w:r>
        <w:rPr>
          <w:rFonts w:ascii="Times New Roman" w:hAnsi="Times New Roman"/>
        </w:rPr>
        <w:t>我市“十四五”规划期预计完成普适型监测预警设备安装118个点，其中：2021年完成普适型监测预警设备安装建设38个点；2022年完成建设任务量25个点，2023—2025年规划实施新建55个点和更换专业监测为普适型监测4个点。</w:t>
      </w:r>
    </w:p>
    <w:p>
      <w:pPr>
        <w:ind w:firstLine="560"/>
        <w:rPr>
          <w:rFonts w:ascii="Times New Roman" w:hAnsi="Times New Roman"/>
        </w:rPr>
      </w:pPr>
      <w:r>
        <w:rPr>
          <w:rFonts w:ascii="Times New Roman" w:hAnsi="Times New Roman"/>
        </w:rPr>
        <w:t>普适型监测工程承建方三年服务期满后，仍需进行维护。维护工作暂以建设后的第四年计，维护数量逐年累加。全市目前已在维护期的有4个专业监测工程，三年维护期满后，规划更换为普适型监测设备，按普适型监测点进行管理；2020年、2021年完成的普适型监测工程维护期始于2024年，2022年安装完成的维护期始于2025年，往后根据实际完成的工作量逐年累加。</w:t>
      </w:r>
    </w:p>
    <w:p>
      <w:pPr>
        <w:pStyle w:val="184"/>
        <w:spacing w:after="0"/>
        <w:rPr>
          <w:rStyle w:val="197"/>
          <w:rFonts w:ascii="Times New Roman" w:hAnsi="Times New Roman"/>
          <w:b/>
          <w:bCs w:val="0"/>
        </w:rPr>
      </w:pPr>
      <w:bookmarkStart w:id="75" w:name="_Toc137671425"/>
      <w:bookmarkStart w:id="76" w:name="_Toc131872741"/>
      <w:r>
        <w:rPr>
          <w:rStyle w:val="197"/>
          <w:rFonts w:ascii="Times New Roman" w:hAnsi="Times New Roman"/>
          <w:b/>
          <w:bCs w:val="0"/>
        </w:rPr>
        <w:t>3、气象风险预警</w:t>
      </w:r>
      <w:bookmarkEnd w:id="75"/>
      <w:bookmarkEnd w:id="76"/>
    </w:p>
    <w:p>
      <w:pPr>
        <w:ind w:firstLine="560"/>
        <w:rPr>
          <w:rFonts w:ascii="Times New Roman" w:hAnsi="Times New Roman"/>
        </w:rPr>
      </w:pPr>
      <w:r>
        <w:rPr>
          <w:rFonts w:ascii="Times New Roman" w:hAnsi="Times New Roman"/>
        </w:rPr>
        <w:t>降雨是我市地质灾害发生的主要原因之一，且多为直接诱发因素。建成县、乡（镇）、村的互联互通的地质灾害气象风险预警预报体系，将地质灾害监测与气象风险预警联系起来，紧密合作州、县市气象部门，做好恶劣天气的监测和预警信号的发布工作，做到气象风险预警预报覆盖全域。在发出气象风险预警信号后，通过互联网、广播、电视、报纸、手机等载体，多渠道、多形式地将预警预报信息快速传递至有关责任单位、责任人、监测员、受地质灾害威胁的群众以及驻地技术单位，确保预测预报信息发布准确、及时和全面。气象部门需做好灾害性天气预测和预警信息的发布，地质灾害防治工作一线的责任人或监测员要及时反馈预警效果，调查地质灾害隐患点的发展变化，根据效果反馈调整和优化气象风险预警系统，对变化强烈的区域进行加密监测和持续预警，助力建成集省、市、县三级基础数据、动态调查、远程会商及空间信息有机结合的信息技术支撑体系。</w:t>
      </w:r>
    </w:p>
    <w:p>
      <w:pPr>
        <w:ind w:firstLine="560"/>
        <w:rPr>
          <w:rFonts w:ascii="Times New Roman" w:hAnsi="Times New Roman"/>
          <w:bCs/>
          <w:szCs w:val="28"/>
        </w:rPr>
      </w:pPr>
      <w:r>
        <w:rPr>
          <w:rFonts w:ascii="Times New Roman" w:hAnsi="Times New Roman"/>
        </w:rPr>
        <w:t>每年汛期，特别是6—9月，由各县市政府统一协调，组建由自然资源、水利、地震、气象、广播电视和通信等部门及相关领导参与的联席会议，对地质灾害监测信息、群众反映的地质灾害迹象和气象、水文、地震预报信息进行综合分析，科学研究会商，及时预测可能发生地质灾害的区域和灾种。</w:t>
      </w:r>
    </w:p>
    <w:p>
      <w:pPr>
        <w:pStyle w:val="184"/>
        <w:spacing w:after="0"/>
        <w:rPr>
          <w:rStyle w:val="197"/>
          <w:rFonts w:ascii="Times New Roman" w:hAnsi="Times New Roman"/>
          <w:b/>
          <w:bCs w:val="0"/>
        </w:rPr>
      </w:pPr>
      <w:bookmarkStart w:id="77" w:name="_Toc131872742"/>
      <w:bookmarkStart w:id="78" w:name="_Toc137671426"/>
      <w:r>
        <w:rPr>
          <w:rStyle w:val="197"/>
          <w:rFonts w:ascii="Times New Roman" w:hAnsi="Times New Roman"/>
          <w:b/>
          <w:bCs w:val="0"/>
        </w:rPr>
        <w:t>4、隐患点和风险区“双控”</w:t>
      </w:r>
      <w:bookmarkEnd w:id="77"/>
      <w:bookmarkEnd w:id="78"/>
    </w:p>
    <w:p>
      <w:pPr>
        <w:ind w:firstLine="560"/>
        <w:rPr>
          <w:rFonts w:ascii="Times New Roman" w:hAnsi="Times New Roman"/>
          <w:bCs/>
          <w:szCs w:val="28"/>
        </w:rPr>
      </w:pPr>
      <w:r>
        <w:rPr>
          <w:rFonts w:ascii="Times New Roman" w:hAnsi="Times New Roman"/>
        </w:rPr>
        <w:t>近年来，随着工程治理及调查发现，多数地段工程仅对隐患点位置进行治理，效果不甚理想，在强降雨或其他条件下，周边风险区地段有可能产生新的隐患，因此应坚持关口前移、源头预防思想，开展地质灾害隐患点和风险区双控研究，强化监测预警，推进地质灾害风险防控工作科学化、信息化、标准化，提升全社会地质灾害整体预控能力，把风险控制在地质灾害形成之前，有效避免重大地质灾害事件发生；</w:t>
      </w:r>
      <w:r>
        <w:rPr>
          <w:rFonts w:ascii="Times New Roman" w:hAnsi="Times New Roman"/>
          <w:bCs/>
          <w:szCs w:val="28"/>
        </w:rPr>
        <w:t>对地质灾害隐患点和目前没有变形迹象但具有成灾风险的地区实施风险管控。探索地质灾害隐患点与风险区“双控”的管理制度和技术要求，建立地质灾害“双控”工作体系与协调联动的管理运行机制已十分必要。</w:t>
      </w:r>
    </w:p>
    <w:p>
      <w:pPr>
        <w:ind w:firstLine="560"/>
        <w:rPr>
          <w:rFonts w:ascii="Times New Roman" w:hAnsi="Times New Roman"/>
          <w:bCs/>
          <w:szCs w:val="28"/>
        </w:rPr>
      </w:pPr>
      <w:r>
        <w:rPr>
          <w:rFonts w:ascii="Times New Roman" w:hAnsi="Times New Roman"/>
          <w:bCs/>
          <w:szCs w:val="28"/>
        </w:rPr>
        <w:t>根据《2021年云南省地质灾害隐患点和风险区双控试点区实施方案》的原则，县域内高、中风险区内除隐患点以外有人居住的区域均纳入双控区，双控区内的自然村作为风险防控对象，风险区主要防控措施为：</w:t>
      </w:r>
    </w:p>
    <w:p>
      <w:pPr>
        <w:ind w:firstLine="560"/>
        <w:rPr>
          <w:rFonts w:ascii="Times New Roman" w:hAnsi="Times New Roman"/>
          <w:bCs/>
          <w:szCs w:val="28"/>
        </w:rPr>
      </w:pPr>
      <w:r>
        <w:rPr>
          <w:rFonts w:ascii="Times New Roman" w:hAnsi="Times New Roman"/>
          <w:bCs/>
          <w:szCs w:val="28"/>
        </w:rPr>
        <w:t>（1）风险点隐患排查</w:t>
      </w:r>
    </w:p>
    <w:p>
      <w:pPr>
        <w:ind w:firstLine="560"/>
        <w:rPr>
          <w:rFonts w:ascii="Times New Roman" w:hAnsi="Times New Roman"/>
          <w:bCs/>
          <w:szCs w:val="28"/>
        </w:rPr>
      </w:pPr>
      <w:r>
        <w:rPr>
          <w:rFonts w:ascii="Times New Roman" w:hAnsi="Times New Roman"/>
          <w:bCs/>
          <w:szCs w:val="28"/>
        </w:rPr>
        <w:t>风险区汛前、汛中、汛后以村（社区)为单位，对每一个村民小组（自然村)、每一户住户开展地毯式、全覆盖的隐患排查，做到“乡不漏村、村不漏组、组不漏户、户不漏人”。排查重点包括：是否切坡建房，是否存在高挡墙、高边坡、高回填，是否位于沟道口，房前屋后排水是否畅通；坡前、坡后是否有开裂迹象，是否有坍塌隐患；房屋周边是否有高大树木、大竹篷等。对存在隐患的农户卧室床的摆放情况进行全面排查，要将床铺不能摆放在房屋后山墙有风险的一旁落实到位。</w:t>
      </w:r>
    </w:p>
    <w:p>
      <w:pPr>
        <w:ind w:firstLine="560"/>
        <w:rPr>
          <w:rFonts w:ascii="Times New Roman" w:hAnsi="Times New Roman"/>
          <w:bCs/>
          <w:szCs w:val="28"/>
        </w:rPr>
      </w:pPr>
      <w:r>
        <w:rPr>
          <w:rFonts w:ascii="Times New Roman" w:hAnsi="Times New Roman"/>
          <w:bCs/>
          <w:szCs w:val="28"/>
        </w:rPr>
        <w:t>（2）执行巡查员制度</w:t>
      </w:r>
    </w:p>
    <w:p>
      <w:pPr>
        <w:ind w:firstLine="560"/>
        <w:rPr>
          <w:rFonts w:ascii="Times New Roman" w:hAnsi="Times New Roman"/>
          <w:bCs/>
          <w:szCs w:val="28"/>
        </w:rPr>
      </w:pPr>
      <w:r>
        <w:rPr>
          <w:rFonts w:ascii="Times New Roman" w:hAnsi="Times New Roman"/>
          <w:bCs/>
          <w:szCs w:val="28"/>
        </w:rPr>
        <w:t>汛中，在群测群防网络体系运行的基础上，建立村庄地质灾害风险巡查员制度，每个村（社区）委会落实1名巡查组织员（原则上由总支书记兼任），相临近的几个村民小组统一落实1名巡查员，其遴选工作参照监测员遴选程序落实，经乡镇人民政府审批后报县自然资源局备案。每一轮强降雨天气过程，巡查组织员负责组织行政村域内各小组（自然村）巡查员对村民居住点的坡前、坡后开展巡查，对发现的地质灾害灾（险）情、地质灾害隐患做到及时发现、及时避险，相关信息第一时间上报，相关职能部门按照隐患的实际情况进行处置，形成工作闭环。</w:t>
      </w:r>
    </w:p>
    <w:p>
      <w:pPr>
        <w:ind w:firstLine="560"/>
        <w:rPr>
          <w:rFonts w:ascii="Times New Roman" w:hAnsi="Times New Roman"/>
          <w:bCs/>
          <w:szCs w:val="28"/>
        </w:rPr>
      </w:pPr>
      <w:r>
        <w:rPr>
          <w:rFonts w:ascii="Times New Roman" w:hAnsi="Times New Roman"/>
          <w:bCs/>
          <w:szCs w:val="28"/>
        </w:rPr>
        <w:t>（3）做好巡查组织员、巡查员的管理、培训和演练</w:t>
      </w:r>
    </w:p>
    <w:p>
      <w:pPr>
        <w:ind w:firstLine="560"/>
        <w:rPr>
          <w:rFonts w:ascii="Times New Roman" w:hAnsi="Times New Roman"/>
          <w:bCs/>
          <w:szCs w:val="28"/>
        </w:rPr>
      </w:pPr>
      <w:r>
        <w:rPr>
          <w:rFonts w:ascii="Times New Roman" w:hAnsi="Times New Roman"/>
          <w:bCs/>
          <w:szCs w:val="28"/>
        </w:rPr>
        <w:t>充分借鉴监测员管理模式，结合实际对巡查组织员、巡查员进行严格管理，充分发挥巡查组织员、巡查员的作用，最大限度避免风险区遭受地质灾害损失，对不称职、不履职的巡查员应及时更换，增补符合条件的人员。</w:t>
      </w:r>
    </w:p>
    <w:p>
      <w:pPr>
        <w:ind w:firstLine="560"/>
        <w:rPr>
          <w:rFonts w:ascii="Times New Roman" w:hAnsi="Times New Roman"/>
          <w:bCs/>
          <w:szCs w:val="28"/>
        </w:rPr>
      </w:pPr>
      <w:r>
        <w:rPr>
          <w:rFonts w:ascii="Times New Roman" w:hAnsi="Times New Roman"/>
          <w:bCs/>
          <w:szCs w:val="28"/>
        </w:rPr>
        <w:t>抓好巡查组织员、巡查员及风险区群众地质灾害防治知识培训，提高应急处置能力和防灾避灾、灾后自救能力。各村（街）要充分利用各种宣传媒体的力量，加强宣传。通过电视、广播等多种渠道，采取播放专题片、开辟专栏、制作专题、张贴宣传画、发放宣传单等多种形式，广泛宣传地质灾害防治法律法规和防灾救灾常识，提高广大干部群众的防灾意识和防灾救灾能力。</w:t>
      </w:r>
    </w:p>
    <w:p>
      <w:pPr>
        <w:ind w:firstLine="560"/>
        <w:rPr>
          <w:rFonts w:hint="eastAsia" w:ascii="Times New Roman" w:hAnsi="Times New Roman"/>
        </w:rPr>
      </w:pPr>
      <w:r>
        <w:rPr>
          <w:rFonts w:ascii="Times New Roman" w:hAnsi="Times New Roman"/>
          <w:bCs/>
          <w:szCs w:val="28"/>
        </w:rPr>
        <w:t>在“十四五”期间，我市隐患点和风险区“双控”主要措施参照《盈江县地质灾害隐患点和风险区双控实施方案（试行）》执行，以风险区内各自然村为单位安排巡查员，以行政村为单位安排巡查组织员</w:t>
      </w:r>
      <w:r>
        <w:rPr>
          <w:rFonts w:hint="eastAsia" w:ascii="Times New Roman" w:hAnsi="Times New Roman"/>
          <w:bCs/>
          <w:szCs w:val="28"/>
        </w:rPr>
        <w:t>。规划</w:t>
      </w:r>
      <w:r>
        <w:rPr>
          <w:rFonts w:ascii="Times New Roman" w:hAnsi="Times New Roman"/>
        </w:rPr>
        <w:t>2025年</w:t>
      </w:r>
      <w:r>
        <w:rPr>
          <w:rFonts w:hint="eastAsia" w:ascii="Times New Roman" w:hAnsi="Times New Roman"/>
        </w:rPr>
        <w:t>开展</w:t>
      </w:r>
      <w:r>
        <w:rPr>
          <w:rFonts w:ascii="Times New Roman" w:hAnsi="Times New Roman"/>
        </w:rPr>
        <w:t>实施，初步</w:t>
      </w:r>
      <w:r>
        <w:rPr>
          <w:rFonts w:hint="eastAsia" w:ascii="Times New Roman" w:hAnsi="Times New Roman"/>
        </w:rPr>
        <w:t>共45个村委会纳入风险管控，设置巡查组织员及巡查员，配备巡查及记录设备，巡查组织员及巡查员纳入气象预警网络。</w:t>
      </w:r>
    </w:p>
    <w:p>
      <w:pPr>
        <w:pStyle w:val="183"/>
        <w:spacing w:before="120" w:after="120"/>
        <w:rPr>
          <w:rFonts w:ascii="Times New Roman" w:hAnsi="Times New Roman"/>
          <w:b/>
        </w:rPr>
      </w:pPr>
      <w:bookmarkStart w:id="79" w:name="_Toc137671427"/>
      <w:r>
        <w:rPr>
          <w:rFonts w:ascii="Times New Roman" w:hAnsi="Times New Roman"/>
          <w:b/>
        </w:rPr>
        <w:t>（三）工程治理</w:t>
      </w:r>
      <w:bookmarkEnd w:id="79"/>
    </w:p>
    <w:p>
      <w:pPr>
        <w:pStyle w:val="184"/>
        <w:spacing w:after="0"/>
        <w:rPr>
          <w:rStyle w:val="197"/>
          <w:rFonts w:ascii="Times New Roman" w:hAnsi="Times New Roman"/>
          <w:b/>
          <w:bCs w:val="0"/>
        </w:rPr>
      </w:pPr>
      <w:bookmarkStart w:id="80" w:name="_Toc131872744"/>
      <w:bookmarkStart w:id="81" w:name="_Toc137671428"/>
      <w:r>
        <w:rPr>
          <w:rStyle w:val="197"/>
          <w:rFonts w:ascii="Times New Roman" w:hAnsi="Times New Roman"/>
          <w:b/>
          <w:bCs w:val="0"/>
        </w:rPr>
        <w:t>1、工程治理项目</w:t>
      </w:r>
      <w:bookmarkEnd w:id="80"/>
      <w:bookmarkEnd w:id="81"/>
    </w:p>
    <w:p>
      <w:pPr>
        <w:ind w:firstLine="560"/>
        <w:rPr>
          <w:rFonts w:ascii="Times New Roman" w:hAnsi="Times New Roman"/>
        </w:rPr>
      </w:pPr>
      <w:r>
        <w:rPr>
          <w:rFonts w:ascii="Times New Roman" w:hAnsi="Times New Roman"/>
        </w:rPr>
        <w:t>按照全面规划与重点防治相结合，以及分批次有序实施的原则，本次规划工程治理项目主要包括因局部地质环境条件改变导致地质灾害稳定性降低、威胁情况加重且紧急而又无法实施搬迁，也无法自然稳定的地质灾害隐患。</w:t>
      </w:r>
    </w:p>
    <w:p>
      <w:pPr>
        <w:ind w:firstLine="560"/>
        <w:rPr>
          <w:rFonts w:ascii="Times New Roman" w:hAnsi="Times New Roman"/>
        </w:rPr>
      </w:pPr>
      <w:r>
        <w:rPr>
          <w:rFonts w:ascii="Times New Roman" w:hAnsi="Times New Roman"/>
        </w:rPr>
        <w:t>本次规划工程治理项目主要包括因局部地质环境条件改变导致地质灾害稳定性降低、威胁情况加重且紧急而又无法实施搬迁，也无法自然稳定的地质灾害隐患。</w:t>
      </w:r>
    </w:p>
    <w:p>
      <w:pPr>
        <w:ind w:firstLine="560"/>
        <w:rPr>
          <w:rFonts w:ascii="Times New Roman" w:hAnsi="Times New Roman"/>
        </w:rPr>
      </w:pPr>
      <w:r>
        <w:rPr>
          <w:rFonts w:ascii="Times New Roman" w:hAnsi="Times New Roman"/>
        </w:rPr>
        <w:t>2021年～2025年，全市共规划完成地质灾害工程治理项目20个，其中特大型项目1个、大型项目2个、中型项目8个、小型项目9个。规划2021年实施4个，规划2022年实施2个，2023年实施4个，2024年实施4个，2025年实施6个。见附表2。</w:t>
      </w:r>
    </w:p>
    <w:p>
      <w:pPr>
        <w:spacing w:line="240" w:lineRule="auto"/>
        <w:ind w:firstLine="0"/>
        <w:jc w:val="center"/>
        <w:rPr>
          <w:rFonts w:ascii="Times New Roman" w:hAnsi="Times New Roman"/>
          <w:b/>
          <w:sz w:val="24"/>
          <w:szCs w:val="24"/>
        </w:rPr>
      </w:pPr>
    </w:p>
    <w:p>
      <w:pPr>
        <w:spacing w:line="240" w:lineRule="auto"/>
        <w:ind w:firstLine="0"/>
        <w:jc w:val="center"/>
        <w:rPr>
          <w:rFonts w:ascii="Times New Roman" w:hAnsi="Times New Roman"/>
          <w:b/>
          <w:sz w:val="24"/>
          <w:szCs w:val="24"/>
        </w:rPr>
      </w:pPr>
      <w:r>
        <w:rPr>
          <w:rFonts w:ascii="Times New Roman" w:hAnsi="Times New Roman"/>
          <w:b/>
          <w:sz w:val="24"/>
          <w:szCs w:val="24"/>
        </w:rPr>
        <w:t>专栏二  地质灾害监测预警工程规划表</w:t>
      </w:r>
    </w:p>
    <w:tbl>
      <w:tblPr>
        <w:tblStyle w:val="28"/>
        <w:tblW w:w="488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15" w:type="dxa"/>
          <w:left w:w="15" w:type="dxa"/>
          <w:bottom w:w="0" w:type="dxa"/>
          <w:right w:w="15" w:type="dxa"/>
        </w:tblCellMar>
      </w:tblPr>
      <w:tblGrid>
        <w:gridCol w:w="520"/>
        <w:gridCol w:w="1311"/>
        <w:gridCol w:w="785"/>
        <w:gridCol w:w="1182"/>
        <w:gridCol w:w="1218"/>
        <w:gridCol w:w="1134"/>
        <w:gridCol w:w="1337"/>
        <w:gridCol w:w="14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0" w:type="dxa"/>
            <w:right w:w="15" w:type="dxa"/>
          </w:tblCellMar>
        </w:tblPrEx>
        <w:trPr>
          <w:trHeight w:val="485" w:hRule="atLeast"/>
          <w:tblHeader/>
          <w:jc w:val="center"/>
        </w:trPr>
        <w:tc>
          <w:tcPr>
            <w:tcW w:w="1831" w:type="dxa"/>
            <w:gridSpan w:val="2"/>
            <w:vMerge w:val="restart"/>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r>
              <w:rPr>
                <w:rFonts w:ascii="Times New Roman" w:hAnsi="Times New Roman"/>
                <w:sz w:val="21"/>
              </w:rPr>
              <w:t xml:space="preserve">项 </w:t>
            </w:r>
            <w:r>
              <w:rPr>
                <w:rStyle w:val="274"/>
                <w:rFonts w:ascii="Times New Roman" w:hAnsi="Times New Roman" w:cs="Times New Roman"/>
                <w:b w:val="0"/>
                <w:sz w:val="21"/>
              </w:rPr>
              <w:t xml:space="preserve"> 目</w:t>
            </w:r>
          </w:p>
        </w:tc>
        <w:tc>
          <w:tcPr>
            <w:tcW w:w="7069" w:type="dxa"/>
            <w:gridSpan w:val="6"/>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r>
              <w:rPr>
                <w:rFonts w:ascii="Times New Roman" w:hAnsi="Times New Roman"/>
                <w:sz w:val="21"/>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0" w:type="dxa"/>
            <w:right w:w="15" w:type="dxa"/>
          </w:tblCellMar>
        </w:tblPrEx>
        <w:trPr>
          <w:trHeight w:val="454" w:hRule="atLeast"/>
          <w:tblHeader/>
          <w:jc w:val="center"/>
        </w:trPr>
        <w:tc>
          <w:tcPr>
            <w:tcW w:w="1831" w:type="dxa"/>
            <w:gridSpan w:val="2"/>
            <w:vMerge w:val="continue"/>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p>
        </w:tc>
        <w:tc>
          <w:tcPr>
            <w:tcW w:w="441" w:type="dxa"/>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r>
              <w:rPr>
                <w:rFonts w:ascii="Times New Roman" w:hAnsi="Times New Roman"/>
                <w:sz w:val="21"/>
              </w:rPr>
              <w:t>合计</w:t>
            </w:r>
          </w:p>
        </w:tc>
        <w:tc>
          <w:tcPr>
            <w:tcW w:w="664" w:type="dxa"/>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r>
              <w:rPr>
                <w:rFonts w:ascii="Times New Roman" w:hAnsi="Times New Roman"/>
                <w:sz w:val="21"/>
              </w:rPr>
              <w:t>2021年</w:t>
            </w:r>
          </w:p>
        </w:tc>
        <w:tc>
          <w:tcPr>
            <w:tcW w:w="684" w:type="dxa"/>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r>
              <w:rPr>
                <w:rFonts w:ascii="Times New Roman" w:hAnsi="Times New Roman"/>
                <w:sz w:val="21"/>
              </w:rPr>
              <w:t>2022年</w:t>
            </w:r>
          </w:p>
        </w:tc>
        <w:tc>
          <w:tcPr>
            <w:tcW w:w="637" w:type="dxa"/>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r>
              <w:rPr>
                <w:rFonts w:ascii="Times New Roman" w:hAnsi="Times New Roman"/>
                <w:sz w:val="21"/>
              </w:rPr>
              <w:t>2023年</w:t>
            </w:r>
          </w:p>
        </w:tc>
        <w:tc>
          <w:tcPr>
            <w:tcW w:w="751" w:type="dxa"/>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r>
              <w:rPr>
                <w:rFonts w:ascii="Times New Roman" w:hAnsi="Times New Roman"/>
                <w:sz w:val="21"/>
              </w:rPr>
              <w:t>2024年</w:t>
            </w:r>
          </w:p>
        </w:tc>
        <w:tc>
          <w:tcPr>
            <w:tcW w:w="794" w:type="dxa"/>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r>
              <w:rPr>
                <w:rFonts w:ascii="Times New Roman" w:hAnsi="Times New Roman"/>
                <w:sz w:val="21"/>
              </w:rPr>
              <w:t>2025年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0" w:type="dxa"/>
            <w:right w:w="15" w:type="dxa"/>
          </w:tblCellMar>
        </w:tblPrEx>
        <w:trPr>
          <w:trHeight w:val="454" w:hRule="atLeast"/>
          <w:jc w:val="center"/>
        </w:trPr>
        <w:tc>
          <w:tcPr>
            <w:tcW w:w="292" w:type="dxa"/>
            <w:vMerge w:val="restart"/>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r>
              <w:rPr>
                <w:rFonts w:ascii="Times New Roman" w:hAnsi="Times New Roman"/>
                <w:sz w:val="21"/>
              </w:rPr>
              <w:t>监测</w:t>
            </w:r>
          </w:p>
          <w:p>
            <w:pPr>
              <w:widowControl/>
              <w:spacing w:line="240" w:lineRule="auto"/>
              <w:ind w:left="140" w:right="140" w:firstLine="0"/>
              <w:jc w:val="center"/>
              <w:rPr>
                <w:rFonts w:ascii="Times New Roman" w:hAnsi="Times New Roman"/>
                <w:sz w:val="21"/>
              </w:rPr>
            </w:pPr>
            <w:r>
              <w:rPr>
                <w:rFonts w:ascii="Times New Roman" w:hAnsi="Times New Roman"/>
                <w:sz w:val="21"/>
              </w:rPr>
              <w:t>预警</w:t>
            </w:r>
          </w:p>
        </w:tc>
        <w:tc>
          <w:tcPr>
            <w:tcW w:w="737" w:type="dxa"/>
            <w:vMerge w:val="restart"/>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r>
              <w:rPr>
                <w:rFonts w:ascii="Times New Roman" w:hAnsi="Times New Roman"/>
                <w:sz w:val="21"/>
              </w:rPr>
              <w:t>群测群防</w:t>
            </w:r>
          </w:p>
        </w:tc>
        <w:tc>
          <w:tcPr>
            <w:tcW w:w="441" w:type="dxa"/>
            <w:vMerge w:val="restart"/>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r>
              <w:rPr>
                <w:rFonts w:ascii="Times New Roman" w:hAnsi="Times New Roman"/>
                <w:sz w:val="21"/>
              </w:rPr>
              <w:t>169个点</w:t>
            </w:r>
          </w:p>
        </w:tc>
        <w:tc>
          <w:tcPr>
            <w:tcW w:w="664" w:type="dxa"/>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r>
              <w:rPr>
                <w:rFonts w:ascii="Times New Roman" w:hAnsi="Times New Roman"/>
                <w:sz w:val="21"/>
              </w:rPr>
              <w:t>169</w:t>
            </w:r>
          </w:p>
        </w:tc>
        <w:tc>
          <w:tcPr>
            <w:tcW w:w="684" w:type="dxa"/>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r>
              <w:rPr>
                <w:rFonts w:ascii="Times New Roman" w:hAnsi="Times New Roman"/>
                <w:sz w:val="21"/>
              </w:rPr>
              <w:t>169</w:t>
            </w:r>
          </w:p>
        </w:tc>
        <w:tc>
          <w:tcPr>
            <w:tcW w:w="637" w:type="dxa"/>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r>
              <w:rPr>
                <w:rFonts w:ascii="Times New Roman" w:hAnsi="Times New Roman"/>
                <w:sz w:val="21"/>
              </w:rPr>
              <w:t>169</w:t>
            </w:r>
          </w:p>
        </w:tc>
        <w:tc>
          <w:tcPr>
            <w:tcW w:w="751" w:type="dxa"/>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r>
              <w:rPr>
                <w:rFonts w:ascii="Times New Roman" w:hAnsi="Times New Roman"/>
                <w:sz w:val="21"/>
              </w:rPr>
              <w:t>169</w:t>
            </w:r>
          </w:p>
        </w:tc>
        <w:tc>
          <w:tcPr>
            <w:tcW w:w="794" w:type="dxa"/>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r>
              <w:rPr>
                <w:rFonts w:ascii="Times New Roman" w:hAnsi="Times New Roman"/>
                <w:sz w:val="21"/>
              </w:rPr>
              <w:t>169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0" w:type="dxa"/>
            <w:right w:w="15" w:type="dxa"/>
          </w:tblCellMar>
        </w:tblPrEx>
        <w:trPr>
          <w:trHeight w:val="454" w:hRule="atLeast"/>
          <w:jc w:val="center"/>
        </w:trPr>
        <w:tc>
          <w:tcPr>
            <w:tcW w:w="292" w:type="dxa"/>
            <w:vMerge w:val="continue"/>
            <w:noWrap w:val="0"/>
            <w:tcMar>
              <w:top w:w="15" w:type="dxa"/>
              <w:left w:w="15" w:type="dxa"/>
              <w:right w:w="15" w:type="dxa"/>
            </w:tcMar>
            <w:vAlign w:val="center"/>
          </w:tcPr>
          <w:p>
            <w:pPr>
              <w:widowControl/>
              <w:spacing w:line="240" w:lineRule="auto"/>
              <w:ind w:left="140" w:right="140" w:firstLine="0"/>
              <w:rPr>
                <w:rFonts w:ascii="Times New Roman" w:hAnsi="Times New Roman"/>
                <w:sz w:val="21"/>
              </w:rPr>
            </w:pPr>
          </w:p>
        </w:tc>
        <w:tc>
          <w:tcPr>
            <w:tcW w:w="737" w:type="dxa"/>
            <w:vMerge w:val="continue"/>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p>
        </w:tc>
        <w:tc>
          <w:tcPr>
            <w:tcW w:w="441" w:type="dxa"/>
            <w:vMerge w:val="continue"/>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p>
        </w:tc>
        <w:tc>
          <w:tcPr>
            <w:tcW w:w="6284" w:type="dxa"/>
            <w:gridSpan w:val="5"/>
            <w:noWrap w:val="0"/>
            <w:tcMar>
              <w:top w:w="15" w:type="dxa"/>
              <w:left w:w="15" w:type="dxa"/>
              <w:right w:w="15" w:type="dxa"/>
            </w:tcMar>
            <w:vAlign w:val="center"/>
          </w:tcPr>
          <w:p>
            <w:pPr>
              <w:widowControl/>
              <w:spacing w:line="240" w:lineRule="auto"/>
              <w:ind w:left="140" w:right="140" w:firstLine="0"/>
              <w:jc w:val="left"/>
              <w:rPr>
                <w:rFonts w:ascii="Times New Roman" w:hAnsi="Times New Roman"/>
                <w:sz w:val="21"/>
              </w:rPr>
            </w:pPr>
            <w:r>
              <w:rPr>
                <w:rFonts w:ascii="Times New Roman" w:hAnsi="Times New Roman"/>
                <w:sz w:val="21"/>
              </w:rPr>
              <w:t>按照实际台账和相应要求开展工作，以上工作量为预计工作量。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0" w:type="dxa"/>
            <w:right w:w="15" w:type="dxa"/>
          </w:tblCellMar>
        </w:tblPrEx>
        <w:trPr>
          <w:trHeight w:val="454" w:hRule="atLeast"/>
          <w:jc w:val="center"/>
        </w:trPr>
        <w:tc>
          <w:tcPr>
            <w:tcW w:w="292" w:type="dxa"/>
            <w:vMerge w:val="continue"/>
            <w:noWrap w:val="0"/>
            <w:tcMar>
              <w:top w:w="15" w:type="dxa"/>
              <w:left w:w="15" w:type="dxa"/>
              <w:right w:w="15" w:type="dxa"/>
            </w:tcMar>
            <w:vAlign w:val="center"/>
          </w:tcPr>
          <w:p>
            <w:pPr>
              <w:widowControl/>
              <w:spacing w:line="240" w:lineRule="auto"/>
              <w:ind w:left="140" w:right="140" w:firstLine="0"/>
              <w:rPr>
                <w:rFonts w:ascii="Times New Roman" w:hAnsi="Times New Roman"/>
                <w:sz w:val="21"/>
              </w:rPr>
            </w:pPr>
          </w:p>
        </w:tc>
        <w:tc>
          <w:tcPr>
            <w:tcW w:w="737" w:type="dxa"/>
            <w:vMerge w:val="restart"/>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r>
              <w:rPr>
                <w:rFonts w:ascii="Times New Roman" w:hAnsi="Times New Roman"/>
                <w:sz w:val="21"/>
              </w:rPr>
              <w:t>普适型监测</w:t>
            </w:r>
          </w:p>
        </w:tc>
        <w:tc>
          <w:tcPr>
            <w:tcW w:w="441" w:type="dxa"/>
            <w:vMerge w:val="restart"/>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r>
              <w:rPr>
                <w:rFonts w:ascii="Times New Roman" w:hAnsi="Times New Roman"/>
                <w:sz w:val="21"/>
              </w:rPr>
              <w:t>118</w:t>
            </w:r>
          </w:p>
        </w:tc>
        <w:tc>
          <w:tcPr>
            <w:tcW w:w="664" w:type="dxa"/>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r>
              <w:rPr>
                <w:rFonts w:ascii="Times New Roman" w:hAnsi="Times New Roman"/>
                <w:sz w:val="21"/>
              </w:rPr>
              <w:t>38已完成</w:t>
            </w:r>
          </w:p>
        </w:tc>
        <w:tc>
          <w:tcPr>
            <w:tcW w:w="684" w:type="dxa"/>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r>
              <w:rPr>
                <w:rFonts w:ascii="Times New Roman" w:hAnsi="Times New Roman"/>
                <w:sz w:val="21"/>
              </w:rPr>
              <w:t>25已实施</w:t>
            </w:r>
          </w:p>
        </w:tc>
        <w:tc>
          <w:tcPr>
            <w:tcW w:w="637" w:type="dxa"/>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r>
              <w:rPr>
                <w:rFonts w:ascii="Times New Roman" w:hAnsi="Times New Roman"/>
                <w:sz w:val="21"/>
              </w:rPr>
              <w:t>30</w:t>
            </w:r>
          </w:p>
        </w:tc>
        <w:tc>
          <w:tcPr>
            <w:tcW w:w="751" w:type="dxa"/>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r>
              <w:rPr>
                <w:rFonts w:ascii="Times New Roman" w:hAnsi="Times New Roman"/>
                <w:sz w:val="21"/>
              </w:rPr>
              <w:t>14</w:t>
            </w:r>
          </w:p>
        </w:tc>
        <w:tc>
          <w:tcPr>
            <w:tcW w:w="794" w:type="dxa"/>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r>
              <w:rPr>
                <w:rFonts w:ascii="Times New Roman" w:hAnsi="Times New Roman"/>
                <w:sz w:val="21"/>
              </w:rPr>
              <w:t>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0" w:type="dxa"/>
            <w:right w:w="15" w:type="dxa"/>
          </w:tblCellMar>
        </w:tblPrEx>
        <w:trPr>
          <w:jc w:val="center"/>
        </w:trPr>
        <w:tc>
          <w:tcPr>
            <w:tcW w:w="292" w:type="dxa"/>
            <w:vMerge w:val="continue"/>
            <w:noWrap w:val="0"/>
            <w:tcMar>
              <w:top w:w="15" w:type="dxa"/>
              <w:left w:w="15" w:type="dxa"/>
              <w:right w:w="15" w:type="dxa"/>
            </w:tcMar>
            <w:vAlign w:val="center"/>
          </w:tcPr>
          <w:p>
            <w:pPr>
              <w:widowControl/>
              <w:spacing w:line="240" w:lineRule="auto"/>
              <w:ind w:left="140" w:right="140" w:firstLine="0"/>
              <w:rPr>
                <w:rFonts w:ascii="Times New Roman" w:hAnsi="Times New Roman"/>
                <w:sz w:val="21"/>
              </w:rPr>
            </w:pPr>
          </w:p>
        </w:tc>
        <w:tc>
          <w:tcPr>
            <w:tcW w:w="737" w:type="dxa"/>
            <w:vMerge w:val="continue"/>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p>
        </w:tc>
        <w:tc>
          <w:tcPr>
            <w:tcW w:w="441" w:type="dxa"/>
            <w:vMerge w:val="continue"/>
            <w:noWrap w:val="0"/>
            <w:tcMar>
              <w:top w:w="15" w:type="dxa"/>
              <w:left w:w="15" w:type="dxa"/>
              <w:right w:w="15" w:type="dxa"/>
            </w:tcMar>
            <w:vAlign w:val="center"/>
          </w:tcPr>
          <w:p>
            <w:pPr>
              <w:spacing w:line="240" w:lineRule="auto"/>
              <w:ind w:left="140" w:right="140" w:firstLine="0"/>
              <w:jc w:val="center"/>
              <w:rPr>
                <w:rFonts w:ascii="Times New Roman" w:hAnsi="Times New Roman"/>
                <w:sz w:val="21"/>
              </w:rPr>
            </w:pPr>
          </w:p>
        </w:tc>
        <w:tc>
          <w:tcPr>
            <w:tcW w:w="6284" w:type="dxa"/>
            <w:gridSpan w:val="5"/>
            <w:noWrap w:val="0"/>
            <w:tcMar>
              <w:top w:w="15" w:type="dxa"/>
              <w:left w:w="15" w:type="dxa"/>
              <w:right w:w="15" w:type="dxa"/>
            </w:tcMar>
            <w:vAlign w:val="center"/>
          </w:tcPr>
          <w:p>
            <w:pPr>
              <w:pStyle w:val="209"/>
              <w:spacing w:line="320" w:lineRule="exact"/>
              <w:ind w:left="140" w:right="140" w:firstLine="0"/>
              <w:rPr>
                <w:rFonts w:ascii="Times New Roman" w:hAnsi="Times New Roman"/>
                <w:sz w:val="21"/>
              </w:rPr>
            </w:pPr>
            <w:r>
              <w:rPr>
                <w:rFonts w:hint="eastAsia" w:hAnsi="宋体" w:cs="宋体"/>
                <w:sz w:val="21"/>
              </w:rPr>
              <w:t>①</w:t>
            </w:r>
            <w:r>
              <w:rPr>
                <w:rFonts w:ascii="Times New Roman" w:hAnsi="Times New Roman"/>
                <w:sz w:val="21"/>
              </w:rPr>
              <w:t>已有监测项目：持续完善运行维护，提升监测精度和预警效果；</w:t>
            </w:r>
            <w:r>
              <w:rPr>
                <w:rFonts w:hint="eastAsia" w:hAnsi="宋体" w:cs="宋体"/>
                <w:sz w:val="21"/>
              </w:rPr>
              <w:t>②</w:t>
            </w:r>
            <w:r>
              <w:rPr>
                <w:rFonts w:ascii="Times New Roman" w:hAnsi="Times New Roman"/>
                <w:sz w:val="21"/>
              </w:rPr>
              <w:t>规划监测项目：实施过程中可依据地质灾害隐患点的发展趋势和稳定程度调整实施顺序。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0" w:type="dxa"/>
            <w:right w:w="15" w:type="dxa"/>
          </w:tblCellMar>
        </w:tblPrEx>
        <w:trPr>
          <w:trHeight w:val="454" w:hRule="atLeast"/>
          <w:jc w:val="center"/>
        </w:trPr>
        <w:tc>
          <w:tcPr>
            <w:tcW w:w="292" w:type="dxa"/>
            <w:vMerge w:val="continue"/>
            <w:noWrap w:val="0"/>
            <w:tcMar>
              <w:top w:w="15" w:type="dxa"/>
              <w:left w:w="15" w:type="dxa"/>
              <w:right w:w="15" w:type="dxa"/>
            </w:tcMar>
            <w:vAlign w:val="center"/>
          </w:tcPr>
          <w:p>
            <w:pPr>
              <w:widowControl/>
              <w:spacing w:line="240" w:lineRule="auto"/>
              <w:ind w:left="140" w:right="140" w:firstLine="0"/>
              <w:rPr>
                <w:rFonts w:ascii="Times New Roman" w:hAnsi="Times New Roman"/>
                <w:sz w:val="21"/>
              </w:rPr>
            </w:pPr>
          </w:p>
        </w:tc>
        <w:tc>
          <w:tcPr>
            <w:tcW w:w="737" w:type="dxa"/>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r>
              <w:rPr>
                <w:rFonts w:ascii="Times New Roman" w:hAnsi="Times New Roman"/>
                <w:sz w:val="21"/>
              </w:rPr>
              <w:t>监测工程维护</w:t>
            </w:r>
          </w:p>
        </w:tc>
        <w:tc>
          <w:tcPr>
            <w:tcW w:w="441" w:type="dxa"/>
            <w:noWrap w:val="0"/>
            <w:tcMar>
              <w:top w:w="15" w:type="dxa"/>
              <w:left w:w="15" w:type="dxa"/>
              <w:right w:w="15" w:type="dxa"/>
            </w:tcMar>
            <w:vAlign w:val="center"/>
          </w:tcPr>
          <w:p>
            <w:pPr>
              <w:spacing w:line="240" w:lineRule="auto"/>
              <w:ind w:left="140" w:right="140" w:firstLine="0"/>
              <w:jc w:val="center"/>
              <w:rPr>
                <w:rFonts w:ascii="Times New Roman" w:hAnsi="Times New Roman"/>
                <w:sz w:val="21"/>
              </w:rPr>
            </w:pPr>
          </w:p>
        </w:tc>
        <w:tc>
          <w:tcPr>
            <w:tcW w:w="664" w:type="dxa"/>
            <w:noWrap w:val="0"/>
            <w:tcMar>
              <w:top w:w="15" w:type="dxa"/>
              <w:left w:w="15" w:type="dxa"/>
              <w:right w:w="15" w:type="dxa"/>
            </w:tcMar>
            <w:vAlign w:val="center"/>
          </w:tcPr>
          <w:p>
            <w:pPr>
              <w:pStyle w:val="209"/>
              <w:spacing w:line="320" w:lineRule="exact"/>
              <w:ind w:left="140" w:right="140" w:firstLine="0"/>
              <w:rPr>
                <w:rFonts w:ascii="Times New Roman" w:hAnsi="Times New Roman"/>
                <w:sz w:val="21"/>
              </w:rPr>
            </w:pPr>
            <w:r>
              <w:rPr>
                <w:rFonts w:ascii="Times New Roman" w:hAnsi="Times New Roman"/>
                <w:sz w:val="21"/>
              </w:rPr>
              <w:t>专业4个</w:t>
            </w:r>
          </w:p>
        </w:tc>
        <w:tc>
          <w:tcPr>
            <w:tcW w:w="684" w:type="dxa"/>
            <w:noWrap w:val="0"/>
            <w:vAlign w:val="center"/>
          </w:tcPr>
          <w:p>
            <w:pPr>
              <w:pStyle w:val="209"/>
              <w:spacing w:line="320" w:lineRule="exact"/>
              <w:ind w:left="140" w:right="140" w:firstLine="0"/>
              <w:rPr>
                <w:rFonts w:ascii="Times New Roman" w:hAnsi="Times New Roman"/>
                <w:sz w:val="21"/>
              </w:rPr>
            </w:pPr>
            <w:r>
              <w:rPr>
                <w:rFonts w:ascii="Times New Roman" w:hAnsi="Times New Roman"/>
                <w:sz w:val="21"/>
              </w:rPr>
              <w:t>专业4个</w:t>
            </w:r>
          </w:p>
        </w:tc>
        <w:tc>
          <w:tcPr>
            <w:tcW w:w="637" w:type="dxa"/>
            <w:noWrap w:val="0"/>
            <w:vAlign w:val="center"/>
          </w:tcPr>
          <w:p>
            <w:pPr>
              <w:pStyle w:val="209"/>
              <w:spacing w:line="320" w:lineRule="exact"/>
              <w:ind w:left="140" w:right="140" w:firstLine="0"/>
              <w:rPr>
                <w:rFonts w:ascii="Times New Roman" w:hAnsi="Times New Roman"/>
                <w:sz w:val="21"/>
              </w:rPr>
            </w:pPr>
            <w:r>
              <w:rPr>
                <w:rFonts w:ascii="Times New Roman" w:hAnsi="Times New Roman"/>
                <w:sz w:val="21"/>
              </w:rPr>
              <w:t>专业4个</w:t>
            </w:r>
          </w:p>
        </w:tc>
        <w:tc>
          <w:tcPr>
            <w:tcW w:w="751" w:type="dxa"/>
            <w:noWrap w:val="0"/>
            <w:vAlign w:val="center"/>
          </w:tcPr>
          <w:p>
            <w:pPr>
              <w:pStyle w:val="209"/>
              <w:spacing w:line="320" w:lineRule="exact"/>
              <w:ind w:left="140" w:right="140" w:firstLine="0"/>
              <w:rPr>
                <w:rFonts w:ascii="Times New Roman" w:hAnsi="Times New Roman"/>
                <w:sz w:val="21"/>
              </w:rPr>
            </w:pPr>
            <w:r>
              <w:rPr>
                <w:rFonts w:ascii="Times New Roman" w:hAnsi="Times New Roman"/>
                <w:sz w:val="21"/>
              </w:rPr>
              <w:t>普适型44个</w:t>
            </w:r>
          </w:p>
        </w:tc>
        <w:tc>
          <w:tcPr>
            <w:tcW w:w="794" w:type="dxa"/>
            <w:noWrap w:val="0"/>
            <w:vAlign w:val="center"/>
          </w:tcPr>
          <w:p>
            <w:pPr>
              <w:pStyle w:val="209"/>
              <w:spacing w:line="320" w:lineRule="exact"/>
              <w:ind w:left="140" w:right="140" w:firstLine="0"/>
              <w:rPr>
                <w:rFonts w:ascii="Times New Roman" w:hAnsi="Times New Roman"/>
                <w:sz w:val="21"/>
              </w:rPr>
            </w:pPr>
            <w:r>
              <w:rPr>
                <w:rFonts w:ascii="Times New Roman" w:hAnsi="Times New Roman"/>
                <w:sz w:val="21"/>
              </w:rPr>
              <w:t>普适型69个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0" w:type="dxa"/>
            <w:right w:w="15" w:type="dxa"/>
          </w:tblCellMar>
        </w:tblPrEx>
        <w:trPr>
          <w:trHeight w:val="454" w:hRule="atLeast"/>
          <w:jc w:val="center"/>
        </w:trPr>
        <w:tc>
          <w:tcPr>
            <w:tcW w:w="292" w:type="dxa"/>
            <w:vMerge w:val="continue"/>
            <w:noWrap w:val="0"/>
            <w:tcMar>
              <w:top w:w="15" w:type="dxa"/>
              <w:left w:w="15" w:type="dxa"/>
              <w:right w:w="15" w:type="dxa"/>
            </w:tcMar>
            <w:vAlign w:val="center"/>
          </w:tcPr>
          <w:p>
            <w:pPr>
              <w:widowControl/>
              <w:spacing w:line="240" w:lineRule="auto"/>
              <w:ind w:left="140" w:right="140" w:firstLine="0"/>
              <w:rPr>
                <w:rFonts w:ascii="Times New Roman" w:hAnsi="Times New Roman"/>
                <w:sz w:val="21"/>
              </w:rPr>
            </w:pPr>
          </w:p>
        </w:tc>
        <w:tc>
          <w:tcPr>
            <w:tcW w:w="737" w:type="dxa"/>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r>
              <w:rPr>
                <w:rFonts w:ascii="Times New Roman" w:hAnsi="Times New Roman"/>
                <w:sz w:val="21"/>
              </w:rPr>
              <w:t>气象风险预警</w:t>
            </w:r>
          </w:p>
        </w:tc>
        <w:tc>
          <w:tcPr>
            <w:tcW w:w="441" w:type="dxa"/>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p>
        </w:tc>
        <w:tc>
          <w:tcPr>
            <w:tcW w:w="6284" w:type="dxa"/>
            <w:gridSpan w:val="5"/>
            <w:noWrap w:val="0"/>
            <w:tcMar>
              <w:top w:w="15" w:type="dxa"/>
              <w:left w:w="15" w:type="dxa"/>
              <w:right w:w="15" w:type="dxa"/>
            </w:tcMar>
            <w:vAlign w:val="center"/>
          </w:tcPr>
          <w:p>
            <w:pPr>
              <w:ind w:left="140" w:right="140" w:firstLine="0"/>
              <w:jc w:val="left"/>
              <w:rPr>
                <w:rFonts w:ascii="Times New Roman" w:hAnsi="Times New Roman"/>
                <w:sz w:val="21"/>
              </w:rPr>
            </w:pPr>
            <w:r>
              <w:rPr>
                <w:rFonts w:ascii="Times New Roman" w:hAnsi="Times New Roman"/>
                <w:sz w:val="21"/>
              </w:rPr>
              <w:t>常态化做好与气象局、通信部门的组织联动。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0" w:type="dxa"/>
            <w:right w:w="15" w:type="dxa"/>
          </w:tblCellMar>
        </w:tblPrEx>
        <w:trPr>
          <w:trHeight w:val="454" w:hRule="atLeast"/>
          <w:jc w:val="center"/>
        </w:trPr>
        <w:tc>
          <w:tcPr>
            <w:tcW w:w="292" w:type="dxa"/>
            <w:vMerge w:val="continue"/>
            <w:noWrap w:val="0"/>
            <w:tcMar>
              <w:top w:w="15" w:type="dxa"/>
              <w:left w:w="15" w:type="dxa"/>
              <w:right w:w="15" w:type="dxa"/>
            </w:tcMar>
            <w:vAlign w:val="center"/>
          </w:tcPr>
          <w:p>
            <w:pPr>
              <w:widowControl/>
              <w:spacing w:line="240" w:lineRule="auto"/>
              <w:ind w:left="140" w:right="140" w:firstLine="0"/>
              <w:rPr>
                <w:rFonts w:ascii="Times New Roman" w:hAnsi="Times New Roman"/>
                <w:sz w:val="21"/>
              </w:rPr>
            </w:pPr>
          </w:p>
        </w:tc>
        <w:tc>
          <w:tcPr>
            <w:tcW w:w="737" w:type="dxa"/>
            <w:vMerge w:val="restart"/>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r>
              <w:rPr>
                <w:rFonts w:ascii="Times New Roman" w:hAnsi="Times New Roman"/>
                <w:sz w:val="21"/>
              </w:rPr>
              <w:t>隐患和风险“双控”</w:t>
            </w:r>
          </w:p>
        </w:tc>
        <w:tc>
          <w:tcPr>
            <w:tcW w:w="441" w:type="dxa"/>
            <w:vMerge w:val="restart"/>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p>
        </w:tc>
        <w:tc>
          <w:tcPr>
            <w:tcW w:w="664" w:type="dxa"/>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p>
        </w:tc>
        <w:tc>
          <w:tcPr>
            <w:tcW w:w="684" w:type="dxa"/>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p>
        </w:tc>
        <w:tc>
          <w:tcPr>
            <w:tcW w:w="637" w:type="dxa"/>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p>
        </w:tc>
        <w:tc>
          <w:tcPr>
            <w:tcW w:w="751" w:type="dxa"/>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p>
        </w:tc>
        <w:tc>
          <w:tcPr>
            <w:tcW w:w="794" w:type="dxa"/>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r>
              <w:rPr>
                <w:rFonts w:ascii="Times New Roman" w:hAnsi="Times New Roman"/>
                <w:sz w:val="21"/>
              </w:rPr>
              <w: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0" w:type="dxa"/>
            <w:right w:w="15" w:type="dxa"/>
          </w:tblCellMar>
        </w:tblPrEx>
        <w:trPr>
          <w:trHeight w:val="454" w:hRule="atLeast"/>
          <w:jc w:val="center"/>
        </w:trPr>
        <w:tc>
          <w:tcPr>
            <w:tcW w:w="292" w:type="dxa"/>
            <w:vMerge w:val="continue"/>
            <w:noWrap w:val="0"/>
            <w:tcMar>
              <w:top w:w="15" w:type="dxa"/>
              <w:left w:w="15" w:type="dxa"/>
              <w:right w:w="15" w:type="dxa"/>
            </w:tcMar>
            <w:vAlign w:val="center"/>
          </w:tcPr>
          <w:p>
            <w:pPr>
              <w:widowControl/>
              <w:spacing w:line="240" w:lineRule="auto"/>
              <w:ind w:left="140" w:right="140" w:firstLine="0"/>
              <w:rPr>
                <w:rFonts w:ascii="Times New Roman" w:hAnsi="Times New Roman"/>
                <w:sz w:val="21"/>
              </w:rPr>
            </w:pPr>
          </w:p>
        </w:tc>
        <w:tc>
          <w:tcPr>
            <w:tcW w:w="737" w:type="dxa"/>
            <w:vMerge w:val="continue"/>
            <w:noWrap w:val="0"/>
            <w:tcMar>
              <w:top w:w="15" w:type="dxa"/>
              <w:left w:w="15" w:type="dxa"/>
              <w:right w:w="15" w:type="dxa"/>
            </w:tcMar>
            <w:vAlign w:val="center"/>
          </w:tcPr>
          <w:p>
            <w:pPr>
              <w:widowControl/>
              <w:spacing w:line="240" w:lineRule="auto"/>
              <w:ind w:left="140" w:right="140" w:firstLine="0"/>
              <w:rPr>
                <w:rFonts w:ascii="Times New Roman" w:hAnsi="Times New Roman"/>
                <w:sz w:val="21"/>
              </w:rPr>
            </w:pPr>
          </w:p>
        </w:tc>
        <w:tc>
          <w:tcPr>
            <w:tcW w:w="441" w:type="dxa"/>
            <w:vMerge w:val="continue"/>
            <w:noWrap w:val="0"/>
            <w:tcMar>
              <w:top w:w="15" w:type="dxa"/>
              <w:left w:w="15" w:type="dxa"/>
              <w:right w:w="15" w:type="dxa"/>
            </w:tcMar>
            <w:vAlign w:val="center"/>
          </w:tcPr>
          <w:p>
            <w:pPr>
              <w:widowControl/>
              <w:spacing w:line="240" w:lineRule="auto"/>
              <w:ind w:left="140" w:right="140" w:firstLine="0"/>
              <w:jc w:val="center"/>
              <w:rPr>
                <w:rFonts w:ascii="Times New Roman" w:hAnsi="Times New Roman"/>
                <w:sz w:val="21"/>
              </w:rPr>
            </w:pPr>
          </w:p>
        </w:tc>
        <w:tc>
          <w:tcPr>
            <w:tcW w:w="6284" w:type="dxa"/>
            <w:gridSpan w:val="5"/>
            <w:noWrap w:val="0"/>
            <w:tcMar>
              <w:top w:w="15" w:type="dxa"/>
              <w:left w:w="15" w:type="dxa"/>
              <w:right w:w="15" w:type="dxa"/>
            </w:tcMar>
            <w:vAlign w:val="center"/>
          </w:tcPr>
          <w:p>
            <w:pPr>
              <w:widowControl/>
              <w:spacing w:line="240" w:lineRule="auto"/>
              <w:ind w:left="140" w:right="140" w:firstLine="0"/>
              <w:jc w:val="left"/>
              <w:rPr>
                <w:rFonts w:ascii="Times New Roman" w:hAnsi="Times New Roman"/>
                <w:sz w:val="21"/>
              </w:rPr>
            </w:pPr>
            <w:r>
              <w:rPr>
                <w:rFonts w:hint="eastAsia" w:ascii="Times New Roman" w:hAnsi="Times New Roman"/>
                <w:sz w:val="21"/>
              </w:rPr>
              <w:t>2025年开展，</w:t>
            </w:r>
            <w:r>
              <w:rPr>
                <w:rFonts w:ascii="Times New Roman" w:hAnsi="Times New Roman"/>
                <w:sz w:val="21"/>
              </w:rPr>
              <w:t>工作量可依据风险区划成果和乡（镇、街道）行政区划调整，以上工作量为预计工作量。</w:t>
            </w:r>
          </w:p>
        </w:tc>
      </w:tr>
    </w:tbl>
    <w:p>
      <w:pPr>
        <w:ind w:firstLine="0"/>
        <w:jc w:val="center"/>
        <w:rPr>
          <w:rFonts w:hint="eastAsia" w:ascii="Times New Roman" w:hAnsi="Times New Roman"/>
          <w:b/>
          <w:sz w:val="24"/>
          <w:szCs w:val="24"/>
        </w:rPr>
      </w:pPr>
    </w:p>
    <w:p>
      <w:pPr>
        <w:pStyle w:val="184"/>
        <w:spacing w:after="0"/>
        <w:rPr>
          <w:rStyle w:val="197"/>
          <w:rFonts w:ascii="Times New Roman" w:hAnsi="Times New Roman"/>
          <w:b/>
          <w:bCs w:val="0"/>
        </w:rPr>
      </w:pPr>
      <w:bookmarkStart w:id="82" w:name="_Toc137671429"/>
      <w:bookmarkStart w:id="83" w:name="_Toc131872745"/>
      <w:r>
        <w:rPr>
          <w:rStyle w:val="197"/>
          <w:rFonts w:ascii="Times New Roman" w:hAnsi="Times New Roman"/>
          <w:b/>
          <w:bCs w:val="0"/>
        </w:rPr>
        <w:t>2、延续配套治理项目</w:t>
      </w:r>
      <w:bookmarkEnd w:id="82"/>
      <w:bookmarkEnd w:id="83"/>
    </w:p>
    <w:p>
      <w:pPr>
        <w:ind w:firstLine="560"/>
        <w:rPr>
          <w:rFonts w:ascii="Times New Roman" w:hAnsi="Times New Roman"/>
        </w:rPr>
      </w:pPr>
      <w:r>
        <w:rPr>
          <w:rFonts w:ascii="Times New Roman" w:hAnsi="Times New Roman"/>
        </w:rPr>
        <w:t>延续配套治理项目指已经实施并完成验收的工程治理项目，同一隐患点其治理工程因自然条件而局部损毁影响工程防治效果需修复的，或是同一隐患区块有新增地质灾害体并造成威胁和危害的，或是因为项目设计时的技术无法满足当前相关技术要求，需要增强防治工程的项目。</w:t>
      </w:r>
    </w:p>
    <w:p>
      <w:pPr>
        <w:ind w:firstLine="560"/>
        <w:rPr>
          <w:rFonts w:ascii="Times New Roman" w:hAnsi="Times New Roman"/>
        </w:rPr>
      </w:pPr>
      <w:r>
        <w:rPr>
          <w:rFonts w:ascii="Times New Roman" w:hAnsi="Times New Roman"/>
        </w:rPr>
        <w:t>本次规划，全市共有延续配套治理项目2个，其中小型项目1个，规划2023年完成；中型项目1个</w:t>
      </w:r>
      <w:r>
        <w:rPr>
          <w:rFonts w:hint="eastAsia" w:ascii="Times New Roman" w:hAnsi="Times New Roman"/>
        </w:rPr>
        <w:t>，</w:t>
      </w:r>
      <w:r>
        <w:rPr>
          <w:rFonts w:ascii="Times New Roman" w:hAnsi="Times New Roman"/>
        </w:rPr>
        <w:t>规划2024年完成。见附表3。</w:t>
      </w:r>
    </w:p>
    <w:p>
      <w:pPr>
        <w:pStyle w:val="184"/>
        <w:spacing w:after="0"/>
        <w:rPr>
          <w:rStyle w:val="197"/>
          <w:rFonts w:ascii="Times New Roman" w:hAnsi="Times New Roman"/>
          <w:b/>
          <w:bCs w:val="0"/>
        </w:rPr>
      </w:pPr>
      <w:bookmarkStart w:id="84" w:name="_Toc137671430"/>
      <w:bookmarkStart w:id="85" w:name="_Toc131872746"/>
      <w:r>
        <w:rPr>
          <w:rStyle w:val="197"/>
          <w:rFonts w:ascii="Times New Roman" w:hAnsi="Times New Roman"/>
          <w:b/>
          <w:bCs w:val="0"/>
        </w:rPr>
        <w:t>3、已建治理工程运行管护</w:t>
      </w:r>
      <w:bookmarkEnd w:id="84"/>
      <w:bookmarkEnd w:id="85"/>
    </w:p>
    <w:p>
      <w:pPr>
        <w:ind w:firstLine="560"/>
        <w:rPr>
          <w:rFonts w:ascii="Times New Roman" w:hAnsi="Times New Roman"/>
        </w:rPr>
      </w:pPr>
      <w:r>
        <w:rPr>
          <w:rFonts w:ascii="Times New Roman" w:hAnsi="Times New Roman"/>
        </w:rPr>
        <w:t>已建治理工程运行管护工作应根据地质灾害特征、工程结构特性等明确各（类）项目管护要点。项目后期管护工作由芒市自然资源局监管，在竣工验收合格后，由芒市自然资源局根据工程所在区域、保护对象、受益主体等情况，在15个工作日内指定工程后期管护单位，签订工程管护移交协议，办理相关移交手续。工程管护的重点为泥石流停淤工程清淤、水毁工程修复、截排水沟清淤和损坏修复等。</w:t>
      </w:r>
    </w:p>
    <w:p>
      <w:pPr>
        <w:pStyle w:val="184"/>
        <w:rPr>
          <w:rStyle w:val="197"/>
          <w:rFonts w:ascii="Times New Roman" w:hAnsi="Times New Roman"/>
          <w:b/>
          <w:bCs w:val="0"/>
        </w:rPr>
      </w:pPr>
      <w:bookmarkStart w:id="86" w:name="_Toc137671431"/>
      <w:bookmarkStart w:id="87" w:name="_Toc131872747"/>
      <w:r>
        <w:rPr>
          <w:rStyle w:val="197"/>
          <w:rFonts w:ascii="Times New Roman" w:hAnsi="Times New Roman"/>
          <w:b/>
          <w:bCs w:val="0"/>
        </w:rPr>
        <w:t>4、突发性应急排险、治理工程</w:t>
      </w:r>
      <w:bookmarkEnd w:id="86"/>
      <w:bookmarkEnd w:id="87"/>
    </w:p>
    <w:p>
      <w:pPr>
        <w:ind w:firstLine="560"/>
        <w:rPr>
          <w:rFonts w:ascii="Times New Roman" w:hAnsi="Times New Roman"/>
          <w:b/>
          <w:sz w:val="24"/>
          <w:szCs w:val="24"/>
        </w:rPr>
      </w:pPr>
      <w:r>
        <w:rPr>
          <w:rFonts w:ascii="Times New Roman" w:hAnsi="Times New Roman"/>
          <w:bCs/>
        </w:rPr>
        <w:t>突发性地质灾害具有不可预见性，且每年均有发生，尤其是受地震、强降雨影响而产生的地质灾害应急排险、抢险处置措施等，该项工作主要按当年的应急预案执行。</w:t>
      </w:r>
    </w:p>
    <w:p>
      <w:pPr>
        <w:spacing w:line="240" w:lineRule="auto"/>
        <w:ind w:firstLine="0"/>
        <w:jc w:val="center"/>
        <w:rPr>
          <w:rFonts w:ascii="Times New Roman" w:hAnsi="Times New Roman"/>
          <w:b/>
          <w:sz w:val="24"/>
          <w:szCs w:val="24"/>
        </w:rPr>
      </w:pPr>
      <w:r>
        <w:rPr>
          <w:rFonts w:ascii="Times New Roman" w:hAnsi="Times New Roman"/>
          <w:b/>
          <w:sz w:val="24"/>
          <w:szCs w:val="24"/>
        </w:rPr>
        <w:t>专栏三  地质灾害治理工程规划表</w:t>
      </w:r>
    </w:p>
    <w:tbl>
      <w:tblPr>
        <w:tblStyle w:val="28"/>
        <w:tblW w:w="501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15" w:type="dxa"/>
          <w:left w:w="15" w:type="dxa"/>
          <w:bottom w:w="0" w:type="dxa"/>
          <w:right w:w="15" w:type="dxa"/>
        </w:tblCellMar>
      </w:tblPr>
      <w:tblGrid>
        <w:gridCol w:w="508"/>
        <w:gridCol w:w="508"/>
        <w:gridCol w:w="1408"/>
        <w:gridCol w:w="891"/>
        <w:gridCol w:w="1251"/>
        <w:gridCol w:w="1235"/>
        <w:gridCol w:w="71"/>
        <w:gridCol w:w="1047"/>
        <w:gridCol w:w="1175"/>
        <w:gridCol w:w="10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0" w:type="dxa"/>
            <w:right w:w="15" w:type="dxa"/>
          </w:tblCellMar>
        </w:tblPrEx>
        <w:trPr>
          <w:trHeight w:val="375" w:hRule="atLeast"/>
          <w:tblHeader/>
          <w:jc w:val="center"/>
        </w:trPr>
        <w:tc>
          <w:tcPr>
            <w:tcW w:w="278" w:type="dxa"/>
            <w:vMerge w:val="restart"/>
            <w:noWrap w:val="0"/>
            <w:tcMar>
              <w:top w:w="15" w:type="dxa"/>
              <w:left w:w="15" w:type="dxa"/>
              <w:right w:w="15" w:type="dxa"/>
            </w:tcMar>
            <w:vAlign w:val="center"/>
          </w:tcPr>
          <w:p>
            <w:pPr>
              <w:widowControl/>
              <w:spacing w:line="240" w:lineRule="auto"/>
              <w:ind w:firstLine="0"/>
              <w:jc w:val="center"/>
              <w:rPr>
                <w:rFonts w:ascii="Times New Roman" w:hAnsi="Times New Roman"/>
                <w:sz w:val="21"/>
              </w:rPr>
            </w:pPr>
            <w:r>
              <w:rPr>
                <w:rFonts w:ascii="Times New Roman" w:hAnsi="Times New Roman"/>
                <w:sz w:val="21"/>
              </w:rPr>
              <w:t>序号</w:t>
            </w:r>
          </w:p>
        </w:tc>
        <w:tc>
          <w:tcPr>
            <w:tcW w:w="1916" w:type="dxa"/>
            <w:gridSpan w:val="2"/>
            <w:vMerge w:val="restart"/>
            <w:noWrap w:val="0"/>
            <w:tcMar>
              <w:top w:w="15" w:type="dxa"/>
              <w:left w:w="15" w:type="dxa"/>
              <w:right w:w="15" w:type="dxa"/>
            </w:tcMar>
            <w:vAlign w:val="center"/>
          </w:tcPr>
          <w:p>
            <w:pPr>
              <w:widowControl/>
              <w:spacing w:line="240" w:lineRule="auto"/>
              <w:ind w:firstLine="0"/>
              <w:jc w:val="center"/>
              <w:rPr>
                <w:rFonts w:ascii="Times New Roman" w:hAnsi="Times New Roman"/>
                <w:b/>
                <w:sz w:val="21"/>
              </w:rPr>
            </w:pPr>
            <w:r>
              <w:rPr>
                <w:rFonts w:ascii="Times New Roman" w:hAnsi="Times New Roman"/>
                <w:sz w:val="21"/>
              </w:rPr>
              <w:t xml:space="preserve">项 </w:t>
            </w:r>
            <w:r>
              <w:rPr>
                <w:rStyle w:val="274"/>
                <w:rFonts w:ascii="Times New Roman" w:hAnsi="Times New Roman" w:cs="Times New Roman"/>
                <w:sz w:val="21"/>
              </w:rPr>
              <w:t xml:space="preserve"> </w:t>
            </w:r>
            <w:r>
              <w:rPr>
                <w:rStyle w:val="274"/>
                <w:rFonts w:ascii="Times New Roman" w:hAnsi="Times New Roman" w:cs="Times New Roman"/>
                <w:b w:val="0"/>
                <w:sz w:val="21"/>
              </w:rPr>
              <w:t>目</w:t>
            </w:r>
          </w:p>
        </w:tc>
        <w:tc>
          <w:tcPr>
            <w:tcW w:w="6709" w:type="dxa"/>
            <w:gridSpan w:val="7"/>
            <w:noWrap w:val="0"/>
            <w:tcMar>
              <w:top w:w="15" w:type="dxa"/>
              <w:left w:w="15" w:type="dxa"/>
              <w:right w:w="15" w:type="dxa"/>
            </w:tcMar>
            <w:vAlign w:val="center"/>
          </w:tcPr>
          <w:p>
            <w:pPr>
              <w:widowControl/>
              <w:spacing w:line="240" w:lineRule="auto"/>
              <w:ind w:firstLine="0"/>
              <w:jc w:val="center"/>
              <w:rPr>
                <w:rFonts w:ascii="Times New Roman" w:hAnsi="Times New Roman"/>
                <w:sz w:val="21"/>
              </w:rPr>
            </w:pPr>
            <w:r>
              <w:rPr>
                <w:rFonts w:ascii="Times New Roman" w:hAnsi="Times New Roman"/>
                <w:sz w:val="21"/>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0" w:type="dxa"/>
            <w:right w:w="15" w:type="dxa"/>
          </w:tblCellMar>
        </w:tblPrEx>
        <w:trPr>
          <w:trHeight w:val="375" w:hRule="atLeast"/>
          <w:tblHeader/>
          <w:jc w:val="center"/>
        </w:trPr>
        <w:tc>
          <w:tcPr>
            <w:tcW w:w="277" w:type="dxa"/>
            <w:vMerge w:val="continue"/>
            <w:noWrap w:val="0"/>
            <w:tcMar>
              <w:top w:w="15" w:type="dxa"/>
              <w:left w:w="15" w:type="dxa"/>
              <w:right w:w="15" w:type="dxa"/>
            </w:tcMar>
            <w:vAlign w:val="center"/>
          </w:tcPr>
          <w:p>
            <w:pPr>
              <w:widowControl/>
              <w:spacing w:line="240" w:lineRule="auto"/>
              <w:ind w:firstLine="0"/>
              <w:jc w:val="center"/>
              <w:rPr>
                <w:rFonts w:ascii="Times New Roman" w:hAnsi="Times New Roman"/>
                <w:sz w:val="21"/>
              </w:rPr>
            </w:pPr>
          </w:p>
        </w:tc>
        <w:tc>
          <w:tcPr>
            <w:tcW w:w="1916" w:type="dxa"/>
            <w:gridSpan w:val="2"/>
            <w:vMerge w:val="continue"/>
            <w:noWrap w:val="0"/>
            <w:tcMar>
              <w:top w:w="15" w:type="dxa"/>
              <w:left w:w="15" w:type="dxa"/>
              <w:right w:w="15" w:type="dxa"/>
            </w:tcMar>
            <w:vAlign w:val="center"/>
          </w:tcPr>
          <w:p>
            <w:pPr>
              <w:widowControl/>
              <w:spacing w:line="240" w:lineRule="auto"/>
              <w:ind w:firstLine="0"/>
              <w:jc w:val="center"/>
              <w:rPr>
                <w:rFonts w:ascii="Times New Roman" w:hAnsi="Times New Roman"/>
                <w:sz w:val="21"/>
              </w:rPr>
            </w:pPr>
          </w:p>
        </w:tc>
        <w:tc>
          <w:tcPr>
            <w:tcW w:w="488" w:type="dxa"/>
            <w:noWrap w:val="0"/>
            <w:tcMar>
              <w:top w:w="15" w:type="dxa"/>
              <w:left w:w="15" w:type="dxa"/>
              <w:right w:w="15" w:type="dxa"/>
            </w:tcMar>
            <w:vAlign w:val="center"/>
          </w:tcPr>
          <w:p>
            <w:pPr>
              <w:widowControl/>
              <w:spacing w:line="240" w:lineRule="auto"/>
              <w:ind w:firstLine="0"/>
              <w:jc w:val="center"/>
              <w:rPr>
                <w:rFonts w:ascii="Times New Roman" w:hAnsi="Times New Roman"/>
                <w:sz w:val="21"/>
              </w:rPr>
            </w:pPr>
            <w:r>
              <w:rPr>
                <w:rFonts w:ascii="Times New Roman" w:hAnsi="Times New Roman"/>
                <w:sz w:val="21"/>
              </w:rPr>
              <w:t>合 计</w:t>
            </w:r>
          </w:p>
        </w:tc>
        <w:tc>
          <w:tcPr>
            <w:tcW w:w="685" w:type="dxa"/>
            <w:noWrap w:val="0"/>
            <w:tcMar>
              <w:top w:w="15" w:type="dxa"/>
              <w:left w:w="15" w:type="dxa"/>
              <w:right w:w="15" w:type="dxa"/>
            </w:tcMar>
            <w:vAlign w:val="center"/>
          </w:tcPr>
          <w:p>
            <w:pPr>
              <w:widowControl/>
              <w:spacing w:line="240" w:lineRule="auto"/>
              <w:ind w:firstLine="0"/>
              <w:jc w:val="center"/>
              <w:rPr>
                <w:rFonts w:ascii="Times New Roman" w:hAnsi="Times New Roman"/>
                <w:sz w:val="21"/>
              </w:rPr>
            </w:pPr>
            <w:r>
              <w:rPr>
                <w:rFonts w:ascii="Times New Roman" w:hAnsi="Times New Roman"/>
                <w:sz w:val="21"/>
              </w:rPr>
              <w:t>2021年</w:t>
            </w:r>
          </w:p>
        </w:tc>
        <w:tc>
          <w:tcPr>
            <w:tcW w:w="1306" w:type="dxa"/>
            <w:gridSpan w:val="2"/>
            <w:noWrap w:val="0"/>
            <w:tcMar>
              <w:top w:w="15" w:type="dxa"/>
              <w:left w:w="15" w:type="dxa"/>
              <w:right w:w="15" w:type="dxa"/>
            </w:tcMar>
            <w:vAlign w:val="center"/>
          </w:tcPr>
          <w:p>
            <w:pPr>
              <w:widowControl/>
              <w:spacing w:line="240" w:lineRule="auto"/>
              <w:ind w:firstLine="0"/>
              <w:jc w:val="center"/>
              <w:rPr>
                <w:rFonts w:ascii="Times New Roman" w:hAnsi="Times New Roman"/>
                <w:sz w:val="21"/>
              </w:rPr>
            </w:pPr>
            <w:r>
              <w:rPr>
                <w:rFonts w:ascii="Times New Roman" w:hAnsi="Times New Roman"/>
                <w:sz w:val="21"/>
              </w:rPr>
              <w:t>2022年</w:t>
            </w:r>
          </w:p>
        </w:tc>
        <w:tc>
          <w:tcPr>
            <w:tcW w:w="573" w:type="dxa"/>
            <w:noWrap w:val="0"/>
            <w:tcMar>
              <w:top w:w="15" w:type="dxa"/>
              <w:left w:w="15" w:type="dxa"/>
              <w:right w:w="15" w:type="dxa"/>
            </w:tcMar>
            <w:vAlign w:val="center"/>
          </w:tcPr>
          <w:p>
            <w:pPr>
              <w:widowControl/>
              <w:spacing w:line="240" w:lineRule="auto"/>
              <w:ind w:firstLine="0"/>
              <w:jc w:val="center"/>
              <w:rPr>
                <w:rFonts w:ascii="Times New Roman" w:hAnsi="Times New Roman"/>
                <w:sz w:val="21"/>
              </w:rPr>
            </w:pPr>
            <w:r>
              <w:rPr>
                <w:rFonts w:ascii="Times New Roman" w:hAnsi="Times New Roman"/>
                <w:sz w:val="21"/>
              </w:rPr>
              <w:t>2023年</w:t>
            </w:r>
          </w:p>
        </w:tc>
        <w:tc>
          <w:tcPr>
            <w:tcW w:w="643" w:type="dxa"/>
            <w:noWrap w:val="0"/>
            <w:tcMar>
              <w:top w:w="15" w:type="dxa"/>
              <w:left w:w="15" w:type="dxa"/>
              <w:right w:w="15" w:type="dxa"/>
            </w:tcMar>
            <w:vAlign w:val="center"/>
          </w:tcPr>
          <w:p>
            <w:pPr>
              <w:widowControl/>
              <w:spacing w:line="240" w:lineRule="auto"/>
              <w:ind w:firstLine="0"/>
              <w:jc w:val="center"/>
              <w:rPr>
                <w:rFonts w:ascii="Times New Roman" w:hAnsi="Times New Roman"/>
                <w:sz w:val="21"/>
              </w:rPr>
            </w:pPr>
            <w:r>
              <w:rPr>
                <w:rFonts w:ascii="Times New Roman" w:hAnsi="Times New Roman"/>
                <w:sz w:val="21"/>
              </w:rPr>
              <w:t>2024年</w:t>
            </w:r>
          </w:p>
        </w:tc>
        <w:tc>
          <w:tcPr>
            <w:tcW w:w="565" w:type="dxa"/>
            <w:noWrap w:val="0"/>
            <w:tcMar>
              <w:top w:w="15" w:type="dxa"/>
              <w:left w:w="15" w:type="dxa"/>
              <w:right w:w="15" w:type="dxa"/>
            </w:tcMar>
            <w:vAlign w:val="center"/>
          </w:tcPr>
          <w:p>
            <w:pPr>
              <w:widowControl/>
              <w:spacing w:line="240" w:lineRule="auto"/>
              <w:ind w:firstLine="0"/>
              <w:jc w:val="center"/>
              <w:rPr>
                <w:rFonts w:ascii="Times New Roman" w:hAnsi="Times New Roman"/>
                <w:sz w:val="21"/>
              </w:rPr>
            </w:pPr>
            <w:r>
              <w:rPr>
                <w:rFonts w:ascii="Times New Roman" w:hAnsi="Times New Roman"/>
                <w:sz w:val="21"/>
              </w:rPr>
              <w:t>2025年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0" w:type="dxa"/>
            <w:right w:w="15" w:type="dxa"/>
          </w:tblCellMar>
        </w:tblPrEx>
        <w:trPr>
          <w:trHeight w:val="375" w:hRule="atLeast"/>
          <w:jc w:val="center"/>
        </w:trPr>
        <w:tc>
          <w:tcPr>
            <w:tcW w:w="277" w:type="dxa"/>
            <w:vMerge w:val="restart"/>
            <w:noWrap w:val="0"/>
            <w:tcMar>
              <w:top w:w="15" w:type="dxa"/>
              <w:left w:w="15" w:type="dxa"/>
              <w:right w:w="15" w:type="dxa"/>
            </w:tcMar>
            <w:vAlign w:val="center"/>
          </w:tcPr>
          <w:p>
            <w:pPr>
              <w:widowControl/>
              <w:spacing w:line="240" w:lineRule="auto"/>
              <w:ind w:firstLine="0"/>
              <w:jc w:val="center"/>
              <w:rPr>
                <w:rFonts w:ascii="Times New Roman" w:hAnsi="Times New Roman"/>
                <w:sz w:val="21"/>
              </w:rPr>
            </w:pPr>
            <w:r>
              <w:rPr>
                <w:rFonts w:ascii="Times New Roman" w:hAnsi="Times New Roman"/>
                <w:sz w:val="21"/>
              </w:rPr>
              <w:t>6</w:t>
            </w:r>
          </w:p>
        </w:tc>
        <w:tc>
          <w:tcPr>
            <w:tcW w:w="278" w:type="dxa"/>
            <w:vMerge w:val="restart"/>
            <w:noWrap w:val="0"/>
            <w:tcMar>
              <w:top w:w="15" w:type="dxa"/>
              <w:left w:w="15" w:type="dxa"/>
              <w:right w:w="15" w:type="dxa"/>
            </w:tcMar>
            <w:vAlign w:val="center"/>
          </w:tcPr>
          <w:p>
            <w:pPr>
              <w:widowControl/>
              <w:spacing w:line="240" w:lineRule="auto"/>
              <w:ind w:firstLine="0"/>
              <w:jc w:val="center"/>
              <w:rPr>
                <w:rFonts w:ascii="Times New Roman" w:hAnsi="Times New Roman"/>
                <w:sz w:val="21"/>
              </w:rPr>
            </w:pPr>
            <w:r>
              <w:rPr>
                <w:rFonts w:ascii="Times New Roman" w:hAnsi="Times New Roman"/>
                <w:sz w:val="21"/>
              </w:rPr>
              <w:t>工程</w:t>
            </w:r>
          </w:p>
          <w:p>
            <w:pPr>
              <w:widowControl/>
              <w:spacing w:line="240" w:lineRule="auto"/>
              <w:ind w:firstLine="0"/>
              <w:jc w:val="center"/>
              <w:rPr>
                <w:rFonts w:ascii="Times New Roman" w:hAnsi="Times New Roman"/>
                <w:sz w:val="21"/>
              </w:rPr>
            </w:pPr>
            <w:r>
              <w:rPr>
                <w:rFonts w:ascii="Times New Roman" w:hAnsi="Times New Roman"/>
                <w:sz w:val="21"/>
              </w:rPr>
              <w:t>治理</w:t>
            </w:r>
          </w:p>
        </w:tc>
        <w:tc>
          <w:tcPr>
            <w:tcW w:w="771" w:type="dxa"/>
            <w:vMerge w:val="restart"/>
            <w:noWrap w:val="0"/>
            <w:tcMar>
              <w:top w:w="15" w:type="dxa"/>
              <w:left w:w="15" w:type="dxa"/>
              <w:right w:w="15" w:type="dxa"/>
            </w:tcMar>
            <w:vAlign w:val="center"/>
          </w:tcPr>
          <w:p>
            <w:pPr>
              <w:widowControl/>
              <w:spacing w:line="240" w:lineRule="auto"/>
              <w:ind w:firstLine="0"/>
              <w:jc w:val="center"/>
              <w:rPr>
                <w:rFonts w:ascii="Times New Roman" w:hAnsi="Times New Roman"/>
                <w:sz w:val="21"/>
              </w:rPr>
            </w:pPr>
            <w:r>
              <w:rPr>
                <w:rFonts w:ascii="Times New Roman" w:hAnsi="Times New Roman"/>
                <w:sz w:val="21"/>
              </w:rPr>
              <w:t>工程治理</w:t>
            </w:r>
          </w:p>
        </w:tc>
        <w:tc>
          <w:tcPr>
            <w:tcW w:w="488" w:type="dxa"/>
            <w:vMerge w:val="restart"/>
            <w:noWrap w:val="0"/>
            <w:tcMar>
              <w:top w:w="15" w:type="dxa"/>
              <w:left w:w="15" w:type="dxa"/>
              <w:right w:w="15" w:type="dxa"/>
            </w:tcMar>
            <w:vAlign w:val="center"/>
          </w:tcPr>
          <w:p>
            <w:pPr>
              <w:widowControl/>
              <w:spacing w:line="240" w:lineRule="auto"/>
              <w:ind w:firstLine="0"/>
              <w:jc w:val="center"/>
              <w:rPr>
                <w:rFonts w:ascii="Times New Roman" w:hAnsi="Times New Roman"/>
                <w:sz w:val="21"/>
              </w:rPr>
            </w:pPr>
            <w:r>
              <w:rPr>
                <w:rFonts w:ascii="Times New Roman" w:hAnsi="Times New Roman"/>
                <w:sz w:val="21"/>
              </w:rPr>
              <w:t>20个</w:t>
            </w:r>
          </w:p>
        </w:tc>
        <w:tc>
          <w:tcPr>
            <w:tcW w:w="685" w:type="dxa"/>
            <w:noWrap w:val="0"/>
            <w:tcMar>
              <w:top w:w="15" w:type="dxa"/>
              <w:left w:w="15" w:type="dxa"/>
              <w:right w:w="15" w:type="dxa"/>
            </w:tcMar>
            <w:vAlign w:val="center"/>
          </w:tcPr>
          <w:p>
            <w:pPr>
              <w:widowControl/>
              <w:spacing w:line="240" w:lineRule="auto"/>
              <w:ind w:firstLine="0"/>
              <w:jc w:val="center"/>
              <w:rPr>
                <w:rFonts w:ascii="Times New Roman" w:hAnsi="Times New Roman"/>
                <w:sz w:val="21"/>
              </w:rPr>
            </w:pPr>
            <w:r>
              <w:rPr>
                <w:rFonts w:ascii="Times New Roman" w:hAnsi="Times New Roman"/>
                <w:sz w:val="21"/>
              </w:rPr>
              <w:t>4</w:t>
            </w:r>
          </w:p>
        </w:tc>
        <w:tc>
          <w:tcPr>
            <w:tcW w:w="1306" w:type="dxa"/>
            <w:gridSpan w:val="2"/>
            <w:noWrap w:val="0"/>
            <w:tcMar>
              <w:top w:w="15" w:type="dxa"/>
              <w:left w:w="15" w:type="dxa"/>
              <w:right w:w="15" w:type="dxa"/>
            </w:tcMar>
            <w:vAlign w:val="center"/>
          </w:tcPr>
          <w:p>
            <w:pPr>
              <w:widowControl/>
              <w:spacing w:line="240" w:lineRule="auto"/>
              <w:ind w:firstLine="0"/>
              <w:jc w:val="center"/>
              <w:rPr>
                <w:rFonts w:ascii="Times New Roman" w:hAnsi="Times New Roman"/>
                <w:sz w:val="21"/>
              </w:rPr>
            </w:pPr>
            <w:r>
              <w:rPr>
                <w:rFonts w:ascii="Times New Roman" w:hAnsi="Times New Roman"/>
                <w:sz w:val="21"/>
              </w:rPr>
              <w:t>2</w:t>
            </w:r>
          </w:p>
        </w:tc>
        <w:tc>
          <w:tcPr>
            <w:tcW w:w="573" w:type="dxa"/>
            <w:noWrap w:val="0"/>
            <w:tcMar>
              <w:top w:w="15" w:type="dxa"/>
              <w:left w:w="15" w:type="dxa"/>
              <w:right w:w="15" w:type="dxa"/>
            </w:tcMar>
            <w:vAlign w:val="center"/>
          </w:tcPr>
          <w:p>
            <w:pPr>
              <w:widowControl/>
              <w:spacing w:line="240" w:lineRule="auto"/>
              <w:ind w:firstLine="0"/>
              <w:jc w:val="center"/>
              <w:rPr>
                <w:rFonts w:ascii="Times New Roman" w:hAnsi="Times New Roman"/>
                <w:sz w:val="21"/>
              </w:rPr>
            </w:pPr>
            <w:r>
              <w:rPr>
                <w:rFonts w:ascii="Times New Roman" w:hAnsi="Times New Roman"/>
                <w:sz w:val="21"/>
              </w:rPr>
              <w:t>4</w:t>
            </w:r>
          </w:p>
        </w:tc>
        <w:tc>
          <w:tcPr>
            <w:tcW w:w="643" w:type="dxa"/>
            <w:noWrap w:val="0"/>
            <w:tcMar>
              <w:top w:w="15" w:type="dxa"/>
              <w:left w:w="15" w:type="dxa"/>
              <w:right w:w="15" w:type="dxa"/>
            </w:tcMar>
            <w:vAlign w:val="center"/>
          </w:tcPr>
          <w:p>
            <w:pPr>
              <w:widowControl/>
              <w:spacing w:line="240" w:lineRule="auto"/>
              <w:ind w:firstLine="0"/>
              <w:jc w:val="center"/>
              <w:rPr>
                <w:rFonts w:ascii="Times New Roman" w:hAnsi="Times New Roman"/>
                <w:sz w:val="21"/>
              </w:rPr>
            </w:pPr>
            <w:r>
              <w:rPr>
                <w:rFonts w:ascii="Times New Roman" w:hAnsi="Times New Roman"/>
                <w:sz w:val="21"/>
              </w:rPr>
              <w:t>4</w:t>
            </w:r>
          </w:p>
        </w:tc>
        <w:tc>
          <w:tcPr>
            <w:tcW w:w="565" w:type="dxa"/>
            <w:noWrap w:val="0"/>
            <w:tcMar>
              <w:top w:w="15" w:type="dxa"/>
              <w:left w:w="15" w:type="dxa"/>
              <w:right w:w="15" w:type="dxa"/>
            </w:tcMar>
            <w:vAlign w:val="center"/>
          </w:tcPr>
          <w:p>
            <w:pPr>
              <w:widowControl/>
              <w:spacing w:line="240" w:lineRule="auto"/>
              <w:ind w:firstLine="0"/>
              <w:jc w:val="center"/>
              <w:rPr>
                <w:rFonts w:ascii="Times New Roman" w:hAnsi="Times New Roman"/>
                <w:sz w:val="21"/>
              </w:rPr>
            </w:pPr>
            <w:r>
              <w:rPr>
                <w:rFonts w:ascii="Times New Roman" w:hAnsi="Times New Roman"/>
                <w:sz w:val="21"/>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0" w:type="dxa"/>
            <w:right w:w="15" w:type="dxa"/>
          </w:tblCellMar>
        </w:tblPrEx>
        <w:trPr>
          <w:trHeight w:val="696" w:hRule="atLeast"/>
          <w:jc w:val="center"/>
        </w:trPr>
        <w:tc>
          <w:tcPr>
            <w:tcW w:w="277" w:type="dxa"/>
            <w:vMerge w:val="continue"/>
            <w:noWrap w:val="0"/>
            <w:tcMar>
              <w:top w:w="15" w:type="dxa"/>
              <w:left w:w="15" w:type="dxa"/>
              <w:right w:w="15" w:type="dxa"/>
            </w:tcMar>
            <w:vAlign w:val="center"/>
          </w:tcPr>
          <w:p>
            <w:pPr>
              <w:widowControl/>
              <w:spacing w:line="240" w:lineRule="auto"/>
              <w:ind w:firstLine="0"/>
              <w:jc w:val="center"/>
              <w:rPr>
                <w:rFonts w:ascii="Times New Roman" w:hAnsi="Times New Roman"/>
                <w:sz w:val="21"/>
              </w:rPr>
            </w:pPr>
          </w:p>
        </w:tc>
        <w:tc>
          <w:tcPr>
            <w:tcW w:w="278" w:type="dxa"/>
            <w:vMerge w:val="continue"/>
            <w:noWrap w:val="0"/>
            <w:tcMar>
              <w:top w:w="15" w:type="dxa"/>
              <w:left w:w="15" w:type="dxa"/>
              <w:right w:w="15" w:type="dxa"/>
            </w:tcMar>
            <w:vAlign w:val="center"/>
          </w:tcPr>
          <w:p>
            <w:pPr>
              <w:widowControl/>
              <w:spacing w:line="240" w:lineRule="auto"/>
              <w:ind w:firstLine="0"/>
              <w:rPr>
                <w:rFonts w:ascii="Times New Roman" w:hAnsi="Times New Roman"/>
                <w:sz w:val="21"/>
              </w:rPr>
            </w:pPr>
          </w:p>
        </w:tc>
        <w:tc>
          <w:tcPr>
            <w:tcW w:w="771" w:type="dxa"/>
            <w:vMerge w:val="continue"/>
            <w:noWrap w:val="0"/>
            <w:tcMar>
              <w:top w:w="15" w:type="dxa"/>
              <w:left w:w="15" w:type="dxa"/>
              <w:right w:w="15" w:type="dxa"/>
            </w:tcMar>
            <w:vAlign w:val="center"/>
          </w:tcPr>
          <w:p>
            <w:pPr>
              <w:widowControl/>
              <w:spacing w:line="240" w:lineRule="auto"/>
              <w:ind w:firstLine="0"/>
              <w:jc w:val="center"/>
              <w:rPr>
                <w:rFonts w:ascii="Times New Roman" w:hAnsi="Times New Roman"/>
                <w:sz w:val="21"/>
              </w:rPr>
            </w:pPr>
          </w:p>
        </w:tc>
        <w:tc>
          <w:tcPr>
            <w:tcW w:w="488" w:type="dxa"/>
            <w:vMerge w:val="continue"/>
            <w:noWrap w:val="0"/>
            <w:tcMar>
              <w:top w:w="15" w:type="dxa"/>
              <w:left w:w="15" w:type="dxa"/>
              <w:right w:w="15" w:type="dxa"/>
            </w:tcMar>
            <w:vAlign w:val="center"/>
          </w:tcPr>
          <w:p>
            <w:pPr>
              <w:widowControl/>
              <w:spacing w:line="240" w:lineRule="auto"/>
              <w:ind w:firstLine="0"/>
              <w:jc w:val="center"/>
              <w:rPr>
                <w:rFonts w:ascii="Times New Roman" w:hAnsi="Times New Roman"/>
                <w:sz w:val="21"/>
              </w:rPr>
            </w:pPr>
          </w:p>
        </w:tc>
        <w:tc>
          <w:tcPr>
            <w:tcW w:w="5818" w:type="dxa"/>
            <w:gridSpan w:val="6"/>
            <w:noWrap w:val="0"/>
            <w:tcMar>
              <w:top w:w="15" w:type="dxa"/>
              <w:left w:w="15" w:type="dxa"/>
              <w:right w:w="15" w:type="dxa"/>
            </w:tcMar>
            <w:vAlign w:val="center"/>
          </w:tcPr>
          <w:p>
            <w:pPr>
              <w:widowControl/>
              <w:spacing w:line="240" w:lineRule="auto"/>
              <w:ind w:firstLine="0"/>
              <w:jc w:val="left"/>
              <w:rPr>
                <w:rFonts w:ascii="Times New Roman" w:hAnsi="Times New Roman"/>
                <w:sz w:val="21"/>
              </w:rPr>
            </w:pPr>
            <w:r>
              <w:rPr>
                <w:rFonts w:ascii="Times New Roman" w:hAnsi="Times New Roman"/>
                <w:sz w:val="21"/>
              </w:rPr>
              <w:t>按照项目规划表执行，可依据地质灾害隐患点的发展趋势和稳定程度调整实施顺序。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0" w:type="dxa"/>
            <w:right w:w="15" w:type="dxa"/>
          </w:tblCellMar>
        </w:tblPrEx>
        <w:trPr>
          <w:trHeight w:val="441" w:hRule="atLeast"/>
          <w:jc w:val="center"/>
        </w:trPr>
        <w:tc>
          <w:tcPr>
            <w:tcW w:w="277" w:type="dxa"/>
            <w:vMerge w:val="continue"/>
            <w:noWrap w:val="0"/>
            <w:tcMar>
              <w:top w:w="15" w:type="dxa"/>
              <w:left w:w="15" w:type="dxa"/>
              <w:right w:w="15" w:type="dxa"/>
            </w:tcMar>
            <w:vAlign w:val="center"/>
          </w:tcPr>
          <w:p>
            <w:pPr>
              <w:widowControl/>
              <w:spacing w:line="240" w:lineRule="auto"/>
              <w:ind w:firstLine="0"/>
              <w:jc w:val="center"/>
              <w:rPr>
                <w:rFonts w:ascii="Times New Roman" w:hAnsi="Times New Roman"/>
                <w:sz w:val="21"/>
              </w:rPr>
            </w:pPr>
          </w:p>
        </w:tc>
        <w:tc>
          <w:tcPr>
            <w:tcW w:w="278" w:type="dxa"/>
            <w:vMerge w:val="continue"/>
            <w:noWrap w:val="0"/>
            <w:tcMar>
              <w:top w:w="15" w:type="dxa"/>
              <w:left w:w="15" w:type="dxa"/>
              <w:right w:w="15" w:type="dxa"/>
            </w:tcMar>
            <w:vAlign w:val="center"/>
          </w:tcPr>
          <w:p>
            <w:pPr>
              <w:widowControl/>
              <w:spacing w:line="240" w:lineRule="auto"/>
              <w:ind w:firstLine="0"/>
              <w:rPr>
                <w:rFonts w:ascii="Times New Roman" w:hAnsi="Times New Roman"/>
                <w:sz w:val="21"/>
              </w:rPr>
            </w:pPr>
          </w:p>
        </w:tc>
        <w:tc>
          <w:tcPr>
            <w:tcW w:w="771" w:type="dxa"/>
            <w:noWrap w:val="0"/>
            <w:tcMar>
              <w:top w:w="15" w:type="dxa"/>
              <w:left w:w="15" w:type="dxa"/>
              <w:right w:w="15" w:type="dxa"/>
            </w:tcMar>
            <w:vAlign w:val="center"/>
          </w:tcPr>
          <w:p>
            <w:pPr>
              <w:widowControl/>
              <w:spacing w:line="240" w:lineRule="auto"/>
              <w:ind w:firstLine="0"/>
              <w:jc w:val="center"/>
              <w:rPr>
                <w:rFonts w:ascii="Times New Roman" w:hAnsi="Times New Roman"/>
                <w:sz w:val="21"/>
              </w:rPr>
            </w:pPr>
            <w:r>
              <w:rPr>
                <w:rFonts w:ascii="Times New Roman" w:hAnsi="Times New Roman"/>
                <w:sz w:val="21"/>
              </w:rPr>
              <w:t>延续配套治理</w:t>
            </w:r>
          </w:p>
        </w:tc>
        <w:tc>
          <w:tcPr>
            <w:tcW w:w="488" w:type="dxa"/>
            <w:noWrap w:val="0"/>
            <w:tcMar>
              <w:top w:w="15" w:type="dxa"/>
              <w:left w:w="15" w:type="dxa"/>
              <w:right w:w="15" w:type="dxa"/>
            </w:tcMar>
            <w:vAlign w:val="center"/>
          </w:tcPr>
          <w:p>
            <w:pPr>
              <w:widowControl/>
              <w:spacing w:line="240" w:lineRule="auto"/>
              <w:ind w:firstLine="0"/>
              <w:jc w:val="center"/>
              <w:rPr>
                <w:rFonts w:ascii="Times New Roman" w:hAnsi="Times New Roman"/>
                <w:sz w:val="21"/>
              </w:rPr>
            </w:pPr>
            <w:r>
              <w:rPr>
                <w:rFonts w:ascii="Times New Roman" w:hAnsi="Times New Roman"/>
                <w:sz w:val="21"/>
              </w:rPr>
              <w:t>2个</w:t>
            </w:r>
          </w:p>
        </w:tc>
        <w:tc>
          <w:tcPr>
            <w:tcW w:w="685" w:type="dxa"/>
            <w:noWrap w:val="0"/>
            <w:tcMar>
              <w:top w:w="15" w:type="dxa"/>
              <w:left w:w="15" w:type="dxa"/>
              <w:right w:w="15" w:type="dxa"/>
            </w:tcMar>
            <w:vAlign w:val="center"/>
          </w:tcPr>
          <w:p>
            <w:pPr>
              <w:widowControl/>
              <w:spacing w:line="240" w:lineRule="auto"/>
              <w:ind w:firstLine="0"/>
              <w:jc w:val="center"/>
              <w:rPr>
                <w:rFonts w:ascii="Times New Roman" w:hAnsi="Times New Roman"/>
                <w:sz w:val="21"/>
              </w:rPr>
            </w:pPr>
            <w:r>
              <w:rPr>
                <w:rFonts w:ascii="Times New Roman" w:hAnsi="Times New Roman"/>
                <w:sz w:val="21"/>
              </w:rPr>
              <w:t>0</w:t>
            </w:r>
          </w:p>
        </w:tc>
        <w:tc>
          <w:tcPr>
            <w:tcW w:w="676" w:type="dxa"/>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0</w:t>
            </w:r>
          </w:p>
        </w:tc>
        <w:tc>
          <w:tcPr>
            <w:tcW w:w="1118" w:type="dxa"/>
            <w:gridSpan w:val="2"/>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w:t>
            </w:r>
          </w:p>
        </w:tc>
        <w:tc>
          <w:tcPr>
            <w:tcW w:w="643" w:type="dxa"/>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w:t>
            </w:r>
          </w:p>
        </w:tc>
        <w:tc>
          <w:tcPr>
            <w:tcW w:w="565" w:type="dxa"/>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0" w:type="dxa"/>
            <w:right w:w="15" w:type="dxa"/>
          </w:tblCellMar>
        </w:tblPrEx>
        <w:trPr>
          <w:trHeight w:val="493" w:hRule="atLeast"/>
          <w:jc w:val="center"/>
        </w:trPr>
        <w:tc>
          <w:tcPr>
            <w:tcW w:w="277" w:type="dxa"/>
            <w:vMerge w:val="continue"/>
            <w:noWrap w:val="0"/>
            <w:tcMar>
              <w:top w:w="15" w:type="dxa"/>
              <w:left w:w="15" w:type="dxa"/>
              <w:right w:w="15" w:type="dxa"/>
            </w:tcMar>
            <w:vAlign w:val="center"/>
          </w:tcPr>
          <w:p>
            <w:pPr>
              <w:widowControl/>
              <w:spacing w:line="240" w:lineRule="auto"/>
              <w:ind w:firstLine="0"/>
              <w:jc w:val="center"/>
              <w:rPr>
                <w:rFonts w:ascii="Times New Roman" w:hAnsi="Times New Roman"/>
                <w:sz w:val="21"/>
              </w:rPr>
            </w:pPr>
          </w:p>
        </w:tc>
        <w:tc>
          <w:tcPr>
            <w:tcW w:w="278" w:type="dxa"/>
            <w:vMerge w:val="continue"/>
            <w:noWrap w:val="0"/>
            <w:tcMar>
              <w:top w:w="15" w:type="dxa"/>
              <w:left w:w="15" w:type="dxa"/>
              <w:right w:w="15" w:type="dxa"/>
            </w:tcMar>
            <w:vAlign w:val="center"/>
          </w:tcPr>
          <w:p>
            <w:pPr>
              <w:widowControl/>
              <w:spacing w:line="240" w:lineRule="auto"/>
              <w:ind w:firstLine="0"/>
              <w:rPr>
                <w:rFonts w:ascii="Times New Roman" w:hAnsi="Times New Roman"/>
                <w:sz w:val="21"/>
              </w:rPr>
            </w:pPr>
          </w:p>
        </w:tc>
        <w:tc>
          <w:tcPr>
            <w:tcW w:w="771" w:type="dxa"/>
            <w:noWrap w:val="0"/>
            <w:tcMar>
              <w:top w:w="15" w:type="dxa"/>
              <w:left w:w="15" w:type="dxa"/>
              <w:right w:w="15" w:type="dxa"/>
            </w:tcMar>
            <w:vAlign w:val="center"/>
          </w:tcPr>
          <w:p>
            <w:pPr>
              <w:widowControl/>
              <w:spacing w:line="240" w:lineRule="auto"/>
              <w:ind w:firstLine="0"/>
              <w:jc w:val="center"/>
              <w:rPr>
                <w:rFonts w:ascii="Times New Roman" w:hAnsi="Times New Roman"/>
                <w:sz w:val="21"/>
              </w:rPr>
            </w:pPr>
            <w:r>
              <w:rPr>
                <w:rFonts w:ascii="Times New Roman" w:hAnsi="Times New Roman"/>
                <w:sz w:val="21"/>
              </w:rPr>
              <w:t>工程管护</w:t>
            </w:r>
          </w:p>
        </w:tc>
        <w:tc>
          <w:tcPr>
            <w:tcW w:w="6709" w:type="dxa"/>
            <w:gridSpan w:val="7"/>
            <w:noWrap w:val="0"/>
            <w:tcMar>
              <w:top w:w="15" w:type="dxa"/>
              <w:left w:w="15" w:type="dxa"/>
              <w:right w:w="15" w:type="dxa"/>
            </w:tcMar>
            <w:vAlign w:val="center"/>
          </w:tcPr>
          <w:p>
            <w:pPr>
              <w:widowControl/>
              <w:spacing w:line="240" w:lineRule="auto"/>
              <w:ind w:firstLine="0"/>
              <w:jc w:val="left"/>
              <w:rPr>
                <w:rFonts w:ascii="Times New Roman" w:hAnsi="Times New Roman"/>
                <w:sz w:val="21"/>
              </w:rPr>
            </w:pPr>
            <w:r>
              <w:rPr>
                <w:rFonts w:ascii="Times New Roman" w:hAnsi="Times New Roman"/>
                <w:sz w:val="21"/>
              </w:rPr>
              <w:t>根据实际情况进行工作安排。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0" w:type="dxa"/>
            <w:right w:w="15" w:type="dxa"/>
          </w:tblCellMar>
        </w:tblPrEx>
        <w:trPr>
          <w:trHeight w:val="586" w:hRule="atLeast"/>
          <w:jc w:val="center"/>
        </w:trPr>
        <w:tc>
          <w:tcPr>
            <w:tcW w:w="277" w:type="dxa"/>
            <w:vMerge w:val="continue"/>
            <w:noWrap w:val="0"/>
            <w:tcMar>
              <w:top w:w="15" w:type="dxa"/>
              <w:left w:w="15" w:type="dxa"/>
              <w:right w:w="15" w:type="dxa"/>
            </w:tcMar>
            <w:vAlign w:val="center"/>
          </w:tcPr>
          <w:p>
            <w:pPr>
              <w:widowControl/>
              <w:spacing w:line="240" w:lineRule="auto"/>
              <w:ind w:firstLine="0"/>
              <w:jc w:val="center"/>
              <w:rPr>
                <w:rFonts w:ascii="Times New Roman" w:hAnsi="Times New Roman"/>
                <w:sz w:val="21"/>
              </w:rPr>
            </w:pPr>
          </w:p>
        </w:tc>
        <w:tc>
          <w:tcPr>
            <w:tcW w:w="278" w:type="dxa"/>
            <w:vMerge w:val="continue"/>
            <w:noWrap w:val="0"/>
            <w:tcMar>
              <w:top w:w="15" w:type="dxa"/>
              <w:left w:w="15" w:type="dxa"/>
              <w:right w:w="15" w:type="dxa"/>
            </w:tcMar>
            <w:vAlign w:val="center"/>
          </w:tcPr>
          <w:p>
            <w:pPr>
              <w:widowControl/>
              <w:spacing w:line="240" w:lineRule="auto"/>
              <w:ind w:firstLine="0"/>
              <w:rPr>
                <w:rFonts w:ascii="Times New Roman" w:hAnsi="Times New Roman"/>
                <w:sz w:val="21"/>
              </w:rPr>
            </w:pPr>
          </w:p>
        </w:tc>
        <w:tc>
          <w:tcPr>
            <w:tcW w:w="771" w:type="dxa"/>
            <w:noWrap w:val="0"/>
            <w:tcMar>
              <w:top w:w="15" w:type="dxa"/>
              <w:left w:w="15" w:type="dxa"/>
              <w:right w:w="15" w:type="dxa"/>
            </w:tcMar>
            <w:vAlign w:val="center"/>
          </w:tcPr>
          <w:p>
            <w:pPr>
              <w:widowControl/>
              <w:spacing w:line="240" w:lineRule="auto"/>
              <w:ind w:firstLine="0"/>
              <w:jc w:val="center"/>
              <w:rPr>
                <w:rFonts w:ascii="Times New Roman" w:hAnsi="Times New Roman"/>
                <w:sz w:val="21"/>
              </w:rPr>
            </w:pPr>
            <w:r>
              <w:rPr>
                <w:rFonts w:ascii="Times New Roman" w:hAnsi="Times New Roman"/>
                <w:sz w:val="21"/>
              </w:rPr>
              <w:t>突发性应急工程治理</w:t>
            </w:r>
          </w:p>
        </w:tc>
        <w:tc>
          <w:tcPr>
            <w:tcW w:w="6709" w:type="dxa"/>
            <w:gridSpan w:val="7"/>
            <w:noWrap w:val="0"/>
            <w:tcMar>
              <w:top w:w="15" w:type="dxa"/>
              <w:left w:w="15" w:type="dxa"/>
              <w:right w:w="15" w:type="dxa"/>
            </w:tcMar>
            <w:vAlign w:val="center"/>
          </w:tcPr>
          <w:p>
            <w:pPr>
              <w:widowControl/>
              <w:spacing w:line="240" w:lineRule="auto"/>
              <w:ind w:firstLine="0"/>
              <w:jc w:val="left"/>
              <w:rPr>
                <w:rFonts w:ascii="Times New Roman" w:hAnsi="Times New Roman"/>
                <w:sz w:val="21"/>
              </w:rPr>
            </w:pPr>
            <w:r>
              <w:rPr>
                <w:rFonts w:ascii="Times New Roman" w:hAnsi="Times New Roman"/>
                <w:sz w:val="21"/>
              </w:rPr>
              <w:t>根据每年实际情况开展应急排险工作。</w:t>
            </w:r>
          </w:p>
        </w:tc>
      </w:tr>
    </w:tbl>
    <w:p>
      <w:pPr>
        <w:ind w:firstLine="0"/>
        <w:jc w:val="center"/>
        <w:rPr>
          <w:rFonts w:ascii="Times New Roman" w:hAnsi="Times New Roman"/>
          <w:b/>
          <w:sz w:val="24"/>
          <w:szCs w:val="24"/>
        </w:rPr>
      </w:pPr>
    </w:p>
    <w:p>
      <w:pPr>
        <w:pStyle w:val="183"/>
        <w:spacing w:before="120" w:after="120"/>
        <w:rPr>
          <w:rFonts w:ascii="Times New Roman" w:hAnsi="Times New Roman"/>
          <w:b/>
        </w:rPr>
      </w:pPr>
      <w:bookmarkStart w:id="88" w:name="_Toc137671432"/>
      <w:r>
        <w:rPr>
          <w:rFonts w:ascii="Times New Roman" w:hAnsi="Times New Roman"/>
          <w:b/>
        </w:rPr>
        <w:t>（四）避险搬迁</w:t>
      </w:r>
      <w:bookmarkEnd w:id="88"/>
    </w:p>
    <w:p>
      <w:pPr>
        <w:ind w:firstLine="560"/>
        <w:rPr>
          <w:rFonts w:ascii="Times New Roman" w:hAnsi="Times New Roman"/>
        </w:rPr>
      </w:pPr>
      <w:r>
        <w:rPr>
          <w:rFonts w:ascii="Times New Roman" w:hAnsi="Times New Roman"/>
        </w:rPr>
        <w:t>在“十三五”期间已将大部分集中连片的、威胁较严重的因灾搬迁项目实施完成，但目前仍有因灾搬迁需要且村民搬迁意愿强烈的村寨，以及规模较小的居民区（一般仅有几户居民）。</w:t>
      </w:r>
    </w:p>
    <w:p>
      <w:pPr>
        <w:ind w:firstLine="560"/>
        <w:rPr>
          <w:rFonts w:ascii="Times New Roman" w:hAnsi="Times New Roman"/>
        </w:rPr>
      </w:pPr>
      <w:r>
        <w:rPr>
          <w:rFonts w:ascii="Times New Roman" w:hAnsi="Times New Roman"/>
        </w:rPr>
        <w:t>“十四五”期间，全市共规划避险搬迁294户1225人。2021年规划实施86户搬迁，规划2022年实施33户，2023年实施19户，2024年实施56户，2025年实施100户。见附表4。</w:t>
      </w:r>
    </w:p>
    <w:p>
      <w:pPr>
        <w:pStyle w:val="183"/>
        <w:spacing w:before="120" w:after="120"/>
        <w:rPr>
          <w:rFonts w:ascii="Times New Roman" w:hAnsi="Times New Roman"/>
          <w:b/>
        </w:rPr>
      </w:pPr>
      <w:bookmarkStart w:id="89" w:name="_Toc137671433"/>
      <w:r>
        <w:rPr>
          <w:rFonts w:ascii="Times New Roman" w:hAnsi="Times New Roman"/>
          <w:b/>
        </w:rPr>
        <w:t>（五）综合整治</w:t>
      </w:r>
      <w:bookmarkEnd w:id="89"/>
    </w:p>
    <w:p>
      <w:pPr>
        <w:ind w:firstLine="560"/>
        <w:rPr>
          <w:rFonts w:ascii="Times New Roman" w:hAnsi="Times New Roman"/>
        </w:rPr>
        <w:sectPr>
          <w:pgSz w:w="11907" w:h="16840" w:orient="landscape"/>
          <w:pgMar w:top="1247" w:right="1247" w:bottom="1247" w:left="1588" w:header="851" w:footer="586" w:gutter="0"/>
          <w:cols w:space="1701" w:num="1"/>
        </w:sectPr>
      </w:pPr>
      <w:r>
        <w:rPr>
          <w:rFonts w:ascii="Times New Roman" w:hAnsi="Times New Roman"/>
        </w:rPr>
        <w:t>全市地质灾害具有点多面广、单点规模小、突发性强的特点，一些相对集中连片的区域也基本完成搬迁避让和工程治理，立足实际，本次规划暂不列综合整治项目。</w:t>
      </w:r>
    </w:p>
    <w:p>
      <w:pPr>
        <w:pStyle w:val="183"/>
        <w:spacing w:before="120" w:after="120"/>
        <w:rPr>
          <w:rFonts w:ascii="Times New Roman" w:hAnsi="Times New Roman"/>
          <w:b/>
        </w:rPr>
      </w:pPr>
      <w:bookmarkStart w:id="90" w:name="_Toc137671434"/>
      <w:r>
        <w:rPr>
          <w:rFonts w:ascii="Times New Roman" w:hAnsi="Times New Roman"/>
          <w:b/>
        </w:rPr>
        <w:t>（六）完善技术支撑网络体系</w:t>
      </w:r>
      <w:bookmarkEnd w:id="90"/>
    </w:p>
    <w:p>
      <w:pPr>
        <w:ind w:firstLine="560"/>
        <w:rPr>
          <w:rFonts w:ascii="Times New Roman" w:hAnsi="Times New Roman"/>
          <w:szCs w:val="28"/>
        </w:rPr>
      </w:pPr>
      <w:r>
        <w:rPr>
          <w:rFonts w:ascii="Times New Roman" w:hAnsi="Times New Roman"/>
          <w:szCs w:val="28"/>
        </w:rPr>
        <w:t>云南省地质灾害防治管理信息系统已初步建设完成，其主要是在基础地理、地质信息系统的基础上，叠加地质灾害空间信息和防治管理信息专业数据库以及在省、州两级地质灾害防治主管部门和云南省地质环境监测院之间实现宽带网路联接，以保证应急救灾信息传输渠道的畅通和防灾减灾基础信息的共享。</w:t>
      </w:r>
    </w:p>
    <w:p>
      <w:pPr>
        <w:ind w:firstLine="560"/>
        <w:rPr>
          <w:rFonts w:ascii="Times New Roman" w:hAnsi="Times New Roman"/>
          <w:szCs w:val="28"/>
        </w:rPr>
      </w:pPr>
      <w:r>
        <w:rPr>
          <w:rFonts w:ascii="Times New Roman" w:hAnsi="Times New Roman"/>
          <w:szCs w:val="28"/>
        </w:rPr>
        <w:t>在驻县专业队伍的指导协助下，对境内突发性地质灾害分布和灾情信息的图、数一体化管理与灾害实时速报；驻县队伍按照《云南省地质灾害防治技术支撑体系建设实施方案》要求做好地质灾害隐患“三查”、监测预警与信息平台运行、灾（险）情报送、宣传培训、应急演练、应急值守、应急会商与救援、搬迁避让选址、治理工程项目检查等技术支撑工作。</w:t>
      </w:r>
    </w:p>
    <w:p>
      <w:pPr>
        <w:pStyle w:val="183"/>
        <w:spacing w:before="120" w:after="120"/>
        <w:rPr>
          <w:rFonts w:ascii="Times New Roman" w:hAnsi="Times New Roman"/>
          <w:b/>
        </w:rPr>
      </w:pPr>
      <w:bookmarkStart w:id="91" w:name="_Toc137671435"/>
      <w:r>
        <w:rPr>
          <w:rFonts w:ascii="Times New Roman" w:hAnsi="Times New Roman"/>
          <w:b/>
        </w:rPr>
        <w:t>（七）地质灾害防治宣教与演练</w:t>
      </w:r>
      <w:bookmarkEnd w:id="91"/>
    </w:p>
    <w:p>
      <w:pPr>
        <w:ind w:firstLine="560"/>
        <w:rPr>
          <w:rFonts w:ascii="Times New Roman" w:hAnsi="Times New Roman"/>
        </w:rPr>
      </w:pPr>
      <w:r>
        <w:rPr>
          <w:rFonts w:ascii="Times New Roman" w:hAnsi="Times New Roman"/>
        </w:rPr>
        <w:t>以市人民政府为主导，自然资源局组织相关的巡查排查、应急调查、宣传培训、应急演练等工作，积极探索和推进落实基层组织、学校、新闻媒体等开展宣传教育和演练的运行机制。</w:t>
      </w:r>
    </w:p>
    <w:p>
      <w:pPr>
        <w:ind w:firstLine="560"/>
        <w:rPr>
          <w:rFonts w:ascii="Times New Roman" w:hAnsi="Times New Roman"/>
        </w:rPr>
      </w:pPr>
      <w:r>
        <w:rPr>
          <w:rFonts w:ascii="Times New Roman" w:hAnsi="Times New Roman"/>
        </w:rPr>
        <w:t>每年集中进行专业培训2次，县市级应急演练1次，乡镇应急演练1次，地质灾害基础防治知识的宣传教育则视情况不定期、不定点、向全民进行，利用电视、广播、网络、通讯等手段提高全民识灾、防灾、减灾、避灾的意识与自救、互救能力。</w:t>
      </w:r>
    </w:p>
    <w:p>
      <w:pPr>
        <w:pStyle w:val="183"/>
        <w:spacing w:before="120" w:after="120"/>
        <w:rPr>
          <w:rFonts w:ascii="Times New Roman" w:hAnsi="Times New Roman"/>
          <w:b/>
        </w:rPr>
      </w:pPr>
      <w:bookmarkStart w:id="92" w:name="_Toc137671436"/>
      <w:r>
        <w:rPr>
          <w:rFonts w:ascii="Times New Roman" w:hAnsi="Times New Roman"/>
          <w:b/>
        </w:rPr>
        <w:t>（八）地质灾害防治法制化建设</w:t>
      </w:r>
      <w:bookmarkEnd w:id="92"/>
    </w:p>
    <w:p>
      <w:pPr>
        <w:ind w:firstLine="560"/>
        <w:rPr>
          <w:rFonts w:ascii="Times New Roman" w:hAnsi="Times New Roman"/>
        </w:rPr>
      </w:pPr>
      <w:r>
        <w:rPr>
          <w:rFonts w:ascii="Times New Roman" w:hAnsi="Times New Roman"/>
        </w:rPr>
        <w:t>立足我市实际，在云南省相关法律法规的基础上，健全完善小型地质灾害治理工程项目、避险移民搬迁项目管理办法，地质灾害群测群防监测人员管理考核办法，制定地质灾害综合整治项目管理办法。进一步完善地质灾害调查、危险性评估，预警预报，防灾预案、灾情速报、应急反应，险情巡查、汛期值班、专项资金管理等各项制度，并严格监督执行，实现地质灾害防治法制化、规范化。</w:t>
      </w:r>
    </w:p>
    <w:p>
      <w:pPr>
        <w:ind w:firstLine="560"/>
        <w:rPr>
          <w:rFonts w:ascii="Times New Roman" w:hAnsi="Times New Roman"/>
        </w:rPr>
      </w:pPr>
      <w:r>
        <w:rPr>
          <w:rFonts w:ascii="Times New Roman" w:hAnsi="Times New Roman"/>
        </w:rPr>
        <w:t>此外还需联合农业农村局，制定与切坡建房等相关的用地申报、审批等制度，从制度上遏制建设开挖引起的地质灾害隐患。</w:t>
      </w:r>
    </w:p>
    <w:p>
      <w:pPr>
        <w:pStyle w:val="183"/>
        <w:spacing w:before="120" w:after="120"/>
        <w:rPr>
          <w:rFonts w:ascii="Times New Roman" w:hAnsi="Times New Roman"/>
          <w:b/>
        </w:rPr>
      </w:pPr>
      <w:bookmarkStart w:id="93" w:name="_Toc137671437"/>
      <w:r>
        <w:rPr>
          <w:rFonts w:ascii="Times New Roman" w:hAnsi="Times New Roman"/>
          <w:b/>
        </w:rPr>
        <w:t>（九）依法依规履行职责</w:t>
      </w:r>
      <w:bookmarkEnd w:id="93"/>
    </w:p>
    <w:p>
      <w:pPr>
        <w:ind w:firstLine="560"/>
        <w:rPr>
          <w:rFonts w:ascii="Times New Roman" w:hAnsi="Times New Roman"/>
          <w:szCs w:val="28"/>
        </w:rPr>
      </w:pPr>
      <w:r>
        <w:rPr>
          <w:rFonts w:ascii="Times New Roman" w:hAnsi="Times New Roman"/>
          <w:szCs w:val="28"/>
        </w:rPr>
        <w:t>自然资源主管部门，依据规划区内地质灾害相关调查评价结果，在当地的国土空间规划、乡村规划与用途管制中，落实地质灾害的管控措施与要求；工程建设、资源开发、生产经营等相关行业主管部门和建设单位，依法依规履职，落实防治主体责任。</w:t>
      </w:r>
    </w:p>
    <w:p>
      <w:pPr>
        <w:pStyle w:val="183"/>
        <w:spacing w:before="120" w:after="120"/>
        <w:rPr>
          <w:rFonts w:ascii="Times New Roman" w:hAnsi="Times New Roman"/>
          <w:b/>
        </w:rPr>
      </w:pPr>
      <w:bookmarkStart w:id="94" w:name="_Toc137671438"/>
      <w:r>
        <w:rPr>
          <w:rFonts w:ascii="Times New Roman" w:hAnsi="Times New Roman"/>
          <w:b/>
        </w:rPr>
        <w:t>（十）防灾减灾机制建设</w:t>
      </w:r>
      <w:bookmarkEnd w:id="94"/>
    </w:p>
    <w:p>
      <w:pPr>
        <w:ind w:firstLine="560"/>
        <w:rPr>
          <w:rFonts w:hint="eastAsia" w:ascii="Times New Roman" w:hAnsi="Times New Roman"/>
        </w:rPr>
      </w:pPr>
      <w:r>
        <w:rPr>
          <w:rFonts w:ascii="Times New Roman" w:hAnsi="Times New Roman"/>
        </w:rPr>
        <w:t>坚持执行“分级负责、属地管理”制度，进一步建立健全“党委领导、政府主导、部门协同、社会参与、法制保障”的社会化、扁平化防治工作新格局，强化上下统一、分级负责的政府责任体系，全面落实政府主导、行业共治、全民参与的防治管理机制。</w:t>
      </w:r>
    </w:p>
    <w:p>
      <w:pPr>
        <w:pStyle w:val="182"/>
        <w:spacing w:line="360" w:lineRule="auto"/>
        <w:rPr>
          <w:rFonts w:ascii="Times New Roman" w:hAnsi="Times New Roman"/>
          <w:b/>
        </w:rPr>
      </w:pPr>
      <w:bookmarkStart w:id="95" w:name="_Toc137671439"/>
      <w:r>
        <w:rPr>
          <w:rFonts w:ascii="Times New Roman" w:hAnsi="Times New Roman"/>
          <w:b/>
        </w:rPr>
        <w:t>五、资金筹措</w:t>
      </w:r>
      <w:bookmarkEnd w:id="95"/>
    </w:p>
    <w:p>
      <w:pPr>
        <w:pStyle w:val="183"/>
        <w:spacing w:before="120" w:after="120"/>
        <w:rPr>
          <w:rFonts w:ascii="Times New Roman" w:hAnsi="Times New Roman"/>
          <w:b/>
        </w:rPr>
      </w:pPr>
      <w:bookmarkStart w:id="96" w:name="_Toc137671440"/>
      <w:r>
        <w:rPr>
          <w:rFonts w:ascii="Times New Roman" w:hAnsi="Times New Roman"/>
          <w:b/>
        </w:rPr>
        <w:t>（一）地质灾害防治规划资金匡算结果</w:t>
      </w:r>
      <w:bookmarkEnd w:id="96"/>
    </w:p>
    <w:p>
      <w:pPr>
        <w:ind w:firstLine="560"/>
        <w:rPr>
          <w:rFonts w:ascii="Times New Roman" w:hAnsi="Times New Roman"/>
        </w:rPr>
      </w:pPr>
      <w:r>
        <w:rPr>
          <w:rFonts w:ascii="Times New Roman" w:hAnsi="Times New Roman"/>
        </w:rPr>
        <w:t>根据我市地质灾害防治规划措施及资金匡算，我市“十四五”期间共投入地质灾害防治资金10235.91万元，各项防治措施及预计资金投入情况如下（表5-1）：</w:t>
      </w:r>
    </w:p>
    <w:p>
      <w:pPr>
        <w:ind w:firstLine="560"/>
        <w:rPr>
          <w:rFonts w:hint="eastAsia" w:ascii="Times New Roman" w:hAnsi="Times New Roman"/>
        </w:rPr>
      </w:pPr>
      <w:r>
        <w:rPr>
          <w:rFonts w:ascii="Times New Roman" w:hAnsi="Times New Roman"/>
        </w:rPr>
        <w:t>各级发展改革、工信、住建、交通运输、农业农村、水务、 文化旅游、能源等部门和领域工程建设或运营过程中，引发或可能遭受的地质灾害防治及费用投入，由各责任主体负责，不在本次规划费用匡算内。</w:t>
      </w:r>
    </w:p>
    <w:p>
      <w:pPr>
        <w:pStyle w:val="184"/>
        <w:spacing w:after="0"/>
        <w:rPr>
          <w:rStyle w:val="197"/>
          <w:rFonts w:ascii="Times New Roman" w:hAnsi="Times New Roman"/>
          <w:b/>
          <w:bCs w:val="0"/>
        </w:rPr>
      </w:pPr>
      <w:bookmarkStart w:id="97" w:name="_Toc137671441"/>
      <w:bookmarkStart w:id="98" w:name="_Toc131872757"/>
      <w:r>
        <w:rPr>
          <w:rStyle w:val="197"/>
          <w:rFonts w:ascii="Times New Roman" w:hAnsi="Times New Roman"/>
          <w:b/>
          <w:bCs w:val="0"/>
        </w:rPr>
        <w:t>1、调查评价</w:t>
      </w:r>
      <w:bookmarkEnd w:id="97"/>
      <w:bookmarkEnd w:id="98"/>
    </w:p>
    <w:p>
      <w:pPr>
        <w:ind w:firstLine="560"/>
        <w:rPr>
          <w:rFonts w:ascii="Times New Roman" w:hAnsi="Times New Roman"/>
          <w:szCs w:val="28"/>
        </w:rPr>
      </w:pPr>
      <w:r>
        <w:rPr>
          <w:rFonts w:ascii="Times New Roman" w:hAnsi="Times New Roman"/>
          <w:szCs w:val="28"/>
        </w:rPr>
        <w:t>主要包含制度化的“三查”、应急调查，以及精细化调查和风险评价工作。其中：“三查”和应急调查工作属驻县联乡工作范畴，不再单独列支费用；精细化调查和风险评价包括地面调查和遥感调查，共匡算资金</w:t>
      </w:r>
      <w:r>
        <w:rPr>
          <w:rFonts w:hint="eastAsia" w:ascii="Times New Roman" w:hAnsi="Times New Roman"/>
          <w:szCs w:val="28"/>
        </w:rPr>
        <w:t>326.80</w:t>
      </w:r>
      <w:r>
        <w:rPr>
          <w:rFonts w:ascii="Times New Roman" w:hAnsi="Times New Roman"/>
          <w:szCs w:val="28"/>
        </w:rPr>
        <w:t>万元；地质灾害风险普查，</w:t>
      </w:r>
      <w:r>
        <w:rPr>
          <w:rFonts w:hint="eastAsia" w:ascii="Times New Roman" w:hAnsi="Times New Roman"/>
          <w:szCs w:val="28"/>
        </w:rPr>
        <w:t>匡算资金48.78万元；</w:t>
      </w:r>
      <w:r>
        <w:rPr>
          <w:rFonts w:ascii="Times New Roman" w:hAnsi="Times New Roman"/>
          <w:szCs w:val="28"/>
        </w:rPr>
        <w:t>遥感识别隐患现场核验相关工作由省技术指导中心负责，费用编制纳入省级方案中。</w:t>
      </w:r>
    </w:p>
    <w:p>
      <w:pPr>
        <w:spacing w:line="240" w:lineRule="auto"/>
        <w:ind w:firstLine="0"/>
        <w:jc w:val="center"/>
        <w:rPr>
          <w:rFonts w:hint="eastAsia" w:ascii="Times New Roman" w:hAnsi="Times New Roman"/>
          <w:b/>
          <w:sz w:val="22"/>
          <w:szCs w:val="24"/>
        </w:rPr>
      </w:pPr>
    </w:p>
    <w:p>
      <w:pPr>
        <w:spacing w:line="240" w:lineRule="auto"/>
        <w:ind w:firstLine="0"/>
        <w:jc w:val="center"/>
        <w:rPr>
          <w:rFonts w:ascii="Times New Roman" w:hAnsi="Times New Roman"/>
          <w:b/>
        </w:rPr>
      </w:pPr>
      <w:r>
        <w:rPr>
          <w:rFonts w:ascii="Times New Roman" w:hAnsi="Times New Roman"/>
          <w:b/>
          <w:sz w:val="24"/>
          <w:szCs w:val="24"/>
        </w:rPr>
        <w:t>表5—1  地质灾害防治“十四五”规划措施及年度经费匡算统计表</w:t>
      </w:r>
    </w:p>
    <w:tbl>
      <w:tblPr>
        <w:tblStyle w:val="28"/>
        <w:tblW w:w="9298" w:type="dxa"/>
        <w:tblInd w:w="-142" w:type="dxa"/>
        <w:tblLayout w:type="autofit"/>
        <w:tblCellMar>
          <w:top w:w="0" w:type="dxa"/>
          <w:left w:w="108" w:type="dxa"/>
          <w:bottom w:w="0" w:type="dxa"/>
          <w:right w:w="108" w:type="dxa"/>
        </w:tblCellMar>
      </w:tblPr>
      <w:tblGrid>
        <w:gridCol w:w="426"/>
        <w:gridCol w:w="562"/>
        <w:gridCol w:w="1569"/>
        <w:gridCol w:w="1004"/>
        <w:gridCol w:w="1150"/>
        <w:gridCol w:w="1148"/>
        <w:gridCol w:w="1150"/>
        <w:gridCol w:w="1144"/>
        <w:gridCol w:w="1145"/>
      </w:tblGrid>
      <w:tr>
        <w:tblPrEx>
          <w:tblCellMar>
            <w:top w:w="0" w:type="dxa"/>
            <w:left w:w="108" w:type="dxa"/>
            <w:bottom w:w="0" w:type="dxa"/>
            <w:right w:w="108" w:type="dxa"/>
          </w:tblCellMar>
        </w:tblPrEx>
        <w:trPr>
          <w:trHeight w:val="20" w:hRule="atLeast"/>
        </w:trPr>
        <w:tc>
          <w:tcPr>
            <w:tcW w:w="42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序号</w:t>
            </w:r>
          </w:p>
        </w:tc>
        <w:tc>
          <w:tcPr>
            <w:tcW w:w="217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项</w:t>
            </w:r>
            <w:r>
              <w:rPr>
                <w:rFonts w:ascii="Times New Roman" w:hAnsi="Times New Roman"/>
                <w:sz w:val="21"/>
              </w:rPr>
              <w:t xml:space="preserve">  </w:t>
            </w:r>
            <w:r>
              <w:rPr>
                <w:rFonts w:hint="eastAsia" w:hAnsi="宋体"/>
                <w:sz w:val="21"/>
              </w:rPr>
              <w:t>目</w:t>
            </w:r>
          </w:p>
        </w:tc>
        <w:tc>
          <w:tcPr>
            <w:tcW w:w="6741" w:type="dxa"/>
            <w:gridSpan w:val="6"/>
            <w:tcBorders>
              <w:top w:val="single" w:color="000000" w:sz="4" w:space="0"/>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经</w:t>
            </w:r>
            <w:r>
              <w:rPr>
                <w:rFonts w:ascii="Times New Roman" w:hAnsi="Times New Roman"/>
                <w:sz w:val="21"/>
              </w:rPr>
              <w:t xml:space="preserve"> </w:t>
            </w:r>
            <w:r>
              <w:rPr>
                <w:rFonts w:hint="eastAsia" w:hAnsi="宋体"/>
                <w:sz w:val="21"/>
              </w:rPr>
              <w:t>费（万元）</w:t>
            </w:r>
          </w:p>
        </w:tc>
      </w:tr>
      <w:tr>
        <w:tblPrEx>
          <w:tblCellMar>
            <w:top w:w="0" w:type="dxa"/>
            <w:left w:w="108" w:type="dxa"/>
            <w:bottom w:w="0" w:type="dxa"/>
            <w:right w:w="108" w:type="dxa"/>
          </w:tblCellMar>
        </w:tblPrEx>
        <w:trPr>
          <w:trHeight w:val="20" w:hRule="atLeast"/>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217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9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合</w:t>
            </w:r>
            <w:r>
              <w:rPr>
                <w:rFonts w:ascii="Times New Roman" w:hAnsi="Times New Roman"/>
                <w:sz w:val="21"/>
              </w:rPr>
              <w:t xml:space="preserve"> </w:t>
            </w:r>
            <w:r>
              <w:rPr>
                <w:rFonts w:hint="eastAsia" w:hAnsi="宋体"/>
                <w:sz w:val="21"/>
              </w:rPr>
              <w:t>计</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2021</w:t>
            </w:r>
            <w:r>
              <w:rPr>
                <w:rFonts w:hint="eastAsia" w:hAnsi="宋体"/>
                <w:sz w:val="21"/>
              </w:rPr>
              <w:t>年</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2022</w:t>
            </w:r>
            <w:r>
              <w:rPr>
                <w:rFonts w:hint="eastAsia" w:hAnsi="宋体"/>
                <w:sz w:val="21"/>
              </w:rPr>
              <w:t>年</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2023</w:t>
            </w:r>
            <w:r>
              <w:rPr>
                <w:rFonts w:hint="eastAsia" w:hAnsi="宋体"/>
                <w:sz w:val="21"/>
              </w:rPr>
              <w:t>年</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2024</w:t>
            </w:r>
            <w:r>
              <w:rPr>
                <w:rFonts w:hint="eastAsia" w:hAnsi="宋体"/>
                <w:sz w:val="21"/>
              </w:rPr>
              <w:t>年</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2025</w:t>
            </w:r>
            <w:r>
              <w:rPr>
                <w:rFonts w:hint="eastAsia" w:hAnsi="宋体"/>
                <w:sz w:val="21"/>
              </w:rPr>
              <w:t>年</w:t>
            </w:r>
          </w:p>
        </w:tc>
      </w:tr>
      <w:tr>
        <w:tblPrEx>
          <w:tblCellMar>
            <w:top w:w="0" w:type="dxa"/>
            <w:left w:w="108" w:type="dxa"/>
            <w:bottom w:w="0" w:type="dxa"/>
            <w:right w:w="108" w:type="dxa"/>
          </w:tblCellMar>
        </w:tblPrEx>
        <w:trPr>
          <w:trHeight w:val="20" w:hRule="atLeast"/>
        </w:trPr>
        <w:tc>
          <w:tcPr>
            <w:tcW w:w="426"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w:t>
            </w:r>
          </w:p>
        </w:tc>
        <w:tc>
          <w:tcPr>
            <w:tcW w:w="567"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rPr>
                <w:rFonts w:ascii="Times New Roman" w:hAnsi="Times New Roman"/>
                <w:sz w:val="21"/>
              </w:rPr>
            </w:pPr>
            <w:r>
              <w:rPr>
                <w:rFonts w:hint="eastAsia" w:hAnsi="宋体"/>
                <w:sz w:val="21"/>
              </w:rPr>
              <w:t>调查评价</w:t>
            </w:r>
          </w:p>
        </w:tc>
        <w:tc>
          <w:tcPr>
            <w:tcW w:w="1605"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自然地质灾害隐患点排查</w:t>
            </w:r>
          </w:p>
        </w:tc>
        <w:tc>
          <w:tcPr>
            <w:tcW w:w="9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0</w:t>
            </w:r>
          </w:p>
        </w:tc>
        <w:tc>
          <w:tcPr>
            <w:tcW w:w="5800" w:type="dxa"/>
            <w:gridSpan w:val="5"/>
            <w:tcBorders>
              <w:top w:val="single" w:color="000000" w:sz="4" w:space="0"/>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芒市自然资源局组织开展，经费计入技术支撑网络体系经费。</w:t>
            </w:r>
          </w:p>
        </w:tc>
      </w:tr>
      <w:tr>
        <w:tblPrEx>
          <w:tblCellMar>
            <w:top w:w="0" w:type="dxa"/>
            <w:left w:w="108" w:type="dxa"/>
            <w:bottom w:w="0" w:type="dxa"/>
            <w:right w:w="108" w:type="dxa"/>
          </w:tblCellMar>
        </w:tblPrEx>
        <w:trPr>
          <w:trHeight w:val="20" w:hRule="atLeast"/>
        </w:trPr>
        <w:tc>
          <w:tcPr>
            <w:tcW w:w="426"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567"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1605"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非自然地质灾害隐患点排查</w:t>
            </w:r>
          </w:p>
        </w:tc>
        <w:tc>
          <w:tcPr>
            <w:tcW w:w="9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0</w:t>
            </w:r>
          </w:p>
        </w:tc>
        <w:tc>
          <w:tcPr>
            <w:tcW w:w="5800" w:type="dxa"/>
            <w:gridSpan w:val="5"/>
            <w:tcBorders>
              <w:top w:val="single" w:color="000000" w:sz="4" w:space="0"/>
              <w:left w:val="nil"/>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r>
              <w:rPr>
                <w:rFonts w:hint="eastAsia" w:hAnsi="宋体"/>
                <w:sz w:val="21"/>
              </w:rPr>
              <w:t>由相关主管部门督促责任单位完成，经费由责任单位予以保障。</w:t>
            </w:r>
          </w:p>
        </w:tc>
      </w:tr>
      <w:tr>
        <w:tblPrEx>
          <w:tblCellMar>
            <w:top w:w="0" w:type="dxa"/>
            <w:left w:w="108" w:type="dxa"/>
            <w:bottom w:w="0" w:type="dxa"/>
            <w:right w:w="108" w:type="dxa"/>
          </w:tblCellMar>
        </w:tblPrEx>
        <w:trPr>
          <w:trHeight w:val="241" w:hRule="atLeast"/>
        </w:trPr>
        <w:tc>
          <w:tcPr>
            <w:tcW w:w="426"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567"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1605"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遥感识别疑似隐患点核验</w:t>
            </w:r>
          </w:p>
        </w:tc>
        <w:tc>
          <w:tcPr>
            <w:tcW w:w="90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0</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0</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0</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0</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0</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0</w:t>
            </w:r>
          </w:p>
        </w:tc>
      </w:tr>
      <w:tr>
        <w:tblPrEx>
          <w:tblCellMar>
            <w:top w:w="0" w:type="dxa"/>
            <w:left w:w="108" w:type="dxa"/>
            <w:bottom w:w="0" w:type="dxa"/>
            <w:right w:w="108" w:type="dxa"/>
          </w:tblCellMar>
        </w:tblPrEx>
        <w:trPr>
          <w:trHeight w:val="20" w:hRule="atLeast"/>
        </w:trPr>
        <w:tc>
          <w:tcPr>
            <w:tcW w:w="426"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567"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1605"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90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5800" w:type="dxa"/>
            <w:gridSpan w:val="5"/>
            <w:tcBorders>
              <w:top w:val="single" w:color="000000" w:sz="4" w:space="0"/>
              <w:left w:val="nil"/>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r>
              <w:rPr>
                <w:rFonts w:hint="eastAsia" w:hAnsi="宋体"/>
                <w:sz w:val="21"/>
              </w:rPr>
              <w:t>本次仅提出初步工作方案，相关工作由省技术指导中心负责，费用编制纳入省级方案中，本次不做费用匡算。</w:t>
            </w:r>
          </w:p>
        </w:tc>
      </w:tr>
      <w:tr>
        <w:tblPrEx>
          <w:tblCellMar>
            <w:top w:w="0" w:type="dxa"/>
            <w:left w:w="108" w:type="dxa"/>
            <w:bottom w:w="0" w:type="dxa"/>
            <w:right w:w="108" w:type="dxa"/>
          </w:tblCellMar>
        </w:tblPrEx>
        <w:trPr>
          <w:trHeight w:val="20" w:hRule="atLeast"/>
        </w:trPr>
        <w:tc>
          <w:tcPr>
            <w:tcW w:w="426"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567"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1605"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重点区域精细化调查与风险评价</w:t>
            </w:r>
          </w:p>
        </w:tc>
        <w:tc>
          <w:tcPr>
            <w:tcW w:w="9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326.8</w:t>
            </w:r>
          </w:p>
        </w:tc>
        <w:tc>
          <w:tcPr>
            <w:tcW w:w="5800" w:type="dxa"/>
            <w:gridSpan w:val="5"/>
            <w:tcBorders>
              <w:top w:val="single" w:color="000000" w:sz="4" w:space="0"/>
              <w:left w:val="nil"/>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r>
              <w:rPr>
                <w:rFonts w:hint="eastAsia" w:hAnsi="宋体"/>
                <w:sz w:val="21"/>
              </w:rPr>
              <w:t>地面调查经费</w:t>
            </w:r>
            <w:r>
              <w:rPr>
                <w:rFonts w:ascii="Times New Roman" w:hAnsi="Times New Roman"/>
                <w:sz w:val="21"/>
              </w:rPr>
              <w:t>289.08</w:t>
            </w:r>
            <w:r>
              <w:rPr>
                <w:rFonts w:hint="eastAsia" w:hAnsi="宋体"/>
                <w:sz w:val="21"/>
              </w:rPr>
              <w:t>万元，综合遥感经费</w:t>
            </w:r>
            <w:r>
              <w:rPr>
                <w:rFonts w:ascii="Times New Roman" w:hAnsi="Times New Roman"/>
                <w:sz w:val="21"/>
              </w:rPr>
              <w:t>37.72</w:t>
            </w:r>
            <w:r>
              <w:rPr>
                <w:rFonts w:hint="eastAsia" w:hAnsi="宋体"/>
                <w:sz w:val="21"/>
              </w:rPr>
              <w:t>万元</w:t>
            </w:r>
          </w:p>
        </w:tc>
      </w:tr>
      <w:tr>
        <w:tblPrEx>
          <w:tblCellMar>
            <w:top w:w="0" w:type="dxa"/>
            <w:left w:w="108" w:type="dxa"/>
            <w:bottom w:w="0" w:type="dxa"/>
            <w:right w:w="108" w:type="dxa"/>
          </w:tblCellMar>
        </w:tblPrEx>
        <w:trPr>
          <w:trHeight w:val="20" w:hRule="atLeast"/>
        </w:trPr>
        <w:tc>
          <w:tcPr>
            <w:tcW w:w="426"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567"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1605"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风险普查</w:t>
            </w:r>
          </w:p>
        </w:tc>
        <w:tc>
          <w:tcPr>
            <w:tcW w:w="9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48.78</w:t>
            </w:r>
          </w:p>
        </w:tc>
        <w:tc>
          <w:tcPr>
            <w:tcW w:w="5800" w:type="dxa"/>
            <w:gridSpan w:val="5"/>
            <w:tcBorders>
              <w:top w:val="single" w:color="000000" w:sz="4" w:space="0"/>
              <w:left w:val="nil"/>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r>
              <w:rPr>
                <w:rFonts w:hint="eastAsia" w:hAnsi="宋体"/>
                <w:sz w:val="21"/>
              </w:rPr>
              <w:t>根据各县签订项目合同价款，</w:t>
            </w:r>
            <w:r>
              <w:rPr>
                <w:rFonts w:ascii="Times New Roman" w:hAnsi="Times New Roman"/>
                <w:sz w:val="21"/>
              </w:rPr>
              <w:t>2021</w:t>
            </w:r>
            <w:r>
              <w:rPr>
                <w:rFonts w:hint="eastAsia" w:hAnsi="宋体"/>
                <w:sz w:val="21"/>
              </w:rPr>
              <w:t>年风险普查预算资金</w:t>
            </w:r>
            <w:r>
              <w:rPr>
                <w:rFonts w:ascii="Times New Roman" w:hAnsi="Times New Roman"/>
                <w:sz w:val="21"/>
              </w:rPr>
              <w:t>48.78</w:t>
            </w:r>
            <w:r>
              <w:rPr>
                <w:rFonts w:hint="eastAsia" w:hAnsi="宋体"/>
                <w:sz w:val="21"/>
              </w:rPr>
              <w:t>万元。</w:t>
            </w:r>
          </w:p>
        </w:tc>
      </w:tr>
      <w:tr>
        <w:tblPrEx>
          <w:tblCellMar>
            <w:top w:w="0" w:type="dxa"/>
            <w:left w:w="108" w:type="dxa"/>
            <w:bottom w:w="0" w:type="dxa"/>
            <w:right w:w="108" w:type="dxa"/>
          </w:tblCellMar>
        </w:tblPrEx>
        <w:trPr>
          <w:trHeight w:val="20" w:hRule="atLeast"/>
        </w:trPr>
        <w:tc>
          <w:tcPr>
            <w:tcW w:w="426"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2</w:t>
            </w:r>
          </w:p>
        </w:tc>
        <w:tc>
          <w:tcPr>
            <w:tcW w:w="567"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监测预警</w:t>
            </w:r>
          </w:p>
        </w:tc>
        <w:tc>
          <w:tcPr>
            <w:tcW w:w="1605"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群测群防</w:t>
            </w:r>
          </w:p>
        </w:tc>
        <w:tc>
          <w:tcPr>
            <w:tcW w:w="90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328.5</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65.7</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65.7</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65.7</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65.7</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65.7</w:t>
            </w:r>
          </w:p>
        </w:tc>
      </w:tr>
      <w:tr>
        <w:tblPrEx>
          <w:tblCellMar>
            <w:top w:w="0" w:type="dxa"/>
            <w:left w:w="108" w:type="dxa"/>
            <w:bottom w:w="0" w:type="dxa"/>
            <w:right w:w="108" w:type="dxa"/>
          </w:tblCellMar>
        </w:tblPrEx>
        <w:trPr>
          <w:trHeight w:val="20" w:hRule="atLeast"/>
        </w:trPr>
        <w:tc>
          <w:tcPr>
            <w:tcW w:w="426"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567"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1605"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90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5800" w:type="dxa"/>
            <w:gridSpan w:val="5"/>
            <w:tcBorders>
              <w:top w:val="single" w:color="000000" w:sz="4" w:space="0"/>
              <w:left w:val="nil"/>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r>
              <w:rPr>
                <w:rFonts w:hint="eastAsia" w:hAnsi="宋体"/>
                <w:sz w:val="21"/>
              </w:rPr>
              <w:t>登记在册</w:t>
            </w:r>
            <w:r>
              <w:rPr>
                <w:rFonts w:ascii="Times New Roman" w:hAnsi="Times New Roman"/>
                <w:sz w:val="21"/>
              </w:rPr>
              <w:t>169</w:t>
            </w:r>
            <w:r>
              <w:rPr>
                <w:rFonts w:hint="eastAsia" w:hAnsi="宋体"/>
                <w:sz w:val="21"/>
              </w:rPr>
              <w:t>个隐患点，每个点配置两名监测员，每人每年</w:t>
            </w:r>
            <w:r>
              <w:rPr>
                <w:rFonts w:ascii="Times New Roman" w:hAnsi="Times New Roman"/>
                <w:sz w:val="21"/>
              </w:rPr>
              <w:t>1500</w:t>
            </w:r>
            <w:r>
              <w:rPr>
                <w:rFonts w:hint="eastAsia" w:hAnsi="宋体"/>
                <w:sz w:val="21"/>
              </w:rPr>
              <w:t>元。更换设备费简易监测设备</w:t>
            </w:r>
            <w:r>
              <w:rPr>
                <w:rFonts w:ascii="Times New Roman" w:hAnsi="Times New Roman"/>
                <w:sz w:val="21"/>
              </w:rPr>
              <w:t>15</w:t>
            </w:r>
            <w:r>
              <w:rPr>
                <w:rFonts w:hint="eastAsia" w:hAnsi="宋体"/>
                <w:sz w:val="21"/>
              </w:rPr>
              <w:t>万</w:t>
            </w:r>
            <w:r>
              <w:rPr>
                <w:rFonts w:ascii="Times New Roman" w:hAnsi="Times New Roman"/>
                <w:sz w:val="21"/>
              </w:rPr>
              <w:t>/</w:t>
            </w:r>
            <w:r>
              <w:rPr>
                <w:rFonts w:hint="eastAsia" w:hAnsi="宋体"/>
                <w:sz w:val="21"/>
              </w:rPr>
              <w:t>年进行匡算。</w:t>
            </w:r>
          </w:p>
        </w:tc>
      </w:tr>
      <w:tr>
        <w:tblPrEx>
          <w:tblCellMar>
            <w:top w:w="0" w:type="dxa"/>
            <w:left w:w="108" w:type="dxa"/>
            <w:bottom w:w="0" w:type="dxa"/>
            <w:right w:w="108" w:type="dxa"/>
          </w:tblCellMar>
        </w:tblPrEx>
        <w:trPr>
          <w:trHeight w:val="241" w:hRule="atLeast"/>
        </w:trPr>
        <w:tc>
          <w:tcPr>
            <w:tcW w:w="426"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3</w:t>
            </w:r>
          </w:p>
        </w:tc>
        <w:tc>
          <w:tcPr>
            <w:tcW w:w="567"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1605"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普适型监测</w:t>
            </w:r>
          </w:p>
        </w:tc>
        <w:tc>
          <w:tcPr>
            <w:tcW w:w="90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1020</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380</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200</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240</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112</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88</w:t>
            </w:r>
          </w:p>
        </w:tc>
      </w:tr>
      <w:tr>
        <w:tblPrEx>
          <w:tblCellMar>
            <w:top w:w="0" w:type="dxa"/>
            <w:left w:w="108" w:type="dxa"/>
            <w:bottom w:w="0" w:type="dxa"/>
            <w:right w:w="108" w:type="dxa"/>
          </w:tblCellMar>
        </w:tblPrEx>
        <w:trPr>
          <w:trHeight w:val="20" w:hRule="atLeast"/>
        </w:trPr>
        <w:tc>
          <w:tcPr>
            <w:tcW w:w="426"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567"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1605"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90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5800" w:type="dxa"/>
            <w:gridSpan w:val="5"/>
            <w:tcBorders>
              <w:top w:val="single" w:color="000000" w:sz="4" w:space="0"/>
              <w:left w:val="nil"/>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r>
              <w:rPr>
                <w:rFonts w:hint="eastAsia" w:hAnsi="宋体"/>
                <w:sz w:val="21"/>
              </w:rPr>
              <w:t>①</w:t>
            </w:r>
            <w:r>
              <w:rPr>
                <w:rFonts w:ascii="Times New Roman" w:hAnsi="Times New Roman"/>
                <w:sz w:val="21"/>
              </w:rPr>
              <w:t>2021</w:t>
            </w:r>
            <w:r>
              <w:rPr>
                <w:rFonts w:hint="eastAsia" w:hAnsi="宋体"/>
                <w:sz w:val="21"/>
              </w:rPr>
              <w:t>年实施</w:t>
            </w:r>
            <w:r>
              <w:rPr>
                <w:rFonts w:ascii="Times New Roman" w:hAnsi="Times New Roman"/>
                <w:sz w:val="21"/>
              </w:rPr>
              <w:t>38</w:t>
            </w:r>
            <w:r>
              <w:rPr>
                <w:rFonts w:hint="eastAsia" w:hAnsi="宋体"/>
                <w:sz w:val="21"/>
              </w:rPr>
              <w:t>处普适型监测，投资</w:t>
            </w:r>
            <w:r>
              <w:rPr>
                <w:rFonts w:ascii="Times New Roman" w:hAnsi="Times New Roman"/>
                <w:sz w:val="21"/>
              </w:rPr>
              <w:t>380</w:t>
            </w:r>
            <w:r>
              <w:rPr>
                <w:rFonts w:hint="eastAsia" w:hAnsi="宋体"/>
                <w:sz w:val="21"/>
              </w:rPr>
              <w:t>万元；②</w:t>
            </w:r>
            <w:r>
              <w:rPr>
                <w:rFonts w:ascii="Times New Roman" w:hAnsi="Times New Roman"/>
                <w:sz w:val="21"/>
              </w:rPr>
              <w:t>2022-2025</w:t>
            </w:r>
            <w:r>
              <w:rPr>
                <w:rFonts w:hint="eastAsia" w:hAnsi="宋体"/>
                <w:sz w:val="21"/>
              </w:rPr>
              <w:t>年普适型暂按</w:t>
            </w:r>
            <w:r>
              <w:rPr>
                <w:rFonts w:ascii="Times New Roman" w:hAnsi="Times New Roman"/>
                <w:sz w:val="21"/>
              </w:rPr>
              <w:t>8</w:t>
            </w:r>
            <w:r>
              <w:rPr>
                <w:rFonts w:hint="eastAsia" w:hAnsi="宋体"/>
                <w:sz w:val="21"/>
              </w:rPr>
              <w:t>万元</w:t>
            </w:r>
            <w:r>
              <w:rPr>
                <w:rFonts w:ascii="Times New Roman" w:hAnsi="Times New Roman"/>
                <w:sz w:val="21"/>
              </w:rPr>
              <w:t>/</w:t>
            </w:r>
            <w:r>
              <w:rPr>
                <w:rFonts w:hint="eastAsia" w:hAnsi="宋体"/>
                <w:sz w:val="21"/>
              </w:rPr>
              <w:t>处进行匡算。</w:t>
            </w:r>
          </w:p>
        </w:tc>
      </w:tr>
      <w:tr>
        <w:tblPrEx>
          <w:tblCellMar>
            <w:top w:w="0" w:type="dxa"/>
            <w:left w:w="108" w:type="dxa"/>
            <w:bottom w:w="0" w:type="dxa"/>
            <w:right w:w="108" w:type="dxa"/>
          </w:tblCellMar>
        </w:tblPrEx>
        <w:trPr>
          <w:trHeight w:val="241" w:hRule="atLeast"/>
        </w:trPr>
        <w:tc>
          <w:tcPr>
            <w:tcW w:w="426"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567"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1605"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维护费用</w:t>
            </w:r>
          </w:p>
        </w:tc>
        <w:tc>
          <w:tcPr>
            <w:tcW w:w="90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198</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12</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12</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12</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66</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96</w:t>
            </w:r>
          </w:p>
        </w:tc>
      </w:tr>
      <w:tr>
        <w:tblPrEx>
          <w:tblCellMar>
            <w:top w:w="0" w:type="dxa"/>
            <w:left w:w="108" w:type="dxa"/>
            <w:bottom w:w="0" w:type="dxa"/>
            <w:right w:w="108" w:type="dxa"/>
          </w:tblCellMar>
        </w:tblPrEx>
        <w:trPr>
          <w:trHeight w:val="20" w:hRule="atLeast"/>
        </w:trPr>
        <w:tc>
          <w:tcPr>
            <w:tcW w:w="426"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567"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1605"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90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5800" w:type="dxa"/>
            <w:gridSpan w:val="5"/>
            <w:tcBorders>
              <w:top w:val="single" w:color="000000" w:sz="4" w:space="0"/>
              <w:left w:val="nil"/>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r>
              <w:rPr>
                <w:rFonts w:hint="eastAsia" w:hAnsi="宋体"/>
                <w:sz w:val="21"/>
              </w:rPr>
              <w:t>①专业监测工程维护根据已实施方案，前三年每个点按</w:t>
            </w:r>
            <w:r>
              <w:rPr>
                <w:rFonts w:ascii="Times New Roman" w:hAnsi="Times New Roman"/>
                <w:sz w:val="21"/>
              </w:rPr>
              <w:t>3</w:t>
            </w:r>
            <w:r>
              <w:rPr>
                <w:rFonts w:hint="eastAsia" w:hAnsi="宋体"/>
                <w:sz w:val="21"/>
              </w:rPr>
              <w:t>万元匡算，三年期满后更换为普适型监测设备。②普适型监测工程后期运行维护费每个点每年按建设投资的</w:t>
            </w:r>
            <w:r>
              <w:rPr>
                <w:rFonts w:ascii="Times New Roman" w:hAnsi="Times New Roman"/>
                <w:sz w:val="21"/>
              </w:rPr>
              <w:t>15%</w:t>
            </w:r>
            <w:r>
              <w:rPr>
                <w:rFonts w:hint="eastAsia" w:hAnsi="宋体"/>
                <w:sz w:val="21"/>
              </w:rPr>
              <w:t>计算。③</w:t>
            </w:r>
            <w:r>
              <w:rPr>
                <w:rFonts w:ascii="Times New Roman" w:hAnsi="Times New Roman"/>
                <w:sz w:val="21"/>
              </w:rPr>
              <w:t>2020</w:t>
            </w:r>
            <w:r>
              <w:rPr>
                <w:rFonts w:hint="eastAsia" w:hAnsi="宋体"/>
                <w:sz w:val="21"/>
              </w:rPr>
              <w:t>年、</w:t>
            </w:r>
            <w:r>
              <w:rPr>
                <w:rFonts w:ascii="Times New Roman" w:hAnsi="Times New Roman"/>
                <w:sz w:val="21"/>
              </w:rPr>
              <w:t>2021</w:t>
            </w:r>
            <w:r>
              <w:rPr>
                <w:rFonts w:hint="eastAsia" w:hAnsi="宋体"/>
                <w:sz w:val="21"/>
              </w:rPr>
              <w:t>年完成的普适型监测工程维护期始于</w:t>
            </w:r>
            <w:r>
              <w:rPr>
                <w:rFonts w:ascii="Times New Roman" w:hAnsi="Times New Roman"/>
                <w:sz w:val="21"/>
              </w:rPr>
              <w:t>2024</w:t>
            </w:r>
            <w:r>
              <w:rPr>
                <w:rFonts w:hint="eastAsia" w:hAnsi="宋体"/>
                <w:sz w:val="21"/>
              </w:rPr>
              <w:t>年，</w:t>
            </w:r>
            <w:r>
              <w:rPr>
                <w:rFonts w:ascii="Times New Roman" w:hAnsi="Times New Roman"/>
                <w:sz w:val="21"/>
              </w:rPr>
              <w:t>2022</w:t>
            </w:r>
            <w:r>
              <w:rPr>
                <w:rFonts w:hint="eastAsia" w:hAnsi="宋体"/>
                <w:sz w:val="21"/>
              </w:rPr>
              <w:t>年安装完成的维护期始于</w:t>
            </w:r>
            <w:r>
              <w:rPr>
                <w:rFonts w:ascii="Times New Roman" w:hAnsi="Times New Roman"/>
                <w:sz w:val="21"/>
              </w:rPr>
              <w:t>2025</w:t>
            </w:r>
            <w:r>
              <w:rPr>
                <w:rFonts w:hint="eastAsia" w:hAnsi="宋体"/>
                <w:sz w:val="21"/>
              </w:rPr>
              <w:t>年。</w:t>
            </w:r>
          </w:p>
        </w:tc>
      </w:tr>
      <w:tr>
        <w:tblPrEx>
          <w:tblCellMar>
            <w:top w:w="0" w:type="dxa"/>
            <w:left w:w="108" w:type="dxa"/>
            <w:bottom w:w="0" w:type="dxa"/>
            <w:right w:w="108" w:type="dxa"/>
          </w:tblCellMar>
        </w:tblPrEx>
        <w:trPr>
          <w:trHeight w:val="241" w:hRule="atLeast"/>
        </w:trPr>
        <w:tc>
          <w:tcPr>
            <w:tcW w:w="426"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4</w:t>
            </w:r>
          </w:p>
        </w:tc>
        <w:tc>
          <w:tcPr>
            <w:tcW w:w="567"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1605"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气象风险预警</w:t>
            </w:r>
          </w:p>
        </w:tc>
        <w:tc>
          <w:tcPr>
            <w:tcW w:w="90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25</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5</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5</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5</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5</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5</w:t>
            </w:r>
          </w:p>
        </w:tc>
      </w:tr>
      <w:tr>
        <w:tblPrEx>
          <w:tblCellMar>
            <w:top w:w="0" w:type="dxa"/>
            <w:left w:w="108" w:type="dxa"/>
            <w:bottom w:w="0" w:type="dxa"/>
            <w:right w:w="108" w:type="dxa"/>
          </w:tblCellMar>
        </w:tblPrEx>
        <w:trPr>
          <w:trHeight w:val="20" w:hRule="atLeast"/>
        </w:trPr>
        <w:tc>
          <w:tcPr>
            <w:tcW w:w="426"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567"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1605"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90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5800" w:type="dxa"/>
            <w:gridSpan w:val="5"/>
            <w:tcBorders>
              <w:top w:val="single" w:color="000000" w:sz="4" w:space="0"/>
              <w:left w:val="nil"/>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r>
              <w:rPr>
                <w:rFonts w:hint="eastAsia" w:hAnsi="宋体"/>
                <w:sz w:val="21"/>
              </w:rPr>
              <w:t>年度经费</w:t>
            </w:r>
            <w:r>
              <w:rPr>
                <w:rFonts w:ascii="Times New Roman" w:hAnsi="Times New Roman"/>
                <w:sz w:val="21"/>
              </w:rPr>
              <w:t>5</w:t>
            </w:r>
            <w:r>
              <w:rPr>
                <w:rFonts w:hint="eastAsia" w:hAnsi="宋体"/>
                <w:sz w:val="21"/>
              </w:rPr>
              <w:t>万元</w:t>
            </w:r>
            <w:r>
              <w:rPr>
                <w:rFonts w:ascii="Times New Roman" w:hAnsi="Times New Roman"/>
                <w:sz w:val="21"/>
              </w:rPr>
              <w:t>/</w:t>
            </w:r>
            <w:r>
              <w:rPr>
                <w:rFonts w:hint="eastAsia" w:hAnsi="宋体"/>
                <w:sz w:val="21"/>
              </w:rPr>
              <w:t>年。</w:t>
            </w:r>
          </w:p>
        </w:tc>
      </w:tr>
      <w:tr>
        <w:tblPrEx>
          <w:tblCellMar>
            <w:top w:w="0" w:type="dxa"/>
            <w:left w:w="108" w:type="dxa"/>
            <w:bottom w:w="0" w:type="dxa"/>
            <w:right w:w="108" w:type="dxa"/>
          </w:tblCellMar>
        </w:tblPrEx>
        <w:trPr>
          <w:trHeight w:val="241" w:hRule="atLeast"/>
        </w:trPr>
        <w:tc>
          <w:tcPr>
            <w:tcW w:w="426"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5</w:t>
            </w:r>
          </w:p>
        </w:tc>
        <w:tc>
          <w:tcPr>
            <w:tcW w:w="567"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1605"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隐患和风险</w:t>
            </w:r>
            <w:r>
              <w:rPr>
                <w:rFonts w:ascii="Times New Roman" w:hAnsi="Times New Roman"/>
                <w:sz w:val="21"/>
              </w:rPr>
              <w:t>“</w:t>
            </w:r>
            <w:r>
              <w:rPr>
                <w:rFonts w:hint="eastAsia" w:hAnsi="宋体"/>
                <w:sz w:val="21"/>
              </w:rPr>
              <w:t>双控</w:t>
            </w:r>
            <w:r>
              <w:rPr>
                <w:rFonts w:ascii="Times New Roman" w:hAnsi="Times New Roman"/>
                <w:sz w:val="21"/>
              </w:rPr>
              <w:t>”</w:t>
            </w:r>
          </w:p>
        </w:tc>
        <w:tc>
          <w:tcPr>
            <w:tcW w:w="90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18</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18</w:t>
            </w:r>
          </w:p>
        </w:tc>
      </w:tr>
      <w:tr>
        <w:tblPrEx>
          <w:tblCellMar>
            <w:top w:w="0" w:type="dxa"/>
            <w:left w:w="108" w:type="dxa"/>
            <w:bottom w:w="0" w:type="dxa"/>
            <w:right w:w="108" w:type="dxa"/>
          </w:tblCellMar>
        </w:tblPrEx>
        <w:trPr>
          <w:trHeight w:val="20" w:hRule="atLeast"/>
        </w:trPr>
        <w:tc>
          <w:tcPr>
            <w:tcW w:w="426"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567"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1605"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90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5800" w:type="dxa"/>
            <w:gridSpan w:val="5"/>
            <w:tcBorders>
              <w:top w:val="single" w:color="000000" w:sz="4" w:space="0"/>
              <w:left w:val="nil"/>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r>
              <w:rPr>
                <w:rFonts w:hint="eastAsia" w:hAnsi="宋体"/>
                <w:sz w:val="21"/>
              </w:rPr>
              <w:t>规划</w:t>
            </w:r>
            <w:r>
              <w:rPr>
                <w:rFonts w:ascii="Times New Roman" w:hAnsi="Times New Roman"/>
                <w:sz w:val="21"/>
              </w:rPr>
              <w:t>2025</w:t>
            </w:r>
            <w:r>
              <w:rPr>
                <w:rFonts w:hint="eastAsia" w:hAnsi="宋体"/>
                <w:sz w:val="21"/>
              </w:rPr>
              <w:t>年开展实施。</w:t>
            </w:r>
          </w:p>
        </w:tc>
      </w:tr>
      <w:tr>
        <w:tblPrEx>
          <w:tblCellMar>
            <w:top w:w="0" w:type="dxa"/>
            <w:left w:w="108" w:type="dxa"/>
            <w:bottom w:w="0" w:type="dxa"/>
            <w:right w:w="108" w:type="dxa"/>
          </w:tblCellMar>
        </w:tblPrEx>
        <w:trPr>
          <w:trHeight w:val="20" w:hRule="atLeast"/>
        </w:trPr>
        <w:tc>
          <w:tcPr>
            <w:tcW w:w="426"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6</w:t>
            </w:r>
          </w:p>
        </w:tc>
        <w:tc>
          <w:tcPr>
            <w:tcW w:w="567"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rPr>
                <w:rFonts w:ascii="Times New Roman" w:hAnsi="Times New Roman"/>
                <w:sz w:val="21"/>
              </w:rPr>
            </w:pPr>
            <w:r>
              <w:rPr>
                <w:rFonts w:hint="eastAsia" w:hAnsi="宋体"/>
                <w:sz w:val="21"/>
              </w:rPr>
              <w:t>工程治理</w:t>
            </w:r>
          </w:p>
        </w:tc>
        <w:tc>
          <w:tcPr>
            <w:tcW w:w="1605"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工程治理</w:t>
            </w:r>
          </w:p>
        </w:tc>
        <w:tc>
          <w:tcPr>
            <w:tcW w:w="90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6393.23</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0"/>
                <w:szCs w:val="20"/>
              </w:rPr>
            </w:pPr>
            <w:r>
              <w:rPr>
                <w:rFonts w:ascii="Times New Roman" w:hAnsi="Times New Roman"/>
                <w:sz w:val="20"/>
                <w:szCs w:val="20"/>
              </w:rPr>
              <w:t>1585.71</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260.54</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0"/>
                <w:szCs w:val="20"/>
              </w:rPr>
            </w:pPr>
            <w:r>
              <w:rPr>
                <w:rFonts w:ascii="Times New Roman" w:hAnsi="Times New Roman"/>
                <w:sz w:val="20"/>
                <w:szCs w:val="20"/>
              </w:rPr>
              <w:t>2195.98</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1246</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1105</w:t>
            </w:r>
          </w:p>
        </w:tc>
      </w:tr>
      <w:tr>
        <w:tblPrEx>
          <w:tblCellMar>
            <w:top w:w="0" w:type="dxa"/>
            <w:left w:w="108" w:type="dxa"/>
            <w:bottom w:w="0" w:type="dxa"/>
            <w:right w:w="108" w:type="dxa"/>
          </w:tblCellMar>
        </w:tblPrEx>
        <w:trPr>
          <w:trHeight w:val="20" w:hRule="atLeast"/>
        </w:trPr>
        <w:tc>
          <w:tcPr>
            <w:tcW w:w="426"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567"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1605"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90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5800" w:type="dxa"/>
            <w:gridSpan w:val="5"/>
            <w:tcBorders>
              <w:top w:val="single" w:color="000000" w:sz="4" w:space="0"/>
              <w:left w:val="nil"/>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r>
              <w:rPr>
                <w:rFonts w:hint="eastAsia" w:hAnsi="宋体"/>
                <w:sz w:val="21"/>
              </w:rPr>
              <w:t>按照项目规划表（附表</w:t>
            </w:r>
            <w:r>
              <w:rPr>
                <w:rFonts w:ascii="Times New Roman" w:hAnsi="Times New Roman"/>
                <w:sz w:val="21"/>
              </w:rPr>
              <w:t>2</w:t>
            </w:r>
            <w:r>
              <w:rPr>
                <w:rFonts w:hint="eastAsia" w:hAnsi="宋体"/>
                <w:sz w:val="21"/>
              </w:rPr>
              <w:t>）计算。</w:t>
            </w:r>
          </w:p>
        </w:tc>
      </w:tr>
      <w:tr>
        <w:tblPrEx>
          <w:tblCellMar>
            <w:top w:w="0" w:type="dxa"/>
            <w:left w:w="108" w:type="dxa"/>
            <w:bottom w:w="0" w:type="dxa"/>
            <w:right w:w="108" w:type="dxa"/>
          </w:tblCellMar>
        </w:tblPrEx>
        <w:trPr>
          <w:trHeight w:val="20" w:hRule="atLeast"/>
        </w:trPr>
        <w:tc>
          <w:tcPr>
            <w:tcW w:w="426"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567"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1605"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延续配套治理</w:t>
            </w:r>
          </w:p>
        </w:tc>
        <w:tc>
          <w:tcPr>
            <w:tcW w:w="9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224</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0</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0</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82</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142</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0</w:t>
            </w:r>
          </w:p>
        </w:tc>
      </w:tr>
      <w:tr>
        <w:tblPrEx>
          <w:tblCellMar>
            <w:top w:w="0" w:type="dxa"/>
            <w:left w:w="108" w:type="dxa"/>
            <w:bottom w:w="0" w:type="dxa"/>
            <w:right w:w="108" w:type="dxa"/>
          </w:tblCellMar>
        </w:tblPrEx>
        <w:trPr>
          <w:trHeight w:val="241" w:hRule="atLeast"/>
        </w:trPr>
        <w:tc>
          <w:tcPr>
            <w:tcW w:w="426"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567"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1605"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工程管护</w:t>
            </w:r>
          </w:p>
        </w:tc>
        <w:tc>
          <w:tcPr>
            <w:tcW w:w="90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180</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0</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0</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60</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60</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60</w:t>
            </w:r>
          </w:p>
        </w:tc>
      </w:tr>
      <w:tr>
        <w:tblPrEx>
          <w:tblCellMar>
            <w:top w:w="0" w:type="dxa"/>
            <w:left w:w="108" w:type="dxa"/>
            <w:bottom w:w="0" w:type="dxa"/>
            <w:right w:w="108" w:type="dxa"/>
          </w:tblCellMar>
        </w:tblPrEx>
        <w:trPr>
          <w:trHeight w:val="20" w:hRule="atLeast"/>
        </w:trPr>
        <w:tc>
          <w:tcPr>
            <w:tcW w:w="426"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567"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1605"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90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5800" w:type="dxa"/>
            <w:gridSpan w:val="5"/>
            <w:tcBorders>
              <w:top w:val="single" w:color="000000" w:sz="4" w:space="0"/>
              <w:left w:val="nil"/>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r>
              <w:rPr>
                <w:rFonts w:hint="eastAsia" w:hAnsi="宋体"/>
                <w:sz w:val="21"/>
              </w:rPr>
              <w:t>县市年度经费按照完成的工程治理项目台账计算，费用由各级政府配备，分三年完成工程管护经费的下发。</w:t>
            </w:r>
          </w:p>
        </w:tc>
      </w:tr>
      <w:tr>
        <w:tblPrEx>
          <w:tblCellMar>
            <w:top w:w="0" w:type="dxa"/>
            <w:left w:w="108" w:type="dxa"/>
            <w:bottom w:w="0" w:type="dxa"/>
            <w:right w:w="108" w:type="dxa"/>
          </w:tblCellMar>
        </w:tblPrEx>
        <w:trPr>
          <w:trHeight w:val="241" w:hRule="atLeast"/>
        </w:trPr>
        <w:tc>
          <w:tcPr>
            <w:tcW w:w="426"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567"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1605"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突发性应急工程治理</w:t>
            </w:r>
          </w:p>
        </w:tc>
        <w:tc>
          <w:tcPr>
            <w:tcW w:w="90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250</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50</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50</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50</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50</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50</w:t>
            </w:r>
          </w:p>
        </w:tc>
      </w:tr>
      <w:tr>
        <w:tblPrEx>
          <w:tblCellMar>
            <w:top w:w="0" w:type="dxa"/>
            <w:left w:w="108" w:type="dxa"/>
            <w:bottom w:w="0" w:type="dxa"/>
            <w:right w:w="108" w:type="dxa"/>
          </w:tblCellMar>
        </w:tblPrEx>
        <w:trPr>
          <w:trHeight w:val="20" w:hRule="atLeast"/>
        </w:trPr>
        <w:tc>
          <w:tcPr>
            <w:tcW w:w="426"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567"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1605"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90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5800" w:type="dxa"/>
            <w:gridSpan w:val="5"/>
            <w:tcBorders>
              <w:top w:val="single" w:color="000000" w:sz="4" w:space="0"/>
              <w:left w:val="nil"/>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r>
              <w:rPr>
                <w:rFonts w:hint="eastAsia" w:hAnsi="宋体"/>
                <w:sz w:val="21"/>
              </w:rPr>
              <w:t>根据以往情况，初步按每年</w:t>
            </w:r>
            <w:r>
              <w:rPr>
                <w:rFonts w:ascii="Times New Roman" w:hAnsi="Times New Roman"/>
                <w:sz w:val="21"/>
              </w:rPr>
              <w:t>50</w:t>
            </w:r>
            <w:r>
              <w:rPr>
                <w:rFonts w:hint="eastAsia" w:hAnsi="宋体"/>
                <w:sz w:val="21"/>
              </w:rPr>
              <w:t>万元进行匡算</w:t>
            </w:r>
          </w:p>
        </w:tc>
      </w:tr>
      <w:tr>
        <w:tblPrEx>
          <w:tblCellMar>
            <w:top w:w="0" w:type="dxa"/>
            <w:left w:w="108" w:type="dxa"/>
            <w:bottom w:w="0" w:type="dxa"/>
            <w:right w:w="108" w:type="dxa"/>
          </w:tblCellMar>
        </w:tblPrEx>
        <w:trPr>
          <w:trHeight w:val="20" w:hRule="atLeast"/>
        </w:trPr>
        <w:tc>
          <w:tcPr>
            <w:tcW w:w="426"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7</w:t>
            </w:r>
          </w:p>
        </w:tc>
        <w:tc>
          <w:tcPr>
            <w:tcW w:w="217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避险搬迁</w:t>
            </w:r>
          </w:p>
        </w:tc>
        <w:tc>
          <w:tcPr>
            <w:tcW w:w="90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882</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258</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99</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57</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168</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300</w:t>
            </w:r>
          </w:p>
        </w:tc>
      </w:tr>
      <w:tr>
        <w:tblPrEx>
          <w:tblCellMar>
            <w:top w:w="0" w:type="dxa"/>
            <w:left w:w="108" w:type="dxa"/>
            <w:bottom w:w="0" w:type="dxa"/>
            <w:right w:w="108" w:type="dxa"/>
          </w:tblCellMar>
        </w:tblPrEx>
        <w:trPr>
          <w:trHeight w:val="20" w:hRule="atLeast"/>
        </w:trPr>
        <w:tc>
          <w:tcPr>
            <w:tcW w:w="426"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217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90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5800" w:type="dxa"/>
            <w:gridSpan w:val="5"/>
            <w:tcBorders>
              <w:top w:val="single" w:color="000000" w:sz="4" w:space="0"/>
              <w:left w:val="nil"/>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r>
              <w:rPr>
                <w:rFonts w:hint="eastAsia" w:hAnsi="宋体"/>
                <w:sz w:val="21"/>
              </w:rPr>
              <w:t>按照项目规划表（附表</w:t>
            </w:r>
            <w:r>
              <w:rPr>
                <w:rFonts w:ascii="Times New Roman" w:hAnsi="Times New Roman"/>
                <w:sz w:val="21"/>
              </w:rPr>
              <w:t>4</w:t>
            </w:r>
            <w:r>
              <w:rPr>
                <w:rFonts w:hint="eastAsia" w:hAnsi="宋体"/>
                <w:sz w:val="21"/>
              </w:rPr>
              <w:t>）计算。</w:t>
            </w:r>
          </w:p>
        </w:tc>
      </w:tr>
      <w:tr>
        <w:tblPrEx>
          <w:tblCellMar>
            <w:top w:w="0" w:type="dxa"/>
            <w:left w:w="108" w:type="dxa"/>
            <w:bottom w:w="0" w:type="dxa"/>
            <w:right w:w="108" w:type="dxa"/>
          </w:tblCellMar>
        </w:tblPrEx>
        <w:trPr>
          <w:trHeight w:val="20" w:hRule="atLeast"/>
        </w:trPr>
        <w:tc>
          <w:tcPr>
            <w:tcW w:w="426"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8</w:t>
            </w:r>
          </w:p>
        </w:tc>
        <w:tc>
          <w:tcPr>
            <w:tcW w:w="217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综合整治</w:t>
            </w:r>
          </w:p>
        </w:tc>
        <w:tc>
          <w:tcPr>
            <w:tcW w:w="90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0</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0</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0</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0</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0</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0</w:t>
            </w:r>
          </w:p>
        </w:tc>
      </w:tr>
      <w:tr>
        <w:tblPrEx>
          <w:tblCellMar>
            <w:top w:w="0" w:type="dxa"/>
            <w:left w:w="108" w:type="dxa"/>
            <w:bottom w:w="0" w:type="dxa"/>
            <w:right w:w="108" w:type="dxa"/>
          </w:tblCellMar>
        </w:tblPrEx>
        <w:trPr>
          <w:trHeight w:val="20" w:hRule="atLeast"/>
        </w:trPr>
        <w:tc>
          <w:tcPr>
            <w:tcW w:w="426"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217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90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5800" w:type="dxa"/>
            <w:gridSpan w:val="5"/>
            <w:tcBorders>
              <w:top w:val="single" w:color="000000" w:sz="4" w:space="0"/>
              <w:left w:val="nil"/>
              <w:bottom w:val="single" w:color="000000" w:sz="4" w:space="0"/>
              <w:right w:val="single" w:color="000000" w:sz="4" w:space="0"/>
            </w:tcBorders>
            <w:noWrap w:val="0"/>
            <w:vAlign w:val="center"/>
          </w:tcPr>
          <w:p>
            <w:pPr>
              <w:widowControl/>
              <w:spacing w:line="240" w:lineRule="auto"/>
              <w:ind w:firstLine="0"/>
              <w:jc w:val="left"/>
              <w:rPr>
                <w:rFonts w:hAnsi="宋体" w:cs="宋体"/>
                <w:sz w:val="21"/>
              </w:rPr>
            </w:pPr>
            <w:r>
              <w:rPr>
                <w:rFonts w:hint="eastAsia" w:hAnsi="宋体" w:cs="宋体"/>
                <w:sz w:val="21"/>
              </w:rPr>
              <w:t>十四五期间，暂不规划综合整治项目。</w:t>
            </w:r>
          </w:p>
        </w:tc>
      </w:tr>
      <w:tr>
        <w:tblPrEx>
          <w:tblCellMar>
            <w:top w:w="0" w:type="dxa"/>
            <w:left w:w="108" w:type="dxa"/>
            <w:bottom w:w="0" w:type="dxa"/>
            <w:right w:w="108" w:type="dxa"/>
          </w:tblCellMar>
        </w:tblPrEx>
        <w:trPr>
          <w:trHeight w:val="20" w:hRule="atLeast"/>
        </w:trPr>
        <w:tc>
          <w:tcPr>
            <w:tcW w:w="426"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9</w:t>
            </w:r>
          </w:p>
        </w:tc>
        <w:tc>
          <w:tcPr>
            <w:tcW w:w="217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完善技术支撑网络体系</w:t>
            </w:r>
          </w:p>
        </w:tc>
        <w:tc>
          <w:tcPr>
            <w:tcW w:w="90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201.6</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40.32</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40.32</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40.32</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40.32</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40.32</w:t>
            </w:r>
          </w:p>
        </w:tc>
      </w:tr>
      <w:tr>
        <w:tblPrEx>
          <w:tblCellMar>
            <w:top w:w="0" w:type="dxa"/>
            <w:left w:w="108" w:type="dxa"/>
            <w:bottom w:w="0" w:type="dxa"/>
            <w:right w:w="108" w:type="dxa"/>
          </w:tblCellMar>
        </w:tblPrEx>
        <w:trPr>
          <w:trHeight w:val="20" w:hRule="atLeast"/>
        </w:trPr>
        <w:tc>
          <w:tcPr>
            <w:tcW w:w="426"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217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90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5800" w:type="dxa"/>
            <w:gridSpan w:val="5"/>
            <w:tcBorders>
              <w:top w:val="single" w:color="000000" w:sz="4" w:space="0"/>
              <w:left w:val="nil"/>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r>
              <w:rPr>
                <w:rFonts w:hint="eastAsia" w:hAnsi="宋体"/>
                <w:sz w:val="21"/>
              </w:rPr>
              <w:t>芒市年度经费</w:t>
            </w:r>
            <w:r>
              <w:rPr>
                <w:rFonts w:ascii="Times New Roman" w:hAnsi="Times New Roman"/>
                <w:sz w:val="21"/>
              </w:rPr>
              <w:t>40.32</w:t>
            </w:r>
            <w:r>
              <w:rPr>
                <w:rFonts w:hint="eastAsia" w:hAnsi="宋体"/>
                <w:sz w:val="21"/>
              </w:rPr>
              <w:t>万元</w:t>
            </w:r>
            <w:r>
              <w:rPr>
                <w:rFonts w:ascii="Times New Roman" w:hAnsi="Times New Roman"/>
                <w:sz w:val="21"/>
              </w:rPr>
              <w:t>/</w:t>
            </w:r>
            <w:r>
              <w:rPr>
                <w:rFonts w:hint="eastAsia" w:hAnsi="宋体"/>
                <w:sz w:val="21"/>
              </w:rPr>
              <w:t>年。</w:t>
            </w:r>
          </w:p>
        </w:tc>
      </w:tr>
      <w:tr>
        <w:tblPrEx>
          <w:tblCellMar>
            <w:top w:w="0" w:type="dxa"/>
            <w:left w:w="108" w:type="dxa"/>
            <w:bottom w:w="0" w:type="dxa"/>
            <w:right w:w="108" w:type="dxa"/>
          </w:tblCellMar>
        </w:tblPrEx>
        <w:trPr>
          <w:trHeight w:val="20" w:hRule="atLeast"/>
        </w:trPr>
        <w:tc>
          <w:tcPr>
            <w:tcW w:w="426"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10</w:t>
            </w:r>
          </w:p>
        </w:tc>
        <w:tc>
          <w:tcPr>
            <w:tcW w:w="217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地质灾害防治宣教与演练</w:t>
            </w:r>
          </w:p>
        </w:tc>
        <w:tc>
          <w:tcPr>
            <w:tcW w:w="90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140</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28</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28</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28</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28</w:t>
            </w:r>
          </w:p>
        </w:tc>
        <w:tc>
          <w:tcPr>
            <w:tcW w:w="116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28</w:t>
            </w:r>
          </w:p>
        </w:tc>
      </w:tr>
      <w:tr>
        <w:tblPrEx>
          <w:tblCellMar>
            <w:top w:w="0" w:type="dxa"/>
            <w:left w:w="108" w:type="dxa"/>
            <w:bottom w:w="0" w:type="dxa"/>
            <w:right w:w="108" w:type="dxa"/>
          </w:tblCellMar>
        </w:tblPrEx>
        <w:trPr>
          <w:trHeight w:val="20" w:hRule="atLeast"/>
        </w:trPr>
        <w:tc>
          <w:tcPr>
            <w:tcW w:w="426"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217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90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5800" w:type="dxa"/>
            <w:gridSpan w:val="5"/>
            <w:tcBorders>
              <w:top w:val="single" w:color="000000" w:sz="4" w:space="0"/>
              <w:left w:val="nil"/>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r>
              <w:rPr>
                <w:rFonts w:hint="eastAsia" w:hAnsi="宋体"/>
                <w:sz w:val="21"/>
              </w:rPr>
              <w:t>按每年</w:t>
            </w:r>
            <w:r>
              <w:rPr>
                <w:rFonts w:ascii="Times New Roman" w:hAnsi="Times New Roman"/>
                <w:sz w:val="21"/>
              </w:rPr>
              <w:t>28</w:t>
            </w:r>
            <w:r>
              <w:rPr>
                <w:rFonts w:hint="eastAsia" w:hAnsi="宋体"/>
                <w:sz w:val="21"/>
              </w:rPr>
              <w:t>万元进行匡算</w:t>
            </w:r>
          </w:p>
        </w:tc>
      </w:tr>
      <w:tr>
        <w:tblPrEx>
          <w:tblCellMar>
            <w:top w:w="0" w:type="dxa"/>
            <w:left w:w="108" w:type="dxa"/>
            <w:bottom w:w="0" w:type="dxa"/>
            <w:right w:w="108" w:type="dxa"/>
          </w:tblCellMar>
        </w:tblPrEx>
        <w:trPr>
          <w:trHeight w:val="20" w:hRule="atLeast"/>
        </w:trPr>
        <w:tc>
          <w:tcPr>
            <w:tcW w:w="259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合计</w:t>
            </w:r>
          </w:p>
        </w:tc>
        <w:tc>
          <w:tcPr>
            <w:tcW w:w="9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10235.9</w:t>
            </w:r>
            <w:r>
              <w:rPr>
                <w:rFonts w:hint="eastAsia" w:ascii="Times New Roman" w:hAnsi="Times New Roman"/>
                <w:sz w:val="21"/>
              </w:rPr>
              <w:t>1</w:t>
            </w:r>
          </w:p>
        </w:tc>
        <w:tc>
          <w:tcPr>
            <w:tcW w:w="5800" w:type="dxa"/>
            <w:gridSpan w:val="5"/>
            <w:tcBorders>
              <w:top w:val="single" w:color="000000" w:sz="4" w:space="0"/>
              <w:left w:val="nil"/>
              <w:bottom w:val="single" w:color="000000" w:sz="4" w:space="0"/>
              <w:right w:val="single" w:color="000000" w:sz="4" w:space="0"/>
            </w:tcBorders>
            <w:noWrap w:val="0"/>
            <w:vAlign w:val="center"/>
          </w:tcPr>
          <w:p>
            <w:pPr>
              <w:widowControl/>
              <w:spacing w:line="240" w:lineRule="auto"/>
              <w:ind w:firstLine="0"/>
              <w:rPr>
                <w:rFonts w:ascii="Times New Roman" w:hAnsi="Times New Roman"/>
                <w:color w:val="FF0000"/>
                <w:sz w:val="21"/>
              </w:rPr>
            </w:pPr>
            <w:r>
              <w:rPr>
                <w:rFonts w:ascii="Times New Roman" w:hAnsi="Times New Roman"/>
                <w:color w:val="FF0000"/>
                <w:sz w:val="21"/>
              </w:rPr>
              <w:t>　</w:t>
            </w:r>
          </w:p>
        </w:tc>
      </w:tr>
    </w:tbl>
    <w:p>
      <w:pPr>
        <w:ind w:firstLine="0"/>
        <w:rPr>
          <w:rFonts w:ascii="Times New Roman" w:hAnsi="Times New Roman"/>
        </w:rPr>
        <w:sectPr>
          <w:pgSz w:w="11907" w:h="16840" w:orient="landscape"/>
          <w:pgMar w:top="1134" w:right="1247" w:bottom="1134" w:left="1588" w:header="851" w:footer="584" w:gutter="0"/>
          <w:cols w:space="1701" w:num="1"/>
        </w:sectPr>
      </w:pPr>
    </w:p>
    <w:p>
      <w:pPr>
        <w:pStyle w:val="184"/>
        <w:spacing w:after="0"/>
        <w:rPr>
          <w:rStyle w:val="197"/>
          <w:rFonts w:ascii="Times New Roman" w:hAnsi="Times New Roman"/>
          <w:b/>
          <w:bCs w:val="0"/>
        </w:rPr>
      </w:pPr>
      <w:bookmarkStart w:id="99" w:name="_Toc131872758"/>
      <w:bookmarkStart w:id="100" w:name="_Toc137671442"/>
      <w:r>
        <w:rPr>
          <w:rStyle w:val="197"/>
          <w:rFonts w:ascii="Times New Roman" w:hAnsi="Times New Roman"/>
          <w:b/>
          <w:bCs w:val="0"/>
        </w:rPr>
        <w:t>2、监测预警</w:t>
      </w:r>
      <w:bookmarkEnd w:id="99"/>
      <w:bookmarkEnd w:id="100"/>
    </w:p>
    <w:p>
      <w:pPr>
        <w:ind w:firstLine="560"/>
        <w:rPr>
          <w:rFonts w:ascii="Times New Roman" w:hAnsi="Times New Roman"/>
        </w:rPr>
      </w:pPr>
      <w:r>
        <w:rPr>
          <w:rFonts w:ascii="Times New Roman" w:hAnsi="Times New Roman"/>
        </w:rPr>
        <w:t>主要包括：群测群防、普适型（专业）监测及后期维护、气象风险预警、隐患点和风险区“双控”，匡算资金共约1589.5万元。</w:t>
      </w:r>
    </w:p>
    <w:p>
      <w:pPr>
        <w:pStyle w:val="184"/>
        <w:spacing w:after="0"/>
        <w:rPr>
          <w:rStyle w:val="197"/>
          <w:rFonts w:ascii="Times New Roman" w:hAnsi="Times New Roman"/>
          <w:b/>
          <w:bCs w:val="0"/>
        </w:rPr>
      </w:pPr>
      <w:bookmarkStart w:id="101" w:name="_Toc131872759"/>
      <w:bookmarkStart w:id="102" w:name="_Toc137671443"/>
      <w:r>
        <w:rPr>
          <w:rStyle w:val="197"/>
          <w:rFonts w:ascii="Times New Roman" w:hAnsi="Times New Roman"/>
          <w:b/>
          <w:bCs w:val="0"/>
        </w:rPr>
        <w:t>3、工程治理</w:t>
      </w:r>
      <w:bookmarkEnd w:id="101"/>
      <w:bookmarkEnd w:id="102"/>
    </w:p>
    <w:p>
      <w:pPr>
        <w:ind w:firstLine="560"/>
        <w:rPr>
          <w:rFonts w:hint="eastAsia" w:ascii="Times New Roman" w:hAnsi="Times New Roman"/>
        </w:rPr>
      </w:pPr>
      <w:r>
        <w:rPr>
          <w:rFonts w:ascii="Times New Roman" w:hAnsi="Times New Roman"/>
        </w:rPr>
        <w:t>包括规划立项工程治理项目、延续配套治理项目和已建治理工程运行管护、突发性应急治理工程四个方面。根据野外调查初步估算工程量，按当前物价及相关概（预）算标准，进行投资匡算，最终预计工程治理资金约7047.23万元。</w:t>
      </w:r>
    </w:p>
    <w:p>
      <w:pPr>
        <w:pStyle w:val="184"/>
        <w:spacing w:after="0"/>
        <w:rPr>
          <w:rStyle w:val="197"/>
          <w:rFonts w:ascii="Times New Roman" w:hAnsi="Times New Roman"/>
          <w:b/>
          <w:bCs w:val="0"/>
        </w:rPr>
      </w:pPr>
      <w:bookmarkStart w:id="103" w:name="_Toc137671444"/>
      <w:r>
        <w:rPr>
          <w:rStyle w:val="197"/>
          <w:rFonts w:ascii="Times New Roman" w:hAnsi="Times New Roman"/>
          <w:b/>
          <w:bCs w:val="0"/>
        </w:rPr>
        <w:t>4、避险搬迁</w:t>
      </w:r>
      <w:bookmarkEnd w:id="103"/>
    </w:p>
    <w:p>
      <w:pPr>
        <w:ind w:firstLine="560"/>
        <w:rPr>
          <w:rFonts w:ascii="Times New Roman" w:hAnsi="Times New Roman"/>
        </w:rPr>
      </w:pPr>
      <w:r>
        <w:rPr>
          <w:rFonts w:ascii="Times New Roman" w:hAnsi="Times New Roman"/>
        </w:rPr>
        <w:t>全市“十四五”期间规划因灾搬迁169户1225人，预计投入资金约882万元。</w:t>
      </w:r>
    </w:p>
    <w:p>
      <w:pPr>
        <w:pStyle w:val="184"/>
        <w:spacing w:after="0"/>
        <w:rPr>
          <w:rStyle w:val="197"/>
          <w:rFonts w:ascii="Times New Roman" w:hAnsi="Times New Roman"/>
          <w:b/>
          <w:bCs w:val="0"/>
        </w:rPr>
      </w:pPr>
      <w:r>
        <w:rPr>
          <w:rStyle w:val="197"/>
          <w:rFonts w:ascii="Times New Roman" w:hAnsi="Times New Roman"/>
          <w:b/>
          <w:bCs w:val="0"/>
        </w:rPr>
        <w:t>5、完善技术支撑网络体系</w:t>
      </w:r>
    </w:p>
    <w:p>
      <w:pPr>
        <w:ind w:firstLine="560"/>
        <w:rPr>
          <w:rFonts w:ascii="Times New Roman" w:hAnsi="Times New Roman"/>
        </w:rPr>
      </w:pPr>
      <w:r>
        <w:rPr>
          <w:rFonts w:ascii="Times New Roman" w:hAnsi="Times New Roman"/>
        </w:rPr>
        <w:t>根据《云南省地质灾害防治技术支撑体系建设实施方案》，芒市驻县联乡工作经费为40.32万元/年，规划期预计总投入201.6万元。</w:t>
      </w:r>
    </w:p>
    <w:p>
      <w:pPr>
        <w:pStyle w:val="184"/>
        <w:spacing w:after="0"/>
        <w:rPr>
          <w:rStyle w:val="197"/>
          <w:rFonts w:ascii="Times New Roman" w:hAnsi="Times New Roman"/>
          <w:b/>
          <w:bCs w:val="0"/>
        </w:rPr>
      </w:pPr>
      <w:r>
        <w:rPr>
          <w:rStyle w:val="197"/>
          <w:rFonts w:ascii="Times New Roman" w:hAnsi="Times New Roman"/>
          <w:b/>
          <w:bCs w:val="0"/>
        </w:rPr>
        <w:t>6、地质灾害防治宣教与演练</w:t>
      </w:r>
    </w:p>
    <w:p>
      <w:pPr>
        <w:ind w:firstLine="560"/>
        <w:rPr>
          <w:rFonts w:ascii="Times New Roman" w:hAnsi="Times New Roman"/>
        </w:rPr>
      </w:pPr>
      <w:r>
        <w:rPr>
          <w:rFonts w:ascii="Times New Roman" w:hAnsi="Times New Roman"/>
        </w:rPr>
        <w:t>每年集中进行专业培训2次，县市级应急演练1次，各乡镇应急演练1次，规划期预计总投入140万元。</w:t>
      </w:r>
    </w:p>
    <w:p>
      <w:pPr>
        <w:pStyle w:val="183"/>
        <w:spacing w:before="120" w:after="120"/>
        <w:rPr>
          <w:rFonts w:ascii="Times New Roman" w:hAnsi="Times New Roman"/>
          <w:b/>
        </w:rPr>
      </w:pPr>
      <w:r>
        <w:rPr>
          <w:rFonts w:ascii="Times New Roman" w:hAnsi="Times New Roman"/>
          <w:b/>
        </w:rPr>
        <w:t>（二）资金来源</w:t>
      </w:r>
    </w:p>
    <w:p>
      <w:pPr>
        <w:ind w:firstLine="560"/>
        <w:rPr>
          <w:rFonts w:ascii="Times New Roman" w:hAnsi="Times New Roman"/>
        </w:rPr>
      </w:pPr>
      <w:r>
        <w:rPr>
          <w:rFonts w:ascii="Times New Roman" w:hAnsi="Times New Roman"/>
        </w:rPr>
        <w:t>地质灾害防治资金的落实是实现规划目标的重要条件，地质灾害防治公益性强，本规划的地质灾害防治经费均来源于各级财政专项资金。根据《地质灾害防治条例》、《云南省地质灾害防治专项资金管理办法》、《云南省自然资源领域财政事权和支出责任划分改革实施方案》、《云南省地质灾害监测员和监测员补助经费管理办法》、《德宏州自然资源领域财政事权和支出责任划分改革实施方案》等有关政策的规定，规划投入资金主要来源于中央、省、州、县市四级财政下发专项资金，同时可协调整合乡村振兴等相关资金的参与，多举筹措经费。</w:t>
      </w:r>
    </w:p>
    <w:p>
      <w:pPr>
        <w:pStyle w:val="184"/>
        <w:spacing w:after="0"/>
        <w:rPr>
          <w:rStyle w:val="197"/>
          <w:rFonts w:ascii="Times New Roman" w:hAnsi="Times New Roman"/>
          <w:b/>
          <w:bCs w:val="0"/>
        </w:rPr>
      </w:pPr>
      <w:r>
        <w:rPr>
          <w:rStyle w:val="197"/>
          <w:rFonts w:ascii="Times New Roman" w:hAnsi="Times New Roman"/>
          <w:b/>
          <w:bCs w:val="0"/>
        </w:rPr>
        <w:t>1、财政事权与支出责任</w:t>
      </w:r>
    </w:p>
    <w:p>
      <w:pPr>
        <w:ind w:firstLine="560"/>
        <w:rPr>
          <w:rFonts w:ascii="Times New Roman" w:hAnsi="Times New Roman"/>
        </w:rPr>
      </w:pPr>
      <w:r>
        <w:rPr>
          <w:rFonts w:hint="eastAsia" w:hAnsi="宋体" w:cs="宋体"/>
        </w:rPr>
        <w:t>①</w:t>
      </w:r>
      <w:r>
        <w:rPr>
          <w:rFonts w:ascii="Times New Roman" w:hAnsi="Times New Roman"/>
        </w:rPr>
        <w:t>将因自然因素造成的特大型地质灾害综合治理，重点区域地质灾害调查评价、监测预警等综合防治体系和防治能力建设，地质灾害应急救援的技术支撑及应急测绘保障等工作，确认为中央、省以及省以下共同财政事权，共同承担支出责任。</w:t>
      </w:r>
    </w:p>
    <w:p>
      <w:pPr>
        <w:ind w:firstLine="560"/>
        <w:rPr>
          <w:rFonts w:ascii="Times New Roman" w:hAnsi="Times New Roman"/>
        </w:rPr>
      </w:pPr>
      <w:r>
        <w:rPr>
          <w:rFonts w:hint="eastAsia" w:hAnsi="宋体" w:cs="宋体"/>
        </w:rPr>
        <w:t>②</w:t>
      </w:r>
      <w:r>
        <w:rPr>
          <w:rFonts w:ascii="Times New Roman" w:hAnsi="Times New Roman"/>
        </w:rPr>
        <w:t>将全省地质灾害防治的组织、协调、指导和监督，确认为省级财政事权，由省级承担支出责任。</w:t>
      </w:r>
    </w:p>
    <w:p>
      <w:pPr>
        <w:ind w:firstLine="560"/>
        <w:rPr>
          <w:rFonts w:ascii="Times New Roman" w:hAnsi="Times New Roman"/>
        </w:rPr>
      </w:pPr>
      <w:r>
        <w:rPr>
          <w:rFonts w:hint="eastAsia" w:hAnsi="宋体" w:cs="宋体"/>
        </w:rPr>
        <w:t>③</w:t>
      </w:r>
      <w:r>
        <w:rPr>
          <w:rFonts w:ascii="Times New Roman" w:hAnsi="Times New Roman"/>
        </w:rPr>
        <w:t>因自然因素造成的其他地质灾害（大型、中型及小型）综合治理、搬迁避让，全省地质灾害调查与风险评价、隐患排查巡查核查、应急救援技术支撑体系建设，地质灾害群测群防、监测预警、气象风险预报预警的建设与监督管理，确认由省、市、县共同承担支出责任。</w:t>
      </w:r>
    </w:p>
    <w:p>
      <w:pPr>
        <w:ind w:firstLine="560"/>
        <w:rPr>
          <w:rFonts w:ascii="Times New Roman" w:hAnsi="Times New Roman"/>
        </w:rPr>
      </w:pPr>
      <w:r>
        <w:rPr>
          <w:rFonts w:hint="eastAsia" w:hAnsi="宋体" w:cs="宋体"/>
        </w:rPr>
        <w:t>④</w:t>
      </w:r>
      <w:r>
        <w:rPr>
          <w:rFonts w:ascii="Times New Roman" w:hAnsi="Times New Roman"/>
        </w:rPr>
        <w:t>自然因素造成的地质灾害防治经费和地质灾害防治主管部门经常性工作费用，列入县级人民政府财政计划；因工程建设、采矿等人为活动诱发的地质灾害治理费用，按照谁引发谁治理的原则，由责任单位或责任人承担。</w:t>
      </w:r>
    </w:p>
    <w:p>
      <w:pPr>
        <w:ind w:firstLine="560"/>
        <w:rPr>
          <w:rFonts w:ascii="Times New Roman" w:hAnsi="Times New Roman"/>
        </w:rPr>
      </w:pPr>
      <w:r>
        <w:rPr>
          <w:rFonts w:hint="eastAsia" w:hAnsi="宋体" w:cs="宋体"/>
        </w:rPr>
        <w:t>⑤</w:t>
      </w:r>
      <w:r>
        <w:rPr>
          <w:rFonts w:ascii="Times New Roman" w:hAnsi="Times New Roman"/>
        </w:rPr>
        <w:t>鼓励社会资金参与地质灾害防治、矿山地质环境恢复等工程项目，按出资比例享受治理成果。</w:t>
      </w:r>
    </w:p>
    <w:p>
      <w:pPr>
        <w:ind w:firstLine="560"/>
        <w:rPr>
          <w:rFonts w:hint="eastAsia" w:ascii="Times New Roman" w:hAnsi="Times New Roman"/>
        </w:rPr>
      </w:pPr>
      <w:r>
        <w:rPr>
          <w:rFonts w:ascii="Times New Roman" w:hAnsi="Times New Roman"/>
        </w:rPr>
        <w:t>全市各项规划财政事权及支出责任如下（各级财政支出明细见下表5—2，各级财政分摊比例最终按正式发布的《云南省地质灾害防治专项资金管理办法》实施）：</w:t>
      </w:r>
    </w:p>
    <w:p>
      <w:pPr>
        <w:ind w:firstLine="560"/>
        <w:rPr>
          <w:rFonts w:ascii="Times New Roman" w:hAnsi="Times New Roman"/>
          <w:bCs/>
        </w:rPr>
      </w:pPr>
      <w:r>
        <w:rPr>
          <w:rFonts w:ascii="Times New Roman" w:hAnsi="Times New Roman"/>
          <w:bCs/>
        </w:rPr>
        <w:t>（1）调查评价资金</w:t>
      </w:r>
    </w:p>
    <w:p>
      <w:pPr>
        <w:ind w:firstLine="560"/>
        <w:rPr>
          <w:rFonts w:ascii="Times New Roman" w:hAnsi="Times New Roman"/>
        </w:rPr>
      </w:pPr>
      <w:r>
        <w:rPr>
          <w:rFonts w:hint="eastAsia" w:hAnsi="宋体" w:cs="宋体"/>
        </w:rPr>
        <w:t>①</w:t>
      </w:r>
      <w:r>
        <w:rPr>
          <w:rFonts w:ascii="Times New Roman" w:hAnsi="Times New Roman"/>
        </w:rPr>
        <w:t>地质灾害隐患巡查排查、应急调查工作属驻县联乡工作范畴，不再单独计列经费；</w:t>
      </w:r>
    </w:p>
    <w:p>
      <w:pPr>
        <w:ind w:firstLine="560"/>
        <w:rPr>
          <w:rFonts w:hint="eastAsia" w:ascii="Times New Roman" w:hAnsi="Times New Roman"/>
        </w:rPr>
      </w:pPr>
      <w:r>
        <w:rPr>
          <w:rFonts w:hint="eastAsia" w:hAnsi="宋体" w:cs="宋体"/>
        </w:rPr>
        <w:t>②</w:t>
      </w:r>
      <w:r>
        <w:rPr>
          <w:rFonts w:ascii="Times New Roman" w:hAnsi="Times New Roman"/>
        </w:rPr>
        <w:t>精细化调查和风险评价工作由省厅统一组织实施，经费由中央和省级财政负责。</w:t>
      </w:r>
    </w:p>
    <w:p>
      <w:pPr>
        <w:ind w:firstLine="560"/>
        <w:rPr>
          <w:rFonts w:hint="eastAsia" w:ascii="Times New Roman" w:hAnsi="Times New Roman"/>
        </w:rPr>
      </w:pPr>
      <w:r>
        <w:rPr>
          <w:rFonts w:hint="eastAsia" w:hAnsi="宋体" w:cs="宋体"/>
        </w:rPr>
        <w:t>③</w:t>
      </w:r>
      <w:r>
        <w:rPr>
          <w:rFonts w:hint="eastAsia" w:ascii="Times New Roman" w:hAnsi="Times New Roman"/>
        </w:rPr>
        <w:t>地质</w:t>
      </w:r>
      <w:r>
        <w:rPr>
          <w:rFonts w:ascii="Times New Roman" w:hAnsi="Times New Roman"/>
        </w:rPr>
        <w:t>灾害风险普查工作由省厅统一组织实施，经费由中央和省级财政负责。</w:t>
      </w:r>
    </w:p>
    <w:p>
      <w:pPr>
        <w:spacing w:line="240" w:lineRule="auto"/>
        <w:ind w:firstLine="0"/>
        <w:jc w:val="center"/>
        <w:rPr>
          <w:rFonts w:ascii="Times New Roman" w:hAnsi="Times New Roman"/>
          <w:sz w:val="24"/>
          <w:szCs w:val="24"/>
        </w:rPr>
      </w:pPr>
    </w:p>
    <w:p>
      <w:pPr>
        <w:ind w:firstLine="0"/>
        <w:jc w:val="center"/>
        <w:rPr>
          <w:rFonts w:hint="eastAsia" w:ascii="Times New Roman" w:hAnsi="Times New Roman"/>
          <w:b/>
          <w:sz w:val="24"/>
          <w:szCs w:val="24"/>
        </w:rPr>
      </w:pPr>
      <w:r>
        <w:rPr>
          <w:rFonts w:ascii="Times New Roman" w:hAnsi="Times New Roman"/>
          <w:b/>
          <w:sz w:val="24"/>
          <w:szCs w:val="24"/>
        </w:rPr>
        <w:t>表5—</w:t>
      </w:r>
      <w:r>
        <w:rPr>
          <w:rFonts w:hint="eastAsia" w:ascii="Times New Roman" w:hAnsi="Times New Roman"/>
          <w:b/>
          <w:sz w:val="24"/>
          <w:szCs w:val="24"/>
        </w:rPr>
        <w:t>2</w:t>
      </w:r>
      <w:r>
        <w:rPr>
          <w:rFonts w:ascii="Times New Roman" w:hAnsi="Times New Roman"/>
          <w:b/>
          <w:sz w:val="24"/>
          <w:szCs w:val="24"/>
        </w:rPr>
        <w:t xml:space="preserve">  地质灾害防治</w:t>
      </w:r>
      <w:r>
        <w:rPr>
          <w:rFonts w:hint="eastAsia" w:ascii="Times New Roman" w:hAnsi="Times New Roman"/>
          <w:b/>
          <w:sz w:val="24"/>
          <w:szCs w:val="24"/>
        </w:rPr>
        <w:t>“</w:t>
      </w:r>
      <w:r>
        <w:rPr>
          <w:rFonts w:ascii="Times New Roman" w:hAnsi="Times New Roman"/>
          <w:b/>
          <w:sz w:val="24"/>
          <w:szCs w:val="24"/>
        </w:rPr>
        <w:t>十四五</w:t>
      </w:r>
      <w:r>
        <w:rPr>
          <w:rFonts w:hint="eastAsia" w:ascii="Times New Roman" w:hAnsi="Times New Roman"/>
          <w:b/>
          <w:sz w:val="24"/>
          <w:szCs w:val="24"/>
        </w:rPr>
        <w:t>”</w:t>
      </w:r>
      <w:r>
        <w:rPr>
          <w:rFonts w:ascii="Times New Roman" w:hAnsi="Times New Roman"/>
          <w:b/>
          <w:sz w:val="24"/>
          <w:szCs w:val="24"/>
        </w:rPr>
        <w:t>规划期各级财政支出明细表</w:t>
      </w:r>
    </w:p>
    <w:tbl>
      <w:tblPr>
        <w:tblStyle w:val="28"/>
        <w:tblW w:w="8690" w:type="dxa"/>
        <w:jc w:val="center"/>
        <w:tblLayout w:type="autofit"/>
        <w:tblCellMar>
          <w:top w:w="0" w:type="dxa"/>
          <w:left w:w="108" w:type="dxa"/>
          <w:bottom w:w="0" w:type="dxa"/>
          <w:right w:w="108" w:type="dxa"/>
        </w:tblCellMar>
      </w:tblPr>
      <w:tblGrid>
        <w:gridCol w:w="562"/>
        <w:gridCol w:w="690"/>
        <w:gridCol w:w="502"/>
        <w:gridCol w:w="2450"/>
        <w:gridCol w:w="1100"/>
        <w:gridCol w:w="794"/>
        <w:gridCol w:w="794"/>
        <w:gridCol w:w="800"/>
        <w:gridCol w:w="998"/>
      </w:tblGrid>
      <w:tr>
        <w:tblPrEx>
          <w:tblCellMar>
            <w:top w:w="0" w:type="dxa"/>
            <w:left w:w="108" w:type="dxa"/>
            <w:bottom w:w="0" w:type="dxa"/>
            <w:right w:w="108" w:type="dxa"/>
          </w:tblCellMar>
        </w:tblPrEx>
        <w:trPr>
          <w:trHeight w:val="270" w:hRule="atLeast"/>
          <w:jc w:val="center"/>
        </w:trPr>
        <w:tc>
          <w:tcPr>
            <w:tcW w:w="12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420"/>
              <w:jc w:val="center"/>
              <w:rPr>
                <w:rFonts w:ascii="Times New Roman" w:hAnsi="Times New Roman"/>
                <w:sz w:val="21"/>
              </w:rPr>
            </w:pPr>
            <w:r>
              <w:rPr>
                <w:rFonts w:hint="eastAsia" w:hAnsi="宋体"/>
                <w:sz w:val="21"/>
              </w:rPr>
              <w:t>序号</w:t>
            </w:r>
          </w:p>
        </w:tc>
        <w:tc>
          <w:tcPr>
            <w:tcW w:w="29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规划措施</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匡算经费（万元）</w:t>
            </w:r>
          </w:p>
        </w:tc>
        <w:tc>
          <w:tcPr>
            <w:tcW w:w="3386" w:type="dxa"/>
            <w:gridSpan w:val="4"/>
            <w:tcBorders>
              <w:top w:val="single" w:color="000000" w:sz="4" w:space="0"/>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各级财政支出（万元）</w:t>
            </w:r>
          </w:p>
        </w:tc>
      </w:tr>
      <w:tr>
        <w:tblPrEx>
          <w:tblCellMar>
            <w:top w:w="0" w:type="dxa"/>
            <w:left w:w="108" w:type="dxa"/>
            <w:bottom w:w="0" w:type="dxa"/>
            <w:right w:w="108" w:type="dxa"/>
          </w:tblCellMar>
        </w:tblPrEx>
        <w:trPr>
          <w:trHeight w:val="270" w:hRule="atLeast"/>
          <w:jc w:val="center"/>
        </w:trPr>
        <w:tc>
          <w:tcPr>
            <w:tcW w:w="12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29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79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中央</w:t>
            </w:r>
          </w:p>
        </w:tc>
        <w:tc>
          <w:tcPr>
            <w:tcW w:w="79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省级</w:t>
            </w:r>
          </w:p>
        </w:tc>
        <w:tc>
          <w:tcPr>
            <w:tcW w:w="8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州级</w:t>
            </w:r>
          </w:p>
        </w:tc>
        <w:tc>
          <w:tcPr>
            <w:tcW w:w="998"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县级</w:t>
            </w:r>
          </w:p>
        </w:tc>
      </w:tr>
      <w:tr>
        <w:tblPrEx>
          <w:tblCellMar>
            <w:top w:w="0" w:type="dxa"/>
            <w:left w:w="108" w:type="dxa"/>
            <w:bottom w:w="0" w:type="dxa"/>
            <w:right w:w="108" w:type="dxa"/>
          </w:tblCellMar>
        </w:tblPrEx>
        <w:trPr>
          <w:trHeight w:val="510" w:hRule="atLeast"/>
          <w:jc w:val="center"/>
        </w:trPr>
        <w:tc>
          <w:tcPr>
            <w:tcW w:w="562"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一</w:t>
            </w:r>
          </w:p>
        </w:tc>
        <w:tc>
          <w:tcPr>
            <w:tcW w:w="69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w:t>
            </w:r>
          </w:p>
        </w:tc>
        <w:tc>
          <w:tcPr>
            <w:tcW w:w="502"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调查评价</w:t>
            </w:r>
          </w:p>
        </w:tc>
        <w:tc>
          <w:tcPr>
            <w:tcW w:w="245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巡查排查</w:t>
            </w:r>
          </w:p>
        </w:tc>
        <w:tc>
          <w:tcPr>
            <w:tcW w:w="11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不再单独计列费用</w:t>
            </w:r>
          </w:p>
        </w:tc>
        <w:tc>
          <w:tcPr>
            <w:tcW w:w="79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c>
          <w:tcPr>
            <w:tcW w:w="79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c>
          <w:tcPr>
            <w:tcW w:w="8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c>
          <w:tcPr>
            <w:tcW w:w="998"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r>
      <w:tr>
        <w:tblPrEx>
          <w:tblCellMar>
            <w:top w:w="0" w:type="dxa"/>
            <w:left w:w="108" w:type="dxa"/>
            <w:bottom w:w="0" w:type="dxa"/>
            <w:right w:w="108" w:type="dxa"/>
          </w:tblCellMar>
        </w:tblPrEx>
        <w:trPr>
          <w:trHeight w:val="270" w:hRule="atLeast"/>
          <w:jc w:val="center"/>
        </w:trPr>
        <w:tc>
          <w:tcPr>
            <w:tcW w:w="56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69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2</w:t>
            </w:r>
          </w:p>
        </w:tc>
        <w:tc>
          <w:tcPr>
            <w:tcW w:w="5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245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精细化调查和风险评价</w:t>
            </w:r>
          </w:p>
        </w:tc>
        <w:tc>
          <w:tcPr>
            <w:tcW w:w="11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326.8</w:t>
            </w:r>
          </w:p>
        </w:tc>
        <w:tc>
          <w:tcPr>
            <w:tcW w:w="79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163.4</w:t>
            </w:r>
          </w:p>
        </w:tc>
        <w:tc>
          <w:tcPr>
            <w:tcW w:w="79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163.4</w:t>
            </w:r>
          </w:p>
        </w:tc>
        <w:tc>
          <w:tcPr>
            <w:tcW w:w="8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c>
          <w:tcPr>
            <w:tcW w:w="998"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r>
      <w:tr>
        <w:tblPrEx>
          <w:tblCellMar>
            <w:top w:w="0" w:type="dxa"/>
            <w:left w:w="108" w:type="dxa"/>
            <w:bottom w:w="0" w:type="dxa"/>
            <w:right w:w="108" w:type="dxa"/>
          </w:tblCellMar>
        </w:tblPrEx>
        <w:trPr>
          <w:trHeight w:val="270" w:hRule="atLeast"/>
          <w:jc w:val="center"/>
        </w:trPr>
        <w:tc>
          <w:tcPr>
            <w:tcW w:w="56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69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3</w:t>
            </w:r>
          </w:p>
        </w:tc>
        <w:tc>
          <w:tcPr>
            <w:tcW w:w="5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245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hAnsi="宋体" w:cs="宋体"/>
                <w:sz w:val="21"/>
              </w:rPr>
            </w:pPr>
            <w:r>
              <w:rPr>
                <w:rFonts w:hint="eastAsia" w:hAnsi="宋体" w:cs="宋体"/>
                <w:sz w:val="21"/>
              </w:rPr>
              <w:t>地质灾害风险普查</w:t>
            </w:r>
          </w:p>
        </w:tc>
        <w:tc>
          <w:tcPr>
            <w:tcW w:w="11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48.78</w:t>
            </w:r>
          </w:p>
        </w:tc>
        <w:tc>
          <w:tcPr>
            <w:tcW w:w="1588" w:type="dxa"/>
            <w:gridSpan w:val="2"/>
            <w:tcBorders>
              <w:top w:val="single" w:color="000000" w:sz="4" w:space="0"/>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48.78</w:t>
            </w:r>
          </w:p>
        </w:tc>
        <w:tc>
          <w:tcPr>
            <w:tcW w:w="8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c>
          <w:tcPr>
            <w:tcW w:w="998"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r>
      <w:tr>
        <w:tblPrEx>
          <w:tblCellMar>
            <w:top w:w="0" w:type="dxa"/>
            <w:left w:w="108" w:type="dxa"/>
            <w:bottom w:w="0" w:type="dxa"/>
            <w:right w:w="108" w:type="dxa"/>
          </w:tblCellMar>
        </w:tblPrEx>
        <w:trPr>
          <w:trHeight w:val="270" w:hRule="atLeast"/>
          <w:jc w:val="center"/>
        </w:trPr>
        <w:tc>
          <w:tcPr>
            <w:tcW w:w="562"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二</w:t>
            </w:r>
          </w:p>
        </w:tc>
        <w:tc>
          <w:tcPr>
            <w:tcW w:w="69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w:t>
            </w:r>
          </w:p>
        </w:tc>
        <w:tc>
          <w:tcPr>
            <w:tcW w:w="502"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监测预警</w:t>
            </w:r>
          </w:p>
        </w:tc>
        <w:tc>
          <w:tcPr>
            <w:tcW w:w="245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群测群防</w:t>
            </w:r>
          </w:p>
        </w:tc>
        <w:tc>
          <w:tcPr>
            <w:tcW w:w="11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328.5</w:t>
            </w:r>
          </w:p>
        </w:tc>
        <w:tc>
          <w:tcPr>
            <w:tcW w:w="79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c>
          <w:tcPr>
            <w:tcW w:w="79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c>
          <w:tcPr>
            <w:tcW w:w="8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219</w:t>
            </w:r>
          </w:p>
        </w:tc>
        <w:tc>
          <w:tcPr>
            <w:tcW w:w="998"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109.5</w:t>
            </w:r>
          </w:p>
        </w:tc>
      </w:tr>
      <w:tr>
        <w:tblPrEx>
          <w:tblCellMar>
            <w:top w:w="0" w:type="dxa"/>
            <w:left w:w="108" w:type="dxa"/>
            <w:bottom w:w="0" w:type="dxa"/>
            <w:right w:w="108" w:type="dxa"/>
          </w:tblCellMar>
        </w:tblPrEx>
        <w:trPr>
          <w:trHeight w:val="270" w:hRule="atLeast"/>
          <w:jc w:val="center"/>
        </w:trPr>
        <w:tc>
          <w:tcPr>
            <w:tcW w:w="56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69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2</w:t>
            </w:r>
          </w:p>
        </w:tc>
        <w:tc>
          <w:tcPr>
            <w:tcW w:w="5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245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普适型监测工程建设</w:t>
            </w:r>
          </w:p>
        </w:tc>
        <w:tc>
          <w:tcPr>
            <w:tcW w:w="11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1020</w:t>
            </w:r>
          </w:p>
        </w:tc>
        <w:tc>
          <w:tcPr>
            <w:tcW w:w="79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1020</w:t>
            </w:r>
          </w:p>
        </w:tc>
        <w:tc>
          <w:tcPr>
            <w:tcW w:w="79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c>
          <w:tcPr>
            <w:tcW w:w="8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c>
          <w:tcPr>
            <w:tcW w:w="998"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r>
      <w:tr>
        <w:tblPrEx>
          <w:tblCellMar>
            <w:top w:w="0" w:type="dxa"/>
            <w:left w:w="108" w:type="dxa"/>
            <w:bottom w:w="0" w:type="dxa"/>
            <w:right w:w="108" w:type="dxa"/>
          </w:tblCellMar>
        </w:tblPrEx>
        <w:trPr>
          <w:trHeight w:val="270" w:hRule="atLeast"/>
          <w:jc w:val="center"/>
        </w:trPr>
        <w:tc>
          <w:tcPr>
            <w:tcW w:w="56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69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5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245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监测工程后期维护</w:t>
            </w:r>
          </w:p>
        </w:tc>
        <w:tc>
          <w:tcPr>
            <w:tcW w:w="11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198</w:t>
            </w:r>
          </w:p>
        </w:tc>
        <w:tc>
          <w:tcPr>
            <w:tcW w:w="79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99</w:t>
            </w:r>
          </w:p>
        </w:tc>
        <w:tc>
          <w:tcPr>
            <w:tcW w:w="79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99</w:t>
            </w:r>
          </w:p>
        </w:tc>
        <w:tc>
          <w:tcPr>
            <w:tcW w:w="8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c>
          <w:tcPr>
            <w:tcW w:w="998"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r>
      <w:tr>
        <w:tblPrEx>
          <w:tblCellMar>
            <w:top w:w="0" w:type="dxa"/>
            <w:left w:w="108" w:type="dxa"/>
            <w:bottom w:w="0" w:type="dxa"/>
            <w:right w:w="108" w:type="dxa"/>
          </w:tblCellMar>
        </w:tblPrEx>
        <w:trPr>
          <w:trHeight w:val="270" w:hRule="atLeast"/>
          <w:jc w:val="center"/>
        </w:trPr>
        <w:tc>
          <w:tcPr>
            <w:tcW w:w="56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69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3</w:t>
            </w:r>
          </w:p>
        </w:tc>
        <w:tc>
          <w:tcPr>
            <w:tcW w:w="5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245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气象风险预警</w:t>
            </w:r>
          </w:p>
        </w:tc>
        <w:tc>
          <w:tcPr>
            <w:tcW w:w="11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25</w:t>
            </w:r>
          </w:p>
        </w:tc>
        <w:tc>
          <w:tcPr>
            <w:tcW w:w="79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c>
          <w:tcPr>
            <w:tcW w:w="79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c>
          <w:tcPr>
            <w:tcW w:w="8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c>
          <w:tcPr>
            <w:tcW w:w="998"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25</w:t>
            </w:r>
          </w:p>
        </w:tc>
      </w:tr>
      <w:tr>
        <w:tblPrEx>
          <w:tblCellMar>
            <w:top w:w="0" w:type="dxa"/>
            <w:left w:w="108" w:type="dxa"/>
            <w:bottom w:w="0" w:type="dxa"/>
            <w:right w:w="108" w:type="dxa"/>
          </w:tblCellMar>
        </w:tblPrEx>
        <w:trPr>
          <w:trHeight w:val="270" w:hRule="atLeast"/>
          <w:jc w:val="center"/>
        </w:trPr>
        <w:tc>
          <w:tcPr>
            <w:tcW w:w="56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69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4</w:t>
            </w:r>
          </w:p>
        </w:tc>
        <w:tc>
          <w:tcPr>
            <w:tcW w:w="5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245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隐患点和风险区</w:t>
            </w:r>
            <w:r>
              <w:rPr>
                <w:rFonts w:ascii="Times New Roman" w:hAnsi="Times New Roman"/>
                <w:sz w:val="21"/>
              </w:rPr>
              <w:t>“</w:t>
            </w:r>
            <w:r>
              <w:rPr>
                <w:rFonts w:hint="eastAsia" w:hAnsi="宋体"/>
                <w:sz w:val="21"/>
              </w:rPr>
              <w:t>双控</w:t>
            </w:r>
            <w:r>
              <w:rPr>
                <w:rFonts w:ascii="Times New Roman" w:hAnsi="Times New Roman"/>
                <w:sz w:val="21"/>
              </w:rPr>
              <w:t>”</w:t>
            </w:r>
          </w:p>
        </w:tc>
        <w:tc>
          <w:tcPr>
            <w:tcW w:w="11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18</w:t>
            </w:r>
          </w:p>
        </w:tc>
        <w:tc>
          <w:tcPr>
            <w:tcW w:w="79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9</w:t>
            </w:r>
          </w:p>
        </w:tc>
        <w:tc>
          <w:tcPr>
            <w:tcW w:w="79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9</w:t>
            </w:r>
          </w:p>
        </w:tc>
        <w:tc>
          <w:tcPr>
            <w:tcW w:w="8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c>
          <w:tcPr>
            <w:tcW w:w="998"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r>
      <w:tr>
        <w:tblPrEx>
          <w:tblCellMar>
            <w:top w:w="0" w:type="dxa"/>
            <w:left w:w="108" w:type="dxa"/>
            <w:bottom w:w="0" w:type="dxa"/>
            <w:right w:w="108" w:type="dxa"/>
          </w:tblCellMar>
        </w:tblPrEx>
        <w:trPr>
          <w:trHeight w:val="270" w:hRule="atLeast"/>
          <w:jc w:val="center"/>
        </w:trPr>
        <w:tc>
          <w:tcPr>
            <w:tcW w:w="562"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三</w:t>
            </w:r>
          </w:p>
        </w:tc>
        <w:tc>
          <w:tcPr>
            <w:tcW w:w="69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w:t>
            </w:r>
          </w:p>
        </w:tc>
        <w:tc>
          <w:tcPr>
            <w:tcW w:w="502"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工程治理</w:t>
            </w:r>
          </w:p>
        </w:tc>
        <w:tc>
          <w:tcPr>
            <w:tcW w:w="245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规划立项工程治理项目</w:t>
            </w:r>
          </w:p>
        </w:tc>
        <w:tc>
          <w:tcPr>
            <w:tcW w:w="11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6393.23</w:t>
            </w:r>
          </w:p>
        </w:tc>
        <w:tc>
          <w:tcPr>
            <w:tcW w:w="1588" w:type="dxa"/>
            <w:gridSpan w:val="2"/>
            <w:tcBorders>
              <w:top w:val="single" w:color="000000" w:sz="4" w:space="0"/>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4794.92</w:t>
            </w:r>
          </w:p>
        </w:tc>
        <w:tc>
          <w:tcPr>
            <w:tcW w:w="8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438.85</w:t>
            </w:r>
          </w:p>
        </w:tc>
        <w:tc>
          <w:tcPr>
            <w:tcW w:w="998"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1159.</w:t>
            </w:r>
            <w:r>
              <w:rPr>
                <w:rFonts w:hint="eastAsia" w:ascii="Times New Roman" w:hAnsi="Times New Roman"/>
                <w:sz w:val="21"/>
              </w:rPr>
              <w:t>46</w:t>
            </w:r>
          </w:p>
        </w:tc>
      </w:tr>
      <w:tr>
        <w:tblPrEx>
          <w:tblCellMar>
            <w:top w:w="0" w:type="dxa"/>
            <w:left w:w="108" w:type="dxa"/>
            <w:bottom w:w="0" w:type="dxa"/>
            <w:right w:w="108" w:type="dxa"/>
          </w:tblCellMar>
        </w:tblPrEx>
        <w:trPr>
          <w:trHeight w:val="270" w:hRule="atLeast"/>
          <w:jc w:val="center"/>
        </w:trPr>
        <w:tc>
          <w:tcPr>
            <w:tcW w:w="56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69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2</w:t>
            </w:r>
          </w:p>
        </w:tc>
        <w:tc>
          <w:tcPr>
            <w:tcW w:w="5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245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延续配套治理项目</w:t>
            </w:r>
          </w:p>
        </w:tc>
        <w:tc>
          <w:tcPr>
            <w:tcW w:w="11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224</w:t>
            </w:r>
          </w:p>
        </w:tc>
        <w:tc>
          <w:tcPr>
            <w:tcW w:w="79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c>
          <w:tcPr>
            <w:tcW w:w="79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168</w:t>
            </w:r>
          </w:p>
        </w:tc>
        <w:tc>
          <w:tcPr>
            <w:tcW w:w="8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16.8</w:t>
            </w:r>
          </w:p>
        </w:tc>
        <w:tc>
          <w:tcPr>
            <w:tcW w:w="998"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39.2</w:t>
            </w:r>
          </w:p>
        </w:tc>
      </w:tr>
      <w:tr>
        <w:tblPrEx>
          <w:tblCellMar>
            <w:top w:w="0" w:type="dxa"/>
            <w:left w:w="108" w:type="dxa"/>
            <w:bottom w:w="0" w:type="dxa"/>
            <w:right w:w="108" w:type="dxa"/>
          </w:tblCellMar>
        </w:tblPrEx>
        <w:trPr>
          <w:trHeight w:val="270" w:hRule="atLeast"/>
          <w:jc w:val="center"/>
        </w:trPr>
        <w:tc>
          <w:tcPr>
            <w:tcW w:w="56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69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3</w:t>
            </w:r>
          </w:p>
        </w:tc>
        <w:tc>
          <w:tcPr>
            <w:tcW w:w="5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245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已建治理工程运行管护</w:t>
            </w:r>
          </w:p>
        </w:tc>
        <w:tc>
          <w:tcPr>
            <w:tcW w:w="11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180</w:t>
            </w:r>
          </w:p>
        </w:tc>
        <w:tc>
          <w:tcPr>
            <w:tcW w:w="79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c>
          <w:tcPr>
            <w:tcW w:w="79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135</w:t>
            </w:r>
          </w:p>
        </w:tc>
        <w:tc>
          <w:tcPr>
            <w:tcW w:w="8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13.5</w:t>
            </w:r>
          </w:p>
        </w:tc>
        <w:tc>
          <w:tcPr>
            <w:tcW w:w="998"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31.5</w:t>
            </w:r>
          </w:p>
        </w:tc>
      </w:tr>
      <w:tr>
        <w:tblPrEx>
          <w:tblCellMar>
            <w:top w:w="0" w:type="dxa"/>
            <w:left w:w="108" w:type="dxa"/>
            <w:bottom w:w="0" w:type="dxa"/>
            <w:right w:w="108" w:type="dxa"/>
          </w:tblCellMar>
        </w:tblPrEx>
        <w:trPr>
          <w:trHeight w:val="270" w:hRule="atLeast"/>
          <w:jc w:val="center"/>
        </w:trPr>
        <w:tc>
          <w:tcPr>
            <w:tcW w:w="56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69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4</w:t>
            </w:r>
          </w:p>
        </w:tc>
        <w:tc>
          <w:tcPr>
            <w:tcW w:w="5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left"/>
              <w:rPr>
                <w:rFonts w:ascii="Times New Roman" w:hAnsi="Times New Roman"/>
                <w:sz w:val="21"/>
              </w:rPr>
            </w:pPr>
          </w:p>
        </w:tc>
        <w:tc>
          <w:tcPr>
            <w:tcW w:w="245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突发性应急治理工程</w:t>
            </w:r>
          </w:p>
        </w:tc>
        <w:tc>
          <w:tcPr>
            <w:tcW w:w="11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250</w:t>
            </w:r>
          </w:p>
        </w:tc>
        <w:tc>
          <w:tcPr>
            <w:tcW w:w="79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c>
          <w:tcPr>
            <w:tcW w:w="79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187.5</w:t>
            </w:r>
          </w:p>
        </w:tc>
        <w:tc>
          <w:tcPr>
            <w:tcW w:w="8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18.75</w:t>
            </w:r>
          </w:p>
        </w:tc>
        <w:tc>
          <w:tcPr>
            <w:tcW w:w="998"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43.75</w:t>
            </w:r>
          </w:p>
        </w:tc>
      </w:tr>
      <w:tr>
        <w:tblPrEx>
          <w:tblCellMar>
            <w:top w:w="0" w:type="dxa"/>
            <w:left w:w="108" w:type="dxa"/>
            <w:bottom w:w="0" w:type="dxa"/>
            <w:right w:w="108" w:type="dxa"/>
          </w:tblCellMar>
        </w:tblPrEx>
        <w:trPr>
          <w:trHeight w:val="270" w:hRule="atLeast"/>
          <w:jc w:val="center"/>
        </w:trPr>
        <w:tc>
          <w:tcPr>
            <w:tcW w:w="562" w:type="dxa"/>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四</w:t>
            </w:r>
          </w:p>
        </w:tc>
        <w:tc>
          <w:tcPr>
            <w:tcW w:w="69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c>
          <w:tcPr>
            <w:tcW w:w="2952" w:type="dxa"/>
            <w:gridSpan w:val="2"/>
            <w:tcBorders>
              <w:top w:val="single" w:color="000000" w:sz="4" w:space="0"/>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避险搬迁</w:t>
            </w:r>
          </w:p>
        </w:tc>
        <w:tc>
          <w:tcPr>
            <w:tcW w:w="11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882</w:t>
            </w:r>
          </w:p>
        </w:tc>
        <w:tc>
          <w:tcPr>
            <w:tcW w:w="79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c>
          <w:tcPr>
            <w:tcW w:w="79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882</w:t>
            </w:r>
          </w:p>
        </w:tc>
        <w:tc>
          <w:tcPr>
            <w:tcW w:w="8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c>
          <w:tcPr>
            <w:tcW w:w="998"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r>
      <w:tr>
        <w:tblPrEx>
          <w:tblCellMar>
            <w:top w:w="0" w:type="dxa"/>
            <w:left w:w="108" w:type="dxa"/>
            <w:bottom w:w="0" w:type="dxa"/>
            <w:right w:w="108" w:type="dxa"/>
          </w:tblCellMar>
        </w:tblPrEx>
        <w:trPr>
          <w:trHeight w:val="270" w:hRule="atLeast"/>
          <w:jc w:val="center"/>
        </w:trPr>
        <w:tc>
          <w:tcPr>
            <w:tcW w:w="562" w:type="dxa"/>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五</w:t>
            </w:r>
          </w:p>
        </w:tc>
        <w:tc>
          <w:tcPr>
            <w:tcW w:w="69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c>
          <w:tcPr>
            <w:tcW w:w="2952" w:type="dxa"/>
            <w:gridSpan w:val="2"/>
            <w:tcBorders>
              <w:top w:val="single" w:color="000000" w:sz="4" w:space="0"/>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完善技术支撑网络体系</w:t>
            </w:r>
          </w:p>
        </w:tc>
        <w:tc>
          <w:tcPr>
            <w:tcW w:w="11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201.6</w:t>
            </w:r>
          </w:p>
        </w:tc>
        <w:tc>
          <w:tcPr>
            <w:tcW w:w="79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c>
          <w:tcPr>
            <w:tcW w:w="79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100.8</w:t>
            </w:r>
          </w:p>
        </w:tc>
        <w:tc>
          <w:tcPr>
            <w:tcW w:w="8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c>
          <w:tcPr>
            <w:tcW w:w="998"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100.8</w:t>
            </w:r>
          </w:p>
        </w:tc>
      </w:tr>
      <w:tr>
        <w:tblPrEx>
          <w:tblCellMar>
            <w:top w:w="0" w:type="dxa"/>
            <w:left w:w="108" w:type="dxa"/>
            <w:bottom w:w="0" w:type="dxa"/>
            <w:right w:w="108" w:type="dxa"/>
          </w:tblCellMar>
        </w:tblPrEx>
        <w:trPr>
          <w:trHeight w:val="270" w:hRule="atLeast"/>
          <w:jc w:val="center"/>
        </w:trPr>
        <w:tc>
          <w:tcPr>
            <w:tcW w:w="562" w:type="dxa"/>
            <w:tcBorders>
              <w:top w:val="nil"/>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六</w:t>
            </w:r>
          </w:p>
        </w:tc>
        <w:tc>
          <w:tcPr>
            <w:tcW w:w="69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c>
          <w:tcPr>
            <w:tcW w:w="2952" w:type="dxa"/>
            <w:gridSpan w:val="2"/>
            <w:tcBorders>
              <w:top w:val="single" w:color="000000" w:sz="4" w:space="0"/>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地质灾害防治宣教与演练</w:t>
            </w:r>
          </w:p>
        </w:tc>
        <w:tc>
          <w:tcPr>
            <w:tcW w:w="11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140</w:t>
            </w:r>
          </w:p>
        </w:tc>
        <w:tc>
          <w:tcPr>
            <w:tcW w:w="79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c>
          <w:tcPr>
            <w:tcW w:w="794"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c>
          <w:tcPr>
            <w:tcW w:w="8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　</w:t>
            </w:r>
          </w:p>
        </w:tc>
        <w:tc>
          <w:tcPr>
            <w:tcW w:w="998"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140</w:t>
            </w:r>
          </w:p>
        </w:tc>
      </w:tr>
      <w:tr>
        <w:tblPrEx>
          <w:tblCellMar>
            <w:top w:w="0" w:type="dxa"/>
            <w:left w:w="108" w:type="dxa"/>
            <w:bottom w:w="0" w:type="dxa"/>
            <w:right w:w="108" w:type="dxa"/>
          </w:tblCellMar>
        </w:tblPrEx>
        <w:trPr>
          <w:trHeight w:val="270" w:hRule="atLeast"/>
          <w:jc w:val="center"/>
        </w:trPr>
        <w:tc>
          <w:tcPr>
            <w:tcW w:w="420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hint="eastAsia" w:hAnsi="宋体"/>
                <w:sz w:val="21"/>
              </w:rPr>
              <w:t>合计</w:t>
            </w:r>
          </w:p>
        </w:tc>
        <w:tc>
          <w:tcPr>
            <w:tcW w:w="11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10235.91</w:t>
            </w:r>
          </w:p>
        </w:tc>
        <w:tc>
          <w:tcPr>
            <w:tcW w:w="1588" w:type="dxa"/>
            <w:gridSpan w:val="2"/>
            <w:tcBorders>
              <w:top w:val="single" w:color="000000" w:sz="4" w:space="0"/>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7879.80</w:t>
            </w:r>
          </w:p>
        </w:tc>
        <w:tc>
          <w:tcPr>
            <w:tcW w:w="800"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706.9</w:t>
            </w:r>
            <w:r>
              <w:rPr>
                <w:rFonts w:hint="eastAsia" w:ascii="Times New Roman" w:hAnsi="Times New Roman"/>
                <w:sz w:val="21"/>
              </w:rPr>
              <w:t>0</w:t>
            </w:r>
          </w:p>
        </w:tc>
        <w:tc>
          <w:tcPr>
            <w:tcW w:w="998" w:type="dxa"/>
            <w:tcBorders>
              <w:top w:val="nil"/>
              <w:left w:val="nil"/>
              <w:bottom w:val="single" w:color="000000" w:sz="4" w:space="0"/>
              <w:right w:val="single" w:color="000000" w:sz="4" w:space="0"/>
            </w:tcBorders>
            <w:noWrap w:val="0"/>
            <w:vAlign w:val="center"/>
          </w:tcPr>
          <w:p>
            <w:pPr>
              <w:widowControl/>
              <w:spacing w:line="240" w:lineRule="auto"/>
              <w:ind w:firstLine="0"/>
              <w:jc w:val="center"/>
              <w:rPr>
                <w:rFonts w:ascii="Times New Roman" w:hAnsi="Times New Roman"/>
                <w:sz w:val="21"/>
              </w:rPr>
            </w:pPr>
            <w:r>
              <w:rPr>
                <w:rFonts w:ascii="Times New Roman" w:hAnsi="Times New Roman"/>
                <w:sz w:val="21"/>
              </w:rPr>
              <w:t>1649.2</w:t>
            </w:r>
            <w:r>
              <w:rPr>
                <w:rFonts w:hint="eastAsia" w:ascii="Times New Roman" w:hAnsi="Times New Roman"/>
                <w:sz w:val="21"/>
              </w:rPr>
              <w:t>1</w:t>
            </w:r>
          </w:p>
        </w:tc>
      </w:tr>
    </w:tbl>
    <w:p>
      <w:pPr>
        <w:ind w:firstLine="0"/>
        <w:jc w:val="center"/>
        <w:rPr>
          <w:rFonts w:hint="eastAsia" w:ascii="Times New Roman" w:hAnsi="Times New Roman"/>
          <w:sz w:val="24"/>
          <w:szCs w:val="24"/>
        </w:rPr>
      </w:pPr>
    </w:p>
    <w:p>
      <w:pPr>
        <w:ind w:firstLine="560"/>
        <w:rPr>
          <w:rFonts w:ascii="Times New Roman" w:hAnsi="Times New Roman"/>
          <w:bCs/>
        </w:rPr>
      </w:pPr>
      <w:r>
        <w:rPr>
          <w:rFonts w:ascii="Times New Roman" w:hAnsi="Times New Roman"/>
          <w:bCs/>
        </w:rPr>
        <w:t>（2）监测预警资金</w:t>
      </w:r>
    </w:p>
    <w:p>
      <w:pPr>
        <w:ind w:firstLine="560"/>
        <w:rPr>
          <w:rFonts w:ascii="Times New Roman" w:hAnsi="Times New Roman"/>
        </w:rPr>
      </w:pPr>
      <w:r>
        <w:rPr>
          <w:rFonts w:hint="eastAsia" w:hAnsi="宋体" w:cs="宋体"/>
        </w:rPr>
        <w:t>①</w:t>
      </w:r>
      <w:r>
        <w:rPr>
          <w:rFonts w:ascii="Times New Roman" w:hAnsi="Times New Roman"/>
        </w:rPr>
        <w:t>按照《云南省国土资源厅 云南省财政厅关于印发云南省地质灾害监测员和监测员补助经费管理办法的通知》（云国土资〔2014〕28号）的规定，群测群防工作资金由州、县两级财政专项资金保障，州级财政安排部分不得低于监测员补助经费总额的2/3，县级财政安排部分不得低于监测员补助经费总额的1/3；</w:t>
      </w:r>
    </w:p>
    <w:p>
      <w:pPr>
        <w:ind w:firstLine="560"/>
        <w:rPr>
          <w:rFonts w:ascii="Times New Roman" w:hAnsi="Times New Roman"/>
        </w:rPr>
      </w:pPr>
      <w:r>
        <w:rPr>
          <w:rFonts w:hint="eastAsia" w:hAnsi="宋体" w:cs="宋体"/>
        </w:rPr>
        <w:t>②</w:t>
      </w:r>
      <w:r>
        <w:rPr>
          <w:rFonts w:ascii="Times New Roman" w:hAnsi="Times New Roman"/>
        </w:rPr>
        <w:t>普适型监测工程建设资金由中央财政专项资金全额保障，后期运行维护资金由中央和省财政共同承担；</w:t>
      </w:r>
    </w:p>
    <w:p>
      <w:pPr>
        <w:ind w:firstLine="560"/>
        <w:rPr>
          <w:rFonts w:ascii="Times New Roman" w:hAnsi="Times New Roman"/>
        </w:rPr>
      </w:pPr>
      <w:r>
        <w:rPr>
          <w:rFonts w:hint="eastAsia" w:hAnsi="宋体" w:cs="宋体"/>
        </w:rPr>
        <w:t>③</w:t>
      </w:r>
      <w:r>
        <w:rPr>
          <w:rFonts w:ascii="Times New Roman" w:hAnsi="Times New Roman"/>
        </w:rPr>
        <w:t>气象风险预警工程由县级财政资金保障；</w:t>
      </w:r>
    </w:p>
    <w:p>
      <w:pPr>
        <w:ind w:firstLine="560"/>
        <w:rPr>
          <w:rFonts w:ascii="Times New Roman" w:hAnsi="Times New Roman"/>
        </w:rPr>
      </w:pPr>
      <w:r>
        <w:rPr>
          <w:rFonts w:hint="eastAsia" w:hAnsi="宋体" w:cs="宋体"/>
        </w:rPr>
        <w:t>④</w:t>
      </w:r>
      <w:r>
        <w:rPr>
          <w:rFonts w:ascii="Times New Roman" w:hAnsi="Times New Roman"/>
        </w:rPr>
        <w:t>隐患点和风险区“双控”实施资金</w:t>
      </w:r>
      <w:r>
        <w:rPr>
          <w:rFonts w:hint="eastAsia" w:ascii="Times New Roman" w:hAnsi="Times New Roman"/>
        </w:rPr>
        <w:t>由</w:t>
      </w:r>
      <w:r>
        <w:rPr>
          <w:rFonts w:ascii="Times New Roman" w:hAnsi="Times New Roman"/>
        </w:rPr>
        <w:t>中央及省级财政专项资金负责。</w:t>
      </w:r>
    </w:p>
    <w:p>
      <w:pPr>
        <w:ind w:firstLine="560"/>
        <w:rPr>
          <w:rFonts w:ascii="Times New Roman" w:hAnsi="Times New Roman"/>
          <w:bCs/>
        </w:rPr>
      </w:pPr>
      <w:r>
        <w:rPr>
          <w:rFonts w:ascii="Times New Roman" w:hAnsi="Times New Roman"/>
          <w:bCs/>
        </w:rPr>
        <w:t>（3）工程治理资金</w:t>
      </w:r>
    </w:p>
    <w:p>
      <w:pPr>
        <w:ind w:firstLine="560"/>
        <w:rPr>
          <w:rFonts w:ascii="Times New Roman" w:hAnsi="Times New Roman"/>
        </w:rPr>
      </w:pPr>
      <w:r>
        <w:rPr>
          <w:rFonts w:hint="eastAsia" w:hAnsi="宋体" w:cs="宋体"/>
        </w:rPr>
        <w:t>①</w:t>
      </w:r>
      <w:r>
        <w:rPr>
          <w:rFonts w:ascii="Times New Roman" w:hAnsi="Times New Roman"/>
        </w:rPr>
        <w:t>规划立项的特大、大、中、小型地质灾害综合治理项目资金由中央、省、州、县四级财政专项资金共同承担，省级以上财政支持75%，州、县两级财政共承担25%，其中：中型以上项目州级财政承担30%，县级财政承担70%，小型项目县级承担100%；</w:t>
      </w:r>
    </w:p>
    <w:p>
      <w:pPr>
        <w:ind w:firstLine="560"/>
        <w:rPr>
          <w:rFonts w:ascii="Times New Roman" w:hAnsi="Times New Roman"/>
        </w:rPr>
      </w:pPr>
      <w:r>
        <w:rPr>
          <w:rFonts w:hint="eastAsia" w:hAnsi="宋体" w:cs="宋体"/>
        </w:rPr>
        <w:t>②</w:t>
      </w:r>
      <w:r>
        <w:rPr>
          <w:rFonts w:ascii="Times New Roman" w:hAnsi="Times New Roman"/>
        </w:rPr>
        <w:t>延续配套治理项目资金原则上按上述规划立项的项目等级进行财政事权层级和比例的划分，省级财政支持75%，州、县两级财政共承担25%，其中：州级财政承担30%，县级财政承担70%；</w:t>
      </w:r>
    </w:p>
    <w:p>
      <w:pPr>
        <w:ind w:firstLine="560"/>
        <w:rPr>
          <w:rFonts w:ascii="Times New Roman" w:hAnsi="Times New Roman"/>
        </w:rPr>
      </w:pPr>
      <w:r>
        <w:rPr>
          <w:rFonts w:hint="eastAsia" w:hAnsi="宋体" w:cs="宋体"/>
        </w:rPr>
        <w:t>③</w:t>
      </w:r>
      <w:r>
        <w:rPr>
          <w:rFonts w:ascii="Times New Roman" w:hAnsi="Times New Roman"/>
        </w:rPr>
        <w:t>已建项目后期运行管护资金由省级财政支持75%，州、县两级财政共承担25%，其中：州级财政承担30%，县级财政承担70%；</w:t>
      </w:r>
    </w:p>
    <w:p>
      <w:pPr>
        <w:ind w:firstLine="560"/>
        <w:rPr>
          <w:rFonts w:ascii="Times New Roman" w:hAnsi="Times New Roman"/>
        </w:rPr>
      </w:pPr>
      <w:r>
        <w:rPr>
          <w:rFonts w:hint="eastAsia" w:hAnsi="宋体" w:cs="宋体"/>
        </w:rPr>
        <w:t>④</w:t>
      </w:r>
      <w:r>
        <w:rPr>
          <w:rFonts w:ascii="Times New Roman" w:hAnsi="Times New Roman"/>
        </w:rPr>
        <w:t>突发性地质灾害应急排险、抢险治理工程资金由省级财政支持75%，州、县两级财政共承担25%，其中：州级财政承担30%，县级财政承担70%。</w:t>
      </w:r>
    </w:p>
    <w:p>
      <w:pPr>
        <w:ind w:firstLine="560"/>
        <w:rPr>
          <w:rFonts w:ascii="Times New Roman" w:hAnsi="Times New Roman"/>
        </w:rPr>
      </w:pPr>
      <w:r>
        <w:rPr>
          <w:rFonts w:ascii="Times New Roman" w:hAnsi="Times New Roman"/>
        </w:rPr>
        <w:t>小型项目中央省级补助后，差额部分州级不承担支出责任，由项目所在地县市承担，中型及中型以上项目中央省级补助后，差额部分由州</w:t>
      </w:r>
      <w:r>
        <w:rPr>
          <w:rFonts w:hint="eastAsia" w:ascii="Times New Roman" w:hAnsi="Times New Roman"/>
        </w:rPr>
        <w:t>、</w:t>
      </w:r>
      <w:r>
        <w:rPr>
          <w:rFonts w:ascii="Times New Roman" w:hAnsi="Times New Roman"/>
        </w:rPr>
        <w:t>县</w:t>
      </w:r>
      <w:r>
        <w:rPr>
          <w:rFonts w:hint="eastAsia" w:ascii="Times New Roman" w:hAnsi="Times New Roman"/>
        </w:rPr>
        <w:t>两</w:t>
      </w:r>
      <w:r>
        <w:rPr>
          <w:rFonts w:ascii="Times New Roman" w:hAnsi="Times New Roman"/>
        </w:rPr>
        <w:t>级共同承担，其中：州级承担30%，县级承担70%。州级配套资金根据项目获批上级资金情况，逐年纳入预算解决。</w:t>
      </w:r>
    </w:p>
    <w:p>
      <w:pPr>
        <w:ind w:firstLine="560"/>
        <w:rPr>
          <w:rFonts w:ascii="Times New Roman" w:hAnsi="Times New Roman"/>
          <w:bCs/>
        </w:rPr>
      </w:pPr>
      <w:r>
        <w:rPr>
          <w:rFonts w:ascii="Times New Roman" w:hAnsi="Times New Roman"/>
          <w:bCs/>
        </w:rPr>
        <w:t>（4）避险搬迁资金</w:t>
      </w:r>
    </w:p>
    <w:p>
      <w:pPr>
        <w:ind w:firstLine="560"/>
        <w:rPr>
          <w:rFonts w:ascii="Times New Roman" w:hAnsi="Times New Roman"/>
        </w:rPr>
      </w:pPr>
      <w:r>
        <w:rPr>
          <w:rFonts w:hint="eastAsia" w:ascii="Times New Roman" w:hAnsi="Times New Roman"/>
        </w:rPr>
        <w:t>避险搬迁项目可整合乡村振兴等相关工程资金进行，属自然资源领域地质灾害防治财政事权资金，目前由省级财政专项资金承担。</w:t>
      </w:r>
    </w:p>
    <w:p>
      <w:pPr>
        <w:ind w:firstLine="560"/>
        <w:rPr>
          <w:rFonts w:ascii="Times New Roman" w:hAnsi="Times New Roman"/>
        </w:rPr>
      </w:pPr>
      <w:r>
        <w:rPr>
          <w:rFonts w:ascii="Times New Roman" w:hAnsi="Times New Roman"/>
        </w:rPr>
        <w:t>（5）完善技术支撑网络体系资金</w:t>
      </w:r>
    </w:p>
    <w:p>
      <w:pPr>
        <w:ind w:firstLine="560"/>
        <w:rPr>
          <w:rFonts w:ascii="Times New Roman" w:hAnsi="Times New Roman"/>
        </w:rPr>
      </w:pPr>
      <w:r>
        <w:rPr>
          <w:rFonts w:hint="eastAsia" w:ascii="Times New Roman" w:hAnsi="Times New Roman"/>
        </w:rPr>
        <w:t>该项工程已在有序实施，具体按《云南省地质灾害防治技术支撑体系建设实施方案》实施。县级技术支撑费用由省级财政承担50%、县级财政自筹50%。</w:t>
      </w:r>
    </w:p>
    <w:p>
      <w:pPr>
        <w:ind w:firstLine="560"/>
        <w:rPr>
          <w:rFonts w:ascii="Times New Roman" w:hAnsi="Times New Roman"/>
        </w:rPr>
      </w:pPr>
      <w:r>
        <w:rPr>
          <w:rFonts w:ascii="Times New Roman" w:hAnsi="Times New Roman"/>
        </w:rPr>
        <w:t>（6）地质灾害防治宣教与演练资金</w:t>
      </w:r>
    </w:p>
    <w:p>
      <w:pPr>
        <w:ind w:firstLine="560"/>
        <w:rPr>
          <w:rFonts w:hint="eastAsia" w:ascii="Times New Roman" w:hAnsi="Times New Roman"/>
        </w:rPr>
      </w:pPr>
      <w:r>
        <w:rPr>
          <w:rFonts w:hint="eastAsia" w:ascii="Times New Roman" w:hAnsi="Times New Roman"/>
        </w:rPr>
        <w:t>地质灾害防治宣教与应急演练工作资金均为县级财政自筹。</w:t>
      </w:r>
    </w:p>
    <w:p>
      <w:pPr>
        <w:pStyle w:val="184"/>
        <w:spacing w:after="0"/>
        <w:rPr>
          <w:rStyle w:val="197"/>
          <w:rFonts w:ascii="Times New Roman" w:hAnsi="Times New Roman"/>
          <w:b/>
          <w:bCs w:val="0"/>
        </w:rPr>
      </w:pPr>
      <w:r>
        <w:rPr>
          <w:rStyle w:val="197"/>
          <w:rFonts w:hint="eastAsia" w:ascii="Times New Roman" w:hAnsi="Times New Roman"/>
          <w:b/>
          <w:bCs w:val="0"/>
        </w:rPr>
        <w:t>2.、资金构成及使用</w:t>
      </w:r>
    </w:p>
    <w:p>
      <w:pPr>
        <w:ind w:firstLine="560"/>
        <w:rPr>
          <w:rFonts w:ascii="Times New Roman" w:hAnsi="Times New Roman"/>
        </w:rPr>
      </w:pPr>
      <w:r>
        <w:rPr>
          <w:rFonts w:hint="eastAsia" w:ascii="Times New Roman" w:hAnsi="Times New Roman"/>
        </w:rPr>
        <w:t>（1）资金模块的组成</w:t>
      </w:r>
    </w:p>
    <w:p>
      <w:pPr>
        <w:ind w:firstLine="560"/>
        <w:rPr>
          <w:rFonts w:hint="eastAsia" w:ascii="Times New Roman" w:hAnsi="Times New Roman"/>
        </w:rPr>
      </w:pPr>
      <w:r>
        <w:rPr>
          <w:rFonts w:hint="eastAsia" w:ascii="Times New Roman" w:hAnsi="Times New Roman"/>
        </w:rPr>
        <w:t>十四五期间，地质灾害防治资金将由三部分构成，第一部分是中央财政专项补助资金，第二部分是省级地质灾害防治专项资金，第三部分是市、县区的自筹资金。原本由切块资金支持的事项，现在全部转变为按照项目法申报专项资金，其列支渠道调整到省级专项与地方自筹资金中。</w:t>
      </w:r>
    </w:p>
    <w:p>
      <w:pPr>
        <w:ind w:firstLine="560"/>
        <w:rPr>
          <w:rFonts w:ascii="Times New Roman" w:hAnsi="Times New Roman"/>
        </w:rPr>
      </w:pPr>
      <w:r>
        <w:rPr>
          <w:rFonts w:hint="eastAsia" w:ascii="Times New Roman" w:hAnsi="Times New Roman"/>
        </w:rPr>
        <w:t>（2）资金使用</w:t>
      </w:r>
    </w:p>
    <w:p>
      <w:pPr>
        <w:ind w:firstLine="560"/>
        <w:rPr>
          <w:rFonts w:ascii="Times New Roman" w:hAnsi="Times New Roman"/>
        </w:rPr>
      </w:pPr>
      <w:r>
        <w:rPr>
          <w:rFonts w:hint="eastAsia" w:ascii="Times New Roman" w:hAnsi="Times New Roman"/>
        </w:rPr>
        <w:t>中央专项资金、省级专项资金由省级统筹使用，主要用于配套大型及以上地质灾害工程治理项目、补助中小型地质灾害工程治理项目、因地质灾害搬迁避让和本级负责的区域性基础性调查评价、支持地质灾害监测预警项目、能力建设、防治科研等。</w:t>
      </w:r>
    </w:p>
    <w:p>
      <w:pPr>
        <w:pStyle w:val="182"/>
        <w:spacing w:line="360" w:lineRule="auto"/>
        <w:rPr>
          <w:rFonts w:ascii="Times New Roman" w:hAnsi="Times New Roman"/>
          <w:b/>
        </w:rPr>
      </w:pPr>
      <w:r>
        <w:rPr>
          <w:rFonts w:ascii="Times New Roman" w:hAnsi="Times New Roman"/>
          <w:b/>
        </w:rPr>
        <w:t>六、防治效益</w:t>
      </w:r>
    </w:p>
    <w:p>
      <w:pPr>
        <w:pStyle w:val="183"/>
        <w:spacing w:before="120" w:after="120"/>
        <w:rPr>
          <w:rFonts w:ascii="Times New Roman" w:hAnsi="Times New Roman"/>
          <w:b/>
        </w:rPr>
      </w:pPr>
      <w:r>
        <w:rPr>
          <w:rFonts w:ascii="Times New Roman" w:hAnsi="Times New Roman"/>
          <w:b/>
        </w:rPr>
        <w:t>（一）社会效益</w:t>
      </w:r>
    </w:p>
    <w:p>
      <w:pPr>
        <w:ind w:firstLine="560"/>
        <w:rPr>
          <w:rFonts w:ascii="Times New Roman" w:hAnsi="Times New Roman"/>
        </w:rPr>
      </w:pPr>
      <w:r>
        <w:rPr>
          <w:rFonts w:hint="eastAsia" w:ascii="Times New Roman" w:hAnsi="Times New Roman"/>
        </w:rPr>
        <w:t>《规划》的实施，可不断强化全民识灾、防灾、减灾、避灾的意识与自救、互救能力，通过工程治理和搬迁避让并减缓和消除部分地质灾害威胁和危害，从主观和客观上均能有效保障隐患点和风险区群众的生命安全和重要财产安全，为全市社会和谐、经济社会发展、民族团结奋进提供地质安全保障；也进一步体现了党和各级政府“执政为民”、“人民至上、生命至上”理念。</w:t>
      </w:r>
    </w:p>
    <w:p>
      <w:pPr>
        <w:pStyle w:val="183"/>
        <w:spacing w:before="120" w:after="120"/>
        <w:rPr>
          <w:rFonts w:ascii="Times New Roman" w:hAnsi="Times New Roman"/>
          <w:b/>
        </w:rPr>
      </w:pPr>
      <w:r>
        <w:rPr>
          <w:rFonts w:ascii="Times New Roman" w:hAnsi="Times New Roman"/>
          <w:b/>
        </w:rPr>
        <w:t>（二）经济效益</w:t>
      </w:r>
    </w:p>
    <w:p>
      <w:pPr>
        <w:ind w:firstLine="560"/>
        <w:rPr>
          <w:rFonts w:ascii="Times New Roman" w:hAnsi="Times New Roman"/>
        </w:rPr>
      </w:pPr>
      <w:r>
        <w:rPr>
          <w:rFonts w:hint="eastAsia" w:ascii="Times New Roman" w:hAnsi="Times New Roman"/>
          <w:szCs w:val="28"/>
        </w:rPr>
        <w:t>《规划》实施后，至2025年底，通过10235.91万元防治资金的投入，</w:t>
      </w:r>
      <w:r>
        <w:rPr>
          <w:rFonts w:ascii="Times New Roman" w:hAnsi="Times New Roman"/>
          <w:szCs w:val="28"/>
        </w:rPr>
        <w:t>使</w:t>
      </w:r>
      <w:r>
        <w:rPr>
          <w:rFonts w:hint="eastAsia" w:ascii="Times New Roman" w:hAnsi="Times New Roman"/>
          <w:szCs w:val="28"/>
        </w:rPr>
        <w:t>6390</w:t>
      </w:r>
      <w:r>
        <w:rPr>
          <w:rFonts w:ascii="Times New Roman" w:hAnsi="Times New Roman"/>
          <w:szCs w:val="28"/>
        </w:rPr>
        <w:t>人的生命和</w:t>
      </w:r>
      <w:r>
        <w:rPr>
          <w:rFonts w:hint="eastAsia" w:ascii="Times New Roman" w:hAnsi="Times New Roman"/>
          <w:szCs w:val="28"/>
        </w:rPr>
        <w:t>22000</w:t>
      </w:r>
      <w:r>
        <w:rPr>
          <w:rFonts w:ascii="Times New Roman" w:hAnsi="Times New Roman"/>
          <w:szCs w:val="28"/>
        </w:rPr>
        <w:t>万元的财产得到</w:t>
      </w:r>
      <w:r>
        <w:rPr>
          <w:rFonts w:hint="eastAsia" w:ascii="Times New Roman" w:hAnsi="Times New Roman"/>
          <w:szCs w:val="28"/>
        </w:rPr>
        <w:t>有效</w:t>
      </w:r>
      <w:r>
        <w:rPr>
          <w:rFonts w:ascii="Times New Roman" w:hAnsi="Times New Roman"/>
          <w:szCs w:val="28"/>
        </w:rPr>
        <w:t>保障</w:t>
      </w:r>
      <w:r>
        <w:rPr>
          <w:rFonts w:hint="eastAsia" w:ascii="Times New Roman" w:hAnsi="Times New Roman"/>
          <w:szCs w:val="28"/>
        </w:rPr>
        <w:t>，其投保比较为可观。通过工程治理，还可控制住危害性大的、破坏严重的地质灾害隐患点，避免地质灾害带来不良影响而造成间接经济损失，为居民的安居乐业提供安全保障，保证当地的经济开发建设正常进行。</w:t>
      </w:r>
    </w:p>
    <w:p>
      <w:pPr>
        <w:pStyle w:val="183"/>
        <w:spacing w:before="120" w:after="120"/>
        <w:rPr>
          <w:rFonts w:ascii="Times New Roman" w:hAnsi="Times New Roman"/>
          <w:b/>
        </w:rPr>
      </w:pPr>
      <w:r>
        <w:rPr>
          <w:rFonts w:ascii="Times New Roman" w:hAnsi="Times New Roman"/>
          <w:b/>
        </w:rPr>
        <w:t>（三）生态环境效益</w:t>
      </w:r>
    </w:p>
    <w:p>
      <w:pPr>
        <w:ind w:firstLine="560"/>
        <w:rPr>
          <w:rFonts w:ascii="Times New Roman" w:hAnsi="Times New Roman"/>
        </w:rPr>
      </w:pPr>
      <w:r>
        <w:rPr>
          <w:rFonts w:hint="eastAsia" w:ascii="Times New Roman" w:hAnsi="Times New Roman"/>
        </w:rPr>
        <w:t>地质灾害是一种自然的地质破坏现象，其发生除会对人民生命财产安全造成危害，同样会对自然生态环境造成破坏。实施工程治理，可对已发生的地质灾害区生态环境进行恢复治理，或防止地质灾害发生而产生破坏作用；实施搬迁避让，可减少人类活动对隐患点的影响，降低灾害发生的风险，或增加灾害发生后的自然恢复能力。总而言之，《规划》的实施，对生态环境具有积极的保护作用。</w:t>
      </w:r>
    </w:p>
    <w:p>
      <w:pPr>
        <w:pStyle w:val="182"/>
        <w:spacing w:line="360" w:lineRule="auto"/>
        <w:rPr>
          <w:rFonts w:ascii="Times New Roman" w:hAnsi="Times New Roman"/>
          <w:b/>
        </w:rPr>
      </w:pPr>
      <w:r>
        <w:rPr>
          <w:rFonts w:ascii="Times New Roman" w:hAnsi="Times New Roman"/>
          <w:b/>
        </w:rPr>
        <w:t>七、保障措施</w:t>
      </w:r>
    </w:p>
    <w:p>
      <w:pPr>
        <w:ind w:firstLine="560"/>
        <w:rPr>
          <w:rFonts w:ascii="Times New Roman" w:hAnsi="Times New Roman"/>
        </w:rPr>
      </w:pPr>
      <w:r>
        <w:rPr>
          <w:rFonts w:hint="eastAsia" w:ascii="Times New Roman" w:hAnsi="Times New Roman"/>
        </w:rPr>
        <w:t>地质灾害防治工作系统性强，涉及面广，组织、协调、管理难度大，仅仅依靠政府或主管部门是很难将地质灾害防治工作全面、高效地完成的，必须通过制度制约，从统一领导、加强协调，整合资源、部门联动，明确责任、严肃惩处，保证投入、追踪问责等方面加以保障，才能保证全市地质灾害防治规划顺利实施。</w:t>
      </w:r>
    </w:p>
    <w:p>
      <w:pPr>
        <w:pStyle w:val="183"/>
        <w:spacing w:before="120" w:after="120"/>
        <w:rPr>
          <w:rFonts w:ascii="Times New Roman" w:hAnsi="Times New Roman"/>
          <w:b/>
        </w:rPr>
      </w:pPr>
      <w:r>
        <w:rPr>
          <w:rFonts w:ascii="Times New Roman" w:hAnsi="Times New Roman"/>
          <w:b/>
        </w:rPr>
        <w:t>（一）完善法规体系</w:t>
      </w:r>
    </w:p>
    <w:p>
      <w:pPr>
        <w:ind w:firstLine="560"/>
        <w:rPr>
          <w:rFonts w:ascii="Times New Roman" w:hAnsi="Times New Roman"/>
          <w:szCs w:val="28"/>
        </w:rPr>
      </w:pPr>
      <w:r>
        <w:rPr>
          <w:rFonts w:hint="eastAsia" w:ascii="Times New Roman" w:hAnsi="Times New Roman"/>
          <w:szCs w:val="28"/>
        </w:rPr>
        <w:t>进一步健全完善与《地质灾害防治条例》配套的地方性法规体系，出台符合芒市实际的地方专项管理规章、制度或实施细则，使地质灾害防治工作有法可依、有章可循。完善地质灾害调查、危险性评估、预警预报、防灾预案、灾情速报、应急反应、险情巡查、汛期值班、专项资金等各项制度，并严格监督执行，实现地质灾害防治法制化、规范化。</w:t>
      </w:r>
    </w:p>
    <w:p>
      <w:pPr>
        <w:pStyle w:val="183"/>
        <w:spacing w:before="120" w:after="120"/>
        <w:rPr>
          <w:rFonts w:ascii="Times New Roman" w:hAnsi="Times New Roman"/>
          <w:b/>
        </w:rPr>
      </w:pPr>
      <w:r>
        <w:rPr>
          <w:rFonts w:ascii="Times New Roman" w:hAnsi="Times New Roman"/>
          <w:b/>
        </w:rPr>
        <w:t>（二）统一领导、加强协调</w:t>
      </w:r>
    </w:p>
    <w:p>
      <w:pPr>
        <w:ind w:firstLine="560"/>
        <w:rPr>
          <w:rFonts w:hint="eastAsia" w:ascii="Times New Roman" w:hAnsi="Times New Roman"/>
        </w:rPr>
      </w:pPr>
      <w:r>
        <w:rPr>
          <w:rFonts w:hint="eastAsia" w:ascii="Times New Roman" w:hAnsi="Times New Roman"/>
        </w:rPr>
        <w:t>坚持自上而下的高效有序管理体系，芒市市长为全市地质灾害防治工作的第一责任人，分管领导负具体责任。芒市人民政府主导，芒市自然资源局负责全市地质灾害防治工作的组织、协调、指导和监督，各乡镇国土所具体负责本乡镇的地质灾害防治工作，</w:t>
      </w:r>
      <w:r>
        <w:rPr>
          <w:rFonts w:ascii="Times New Roman" w:hAnsi="Times New Roman"/>
        </w:rPr>
        <w:t>各</w:t>
      </w:r>
      <w:r>
        <w:rPr>
          <w:rFonts w:hint="eastAsia" w:ascii="Times New Roman" w:hAnsi="Times New Roman"/>
        </w:rPr>
        <w:t>职能</w:t>
      </w:r>
      <w:r>
        <w:rPr>
          <w:rFonts w:ascii="Times New Roman" w:hAnsi="Times New Roman"/>
        </w:rPr>
        <w:t>部门之间加强沟通与合作，</w:t>
      </w:r>
      <w:r>
        <w:rPr>
          <w:rFonts w:hint="eastAsia" w:ascii="Times New Roman" w:hAnsi="Times New Roman"/>
        </w:rPr>
        <w:t>各乡镇之间加强经验交流和学习。自然资源部门要加强队伍建设，根据工作增加人员配置，做到定人、定岗、定责，鼓励在岗人员开拓创新，认真落实各项方针、政策，切实做好地质灾害防治工作。</w:t>
      </w:r>
    </w:p>
    <w:p>
      <w:pPr>
        <w:pStyle w:val="183"/>
        <w:spacing w:before="120" w:after="120"/>
        <w:rPr>
          <w:rFonts w:ascii="Times New Roman" w:hAnsi="Times New Roman"/>
          <w:b/>
        </w:rPr>
      </w:pPr>
      <w:r>
        <w:rPr>
          <w:rFonts w:ascii="Times New Roman" w:hAnsi="Times New Roman"/>
          <w:b/>
        </w:rPr>
        <w:t>（三）整合资源、部门联动</w:t>
      </w:r>
    </w:p>
    <w:p>
      <w:pPr>
        <w:ind w:firstLine="560"/>
        <w:rPr>
          <w:rFonts w:hint="eastAsia" w:ascii="Times New Roman" w:hAnsi="Times New Roman"/>
          <w:szCs w:val="28"/>
        </w:rPr>
      </w:pPr>
      <w:r>
        <w:rPr>
          <w:rFonts w:hint="eastAsia" w:ascii="Times New Roman" w:hAnsi="Times New Roman"/>
          <w:szCs w:val="28"/>
        </w:rPr>
        <w:t>自然资源主管部门要与地质灾害防治专业队伍、科研机构、专家及相关专业院校建立良好稳定的合作关系，依靠专家和工程技术人员，大力提升我市地质灾害防治科技水平。加强与水利、防震减灾、气象、广播电视和通信部门的沟通与联系，整合相关资金、资料和设备资源，确保地质灾害防治做到统筹兼顾、科学合理。发改、工信、水务、交运、住建、林草、教体、卫健、文旅等其他相关部门按照职责分工，组织指导本行业内单位和项目业主，切实做好地质灾害调查评估、监测预警、工程治理、搬迁避让等工作，不断加强行业内工程施工、生产经营的组织管理，有效减少人类工程活动对地质环境的影响。农村民居地表安全工程、新农村建设、土地开发整理、农业产业结构调整等项目，建设前与芒市自然资源局协商，尽可能避免因工程建设引发新的地质灾害。</w:t>
      </w:r>
    </w:p>
    <w:p>
      <w:pPr>
        <w:pStyle w:val="183"/>
        <w:spacing w:before="120" w:after="120"/>
        <w:rPr>
          <w:rFonts w:ascii="Times New Roman" w:hAnsi="Times New Roman"/>
          <w:b/>
        </w:rPr>
      </w:pPr>
      <w:r>
        <w:rPr>
          <w:rFonts w:ascii="Times New Roman" w:hAnsi="Times New Roman"/>
          <w:b/>
        </w:rPr>
        <w:t>（四）保证投入、追踪问效</w:t>
      </w:r>
    </w:p>
    <w:p>
      <w:pPr>
        <w:ind w:firstLine="560"/>
        <w:rPr>
          <w:rFonts w:hint="eastAsia" w:ascii="Times New Roman" w:hAnsi="Times New Roman"/>
          <w:szCs w:val="28"/>
        </w:rPr>
      </w:pPr>
      <w:r>
        <w:rPr>
          <w:rFonts w:hint="eastAsia" w:ascii="Times New Roman" w:hAnsi="Times New Roman"/>
          <w:szCs w:val="28"/>
        </w:rPr>
        <w:t>严格按照《地质灾害防治条例》规定的“谁引发、谁治理”原则，对人为活动引发的地质灾害，由引发者出资治理；对于自然产生的或引发责任主体难以明确的地质灾害，坚持国家财政、地方财政共同出资，合理分担的原则，筹集治理资金。市政府应根据各级财政事权层级划分及分担比例，把辖区地质灾害防治工作专项经费纳入地方经济与社会发展计划和财政预算，积极筹措地质灾害防治专项资金，并建立专户，确保防治资金专款专用。全社会参与监督管理，保证地质灾害防治工作有条不紊地进行，对松懈怠慢行为追究相关领导责任，情节严重者交司法机关处理。</w:t>
      </w:r>
    </w:p>
    <w:p>
      <w:pPr>
        <w:pStyle w:val="183"/>
        <w:spacing w:before="120" w:after="120"/>
        <w:rPr>
          <w:rFonts w:ascii="Times New Roman" w:hAnsi="Times New Roman"/>
          <w:b/>
        </w:rPr>
      </w:pPr>
      <w:r>
        <w:rPr>
          <w:rFonts w:ascii="Times New Roman" w:hAnsi="Times New Roman"/>
          <w:b/>
        </w:rPr>
        <w:t>（五）加强技术保障</w:t>
      </w:r>
    </w:p>
    <w:p>
      <w:pPr>
        <w:ind w:firstLine="560"/>
        <w:rPr>
          <w:rFonts w:hint="eastAsia" w:ascii="Times New Roman" w:hAnsi="Times New Roman"/>
        </w:rPr>
      </w:pPr>
      <w:r>
        <w:rPr>
          <w:rFonts w:hint="eastAsia" w:ascii="Times New Roman" w:hAnsi="Times New Roman"/>
        </w:rPr>
        <w:t>1.地质灾害调查评价、监测预警、工程治理、避险搬迁等项目的实施，离不开具有相关资质的技术单位的支持，各项（类）工作在委托资质单位时应充分考虑资质单位在地质灾害防治方面的综合技术能力、地方工作经验、同类项目业绩、行业信用等，合理选择合作队伍是确保各类项目按时、按质完成的前提。</w:t>
      </w:r>
    </w:p>
    <w:p>
      <w:pPr>
        <w:ind w:firstLine="560"/>
        <w:rPr>
          <w:rFonts w:hint="eastAsia" w:ascii="Times New Roman" w:hAnsi="Times New Roman"/>
        </w:rPr>
      </w:pPr>
      <w:r>
        <w:rPr>
          <w:rFonts w:hint="eastAsia" w:ascii="Times New Roman" w:hAnsi="Times New Roman"/>
        </w:rPr>
        <w:t>2.严格执行项目的相关审批手续，对于需进行地质灾害危险性评估的项目必须由相关资质单位完成评估工作。对于需事前规划的项目，相关部门须加强对规划及后期工程建设实施的监管，以尽量减少建设工程遭受、诱发或加剧地质灾害的风险。</w:t>
      </w:r>
    </w:p>
    <w:p>
      <w:pPr>
        <w:ind w:firstLine="560"/>
        <w:rPr>
          <w:rFonts w:hint="eastAsia" w:ascii="Times New Roman" w:hAnsi="Times New Roman"/>
        </w:rPr>
      </w:pPr>
      <w:r>
        <w:rPr>
          <w:rFonts w:hint="eastAsia" w:ascii="Times New Roman" w:hAnsi="Times New Roman"/>
        </w:rPr>
        <w:t>3.自然资源主管部门在条件允许的情况下，可优先引进具备地质灾害防治工作专业技术和经验的人才，增强我市地质灾害防治队伍的技术能力和专业素质，为全市地质灾害防治工作提供更有力的技术保障。</w:t>
      </w:r>
    </w:p>
    <w:p>
      <w:pPr>
        <w:ind w:firstLine="560"/>
        <w:rPr>
          <w:rFonts w:ascii="Times New Roman" w:hAnsi="Times New Roman"/>
          <w:szCs w:val="28"/>
        </w:rPr>
      </w:pPr>
      <w:r>
        <w:rPr>
          <w:rFonts w:hint="eastAsia" w:ascii="Times New Roman" w:hAnsi="Times New Roman"/>
        </w:rPr>
        <w:t>4.加强与技术单位的合作，将科技创新作为推动地质灾害防治工作更好更快发展的新动力，建立知识创新和技术创新紧密结合的科技创新体系。逐步将地质灾害调查、预报、监测以及防治的新理论、新技术、新方法、新设备引用到实际工作中，应用现代科学技术和手段，作为提高地质灾害防治水平的动力。</w:t>
      </w:r>
    </w:p>
    <w:p>
      <w:pPr>
        <w:pStyle w:val="183"/>
        <w:spacing w:before="120" w:after="120"/>
        <w:rPr>
          <w:rFonts w:ascii="Times New Roman" w:hAnsi="Times New Roman"/>
          <w:b/>
        </w:rPr>
      </w:pPr>
      <w:r>
        <w:rPr>
          <w:rFonts w:ascii="Times New Roman" w:hAnsi="Times New Roman"/>
          <w:b/>
        </w:rPr>
        <w:t>（六）加强宣传教育</w:t>
      </w:r>
    </w:p>
    <w:p>
      <w:pPr>
        <w:ind w:firstLine="560"/>
        <w:rPr>
          <w:rFonts w:hint="eastAsia" w:ascii="Times New Roman" w:hAnsi="Times New Roman"/>
        </w:rPr>
      </w:pPr>
      <w:r>
        <w:rPr>
          <w:rFonts w:hint="eastAsia" w:ascii="Times New Roman" w:hAnsi="Times New Roman"/>
        </w:rPr>
        <w:t>各级党委政府应加大地质灾害防治知识的宣传、教育力度，做好事前的宣传引导，积极做好本部门和基层领导干部、监测人员的培训工作，提高人员素质，逐步实现培训工作的制度化和常态化。利用农闲、赶集、土地宣传日等时间，采取电视、广播、板报、标语、新媒体大力宣传防灾避灾知识，增强群众的地质灾害防治意识和自救、互救能力，增强全民地质灾害防灾减灾的意识和信心。充分调动全民参与地质灾害防治的积极性。</w:t>
      </w:r>
    </w:p>
    <w:p>
      <w:pPr>
        <w:pStyle w:val="182"/>
        <w:spacing w:line="360" w:lineRule="auto"/>
        <w:rPr>
          <w:rFonts w:ascii="Times New Roman" w:hAnsi="Times New Roman"/>
          <w:b/>
        </w:rPr>
      </w:pPr>
      <w:r>
        <w:rPr>
          <w:rFonts w:ascii="Times New Roman" w:hAnsi="Times New Roman"/>
          <w:b/>
        </w:rPr>
        <w:t>附  则</w:t>
      </w:r>
    </w:p>
    <w:p>
      <w:pPr>
        <w:ind w:firstLine="560"/>
        <w:rPr>
          <w:rFonts w:ascii="Times New Roman" w:hAnsi="Times New Roman"/>
        </w:rPr>
      </w:pPr>
      <w:r>
        <w:rPr>
          <w:rFonts w:ascii="Times New Roman" w:hAnsi="Times New Roman"/>
        </w:rPr>
        <w:t>本《规划》经芒市人民政府批准后颁布实施。</w:t>
      </w:r>
    </w:p>
    <w:p>
      <w:pPr>
        <w:ind w:firstLine="560"/>
        <w:rPr>
          <w:rFonts w:ascii="Times New Roman" w:hAnsi="Times New Roman"/>
        </w:rPr>
      </w:pPr>
      <w:r>
        <w:rPr>
          <w:rFonts w:ascii="Times New Roman" w:hAnsi="Times New Roman"/>
        </w:rPr>
        <w:t>本《规划》由芒市人民政府负责解释。</w:t>
      </w:r>
    </w:p>
    <w:sectPr>
      <w:pgSz w:w="11907" w:h="16840" w:orient="landscape"/>
      <w:pgMar w:top="1247" w:right="1247" w:bottom="1247" w:left="1588" w:header="851" w:footer="586" w:gutter="0"/>
      <w:cols w:space="1701"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auto"/>
    <w:pitch w:val="default"/>
    <w:sig w:usb0="E00002FF" w:usb1="400004FF" w:usb2="00000000" w:usb3="00000000" w:csb0="2000019F" w:csb1="00000000"/>
  </w:font>
  <w:font w:name="Courier New">
    <w:panose1 w:val="02070309020205020404"/>
    <w:charset w:val="00"/>
    <w:family w:val="auto"/>
    <w:pitch w:val="default"/>
    <w:sig w:usb0="E0002AFF" w:usb1="C0007843" w:usb2="00000009" w:usb3="00000000" w:csb0="400001FF" w:csb1="FFFF0000"/>
  </w:font>
  <w:font w:name="方正楷体简体">
    <w:panose1 w:val="02010601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4"/>
      <w:ind w:firstLine="0"/>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46</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footnotePr>
    <w:footnote w:id="0"/>
    <w:footnote w:id="1"/>
  </w:footnotePr>
  <w:endnotePr>
    <w:endnote w:id="0"/>
    <w:endnote w:id="1"/>
  </w:endnotePr>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2JmMGZjZjM3NjFiNTA4ZTQ2ZGE5NGJiMjc1NTkifQ=="/>
  </w:docVars>
  <w:rsids>
    <w:rsidRoot w:val="00000000"/>
    <w:rsid w:val="033461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74"/>
    <w:qFormat/>
    <w:uiPriority w:val="0"/>
    <w:pPr>
      <w:widowControl w:val="0"/>
      <w:spacing w:line="360" w:lineRule="auto"/>
      <w:ind w:firstLine="200"/>
      <w:jc w:val="both"/>
    </w:pPr>
    <w:rPr>
      <w:rFonts w:hint="default" w:ascii="宋体" w:hAnsi="Calibri" w:eastAsia="宋体" w:cs="Times New Roman"/>
      <w:sz w:val="28"/>
      <w:szCs w:val="21"/>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link w:val="53"/>
    <w:unhideWhenUsed/>
    <w:qFormat/>
    <w:uiPriority w:val="99"/>
    <w:pPr>
      <w:tabs>
        <w:tab w:val="center" w:pos="7143"/>
        <w:tab w:val="right" w:pos="14287"/>
      </w:tabs>
      <w:spacing w:after="0" w:line="240" w:lineRule="auto"/>
    </w:pPr>
  </w:style>
  <w:style w:type="paragraph" w:styleId="18">
    <w:name w:val="header"/>
    <w:basedOn w:val="1"/>
    <w:link w:val="51"/>
    <w:unhideWhenUsed/>
    <w:qFormat/>
    <w:uiPriority w:val="99"/>
    <w:pPr>
      <w:tabs>
        <w:tab w:val="center" w:pos="7143"/>
        <w:tab w:val="right" w:pos="14287"/>
      </w:tabs>
      <w:spacing w:after="0" w:line="240" w:lineRule="auto"/>
    </w:p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semiHidden/>
    <w:unhideWhenUsed/>
    <w:uiPriority w:val="99"/>
    <w:rPr>
      <w:vertAlign w:val="superscript"/>
    </w:rPr>
  </w:style>
  <w:style w:type="character" w:styleId="32">
    <w:name w:val="Hyperlink"/>
    <w:unhideWhenUsed/>
    <w:uiPriority w:val="99"/>
    <w:rPr>
      <w:color w:val="0000FF" w:themeColor="hyperlink"/>
      <w:u w:val="single"/>
    </w:rPr>
  </w:style>
  <w:style w:type="character" w:styleId="33">
    <w:name w:val="footnote reference"/>
    <w:unhideWhenUsed/>
    <w:uiPriority w:val="99"/>
    <w:rPr>
      <w:vertAlign w:val="superscript"/>
    </w:rPr>
  </w:style>
  <w:style w:type="character" w:customStyle="1" w:styleId="34">
    <w:name w:val="Heading 1 Char"/>
    <w:link w:val="2"/>
    <w:qFormat/>
    <w:uiPriority w:val="9"/>
    <w:rPr>
      <w:rFonts w:ascii="等线" w:hAnsi="等线" w:eastAsia="等线" w:cs="等线"/>
      <w:sz w:val="40"/>
      <w:szCs w:val="40"/>
    </w:rPr>
  </w:style>
  <w:style w:type="character" w:customStyle="1" w:styleId="35">
    <w:name w:val="Heading 2 Char"/>
    <w:link w:val="3"/>
    <w:qFormat/>
    <w:uiPriority w:val="9"/>
    <w:rPr>
      <w:rFonts w:ascii="等线" w:hAnsi="等线" w:eastAsia="等线" w:cs="等线"/>
      <w:sz w:val="34"/>
    </w:rPr>
  </w:style>
  <w:style w:type="character" w:customStyle="1" w:styleId="36">
    <w:name w:val="Heading 3 Char"/>
    <w:link w:val="4"/>
    <w:qFormat/>
    <w:uiPriority w:val="9"/>
    <w:rPr>
      <w:rFonts w:ascii="等线" w:hAnsi="等线" w:eastAsia="等线" w:cs="等线"/>
      <w:sz w:val="30"/>
      <w:szCs w:val="30"/>
    </w:rPr>
  </w:style>
  <w:style w:type="character" w:customStyle="1" w:styleId="37">
    <w:name w:val="Heading 4 Char"/>
    <w:link w:val="5"/>
    <w:qFormat/>
    <w:uiPriority w:val="9"/>
    <w:rPr>
      <w:rFonts w:ascii="等线" w:hAnsi="等线" w:eastAsia="等线" w:cs="等线"/>
      <w:b/>
      <w:bCs/>
      <w:sz w:val="26"/>
      <w:szCs w:val="26"/>
    </w:rPr>
  </w:style>
  <w:style w:type="character" w:customStyle="1" w:styleId="38">
    <w:name w:val="Heading 5 Char"/>
    <w:link w:val="6"/>
    <w:qFormat/>
    <w:uiPriority w:val="9"/>
    <w:rPr>
      <w:rFonts w:ascii="等线" w:hAnsi="等线" w:eastAsia="等线" w:cs="等线"/>
      <w:b/>
      <w:bCs/>
      <w:sz w:val="24"/>
      <w:szCs w:val="24"/>
    </w:rPr>
  </w:style>
  <w:style w:type="character" w:customStyle="1" w:styleId="39">
    <w:name w:val="Heading 6 Char"/>
    <w:link w:val="7"/>
    <w:qFormat/>
    <w:uiPriority w:val="9"/>
    <w:rPr>
      <w:rFonts w:ascii="等线" w:hAnsi="等线" w:eastAsia="等线" w:cs="等线"/>
      <w:b/>
      <w:bCs/>
      <w:sz w:val="22"/>
      <w:szCs w:val="22"/>
    </w:rPr>
  </w:style>
  <w:style w:type="character" w:customStyle="1" w:styleId="40">
    <w:name w:val="Heading 7 Char"/>
    <w:link w:val="8"/>
    <w:qFormat/>
    <w:uiPriority w:val="9"/>
    <w:rPr>
      <w:rFonts w:ascii="等线" w:hAnsi="等线" w:eastAsia="等线" w:cs="等线"/>
      <w:b/>
      <w:bCs/>
      <w:i/>
      <w:iCs/>
      <w:sz w:val="22"/>
      <w:szCs w:val="22"/>
    </w:rPr>
  </w:style>
  <w:style w:type="character" w:customStyle="1" w:styleId="41">
    <w:name w:val="Heading 8 Char"/>
    <w:link w:val="9"/>
    <w:qFormat/>
    <w:uiPriority w:val="9"/>
    <w:rPr>
      <w:rFonts w:ascii="等线" w:hAnsi="等线" w:eastAsia="等线" w:cs="等线"/>
      <w:i/>
      <w:iCs/>
      <w:sz w:val="22"/>
      <w:szCs w:val="22"/>
    </w:rPr>
  </w:style>
  <w:style w:type="character" w:customStyle="1" w:styleId="42">
    <w:name w:val="Heading 9 Char"/>
    <w:link w:val="10"/>
    <w:qFormat/>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Calibri" w:hAnsi="Calibri" w:eastAsia="宋体" w:cs="Times New Roman"/>
    </w:rPr>
  </w:style>
  <w:style w:type="character" w:customStyle="1" w:styleId="45">
    <w:name w:val="Title Char"/>
    <w:link w:val="27"/>
    <w:qFormat/>
    <w:uiPriority w:val="10"/>
    <w:rPr>
      <w:sz w:val="48"/>
      <w:szCs w:val="48"/>
    </w:rPr>
  </w:style>
  <w:style w:type="character" w:customStyle="1" w:styleId="46">
    <w:name w:val="Subtitle Char"/>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link w:val="18"/>
    <w:qFormat/>
    <w:uiPriority w:val="99"/>
  </w:style>
  <w:style w:type="character" w:customStyle="1" w:styleId="52">
    <w:name w:val="Footer Char"/>
    <w:link w:val="17"/>
    <w:qFormat/>
    <w:uiPriority w:val="99"/>
  </w:style>
  <w:style w:type="character" w:customStyle="1" w:styleId="53">
    <w:name w:val="Caption Char"/>
    <w:link w:val="17"/>
    <w:qFormat/>
    <w:uiPriority w:val="99"/>
  </w:style>
  <w:style w:type="table" w:customStyle="1" w:styleId="54">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3"/>
    <w:qFormat/>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4"/>
    <w:qFormat/>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5"/>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blPr/>
      <w:tcPr>
        <w:tcBorders>
          <w:bottom w:val="single" w:color="7E7E7E" w:themeColor="text1" w:themeTint="80" w:sz="12" w:space="0"/>
        </w:tcBorders>
      </w:tcPr>
    </w:tblStylePr>
    <w:tblStylePr w:type="lastRow">
      <w:rPr>
        <w:b/>
        <w:color w:val="7E7E7E" w:themeColor="text1" w:themeShade="95" w:themeTint="80"/>
      </w:rPr>
      <w:tblPr/>
    </w:tblStylePr>
    <w:tblStylePr w:type="firstCol">
      <w:rPr>
        <w:b/>
        <w:color w:val="7E7E7E" w:themeColor="text1" w:themeShade="95" w:themeTint="80"/>
      </w:rPr>
      <w:tblPr/>
    </w:tblStylePr>
    <w:tblStylePr w:type="lastCol">
      <w:rPr>
        <w:b/>
        <w:color w:val="7E7E7E" w:themeColor="text1" w:themeShade="95" w:themeTint="80"/>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7E7E7E" w:themeColor="text1" w:themeShade="95" w:themeTint="80"/>
        <w:sz w:val="22"/>
      </w:rPr>
      <w:tblPr/>
      <w:tcPr>
        <w:shd w:val="clear" w:color="CACACA" w:themeColor="text1" w:themeTint="34" w:fill="CACACA" w:themeFill="text1" w:themeFillTint="34"/>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blPr/>
      <w:tcPr>
        <w:tcBorders>
          <w:bottom w:val="single" w:color="A6BFDD" w:themeColor="accent1" w:themeTint="80" w:sz="12" w:space="0"/>
        </w:tcBorders>
      </w:tcPr>
    </w:tblStylePr>
    <w:tblStylePr w:type="lastRow">
      <w:rPr>
        <w:b/>
        <w:color w:val="A6BFDD" w:themeColor="accent1" w:themeShade="95" w:themeTint="80"/>
      </w:rPr>
      <w:tblPr/>
    </w:tblStylePr>
    <w:tblStylePr w:type="firstCol">
      <w:rPr>
        <w:b/>
        <w:color w:val="A6BFDD" w:themeColor="accent1" w:themeShade="95" w:themeTint="80"/>
      </w:rPr>
      <w:tblPr/>
    </w:tblStylePr>
    <w:tblStylePr w:type="lastCol">
      <w:rPr>
        <w:b/>
        <w:color w:val="A6BFDD" w:themeColor="accent1" w:themeShade="95" w:themeTint="80"/>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12" w:space="0"/>
        </w:tcBorders>
      </w:tcPr>
    </w:tblStylePr>
    <w:tblStylePr w:type="lastRow">
      <w:rPr>
        <w:b/>
        <w:color w:val="D99795" w:themeColor="accent2" w:themeShade="95" w:themeTint="97"/>
      </w:rPr>
      <w:tbl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blPr/>
      <w:tcPr>
        <w:tcBorders>
          <w:bottom w:val="single" w:color="9BBB59" w:themeColor="accent3" w:themeTint="FE" w:sz="12" w:space="0"/>
        </w:tcBorders>
      </w:tcPr>
    </w:tblStylePr>
    <w:tblStylePr w:type="lastRow">
      <w:rPr>
        <w:b/>
        <w:color w:val="9BBB59" w:themeColor="accent3" w:themeShade="95" w:themeTint="FE"/>
      </w:rPr>
      <w:tblPr/>
    </w:tblStylePr>
    <w:tblStylePr w:type="firstCol">
      <w:rPr>
        <w:b/>
        <w:color w:val="9BBB59" w:themeColor="accent3" w:themeShade="95" w:themeTint="FE"/>
      </w:rPr>
      <w:tblPr/>
    </w:tblStylePr>
    <w:tblStylePr w:type="lastCol">
      <w:rPr>
        <w:b/>
        <w:color w:val="9BBB59" w:themeColor="accent3" w:themeShade="95" w:themeTint="FE"/>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12" w:space="0"/>
        </w:tcBorders>
      </w:tcPr>
    </w:tblStylePr>
    <w:tblStylePr w:type="lastRow">
      <w:rPr>
        <w:b/>
        <w:color w:val="B2A1C6" w:themeColor="accent4" w:themeShade="95" w:themeTint="9A"/>
      </w:rPr>
      <w:tbl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9" w:themeColor="accent5" w:themeShade="95"/>
        <w:sz w:val="22"/>
      </w:rPr>
      <w:tblPr/>
      <w:tcPr>
        <w:shd w:val="clear" w:color="FDE9D9" w:themeColor="accent6" w:themeTint="34" w:fill="FDE9D9" w:themeFill="accent6"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7E7E7E" w:themeColor="text1" w:themeShade="95" w:themeTint="80"/>
        <w:sz w:val="22"/>
      </w:rPr>
      <w:tblPr/>
      <w:tcPr>
        <w:shd w:val="clear" w:color="F1F1F1" w:themeColor="text1" w:themeTint="0D" w:fill="F1F1F1" w:themeFill="text1" w:themeFillTint="0D"/>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15407" w:themeColor="accent6" w:themeShade="95"/>
        <w:sz w:val="22"/>
      </w:rPr>
      <w:tblPr/>
      <w:tcPr>
        <w:shd w:val="clear" w:color="FDE9D9" w:themeColor="accent6" w:themeTint="34" w:fill="FDE9D9" w:themeFill="accent6" w:themeFillTint="34"/>
      </w:tcPr>
    </w:tblStylePr>
    <w:tblStylePr w:type="band2Horz">
      <w:rPr>
        <w:rFonts w:ascii="Arial" w:hAnsi="Arial"/>
        <w:color w:val="B15407" w:themeColor="accent6" w:themeShade="95"/>
        <w:sz w:val="22"/>
      </w:rPr>
      <w:tblPr/>
    </w:tblStylePr>
    <w:tblStylePr w:type="neCell">
      <w:tblPr/>
    </w:tblStylePr>
    <w:tblStylePr w:type="nwCell">
      <w:tblPr/>
    </w:tblStylePr>
    <w:tblStylePr w:type="seCell">
      <w:tblPr/>
    </w:tblStylePr>
    <w:tblStylePr w:type="swCell">
      <w:tblPr/>
    </w:tblStylePr>
  </w:style>
  <w:style w:type="table" w:customStyle="1" w:styleId="109">
    <w:name w:val="List Table 1 Ligh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1"/>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2"/>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3"/>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4"/>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5"/>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6"/>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8">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39">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0">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1">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blPr/>
      <w:tcPr>
        <w:tcBorders>
          <w:bottom w:val="single" w:color="7E7E7E" w:themeColor="text1" w:themeTint="80" w:sz="4" w:space="0"/>
        </w:tcBorders>
      </w:tcPr>
    </w:tblStylePr>
    <w:tblStylePr w:type="lastRow">
      <w:rPr>
        <w:b/>
        <w:color w:val="000000" w:themeColor="text1"/>
      </w:rPr>
      <w:tblPr/>
      <w:tcPr>
        <w:tcBorders>
          <w:top w:val="single" w:color="7E7E7E" w:themeColor="text1" w:themeTint="80"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rPr>
      <w:tblPr/>
      <w:tcPr>
        <w:shd w:val="clear" w:color="BEBEBE" w:themeColor="text1" w:themeTint="40" w:fill="BEBEBE" w:themeFill="text1" w:themeFillTint="40"/>
      </w:tcPr>
    </w:tblStylePr>
    <w:tblStylePr w:type="band2Horz">
      <w:rPr>
        <w:rFonts w:ascii="Arial" w:hAnsi="Arial"/>
        <w:color w:val="000000" w:themeColor="text1"/>
        <w:sz w:val="22"/>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blPr/>
      <w:tcPr>
        <w:tcBorders>
          <w:bottom w:val="single" w:color="4F81BD" w:themeColor="accent1" w:sz="4" w:space="0"/>
        </w:tcBorders>
      </w:tcPr>
    </w:tblStylePr>
    <w:tblStylePr w:type="lastRow">
      <w:rPr>
        <w:b/>
        <w:color w:val="2A4B71" w:themeColor="accent1" w:themeShade="95"/>
      </w:rPr>
      <w:tblPr/>
      <w:tcPr>
        <w:tcBorders>
          <w:top w:val="single" w:color="4F81BD" w:themeColor="accent1" w:sz="4" w:space="0"/>
        </w:tcBorders>
      </w:tcPr>
    </w:tblStylePr>
    <w:tblStylePr w:type="firstCol">
      <w:rPr>
        <w:b/>
        <w:color w:val="2A4B71" w:themeColor="accent1" w:themeShade="95"/>
      </w:rPr>
      <w:tblPr/>
    </w:tblStylePr>
    <w:tblStylePr w:type="lastCol">
      <w:rPr>
        <w:b/>
        <w:color w:val="2A4B71" w:themeColor="accent1" w:themeShade="95"/>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4" w:space="0"/>
        </w:tcBorders>
      </w:tcPr>
    </w:tblStylePr>
    <w:tblStylePr w:type="lastRow">
      <w:rPr>
        <w:b/>
        <w:color w:val="D99795" w:themeColor="accent2" w:themeShade="95" w:themeTint="97"/>
      </w:rPr>
      <w:tblPr/>
      <w:tcPr>
        <w:tcBorders>
          <w:top w:val="single" w:color="D99795" w:themeColor="accent2" w:themeTint="97" w:sz="4" w:space="0"/>
        </w:tcBorders>
      </w:tc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blPr/>
      <w:tcPr>
        <w:tcBorders>
          <w:bottom w:val="single" w:color="C3D69C" w:themeColor="accent3" w:themeTint="98" w:sz="4" w:space="0"/>
        </w:tcBorders>
      </w:tcPr>
    </w:tblStylePr>
    <w:tblStylePr w:type="lastRow">
      <w:rPr>
        <w:b/>
        <w:color w:val="C3D69C" w:themeColor="accent3" w:themeShade="95" w:themeTint="98"/>
      </w:rPr>
      <w:tblPr/>
      <w:tcPr>
        <w:tcBorders>
          <w:top w:val="single" w:color="C3D69C" w:themeColor="accent3" w:themeTint="98" w:sz="4" w:space="0"/>
        </w:tcBorders>
      </w:tcPr>
    </w:tblStylePr>
    <w:tblStylePr w:type="firstCol">
      <w:rPr>
        <w:b/>
        <w:color w:val="C3D69C" w:themeColor="accent3" w:themeShade="95" w:themeTint="98"/>
      </w:rPr>
      <w:tblPr/>
    </w:tblStylePr>
    <w:tblStylePr w:type="lastCol">
      <w:rPr>
        <w:b/>
        <w:color w:val="C3D69C" w:themeColor="accent3" w:themeShade="95" w:themeTint="98"/>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4" w:space="0"/>
        </w:tcBorders>
      </w:tcPr>
    </w:tblStylePr>
    <w:tblStylePr w:type="lastRow">
      <w:rPr>
        <w:b/>
        <w:color w:val="B2A1C6" w:themeColor="accent4" w:themeShade="95" w:themeTint="9A"/>
      </w:rPr>
      <w:tblPr/>
      <w:tcPr>
        <w:tcBorders>
          <w:top w:val="single" w:color="B2A1C6" w:themeColor="accent4" w:themeTint="9A" w:sz="4" w:space="0"/>
        </w:tcBorders>
      </w:tc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blPr/>
      <w:tcPr>
        <w:tcBorders>
          <w:bottom w:val="single" w:color="92CCDC" w:themeColor="accent5" w:themeTint="9A" w:sz="4" w:space="0"/>
        </w:tcBorders>
      </w:tcPr>
    </w:tblStylePr>
    <w:tblStylePr w:type="lastRow">
      <w:rPr>
        <w:b/>
        <w:color w:val="92CCDC" w:themeColor="accent5" w:themeShade="95" w:themeTint="9A"/>
      </w:rPr>
      <w:tblPr/>
      <w:tcPr>
        <w:tcBorders>
          <w:top w:val="single" w:color="92CCDC" w:themeColor="accent5" w:themeTint="9A" w:sz="4" w:space="0"/>
        </w:tcBorders>
      </w:tcPr>
    </w:tblStylePr>
    <w:tblStylePr w:type="firstCol">
      <w:rPr>
        <w:b/>
        <w:color w:val="92CCDC" w:themeColor="accent5" w:themeShade="95" w:themeTint="9A"/>
      </w:rPr>
      <w:tblPr/>
    </w:tblStylePr>
    <w:tblStylePr w:type="lastCol">
      <w:rPr>
        <w:b/>
        <w:color w:val="92CCDC" w:themeColor="accent5" w:themeShade="95" w:themeTint="9A"/>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blPr/>
      <w:tcPr>
        <w:tcBorders>
          <w:bottom w:val="single" w:color="FAC090" w:themeColor="accent6" w:themeTint="98" w:sz="4" w:space="0"/>
        </w:tcBorders>
      </w:tcPr>
    </w:tblStylePr>
    <w:tblStylePr w:type="lastRow">
      <w:rPr>
        <w:b/>
        <w:color w:val="FAC090" w:themeColor="accent6" w:themeShade="95" w:themeTint="98"/>
      </w:rPr>
      <w:tblPr/>
      <w:tcPr>
        <w:tcBorders>
          <w:top w:val="single" w:color="FAC090" w:themeColor="accent6" w:themeTint="98" w:sz="4" w:space="0"/>
        </w:tcBorders>
      </w:tcPr>
    </w:tblStylePr>
    <w:tblStylePr w:type="firstCol">
      <w:rPr>
        <w:b/>
        <w:color w:val="FAC090" w:themeColor="accent6" w:themeShade="95" w:themeTint="98"/>
      </w:rPr>
      <w:tblPr/>
    </w:tblStylePr>
    <w:tblStylePr w:type="lastCol">
      <w:rPr>
        <w:b/>
        <w:color w:val="FAC090" w:themeColor="accent6" w:themeShade="95" w:themeTint="98"/>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7E7E7E" w:themeColor="text1" w:themeShade="95" w:themeTint="80"/>
        <w:sz w:val="22"/>
      </w:rPr>
      <w:tblPr/>
      <w:tcPr>
        <w:shd w:val="clear" w:color="BEBEBE" w:themeColor="text1" w:themeTint="40" w:fill="BEBEBE" w:themeFill="text1" w:themeFillTint="40"/>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8">
    <w:name w:val="Lined - Accen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9">
    <w:name w:val="Lined - Accent 1"/>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0">
    <w:name w:val="Lined - Accent 2"/>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1">
    <w:name w:val="Lined - Accent 3"/>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4"/>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5"/>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6"/>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5">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Calibri" w:hAnsi="Calibri" w:eastAsia="宋体" w:cs="Times New Roman"/>
    </w:rPr>
  </w:style>
  <w:style w:type="paragraph" w:customStyle="1" w:styleId="182">
    <w:name w:val="标题 11"/>
    <w:basedOn w:val="1"/>
    <w:next w:val="1"/>
    <w:link w:val="195"/>
    <w:qFormat/>
    <w:uiPriority w:val="9"/>
    <w:pPr>
      <w:keepNext/>
      <w:keepLines/>
      <w:spacing w:line="240" w:lineRule="auto"/>
      <w:ind w:firstLine="0"/>
      <w:jc w:val="center"/>
      <w:outlineLvl w:val="0"/>
    </w:pPr>
    <w:rPr>
      <w:rFonts w:ascii="黑体" w:eastAsia="黑体"/>
      <w:bCs/>
      <w:sz w:val="32"/>
      <w:szCs w:val="44"/>
    </w:rPr>
  </w:style>
  <w:style w:type="paragraph" w:customStyle="1" w:styleId="183">
    <w:name w:val="标题 21"/>
    <w:basedOn w:val="1"/>
    <w:next w:val="1"/>
    <w:link w:val="196"/>
    <w:unhideWhenUsed/>
    <w:qFormat/>
    <w:uiPriority w:val="9"/>
    <w:pPr>
      <w:keepNext/>
      <w:keepLines/>
      <w:ind w:firstLine="0"/>
      <w:jc w:val="left"/>
      <w:outlineLvl w:val="1"/>
    </w:pPr>
    <w:rPr>
      <w:rFonts w:ascii="黑体" w:hAnsi="Cambria" w:eastAsia="黑体" w:cs="Times New Roman"/>
      <w:bCs/>
      <w:sz w:val="30"/>
      <w:szCs w:val="32"/>
    </w:rPr>
  </w:style>
  <w:style w:type="paragraph" w:customStyle="1" w:styleId="184">
    <w:name w:val="标题 31"/>
    <w:basedOn w:val="1"/>
    <w:next w:val="1"/>
    <w:link w:val="197"/>
    <w:unhideWhenUsed/>
    <w:qFormat/>
    <w:uiPriority w:val="9"/>
    <w:pPr>
      <w:keepNext/>
      <w:keepLines/>
      <w:spacing w:after="60"/>
      <w:ind w:firstLine="0"/>
      <w:jc w:val="left"/>
      <w:outlineLvl w:val="2"/>
    </w:pPr>
    <w:rPr>
      <w:rFonts w:ascii="黑体" w:eastAsia="黑体"/>
      <w:bCs/>
      <w:szCs w:val="32"/>
    </w:rPr>
  </w:style>
  <w:style w:type="paragraph" w:customStyle="1" w:styleId="185">
    <w:name w:val="标题 41"/>
    <w:basedOn w:val="1"/>
    <w:next w:val="1"/>
    <w:link w:val="198"/>
    <w:qFormat/>
    <w:uiPriority w:val="9"/>
    <w:pPr>
      <w:keepNext/>
      <w:widowControl/>
      <w:spacing w:before="240" w:after="60" w:line="240" w:lineRule="auto"/>
      <w:ind w:firstLine="0"/>
      <w:jc w:val="left"/>
      <w:outlineLvl w:val="3"/>
    </w:pPr>
    <w:rPr>
      <w:rFonts w:ascii="Calibri"/>
      <w:b/>
      <w:bCs/>
      <w:szCs w:val="28"/>
      <w:lang w:eastAsia="en-US" w:bidi="en-US"/>
    </w:rPr>
  </w:style>
  <w:style w:type="paragraph" w:customStyle="1" w:styleId="186">
    <w:name w:val="标题 51"/>
    <w:basedOn w:val="1"/>
    <w:next w:val="1"/>
    <w:link w:val="199"/>
    <w:qFormat/>
    <w:uiPriority w:val="9"/>
    <w:pPr>
      <w:widowControl/>
      <w:spacing w:before="240" w:after="60" w:line="240" w:lineRule="auto"/>
      <w:ind w:firstLine="0"/>
      <w:jc w:val="left"/>
      <w:outlineLvl w:val="4"/>
    </w:pPr>
    <w:rPr>
      <w:rFonts w:ascii="Calibri"/>
      <w:b/>
      <w:bCs/>
      <w:iCs/>
      <w:szCs w:val="26"/>
      <w:lang w:eastAsia="en-US" w:bidi="en-US"/>
    </w:rPr>
  </w:style>
  <w:style w:type="paragraph" w:customStyle="1" w:styleId="187">
    <w:name w:val="标题 61"/>
    <w:basedOn w:val="1"/>
    <w:next w:val="1"/>
    <w:link w:val="200"/>
    <w:qFormat/>
    <w:uiPriority w:val="9"/>
    <w:pPr>
      <w:widowControl/>
      <w:spacing w:before="240" w:after="60" w:line="240" w:lineRule="auto"/>
      <w:ind w:firstLine="0"/>
      <w:jc w:val="left"/>
      <w:outlineLvl w:val="5"/>
    </w:pPr>
    <w:rPr>
      <w:rFonts w:ascii="Calibri"/>
      <w:b/>
      <w:bCs/>
      <w:sz w:val="22"/>
      <w:szCs w:val="22"/>
      <w:lang w:eastAsia="en-US" w:bidi="en-US"/>
    </w:rPr>
  </w:style>
  <w:style w:type="paragraph" w:customStyle="1" w:styleId="188">
    <w:name w:val="标题 71"/>
    <w:basedOn w:val="1"/>
    <w:next w:val="1"/>
    <w:link w:val="201"/>
    <w:qFormat/>
    <w:uiPriority w:val="9"/>
    <w:pPr>
      <w:widowControl/>
      <w:spacing w:before="240" w:after="60" w:line="240" w:lineRule="auto"/>
      <w:ind w:firstLine="0"/>
      <w:jc w:val="left"/>
      <w:outlineLvl w:val="6"/>
    </w:pPr>
    <w:rPr>
      <w:rFonts w:ascii="Calibri"/>
      <w:szCs w:val="24"/>
      <w:lang w:eastAsia="en-US" w:bidi="en-US"/>
    </w:rPr>
  </w:style>
  <w:style w:type="paragraph" w:customStyle="1" w:styleId="189">
    <w:name w:val="标题 81"/>
    <w:basedOn w:val="1"/>
    <w:next w:val="1"/>
    <w:link w:val="202"/>
    <w:qFormat/>
    <w:uiPriority w:val="9"/>
    <w:pPr>
      <w:widowControl/>
      <w:spacing w:before="240" w:after="60" w:line="240" w:lineRule="auto"/>
      <w:ind w:firstLine="0"/>
      <w:jc w:val="left"/>
      <w:outlineLvl w:val="7"/>
    </w:pPr>
    <w:rPr>
      <w:rFonts w:ascii="Calibri"/>
      <w:i/>
      <w:iCs/>
      <w:szCs w:val="24"/>
      <w:lang w:eastAsia="en-US" w:bidi="en-US"/>
    </w:rPr>
  </w:style>
  <w:style w:type="paragraph" w:customStyle="1" w:styleId="190">
    <w:name w:val="标题 91"/>
    <w:basedOn w:val="1"/>
    <w:next w:val="1"/>
    <w:link w:val="203"/>
    <w:qFormat/>
    <w:uiPriority w:val="9"/>
    <w:pPr>
      <w:widowControl/>
      <w:spacing w:before="240" w:after="60" w:line="240" w:lineRule="auto"/>
      <w:ind w:firstLine="0"/>
      <w:jc w:val="left"/>
      <w:outlineLvl w:val="8"/>
    </w:pPr>
    <w:rPr>
      <w:rFonts w:ascii="Cambria" w:hAnsi="Cambria"/>
      <w:sz w:val="22"/>
      <w:szCs w:val="22"/>
      <w:lang w:eastAsia="en-US" w:bidi="en-US"/>
    </w:rPr>
  </w:style>
  <w:style w:type="character" w:customStyle="1" w:styleId="191">
    <w:name w:val="默认段落字体1"/>
    <w:link w:val="1"/>
    <w:unhideWhenUsed/>
    <w:uiPriority w:val="1"/>
  </w:style>
  <w:style w:type="table" w:customStyle="1" w:styleId="192">
    <w:name w:val="普通表格1"/>
    <w:unhideWhenUsed/>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193">
    <w:name w:val="宏文本1"/>
    <w:link w:val="194"/>
    <w:semiHidden/>
    <w:uiPriority w:val="0"/>
    <w:pPr>
      <w:tabs>
        <w:tab w:val="left" w:pos="480"/>
        <w:tab w:val="left" w:pos="960"/>
        <w:tab w:val="left" w:pos="1440"/>
        <w:tab w:val="left" w:pos="1920"/>
        <w:tab w:val="left" w:pos="2400"/>
        <w:tab w:val="left" w:pos="2880"/>
        <w:tab w:val="left" w:pos="3360"/>
        <w:tab w:val="left" w:pos="3840"/>
        <w:tab w:val="left" w:pos="4320"/>
      </w:tabs>
    </w:pPr>
    <w:rPr>
      <w:rFonts w:hint="default" w:ascii="Courier New" w:hAnsi="Courier New" w:eastAsia="宋体" w:cs="Courier New"/>
      <w:sz w:val="24"/>
      <w:szCs w:val="24"/>
      <w:lang w:val="en-US" w:eastAsia="en-US" w:bidi="en-US"/>
    </w:rPr>
  </w:style>
  <w:style w:type="character" w:customStyle="1" w:styleId="194">
    <w:name w:val="宏文本 Char"/>
    <w:link w:val="193"/>
    <w:semiHidden/>
    <w:uiPriority w:val="0"/>
    <w:rPr>
      <w:rFonts w:ascii="Courier New" w:hAnsi="Courier New" w:eastAsia="宋体" w:cs="Courier New"/>
      <w:sz w:val="24"/>
      <w:szCs w:val="24"/>
      <w:lang w:eastAsia="en-US" w:bidi="en-US"/>
    </w:rPr>
  </w:style>
  <w:style w:type="character" w:customStyle="1" w:styleId="195">
    <w:name w:val="标题 1 Char"/>
    <w:link w:val="182"/>
    <w:uiPriority w:val="9"/>
    <w:rPr>
      <w:rFonts w:ascii="黑体" w:hAnsi="Calibri" w:eastAsia="黑体" w:cs="Times New Roman"/>
      <w:bCs/>
      <w:sz w:val="32"/>
      <w:szCs w:val="44"/>
    </w:rPr>
  </w:style>
  <w:style w:type="character" w:customStyle="1" w:styleId="196">
    <w:name w:val="标题 2 Char"/>
    <w:link w:val="183"/>
    <w:uiPriority w:val="9"/>
    <w:rPr>
      <w:rFonts w:ascii="黑体" w:hAnsi="Cambria" w:eastAsia="黑体" w:cs="Times New Roman"/>
      <w:bCs/>
      <w:sz w:val="30"/>
      <w:szCs w:val="32"/>
    </w:rPr>
  </w:style>
  <w:style w:type="character" w:customStyle="1" w:styleId="197">
    <w:name w:val="标题 3 Char"/>
    <w:link w:val="184"/>
    <w:qFormat/>
    <w:uiPriority w:val="9"/>
    <w:rPr>
      <w:rFonts w:ascii="黑体" w:hAnsi="Calibri" w:eastAsia="黑体" w:cs="Times New Roman"/>
      <w:bCs/>
      <w:sz w:val="28"/>
      <w:szCs w:val="32"/>
    </w:rPr>
  </w:style>
  <w:style w:type="character" w:customStyle="1" w:styleId="198">
    <w:name w:val="标题 4 Char"/>
    <w:link w:val="185"/>
    <w:uiPriority w:val="9"/>
    <w:rPr>
      <w:rFonts w:ascii="Calibri" w:hAnsi="Calibri" w:eastAsia="宋体" w:cs="Times New Roman"/>
      <w:b/>
      <w:bCs/>
      <w:sz w:val="28"/>
      <w:szCs w:val="28"/>
      <w:lang w:eastAsia="en-US" w:bidi="en-US"/>
    </w:rPr>
  </w:style>
  <w:style w:type="character" w:customStyle="1" w:styleId="199">
    <w:name w:val="标题 5 Char"/>
    <w:link w:val="186"/>
    <w:uiPriority w:val="9"/>
    <w:rPr>
      <w:rFonts w:ascii="Calibri" w:hAnsi="Calibri" w:eastAsia="宋体" w:cs="Times New Roman"/>
      <w:b/>
      <w:bCs/>
      <w:iCs/>
      <w:sz w:val="28"/>
      <w:szCs w:val="26"/>
      <w:lang w:eastAsia="en-US" w:bidi="en-US"/>
    </w:rPr>
  </w:style>
  <w:style w:type="character" w:customStyle="1" w:styleId="200">
    <w:name w:val="标题 6 Char"/>
    <w:link w:val="187"/>
    <w:uiPriority w:val="9"/>
    <w:rPr>
      <w:rFonts w:ascii="Calibri" w:hAnsi="Calibri" w:eastAsia="宋体" w:cs="Times New Roman"/>
      <w:b/>
      <w:bCs/>
      <w:sz w:val="22"/>
      <w:szCs w:val="22"/>
      <w:lang w:eastAsia="en-US" w:bidi="en-US"/>
    </w:rPr>
  </w:style>
  <w:style w:type="character" w:customStyle="1" w:styleId="201">
    <w:name w:val="标题 7 Char"/>
    <w:link w:val="188"/>
    <w:uiPriority w:val="9"/>
    <w:rPr>
      <w:rFonts w:ascii="Calibri" w:hAnsi="Calibri" w:eastAsia="宋体" w:cs="Times New Roman"/>
      <w:sz w:val="24"/>
      <w:szCs w:val="24"/>
      <w:lang w:eastAsia="en-US" w:bidi="en-US"/>
    </w:rPr>
  </w:style>
  <w:style w:type="character" w:customStyle="1" w:styleId="202">
    <w:name w:val="标题 8 Char"/>
    <w:link w:val="189"/>
    <w:uiPriority w:val="9"/>
    <w:rPr>
      <w:rFonts w:ascii="Calibri" w:hAnsi="Calibri" w:eastAsia="宋体" w:cs="Times New Roman"/>
      <w:i/>
      <w:iCs/>
      <w:sz w:val="24"/>
      <w:szCs w:val="24"/>
      <w:lang w:eastAsia="en-US" w:bidi="en-US"/>
    </w:rPr>
  </w:style>
  <w:style w:type="character" w:customStyle="1" w:styleId="203">
    <w:name w:val="标题 9 Char"/>
    <w:link w:val="190"/>
    <w:uiPriority w:val="9"/>
    <w:rPr>
      <w:rFonts w:ascii="Cambria" w:hAnsi="Cambria" w:eastAsia="宋体" w:cs="Times New Roman"/>
      <w:sz w:val="22"/>
      <w:szCs w:val="22"/>
      <w:lang w:eastAsia="en-US" w:bidi="en-US"/>
    </w:rPr>
  </w:style>
  <w:style w:type="paragraph" w:customStyle="1" w:styleId="204">
    <w:name w:val="目录 71"/>
    <w:basedOn w:val="1"/>
    <w:next w:val="1"/>
    <w:unhideWhenUsed/>
    <w:uiPriority w:val="39"/>
    <w:pPr>
      <w:spacing w:line="240" w:lineRule="auto"/>
      <w:ind w:left="2520" w:firstLine="0"/>
    </w:pPr>
    <w:rPr>
      <w:rFonts w:ascii="Calibri" w:hAnsi="Calibri" w:eastAsia="宋体" w:cs="Times New Roman"/>
      <w:sz w:val="21"/>
      <w:szCs w:val="22"/>
    </w:rPr>
  </w:style>
  <w:style w:type="paragraph" w:customStyle="1" w:styleId="205">
    <w:name w:val="文档结构图1"/>
    <w:basedOn w:val="1"/>
    <w:link w:val="206"/>
    <w:unhideWhenUsed/>
    <w:uiPriority w:val="0"/>
    <w:rPr>
      <w:sz w:val="18"/>
      <w:szCs w:val="18"/>
    </w:rPr>
  </w:style>
  <w:style w:type="character" w:customStyle="1" w:styleId="206">
    <w:name w:val="文档结构图 Char"/>
    <w:link w:val="205"/>
    <w:semiHidden/>
    <w:uiPriority w:val="99"/>
    <w:rPr>
      <w:rFonts w:ascii="宋体" w:hAnsi="Calibri" w:eastAsia="宋体" w:cs="Times New Roman"/>
      <w:sz w:val="18"/>
      <w:szCs w:val="18"/>
    </w:rPr>
  </w:style>
  <w:style w:type="paragraph" w:customStyle="1" w:styleId="207">
    <w:name w:val="批注文字1"/>
    <w:basedOn w:val="1"/>
    <w:link w:val="208"/>
    <w:unhideWhenUsed/>
    <w:uiPriority w:val="99"/>
    <w:pPr>
      <w:jc w:val="left"/>
    </w:pPr>
  </w:style>
  <w:style w:type="character" w:customStyle="1" w:styleId="208">
    <w:name w:val="批注文字 Char"/>
    <w:link w:val="207"/>
    <w:semiHidden/>
    <w:uiPriority w:val="99"/>
    <w:rPr>
      <w:rFonts w:ascii="宋体" w:hAnsi="Calibri" w:eastAsia="宋体" w:cs="Times New Roman"/>
      <w:sz w:val="28"/>
    </w:rPr>
  </w:style>
  <w:style w:type="paragraph" w:customStyle="1" w:styleId="209">
    <w:name w:val="正文文本1"/>
    <w:basedOn w:val="1"/>
    <w:link w:val="210"/>
    <w:unhideWhenUsed/>
    <w:qFormat/>
    <w:uiPriority w:val="99"/>
    <w:pPr>
      <w:spacing w:after="120"/>
    </w:pPr>
  </w:style>
  <w:style w:type="character" w:customStyle="1" w:styleId="210">
    <w:name w:val="正文文本 Char"/>
    <w:link w:val="209"/>
    <w:qFormat/>
    <w:uiPriority w:val="99"/>
    <w:rPr>
      <w:rFonts w:ascii="宋体"/>
      <w:sz w:val="28"/>
      <w:szCs w:val="21"/>
    </w:rPr>
  </w:style>
  <w:style w:type="paragraph" w:customStyle="1" w:styleId="211">
    <w:name w:val="正文文本缩进11"/>
    <w:basedOn w:val="1"/>
    <w:link w:val="212"/>
    <w:uiPriority w:val="0"/>
    <w:pPr>
      <w:widowControl/>
      <w:ind w:firstLine="640"/>
      <w:jc w:val="left"/>
    </w:pPr>
    <w:rPr>
      <w:rFonts w:hAnsi="宋体"/>
      <w:sz w:val="32"/>
      <w:szCs w:val="32"/>
      <w:lang w:eastAsia="en-US" w:bidi="en-US"/>
    </w:rPr>
  </w:style>
  <w:style w:type="character" w:customStyle="1" w:styleId="212">
    <w:name w:val="正文文本缩进 Char"/>
    <w:link w:val="211"/>
    <w:uiPriority w:val="0"/>
    <w:rPr>
      <w:rFonts w:ascii="宋体" w:hAnsi="宋体" w:eastAsia="宋体" w:cs="Times New Roman"/>
      <w:sz w:val="32"/>
      <w:szCs w:val="32"/>
      <w:lang w:eastAsia="en-US" w:bidi="en-US"/>
    </w:rPr>
  </w:style>
  <w:style w:type="paragraph" w:customStyle="1" w:styleId="213">
    <w:name w:val="目录 51"/>
    <w:basedOn w:val="1"/>
    <w:next w:val="1"/>
    <w:unhideWhenUsed/>
    <w:uiPriority w:val="39"/>
    <w:pPr>
      <w:spacing w:line="240" w:lineRule="auto"/>
      <w:ind w:left="1680" w:firstLine="0"/>
    </w:pPr>
    <w:rPr>
      <w:rFonts w:ascii="Calibri" w:hAnsi="Calibri" w:eastAsia="宋体" w:cs="Times New Roman"/>
      <w:sz w:val="21"/>
      <w:szCs w:val="22"/>
    </w:rPr>
  </w:style>
  <w:style w:type="paragraph" w:customStyle="1" w:styleId="214">
    <w:name w:val="目录 31"/>
    <w:basedOn w:val="1"/>
    <w:next w:val="1"/>
    <w:uiPriority w:val="39"/>
    <w:pPr>
      <w:widowControl/>
      <w:spacing w:line="240" w:lineRule="auto"/>
      <w:ind w:left="840" w:firstLine="0"/>
      <w:jc w:val="left"/>
    </w:pPr>
    <w:rPr>
      <w:rFonts w:ascii="Calibri"/>
      <w:szCs w:val="24"/>
      <w:lang w:eastAsia="en-US" w:bidi="en-US"/>
    </w:rPr>
  </w:style>
  <w:style w:type="paragraph" w:customStyle="1" w:styleId="215">
    <w:name w:val="纯文本1"/>
    <w:basedOn w:val="1"/>
    <w:link w:val="216"/>
    <w:qFormat/>
    <w:uiPriority w:val="0"/>
    <w:pPr>
      <w:spacing w:line="240" w:lineRule="auto"/>
      <w:ind w:firstLine="0"/>
      <w:jc w:val="left"/>
    </w:pPr>
    <w:rPr>
      <w:rFonts w:hAnsi="Courier New" w:eastAsia="宋体" w:cs="Courier New"/>
      <w:sz w:val="21"/>
    </w:rPr>
  </w:style>
  <w:style w:type="character" w:customStyle="1" w:styleId="216">
    <w:name w:val="纯文本 Char"/>
    <w:link w:val="215"/>
    <w:uiPriority w:val="0"/>
    <w:rPr>
      <w:rFonts w:ascii="宋体" w:hAnsi="Courier New" w:cs="Courier New"/>
    </w:rPr>
  </w:style>
  <w:style w:type="paragraph" w:customStyle="1" w:styleId="217">
    <w:name w:val="目录 81"/>
    <w:basedOn w:val="1"/>
    <w:next w:val="1"/>
    <w:unhideWhenUsed/>
    <w:uiPriority w:val="39"/>
    <w:pPr>
      <w:spacing w:line="240" w:lineRule="auto"/>
      <w:ind w:left="2940" w:firstLine="0"/>
    </w:pPr>
    <w:rPr>
      <w:rFonts w:ascii="Calibri" w:hAnsi="Calibri" w:eastAsia="宋体" w:cs="Times New Roman"/>
      <w:sz w:val="21"/>
      <w:szCs w:val="22"/>
    </w:rPr>
  </w:style>
  <w:style w:type="paragraph" w:customStyle="1" w:styleId="218">
    <w:name w:val="日期1"/>
    <w:basedOn w:val="1"/>
    <w:next w:val="1"/>
    <w:link w:val="219"/>
    <w:uiPriority w:val="0"/>
    <w:pPr>
      <w:widowControl/>
      <w:spacing w:line="240" w:lineRule="auto"/>
      <w:ind w:left="100" w:firstLine="0"/>
      <w:jc w:val="left"/>
    </w:pPr>
    <w:rPr>
      <w:rFonts w:ascii="Calibri"/>
      <w:szCs w:val="24"/>
      <w:lang w:eastAsia="en-US" w:bidi="en-US"/>
    </w:rPr>
  </w:style>
  <w:style w:type="character" w:customStyle="1" w:styleId="219">
    <w:name w:val="日期 Char"/>
    <w:link w:val="218"/>
    <w:uiPriority w:val="0"/>
    <w:rPr>
      <w:rFonts w:ascii="Calibri" w:hAnsi="Calibri" w:eastAsia="宋体" w:cs="Times New Roman"/>
      <w:sz w:val="24"/>
      <w:szCs w:val="24"/>
      <w:lang w:eastAsia="en-US" w:bidi="en-US"/>
    </w:rPr>
  </w:style>
  <w:style w:type="paragraph" w:customStyle="1" w:styleId="220">
    <w:name w:val="正文文本缩进 21"/>
    <w:basedOn w:val="1"/>
    <w:link w:val="221"/>
    <w:uiPriority w:val="0"/>
    <w:pPr>
      <w:widowControl/>
      <w:spacing w:after="120" w:line="480" w:lineRule="auto"/>
      <w:ind w:left="420" w:firstLine="0"/>
      <w:jc w:val="left"/>
    </w:pPr>
    <w:rPr>
      <w:rFonts w:ascii="Calibri"/>
      <w:szCs w:val="24"/>
      <w:lang w:eastAsia="en-US" w:bidi="en-US"/>
    </w:rPr>
  </w:style>
  <w:style w:type="character" w:customStyle="1" w:styleId="221">
    <w:name w:val="正文文本缩进 2 Char"/>
    <w:link w:val="220"/>
    <w:uiPriority w:val="0"/>
    <w:rPr>
      <w:rFonts w:ascii="Calibri" w:hAnsi="Calibri" w:eastAsia="宋体" w:cs="Times New Roman"/>
      <w:sz w:val="24"/>
      <w:szCs w:val="24"/>
      <w:lang w:eastAsia="en-US" w:bidi="en-US"/>
    </w:rPr>
  </w:style>
  <w:style w:type="paragraph" w:customStyle="1" w:styleId="222">
    <w:name w:val="批注框文本1"/>
    <w:basedOn w:val="1"/>
    <w:link w:val="223"/>
    <w:unhideWhenUsed/>
    <w:uiPriority w:val="99"/>
    <w:pPr>
      <w:spacing w:line="240" w:lineRule="auto"/>
    </w:pPr>
    <w:rPr>
      <w:sz w:val="18"/>
      <w:szCs w:val="18"/>
    </w:rPr>
  </w:style>
  <w:style w:type="character" w:customStyle="1" w:styleId="223">
    <w:name w:val="批注框文本 Char"/>
    <w:link w:val="222"/>
    <w:semiHidden/>
    <w:uiPriority w:val="99"/>
    <w:rPr>
      <w:rFonts w:ascii="宋体" w:hAnsi="Calibri" w:eastAsia="宋体" w:cs="Times New Roman"/>
      <w:sz w:val="18"/>
      <w:szCs w:val="18"/>
    </w:rPr>
  </w:style>
  <w:style w:type="paragraph" w:customStyle="1" w:styleId="224">
    <w:name w:val="页脚1"/>
    <w:basedOn w:val="1"/>
    <w:link w:val="225"/>
    <w:unhideWhenUsed/>
    <w:uiPriority w:val="99"/>
    <w:pPr>
      <w:tabs>
        <w:tab w:val="center" w:pos="4153"/>
        <w:tab w:val="right" w:pos="8306"/>
      </w:tabs>
      <w:jc w:val="left"/>
    </w:pPr>
    <w:rPr>
      <w:sz w:val="18"/>
      <w:szCs w:val="18"/>
    </w:rPr>
  </w:style>
  <w:style w:type="character" w:customStyle="1" w:styleId="225">
    <w:name w:val="页脚 Char"/>
    <w:link w:val="224"/>
    <w:uiPriority w:val="99"/>
    <w:rPr>
      <w:sz w:val="18"/>
      <w:szCs w:val="18"/>
    </w:rPr>
  </w:style>
  <w:style w:type="paragraph" w:customStyle="1" w:styleId="226">
    <w:name w:val="页眉1"/>
    <w:basedOn w:val="1"/>
    <w:link w:val="227"/>
    <w:unhideWhenUsed/>
    <w:uiPriority w:val="99"/>
    <w:pPr>
      <w:tabs>
        <w:tab w:val="center" w:pos="4153"/>
        <w:tab w:val="right" w:pos="8306"/>
      </w:tabs>
      <w:jc w:val="center"/>
    </w:pPr>
    <w:rPr>
      <w:sz w:val="18"/>
      <w:szCs w:val="18"/>
    </w:rPr>
  </w:style>
  <w:style w:type="character" w:customStyle="1" w:styleId="227">
    <w:name w:val="页眉 Char"/>
    <w:link w:val="226"/>
    <w:uiPriority w:val="99"/>
    <w:rPr>
      <w:rFonts w:ascii="宋体" w:hAnsi="Calibri" w:eastAsia="宋体" w:cs="Times New Roman"/>
      <w:sz w:val="18"/>
      <w:szCs w:val="18"/>
    </w:rPr>
  </w:style>
  <w:style w:type="paragraph" w:customStyle="1" w:styleId="228">
    <w:name w:val="目录 11"/>
    <w:basedOn w:val="1"/>
    <w:next w:val="1"/>
    <w:uiPriority w:val="39"/>
    <w:pPr>
      <w:widowControl/>
      <w:tabs>
        <w:tab w:val="right" w:leader="dot" w:pos="9072"/>
      </w:tabs>
      <w:spacing w:line="240" w:lineRule="auto"/>
      <w:ind w:firstLine="560"/>
      <w:jc w:val="center"/>
    </w:pPr>
    <w:rPr>
      <w:rFonts w:ascii="Times New Roman" w:hAnsi="Times New Roman" w:eastAsia="黑体"/>
      <w:b/>
      <w:sz w:val="32"/>
      <w:szCs w:val="24"/>
      <w:lang w:bidi="en-US"/>
    </w:rPr>
  </w:style>
  <w:style w:type="paragraph" w:customStyle="1" w:styleId="229">
    <w:name w:val="目录 41"/>
    <w:basedOn w:val="1"/>
    <w:next w:val="1"/>
    <w:unhideWhenUsed/>
    <w:uiPriority w:val="39"/>
    <w:pPr>
      <w:spacing w:line="240" w:lineRule="auto"/>
      <w:ind w:left="1260" w:firstLine="0"/>
    </w:pPr>
    <w:rPr>
      <w:rFonts w:ascii="Calibri" w:hAnsi="Calibri" w:eastAsia="宋体" w:cs="Times New Roman"/>
      <w:sz w:val="21"/>
      <w:szCs w:val="22"/>
    </w:rPr>
  </w:style>
  <w:style w:type="paragraph" w:customStyle="1" w:styleId="230">
    <w:name w:val="副标题1"/>
    <w:basedOn w:val="1"/>
    <w:next w:val="1"/>
    <w:link w:val="231"/>
    <w:qFormat/>
    <w:uiPriority w:val="11"/>
    <w:pPr>
      <w:widowControl/>
      <w:spacing w:after="60" w:line="240" w:lineRule="auto"/>
      <w:ind w:firstLine="0"/>
      <w:jc w:val="center"/>
      <w:outlineLvl w:val="1"/>
    </w:pPr>
    <w:rPr>
      <w:rFonts w:ascii="Cambria" w:hAnsi="Cambria"/>
      <w:szCs w:val="24"/>
      <w:lang w:eastAsia="en-US" w:bidi="en-US"/>
    </w:rPr>
  </w:style>
  <w:style w:type="character" w:customStyle="1" w:styleId="231">
    <w:name w:val="副标题 Char"/>
    <w:link w:val="230"/>
    <w:uiPriority w:val="11"/>
    <w:rPr>
      <w:rFonts w:ascii="Cambria" w:hAnsi="Cambria" w:eastAsia="宋体" w:cs="Times New Roman"/>
      <w:sz w:val="24"/>
      <w:szCs w:val="24"/>
      <w:lang w:eastAsia="en-US" w:bidi="en-US"/>
    </w:rPr>
  </w:style>
  <w:style w:type="paragraph" w:customStyle="1" w:styleId="232">
    <w:name w:val="目录 61"/>
    <w:basedOn w:val="1"/>
    <w:next w:val="1"/>
    <w:unhideWhenUsed/>
    <w:uiPriority w:val="39"/>
    <w:pPr>
      <w:spacing w:line="240" w:lineRule="auto"/>
      <w:ind w:left="2100" w:firstLine="0"/>
    </w:pPr>
    <w:rPr>
      <w:rFonts w:ascii="Calibri" w:hAnsi="Calibri" w:eastAsia="宋体" w:cs="Times New Roman"/>
      <w:sz w:val="21"/>
      <w:szCs w:val="22"/>
    </w:rPr>
  </w:style>
  <w:style w:type="paragraph" w:customStyle="1" w:styleId="233">
    <w:name w:val="目录 21"/>
    <w:basedOn w:val="1"/>
    <w:next w:val="1"/>
    <w:uiPriority w:val="39"/>
    <w:pPr>
      <w:widowControl/>
      <w:spacing w:line="240" w:lineRule="auto"/>
      <w:ind w:left="420" w:firstLine="0"/>
      <w:jc w:val="left"/>
    </w:pPr>
    <w:rPr>
      <w:rFonts w:ascii="Calibri"/>
      <w:szCs w:val="24"/>
      <w:lang w:eastAsia="en-US" w:bidi="en-US"/>
    </w:rPr>
  </w:style>
  <w:style w:type="paragraph" w:customStyle="1" w:styleId="234">
    <w:name w:val="目录 91"/>
    <w:basedOn w:val="1"/>
    <w:next w:val="1"/>
    <w:unhideWhenUsed/>
    <w:uiPriority w:val="39"/>
    <w:pPr>
      <w:spacing w:line="240" w:lineRule="auto"/>
      <w:ind w:left="3360" w:firstLine="0"/>
    </w:pPr>
    <w:rPr>
      <w:rFonts w:ascii="Calibri" w:hAnsi="Calibri" w:eastAsia="宋体" w:cs="Times New Roman"/>
      <w:sz w:val="21"/>
      <w:szCs w:val="22"/>
    </w:rPr>
  </w:style>
  <w:style w:type="paragraph" w:customStyle="1" w:styleId="235">
    <w:name w:val="普通(网站)1"/>
    <w:basedOn w:val="1"/>
    <w:uiPriority w:val="0"/>
    <w:pPr>
      <w:widowControl/>
      <w:spacing w:before="100" w:beforeAutospacing="1" w:after="100" w:afterAutospacing="1" w:line="240" w:lineRule="auto"/>
      <w:ind w:firstLine="0"/>
      <w:jc w:val="left"/>
    </w:pPr>
    <w:rPr>
      <w:rFonts w:hAnsi="宋体" w:cs="宋体"/>
      <w:szCs w:val="24"/>
      <w:lang w:eastAsia="en-US" w:bidi="en-US"/>
    </w:rPr>
  </w:style>
  <w:style w:type="paragraph" w:customStyle="1" w:styleId="236">
    <w:name w:val="标题1"/>
    <w:basedOn w:val="1"/>
    <w:next w:val="1"/>
    <w:link w:val="237"/>
    <w:qFormat/>
    <w:uiPriority w:val="10"/>
    <w:pPr>
      <w:widowControl/>
      <w:spacing w:before="240" w:after="60" w:line="240" w:lineRule="auto"/>
      <w:ind w:firstLine="0"/>
      <w:jc w:val="center"/>
      <w:outlineLvl w:val="0"/>
    </w:pPr>
    <w:rPr>
      <w:rFonts w:ascii="Cambria" w:hAnsi="Cambria"/>
      <w:b/>
      <w:bCs/>
      <w:sz w:val="32"/>
      <w:szCs w:val="32"/>
      <w:lang w:eastAsia="en-US" w:bidi="en-US"/>
    </w:rPr>
  </w:style>
  <w:style w:type="character" w:customStyle="1" w:styleId="237">
    <w:name w:val="标题 Char"/>
    <w:link w:val="236"/>
    <w:uiPriority w:val="10"/>
    <w:rPr>
      <w:rFonts w:ascii="Cambria" w:hAnsi="Cambria" w:eastAsia="宋体" w:cs="Times New Roman"/>
      <w:b/>
      <w:bCs/>
      <w:sz w:val="32"/>
      <w:szCs w:val="32"/>
      <w:lang w:eastAsia="en-US" w:bidi="en-US"/>
    </w:rPr>
  </w:style>
  <w:style w:type="paragraph" w:customStyle="1" w:styleId="238">
    <w:name w:val="批注主题1"/>
    <w:basedOn w:val="207"/>
    <w:next w:val="207"/>
    <w:link w:val="239"/>
    <w:unhideWhenUsed/>
    <w:uiPriority w:val="99"/>
    <w:rPr>
      <w:b/>
      <w:bCs/>
    </w:rPr>
  </w:style>
  <w:style w:type="character" w:customStyle="1" w:styleId="239">
    <w:name w:val="批注主题 Char"/>
    <w:link w:val="238"/>
    <w:semiHidden/>
    <w:uiPriority w:val="99"/>
    <w:rPr>
      <w:rFonts w:ascii="宋体" w:hAnsi="Calibri" w:eastAsia="宋体" w:cs="Times New Roman"/>
      <w:b/>
      <w:bCs/>
      <w:sz w:val="28"/>
    </w:rPr>
  </w:style>
  <w:style w:type="table" w:customStyle="1" w:styleId="240">
    <w:name w:val="网格型1"/>
    <w:basedOn w:val="192"/>
    <w:uiPriority w:val="5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241">
    <w:name w:val="要点1"/>
    <w:link w:val="1"/>
    <w:qFormat/>
    <w:uiPriority w:val="22"/>
    <w:rPr>
      <w:b/>
      <w:bCs/>
    </w:rPr>
  </w:style>
  <w:style w:type="character" w:customStyle="1" w:styleId="242">
    <w:name w:val="页码1"/>
    <w:basedOn w:val="191"/>
    <w:link w:val="1"/>
    <w:uiPriority w:val="0"/>
  </w:style>
  <w:style w:type="character" w:customStyle="1" w:styleId="243">
    <w:name w:val="强调1"/>
    <w:link w:val="1"/>
    <w:qFormat/>
    <w:uiPriority w:val="20"/>
    <w:rPr>
      <w:rFonts w:ascii="Calibri" w:hAnsi="Calibri"/>
      <w:b/>
      <w:i/>
      <w:iCs/>
    </w:rPr>
  </w:style>
  <w:style w:type="character" w:customStyle="1" w:styleId="244">
    <w:name w:val="超链接1"/>
    <w:link w:val="1"/>
    <w:uiPriority w:val="99"/>
    <w:rPr>
      <w:color w:val="0000FF"/>
      <w:u w:val="single"/>
    </w:rPr>
  </w:style>
  <w:style w:type="character" w:customStyle="1" w:styleId="245">
    <w:name w:val="批注引用1"/>
    <w:link w:val="1"/>
    <w:unhideWhenUsed/>
    <w:uiPriority w:val="99"/>
    <w:rPr>
      <w:sz w:val="21"/>
      <w:szCs w:val="21"/>
    </w:rPr>
  </w:style>
  <w:style w:type="paragraph" w:customStyle="1" w:styleId="246">
    <w:name w:val="Char"/>
    <w:basedOn w:val="1"/>
    <w:next w:val="1"/>
    <w:uiPriority w:val="0"/>
    <w:pPr>
      <w:widowControl/>
      <w:spacing w:line="240" w:lineRule="auto"/>
      <w:ind w:firstLine="0"/>
      <w:jc w:val="left"/>
    </w:pPr>
    <w:rPr>
      <w:rFonts w:ascii="Calibri"/>
      <w:szCs w:val="24"/>
      <w:lang w:eastAsia="en-US" w:bidi="en-US"/>
    </w:rPr>
  </w:style>
  <w:style w:type="paragraph" w:customStyle="1" w:styleId="247">
    <w:name w:val="正文文本缩进1"/>
    <w:basedOn w:val="1"/>
    <w:uiPriority w:val="0"/>
    <w:pPr>
      <w:widowControl/>
      <w:ind w:firstLine="570"/>
      <w:jc w:val="left"/>
    </w:pPr>
    <w:rPr>
      <w:rFonts w:ascii="Calibri"/>
      <w:color w:val="0000FF"/>
      <w:sz w:val="32"/>
      <w:szCs w:val="32"/>
      <w:lang w:eastAsia="en-US" w:bidi="en-US"/>
    </w:rPr>
  </w:style>
  <w:style w:type="paragraph" w:customStyle="1" w:styleId="248">
    <w:name w:val="默认段落字体 Para Char"/>
    <w:basedOn w:val="1"/>
    <w:next w:val="1"/>
    <w:uiPriority w:val="0"/>
    <w:pPr>
      <w:widowControl/>
      <w:spacing w:line="240" w:lineRule="auto"/>
      <w:ind w:firstLine="0"/>
      <w:jc w:val="left"/>
    </w:pPr>
    <w:rPr>
      <w:rFonts w:ascii="Calibri"/>
      <w:szCs w:val="24"/>
      <w:lang w:eastAsia="en-US" w:bidi="en-US"/>
    </w:rPr>
  </w:style>
  <w:style w:type="paragraph" w:customStyle="1" w:styleId="249">
    <w:name w:val="Zw2"/>
    <w:basedOn w:val="1"/>
    <w:uiPriority w:val="0"/>
    <w:pPr>
      <w:widowControl/>
      <w:jc w:val="left"/>
    </w:pPr>
    <w:rPr>
      <w:rFonts w:ascii="Calibri"/>
      <w:lang w:eastAsia="en-US" w:bidi="en-US"/>
    </w:rPr>
  </w:style>
  <w:style w:type="paragraph" w:customStyle="1" w:styleId="250">
    <w:name w:val="节"/>
    <w:basedOn w:val="1"/>
    <w:uiPriority w:val="0"/>
    <w:pPr>
      <w:widowControl/>
      <w:spacing w:before="300" w:after="300" w:line="560" w:lineRule="exact"/>
      <w:ind w:firstLine="0"/>
      <w:jc w:val="center"/>
      <w:outlineLvl w:val="0"/>
    </w:pPr>
    <w:rPr>
      <w:rFonts w:ascii="方正楷体简体" w:eastAsia="方正楷体简体"/>
      <w:sz w:val="32"/>
      <w:szCs w:val="24"/>
      <w:lang w:eastAsia="en-US" w:bidi="en-US"/>
    </w:rPr>
  </w:style>
  <w:style w:type="paragraph" w:customStyle="1" w:styleId="251">
    <w:name w:val="BT5"/>
    <w:basedOn w:val="186"/>
    <w:next w:val="1"/>
    <w:uiPriority w:val="0"/>
    <w:pPr>
      <w:spacing w:before="0" w:after="0" w:line="360" w:lineRule="auto"/>
      <w:ind w:firstLine="200"/>
    </w:pPr>
    <w:rPr>
      <w:b w:val="0"/>
      <w:sz w:val="24"/>
      <w:szCs w:val="24"/>
    </w:rPr>
  </w:style>
  <w:style w:type="paragraph" w:customStyle="1" w:styleId="252">
    <w:name w:val="无间隔"/>
    <w:basedOn w:val="1"/>
    <w:qFormat/>
    <w:uiPriority w:val="1"/>
    <w:pPr>
      <w:widowControl/>
      <w:spacing w:line="240" w:lineRule="auto"/>
      <w:ind w:firstLine="0"/>
      <w:jc w:val="left"/>
    </w:pPr>
    <w:rPr>
      <w:rFonts w:ascii="Calibri"/>
      <w:szCs w:val="32"/>
      <w:lang w:eastAsia="en-US" w:bidi="en-US"/>
    </w:rPr>
  </w:style>
  <w:style w:type="paragraph" w:customStyle="1" w:styleId="253">
    <w:name w:val="列出段落"/>
    <w:basedOn w:val="1"/>
    <w:qFormat/>
    <w:uiPriority w:val="34"/>
    <w:pPr>
      <w:widowControl/>
      <w:spacing w:line="240" w:lineRule="auto"/>
      <w:ind w:left="720" w:firstLine="0"/>
      <w:contextualSpacing/>
      <w:jc w:val="left"/>
    </w:pPr>
    <w:rPr>
      <w:rFonts w:ascii="Calibri"/>
      <w:szCs w:val="24"/>
      <w:lang w:eastAsia="en-US" w:bidi="en-US"/>
    </w:rPr>
  </w:style>
  <w:style w:type="paragraph" w:customStyle="1" w:styleId="254">
    <w:name w:val="引用"/>
    <w:basedOn w:val="1"/>
    <w:next w:val="1"/>
    <w:link w:val="255"/>
    <w:qFormat/>
    <w:uiPriority w:val="29"/>
    <w:pPr>
      <w:widowControl/>
      <w:spacing w:line="240" w:lineRule="auto"/>
      <w:ind w:firstLine="0"/>
      <w:jc w:val="left"/>
    </w:pPr>
    <w:rPr>
      <w:rFonts w:ascii="Calibri"/>
      <w:i/>
      <w:szCs w:val="24"/>
      <w:lang w:eastAsia="en-US" w:bidi="en-US"/>
    </w:rPr>
  </w:style>
  <w:style w:type="character" w:customStyle="1" w:styleId="255">
    <w:name w:val="引用 Char"/>
    <w:link w:val="254"/>
    <w:uiPriority w:val="29"/>
    <w:rPr>
      <w:rFonts w:ascii="Calibri" w:hAnsi="Calibri" w:eastAsia="宋体" w:cs="Times New Roman"/>
      <w:i/>
      <w:sz w:val="24"/>
      <w:szCs w:val="24"/>
      <w:lang w:eastAsia="en-US" w:bidi="en-US"/>
    </w:rPr>
  </w:style>
  <w:style w:type="paragraph" w:customStyle="1" w:styleId="256">
    <w:name w:val="明显引用"/>
    <w:basedOn w:val="1"/>
    <w:next w:val="1"/>
    <w:link w:val="257"/>
    <w:qFormat/>
    <w:uiPriority w:val="30"/>
    <w:pPr>
      <w:widowControl/>
      <w:spacing w:line="240" w:lineRule="auto"/>
      <w:ind w:left="720" w:right="720" w:firstLine="0"/>
      <w:jc w:val="left"/>
    </w:pPr>
    <w:rPr>
      <w:rFonts w:ascii="Calibri"/>
      <w:b/>
      <w:i/>
      <w:szCs w:val="22"/>
      <w:lang w:eastAsia="en-US" w:bidi="en-US"/>
    </w:rPr>
  </w:style>
  <w:style w:type="character" w:customStyle="1" w:styleId="257">
    <w:name w:val="明显引用 Char"/>
    <w:link w:val="256"/>
    <w:uiPriority w:val="30"/>
    <w:rPr>
      <w:rFonts w:ascii="Calibri" w:hAnsi="Calibri" w:eastAsia="宋体" w:cs="Times New Roman"/>
      <w:b/>
      <w:i/>
      <w:sz w:val="24"/>
      <w:szCs w:val="22"/>
      <w:lang w:eastAsia="en-US" w:bidi="en-US"/>
    </w:rPr>
  </w:style>
  <w:style w:type="character" w:customStyle="1" w:styleId="258">
    <w:name w:val="不明显强调"/>
    <w:link w:val="1"/>
    <w:qFormat/>
    <w:uiPriority w:val="19"/>
    <w:rPr>
      <w:i/>
      <w:color w:val="5A5A5A"/>
    </w:rPr>
  </w:style>
  <w:style w:type="character" w:customStyle="1" w:styleId="259">
    <w:name w:val="明显强调"/>
    <w:link w:val="1"/>
    <w:qFormat/>
    <w:uiPriority w:val="21"/>
    <w:rPr>
      <w:b/>
      <w:i/>
      <w:sz w:val="24"/>
      <w:szCs w:val="24"/>
      <w:u w:val="single"/>
    </w:rPr>
  </w:style>
  <w:style w:type="character" w:customStyle="1" w:styleId="260">
    <w:name w:val="不明显参考"/>
    <w:link w:val="1"/>
    <w:qFormat/>
    <w:uiPriority w:val="31"/>
    <w:rPr>
      <w:sz w:val="24"/>
      <w:szCs w:val="24"/>
      <w:u w:val="single"/>
    </w:rPr>
  </w:style>
  <w:style w:type="character" w:customStyle="1" w:styleId="261">
    <w:name w:val="明显参考"/>
    <w:link w:val="1"/>
    <w:qFormat/>
    <w:uiPriority w:val="32"/>
    <w:rPr>
      <w:b/>
      <w:sz w:val="24"/>
      <w:u w:val="single"/>
    </w:rPr>
  </w:style>
  <w:style w:type="character" w:customStyle="1" w:styleId="262">
    <w:name w:val="书籍标题"/>
    <w:link w:val="1"/>
    <w:qFormat/>
    <w:uiPriority w:val="33"/>
    <w:rPr>
      <w:rFonts w:ascii="Cambria" w:hAnsi="Cambria" w:eastAsia="宋体"/>
      <w:b/>
      <w:i/>
      <w:sz w:val="24"/>
      <w:szCs w:val="24"/>
    </w:rPr>
  </w:style>
  <w:style w:type="paragraph" w:customStyle="1" w:styleId="263">
    <w:name w:val="TOC 标题"/>
    <w:basedOn w:val="182"/>
    <w:next w:val="1"/>
    <w:qFormat/>
    <w:uiPriority w:val="39"/>
    <w:pPr>
      <w:keepLines w:val="0"/>
      <w:widowControl/>
      <w:jc w:val="left"/>
      <w:outlineLvl w:val="9"/>
    </w:pPr>
    <w:rPr>
      <w:rFonts w:ascii="Cambria" w:hAnsi="Cambria"/>
      <w:sz w:val="44"/>
      <w:szCs w:val="32"/>
      <w:lang w:eastAsia="en-US" w:bidi="en-US"/>
    </w:rPr>
  </w:style>
  <w:style w:type="paragraph" w:customStyle="1" w:styleId="264">
    <w:name w:val="Char Char Char Char Char Char"/>
    <w:basedOn w:val="1"/>
    <w:next w:val="193"/>
    <w:uiPriority w:val="0"/>
    <w:pPr>
      <w:spacing w:line="240" w:lineRule="auto"/>
      <w:ind w:firstLine="0"/>
    </w:pPr>
    <w:rPr>
      <w:rFonts w:ascii="Times New Roman" w:hAnsi="Times New Roman"/>
      <w:szCs w:val="28"/>
    </w:rPr>
  </w:style>
  <w:style w:type="paragraph" w:customStyle="1" w:styleId="265">
    <w:name w:val="Default"/>
    <w:uiPriority w:val="0"/>
    <w:pPr>
      <w:widowControl w:val="0"/>
    </w:pPr>
    <w:rPr>
      <w:rFonts w:hint="default" w:ascii="宋体" w:hAnsi="Calibri" w:eastAsia="宋体" w:cs="宋体"/>
      <w:color w:val="000000"/>
      <w:sz w:val="24"/>
      <w:szCs w:val="24"/>
      <w:lang w:val="en-US" w:eastAsia="zh-CN" w:bidi="ar-SA"/>
    </w:rPr>
  </w:style>
  <w:style w:type="paragraph" w:customStyle="1" w:styleId="266">
    <w:name w:val="样式2"/>
    <w:basedOn w:val="1"/>
    <w:link w:val="267"/>
    <w:uiPriority w:val="0"/>
    <w:pPr>
      <w:ind w:firstLine="560"/>
    </w:pPr>
    <w:rPr>
      <w:rFonts w:hAnsi="宋体"/>
      <w:szCs w:val="28"/>
    </w:rPr>
  </w:style>
  <w:style w:type="character" w:customStyle="1" w:styleId="267">
    <w:name w:val="样式2 Char"/>
    <w:link w:val="266"/>
    <w:uiPriority w:val="0"/>
    <w:rPr>
      <w:rFonts w:ascii="宋体" w:hAnsi="宋体" w:eastAsia="宋体" w:cs="Times New Roman"/>
      <w:sz w:val="28"/>
      <w:szCs w:val="28"/>
    </w:rPr>
  </w:style>
  <w:style w:type="paragraph" w:customStyle="1" w:styleId="268">
    <w:name w:val="Char1"/>
    <w:basedOn w:val="1"/>
    <w:uiPriority w:val="0"/>
    <w:pPr>
      <w:spacing w:line="240" w:lineRule="auto"/>
      <w:ind w:firstLine="0"/>
    </w:pPr>
    <w:rPr>
      <w:rFonts w:ascii="Times New Roman" w:hAnsi="Times New Roman"/>
      <w:sz w:val="21"/>
      <w:szCs w:val="24"/>
    </w:rPr>
  </w:style>
  <w:style w:type="paragraph" w:customStyle="1" w:styleId="269">
    <w:name w:val="Char2"/>
    <w:basedOn w:val="1"/>
    <w:uiPriority w:val="0"/>
    <w:pPr>
      <w:spacing w:line="240" w:lineRule="auto"/>
      <w:ind w:firstLine="0"/>
    </w:pPr>
    <w:rPr>
      <w:rFonts w:ascii="Times New Roman" w:hAnsi="Times New Roman"/>
      <w:sz w:val="21"/>
      <w:szCs w:val="24"/>
    </w:rPr>
  </w:style>
  <w:style w:type="character" w:customStyle="1" w:styleId="270">
    <w:name w:val="纯文本 字符"/>
    <w:link w:val="1"/>
    <w:uiPriority w:val="0"/>
    <w:rPr>
      <w:rFonts w:ascii="宋体" w:hAnsi="Courier New" w:cs="Courier New"/>
      <w:sz w:val="28"/>
    </w:rPr>
  </w:style>
  <w:style w:type="character" w:customStyle="1" w:styleId="271">
    <w:name w:val="fontstyle01"/>
    <w:link w:val="1"/>
    <w:uiPriority w:val="0"/>
    <w:rPr>
      <w:rFonts w:hint="eastAsia" w:ascii="宋体" w:hAnsi="宋体" w:eastAsia="宋体"/>
      <w:color w:val="000000"/>
      <w:sz w:val="24"/>
      <w:szCs w:val="24"/>
    </w:rPr>
  </w:style>
  <w:style w:type="character" w:customStyle="1" w:styleId="272">
    <w:name w:val="font81"/>
    <w:link w:val="1"/>
    <w:uiPriority w:val="0"/>
    <w:rPr>
      <w:rFonts w:hint="eastAsia" w:ascii="宋体" w:hAnsi="宋体" w:eastAsia="宋体" w:cs="宋体"/>
      <w:color w:val="000000"/>
      <w:sz w:val="18"/>
      <w:szCs w:val="18"/>
      <w:u w:val="none"/>
      <w:vertAlign w:val="subscript"/>
    </w:rPr>
  </w:style>
  <w:style w:type="character" w:customStyle="1" w:styleId="273">
    <w:name w:val="font01"/>
    <w:link w:val="1"/>
    <w:uiPriority w:val="0"/>
    <w:rPr>
      <w:rFonts w:hint="eastAsia" w:ascii="宋体" w:hAnsi="宋体" w:eastAsia="宋体" w:cs="宋体"/>
      <w:color w:val="000000"/>
      <w:sz w:val="18"/>
      <w:szCs w:val="18"/>
      <w:u w:val="none"/>
    </w:rPr>
  </w:style>
  <w:style w:type="character" w:customStyle="1" w:styleId="274">
    <w:name w:val="font21"/>
    <w:link w:val="1"/>
    <w:qFormat/>
    <w:uiPriority w:val="0"/>
    <w:rPr>
      <w:rFonts w:hint="eastAsia" w:ascii="宋体" w:hAnsi="宋体" w:eastAsia="宋体" w:cs="宋体"/>
      <w:b/>
      <w:color w:val="000000"/>
      <w:sz w:val="24"/>
      <w:szCs w:val="24"/>
      <w:u w:val="none"/>
    </w:rPr>
  </w:style>
  <w:style w:type="paragraph" w:customStyle="1" w:styleId="275">
    <w:name w:val="Char Char Char Char Char Char1 Char"/>
    <w:basedOn w:val="1"/>
    <w:uiPriority w:val="0"/>
    <w:pPr>
      <w:widowControl/>
      <w:spacing w:after="160" w:line="240" w:lineRule="exact"/>
      <w:ind w:firstLine="0"/>
      <w:jc w:val="left"/>
    </w:pPr>
    <w:rPr>
      <w:rFonts w:ascii="Arial" w:hAnsi="Arial" w:eastAsia="Times New Roman" w:cs="Verdana"/>
      <w:b/>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Company>
  <TotalTime>0</TotalTime>
  <ScaleCrop>false</ScaleCrop>
  <LinksUpToDate>false</LinksUpToDate>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2021-11-30T03:22:00Z</dcterms:created>
  <dc:creator>dr</dc:creator>
  <cp:lastModifiedBy>腾勇灵</cp:lastModifiedBy>
  <dcterms:modified xsi:type="dcterms:W3CDTF">2025-12-29T02:21:31Z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F16A306331174DADB22D2D3B8336A5CB_13</vt:lpwstr>
  </property>
</Properties>
</file>