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芒市自然资源局关于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调整《芒市国际学校及</w:t>
      </w:r>
    </w:p>
    <w:p>
      <w:pPr>
        <w:snapToGrid w:val="0"/>
        <w:spacing w:line="6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周边地块控制性详细规划方案》</w:t>
      </w:r>
    </w:p>
    <w:p>
      <w:pPr>
        <w:snapToGrid w:val="0"/>
        <w:spacing w:line="660" w:lineRule="exact"/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的听证报告</w:t>
      </w:r>
    </w:p>
    <w:bookmarkEnd w:id="1"/>
    <w:p>
      <w:pPr>
        <w:snapToGrid w:val="0"/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芒市人民政府：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按照省、州政府关于推行重大决策听证制度的要求，芒市自然资源局于2021年7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举行了</w:t>
      </w:r>
      <w:r>
        <w:rPr>
          <w:rFonts w:hint="eastAsia" w:ascii="仿宋" w:hAnsi="仿宋" w:eastAsia="仿宋" w:cs="仿宋"/>
          <w:sz w:val="32"/>
          <w:szCs w:val="32"/>
        </w:rPr>
        <w:t>调整《芒市国际学校及周边地块控制性详细规划方案》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听证会。现将听证会的有关情况报告如下，请给予审查。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一、听证会举行情况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2021年7月9日芒市自然资源局在“芒市自然资源局信息公开专栏”发布了关于举行</w:t>
      </w:r>
      <w:r>
        <w:rPr>
          <w:rFonts w:hint="eastAsia" w:ascii="仿宋" w:hAnsi="仿宋" w:eastAsia="仿宋" w:cs="仿宋"/>
          <w:sz w:val="32"/>
          <w:szCs w:val="32"/>
        </w:rPr>
        <w:t>调整《芒市国际学校及周边地块控制性详细规划方案》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听证会的1号公告；2021年7月15日在“芒市自然资源局信息公开专栏”公布2号公告，向社会公告听证代表名单、听证时间、地点。2021年7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9:00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11:30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，听证会在芒市自然资源局二楼会议室举行，</w:t>
      </w: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听证会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由</w:t>
      </w:r>
      <w:r>
        <w:rPr>
          <w:rFonts w:hint="eastAsia" w:ascii="仿宋" w:hAnsi="仿宋" w:eastAsia="仿宋" w:cs="仿宋"/>
          <w:kern w:val="0"/>
          <w:sz w:val="32"/>
          <w:szCs w:val="32"/>
        </w:rPr>
        <w:t>芒市自然资源局党组书记、局长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梅学平</w:t>
      </w:r>
      <w:r>
        <w:rPr>
          <w:rFonts w:hint="eastAsia" w:ascii="仿宋" w:hAnsi="仿宋" w:eastAsia="仿宋" w:cs="仿宋"/>
          <w:sz w:val="32"/>
          <w:szCs w:val="32"/>
        </w:rPr>
        <w:t>主持，</w:t>
      </w:r>
      <w:r>
        <w:rPr>
          <w:rFonts w:hint="eastAsia" w:ascii="仿宋" w:hAnsi="仿宋" w:eastAsia="仿宋" w:cs="仿宋"/>
          <w:b/>
          <w:sz w:val="32"/>
          <w:szCs w:val="32"/>
        </w:rPr>
        <w:t>听证人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kern w:val="0"/>
          <w:sz w:val="32"/>
          <w:szCs w:val="32"/>
        </w:rPr>
        <w:t>芒市自然资源局党组书记、局长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梅学平，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芒市政府办挂职副主任（负责联系自然资源局工作）陈商，芒市自然资源局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规划股股长杨荣辉，芒市自然资源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规划中心主任高明世及副主任周子键5人</w:t>
      </w:r>
      <w:r>
        <w:rPr>
          <w:rFonts w:hint="eastAsia" w:ascii="仿宋" w:hAnsi="仿宋" w:eastAsia="仿宋" w:cs="仿宋"/>
          <w:kern w:val="0"/>
          <w:sz w:val="32"/>
          <w:szCs w:val="32"/>
        </w:rPr>
        <w:t>组成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sz w:val="32"/>
          <w:szCs w:val="32"/>
        </w:rPr>
        <w:t>听证监察人</w:t>
      </w:r>
      <w:r>
        <w:rPr>
          <w:rFonts w:hint="eastAsia" w:ascii="仿宋" w:hAnsi="仿宋" w:eastAsia="仿宋" w:cs="仿宋"/>
          <w:sz w:val="32"/>
          <w:szCs w:val="32"/>
        </w:rPr>
        <w:t>由芒市纪委派驻市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自然资源局</w:t>
      </w:r>
      <w:r>
        <w:rPr>
          <w:rFonts w:hint="eastAsia" w:ascii="仿宋" w:hAnsi="仿宋" w:eastAsia="仿宋" w:cs="仿宋"/>
          <w:sz w:val="32"/>
          <w:szCs w:val="32"/>
        </w:rPr>
        <w:t>纪检组组长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谢英杰</w:t>
      </w:r>
      <w:r>
        <w:rPr>
          <w:rFonts w:hint="eastAsia" w:ascii="仿宋" w:hAnsi="仿宋" w:eastAsia="仿宋" w:cs="仿宋"/>
          <w:sz w:val="32"/>
          <w:szCs w:val="32"/>
        </w:rPr>
        <w:t>和芒市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人民政府督查室工作人员赵彩旺</w:t>
      </w:r>
      <w:r>
        <w:rPr>
          <w:rFonts w:hint="eastAsia" w:ascii="仿宋" w:hAnsi="仿宋" w:eastAsia="仿宋" w:cs="仿宋"/>
          <w:sz w:val="32"/>
          <w:szCs w:val="32"/>
        </w:rPr>
        <w:t>组成，</w:t>
      </w:r>
      <w:r>
        <w:rPr>
          <w:rFonts w:hint="eastAsia" w:ascii="仿宋" w:hAnsi="仿宋" w:eastAsia="仿宋" w:cs="仿宋"/>
          <w:b/>
          <w:sz w:val="32"/>
          <w:szCs w:val="32"/>
        </w:rPr>
        <w:t>听证书记员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芒市自然资源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规划中心工作人员王家佳和刀承娇</w:t>
      </w:r>
      <w:r>
        <w:rPr>
          <w:rFonts w:hint="eastAsia" w:ascii="仿宋" w:hAnsi="仿宋" w:eastAsia="仿宋" w:cs="仿宋"/>
          <w:sz w:val="32"/>
          <w:szCs w:val="32"/>
        </w:rPr>
        <w:t>担任。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听证代表应到17名，实到会16名，其中市人大代表1名、相关部门11名、企业3名、律师1名。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听证会听证事项内容概要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控规范围地块位于芒市主城西北侧芒市国际中学片区，四至边界为北至滨河东路，南至金孔雀大街，西至胞波路，东至丰华路。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本次调整的控规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主要针对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优化片区内部地块的用地性质及指标，将片区内部的相应地块性质由居住用地调整为商住混合用地、由商业用地调整为商住混合用地、由医疗卫生用地调整为商住混合用地。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该规划调整符合上位规划、符合控制性详细规划编制要求，并已通过专家评审。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三、听证代表提出的主要意见建议情况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根据听证代表提出的意见和建议，芒市自然资源局进行了认真梳理，参会的听证代表共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16 </w:t>
      </w:r>
      <w:r>
        <w:rPr>
          <w:rFonts w:hint="eastAsia" w:ascii="仿宋" w:hAnsi="仿宋" w:eastAsia="仿宋" w:cs="仿宋"/>
          <w:kern w:val="0"/>
          <w:sz w:val="32"/>
          <w:szCs w:val="32"/>
        </w:rPr>
        <w:t>位，其中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15 </w:t>
      </w:r>
      <w:r>
        <w:rPr>
          <w:rFonts w:hint="eastAsia" w:ascii="仿宋" w:hAnsi="仿宋" w:eastAsia="仿宋" w:cs="仿宋"/>
          <w:kern w:val="0"/>
          <w:sz w:val="32"/>
          <w:szCs w:val="32"/>
        </w:rPr>
        <w:t>位听证代表在会上均表示同意调整</w:t>
      </w:r>
      <w:r>
        <w:rPr>
          <w:rFonts w:hint="eastAsia" w:ascii="仿宋" w:hAnsi="仿宋" w:eastAsia="仿宋" w:cs="仿宋"/>
          <w:sz w:val="32"/>
          <w:szCs w:val="32"/>
        </w:rPr>
        <w:t>《芒市国际学校及周边地块控制性详细规划方案》，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1 </w:t>
      </w:r>
      <w:r>
        <w:rPr>
          <w:rFonts w:hint="eastAsia" w:ascii="仿宋" w:hAnsi="仿宋" w:eastAsia="仿宋" w:cs="仿宋"/>
          <w:sz w:val="32"/>
          <w:szCs w:val="32"/>
        </w:rPr>
        <w:t>位听证代表表示不同意部分调整方案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听证代表提出的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意见和建议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主要整理为以下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  <w:lang w:val="en-US" w:eastAsia="zh-CN"/>
        </w:rPr>
        <w:t xml:space="preserve">8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条：</w:t>
      </w:r>
      <w:bookmarkStart w:id="0" w:name="OLE_LINK1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控规调整地块内有芒核灌溉大沟，芒核村委会有3000多亩田地，应保障芒核大沟的灌溉功能；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征地涉及到的农户养老保险应当足额缴纳；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调整的3个地块周边现未配套城市污水管网，因地块距离芒市大河较近，建议在调整的控规中补充污水处置方式及明确污水去向，同时建设好防洪防涝灾害体系，以保障周边居民安全和芒市大河长期不受污染；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本次控规拟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的3个地块应当依托原控规的范围明确相关市政基础设施、教育卫生设施等位置和规模，地块的开发和设计要和周边地块相协调统一；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原控规范围的城市路网密度不低于8.5公里／平方公里，道路面积率不低于16%，公共停车场车位占比不低于15%，机动车停车位供给总量应达到该片区机动车保有量的1.1—1.5倍，以保障商业街有足够的公共停车区域；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充分考虑留足必要的公共设施建设用地，以满足不断增加的城区人口对公共设施的需求，特别是生鲜市场、超市、公共厕所等的设置；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1号地块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地理位置较好，周边为滨河景观步道，环境优美，不建议调整为商住用地，现医疗用地不足，建议保留医疗用地，为今后的医疗卫生事业预留更好的发展空间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芒市幼儿园总院（华江地块）已无法满足片区适龄儿童就学的需求，2号地块建议预留教育用地12亩（不少于10亩），用于建设幼儿园。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听证意见和建议的采纳情况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C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针对听证代表所提出的意见和建议，经评议研究，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条意见和建议予以吸收采纳，并进一步完善《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芒市国际学校及周边地块控制性详细规划方案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》。具体采纳的</w:t>
      </w:r>
      <w:r>
        <w:rPr>
          <w:rFonts w:hint="eastAsia" w:ascii="仿宋" w:hAnsi="仿宋" w:eastAsia="仿宋" w:cs="仿宋"/>
          <w:b/>
          <w:sz w:val="32"/>
          <w:szCs w:val="32"/>
        </w:rPr>
        <w:t>意见和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建议如下：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1条：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控规调整地块内有芒核灌溉大沟，芒核村委会有3000多亩田地，应保障芒核大沟的灌溉功能；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3条：</w:t>
      </w:r>
      <w:r>
        <w:rPr>
          <w:rFonts w:hint="eastAsia" w:ascii="仿宋" w:hAnsi="仿宋" w:eastAsia="仿宋" w:cs="仿宋"/>
          <w:sz w:val="32"/>
          <w:szCs w:val="32"/>
        </w:rPr>
        <w:t>调整的3个地块周边现未配套城市污水管网，因地块距离芒市大河较近，建议在调整的控规中补充污水处置方式及明确污水去向，同时建设好防洪防涝灾害体系，以保障周边居民安全和芒市大河长期不受污染；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4条：</w:t>
      </w:r>
      <w:r>
        <w:rPr>
          <w:rFonts w:hint="eastAsia" w:ascii="仿宋" w:hAnsi="仿宋" w:eastAsia="仿宋" w:cs="仿宋"/>
          <w:sz w:val="32"/>
          <w:szCs w:val="32"/>
        </w:rPr>
        <w:t>本次控规拟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的3个地块应当依托原控规的范围明确相关市政基础设施、教育卫生设施等位置和规模，地块的开发和设计要和周边地块相协调统一；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5条：</w:t>
      </w:r>
      <w:r>
        <w:rPr>
          <w:rFonts w:hint="eastAsia" w:ascii="仿宋" w:hAnsi="仿宋" w:eastAsia="仿宋" w:cs="仿宋"/>
          <w:sz w:val="32"/>
          <w:szCs w:val="32"/>
        </w:rPr>
        <w:t>原控规范围的城市路网密度不低于8.5公里／平方公里，道路面积率不低于16%，公共停车场车位占比不低于15%，机动车停车位供给总量应达到该片区机动车保有量的1.1—1.5倍，以保障商业街有足够的公共停车区域；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6条：</w:t>
      </w:r>
      <w:r>
        <w:rPr>
          <w:rFonts w:hint="eastAsia" w:ascii="仿宋" w:hAnsi="仿宋" w:eastAsia="仿宋" w:cs="仿宋"/>
          <w:sz w:val="32"/>
          <w:szCs w:val="32"/>
        </w:rPr>
        <w:t>充分考虑留足必要的公共设施建设用地，以满足不断增加的城区人口对公共设施的需求，特别是生鲜市场、超市、公共厕所等的设置；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C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采纳的理由：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以上意见和建议具有针对性和建设性，有利于提高控规成果质量，给予采纳。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319" w:leftChars="152" w:firstLine="321" w:firstLineChars="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针对听证代表所提出的意见和建议，经评议研究，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意见和建议</w:t>
      </w:r>
      <w:r>
        <w:rPr>
          <w:rFonts w:hint="eastAsia" w:ascii="仿宋" w:hAnsi="仿宋" w:eastAsia="仿宋" w:cs="仿宋"/>
          <w:b/>
          <w:sz w:val="32"/>
          <w:szCs w:val="32"/>
        </w:rPr>
        <w:t>不予以吸收采纳，不予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采纳的</w:t>
      </w:r>
      <w:r>
        <w:rPr>
          <w:rFonts w:hint="eastAsia" w:ascii="仿宋" w:hAnsi="仿宋" w:eastAsia="仿宋" w:cs="仿宋"/>
          <w:b/>
          <w:sz w:val="32"/>
          <w:szCs w:val="32"/>
        </w:rPr>
        <w:t>意见和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建议如下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2条：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征地涉及到的农户养老保险应当足额缴纳；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7条：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1号地块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地理位置较好，周边为滨河景观步道，环境优美，不建议调整为商住用地，现医疗用地不足，建议保留医疗用地，为今后的医疗卫生事业预留更好的发展空间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8条：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芒市幼儿园总院（华江地块）已无法满足片区适龄儿童就学的需求，2号地块建议预留教育用地12亩（不少于10亩），用于建设幼儿园。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不予采纳的理由：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2条：与控规无关；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第7条：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已在站前小镇片区建设州医院西院区和传染病医院，在环东路边建设市疾控中心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8条：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幼儿园为居住区配建，不独立用地，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号地块配建12班幼儿园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芒市自然资源局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2021年8月3日</w:t>
      </w:r>
    </w:p>
    <w:p>
      <w:p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ECCEB"/>
    <w:multiLevelType w:val="singleLevel"/>
    <w:tmpl w:val="30BECC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D965BA"/>
    <w:multiLevelType w:val="singleLevel"/>
    <w:tmpl w:val="5FD965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74CA794B"/>
    <w:rsid w:val="09BE52FE"/>
    <w:rsid w:val="0EF86E10"/>
    <w:rsid w:val="147E726B"/>
    <w:rsid w:val="17B378BC"/>
    <w:rsid w:val="28363D18"/>
    <w:rsid w:val="74C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sz w:val="18"/>
    </w:rPr>
  </w:style>
  <w:style w:type="paragraph" w:styleId="4">
    <w:name w:val="Plain Text"/>
    <w:basedOn w:val="1"/>
    <w:unhideWhenUsed/>
    <w:qFormat/>
    <w:uiPriority w:val="99"/>
    <w:pPr>
      <w:spacing w:line="360" w:lineRule="auto"/>
      <w:ind w:firstLine="200" w:firstLineChars="200"/>
    </w:pPr>
    <w:rPr>
      <w:rFonts w:ascii="宋体" w:hAnsi="Courier New" w:cs="Courier New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2021-08-03T06:39:00Z</dcterms:created>
  <dc:creator>剪不断，理还乱</dc:creator>
  <cp:lastModifiedBy>腾勇灵</cp:lastModifiedBy>
  <cp:lastPrinted>2021-08-03T06:58:00Z</cp:lastPrinted>
  <dcterms:modified xsi:type="dcterms:W3CDTF">2025-12-26T07:39:39Z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C6AD1C06CA394F578D5ED9A112B42F00_13</vt:lpwstr>
  </property>
</Properties>
</file>