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b/>
          <w:sz w:val="44"/>
          <w:szCs w:val="44"/>
          <w:lang w:eastAsia="zh-CN"/>
        </w:rPr>
      </w:pPr>
      <w:bookmarkStart w:id="0" w:name="_GoBack"/>
      <w:r>
        <w:rPr>
          <w:rFonts w:hint="eastAsia" w:ascii="方正小标宋_GBK" w:hAnsi="方正小标宋_GBK" w:eastAsia="方正小标宋_GBK" w:cs="方正小标宋_GBK"/>
          <w:b/>
          <w:sz w:val="44"/>
          <w:szCs w:val="44"/>
        </w:rPr>
        <w:t>关于《芒市至梁河高速公路工程项目土地利用总体规划</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lang w:val="en-US" w:eastAsia="zh-CN"/>
        </w:rPr>
        <w:t>2010-2020年</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rPr>
        <w:t>修改方案暨</w:t>
      </w:r>
      <w:r>
        <w:rPr>
          <w:rFonts w:hint="eastAsia" w:ascii="方正小标宋_GBK" w:hAnsi="方正小标宋_GBK" w:eastAsia="方正小标宋_GBK" w:cs="方正小标宋_GBK"/>
          <w:b/>
          <w:sz w:val="44"/>
          <w:szCs w:val="44"/>
          <w:lang w:eastAsia="zh-CN"/>
        </w:rPr>
        <w:t>永久</w:t>
      </w:r>
    </w:p>
    <w:p>
      <w:pPr>
        <w:spacing w:line="560" w:lineRule="exact"/>
        <w:jc w:val="center"/>
        <w:rPr>
          <w:b/>
          <w:sz w:val="44"/>
          <w:szCs w:val="44"/>
        </w:rPr>
      </w:pPr>
      <w:r>
        <w:rPr>
          <w:rFonts w:hint="eastAsia" w:ascii="方正小标宋_GBK" w:hAnsi="方正小标宋_GBK" w:eastAsia="方正小标宋_GBK" w:cs="方正小标宋_GBK"/>
          <w:b/>
          <w:sz w:val="44"/>
          <w:szCs w:val="44"/>
        </w:rPr>
        <w:t>基本农田补划方案</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rPr>
        <w:t>草案</w:t>
      </w:r>
      <w:r>
        <w:rPr>
          <w:rFonts w:hint="eastAsia" w:ascii="方正小标宋_GBK" w:hAnsi="方正小标宋_GBK" w:eastAsia="方正小标宋_GBK" w:cs="方正小标宋_GBK"/>
          <w:b/>
          <w:sz w:val="44"/>
          <w:szCs w:val="44"/>
          <w:lang w:eastAsia="zh-CN"/>
        </w:rPr>
        <w:t>）</w:t>
      </w:r>
      <w:r>
        <w:rPr>
          <w:rFonts w:hint="eastAsia" w:ascii="方正小标宋_GBK" w:hAnsi="方正小标宋_GBK" w:eastAsia="方正小标宋_GBK" w:cs="方正小标宋_GBK"/>
          <w:b/>
          <w:sz w:val="44"/>
          <w:szCs w:val="44"/>
        </w:rPr>
        <w:t>》起草说明</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color w:val="auto"/>
          <w:sz w:val="32"/>
          <w:szCs w:val="32"/>
        </w:rPr>
      </w:pPr>
      <w:r>
        <w:rPr>
          <w:rFonts w:hint="eastAsia" w:ascii="Times New Roman" w:hAnsi="Times New Roman" w:eastAsia="仿宋" w:cs="Times New Roman"/>
          <w:color w:val="auto"/>
          <w:kern w:val="2"/>
          <w:sz w:val="32"/>
          <w:szCs w:val="32"/>
          <w:lang w:val="en-US" w:eastAsia="zh-CN" w:bidi="ar-SA"/>
        </w:rPr>
        <w:t>按照</w:t>
      </w:r>
      <w:r>
        <w:rPr>
          <w:rFonts w:hint="default" w:ascii="Times New Roman" w:hAnsi="Times New Roman" w:eastAsia="仿宋" w:cs="Times New Roman"/>
          <w:color w:val="auto"/>
          <w:kern w:val="2"/>
          <w:sz w:val="32"/>
          <w:szCs w:val="32"/>
          <w:lang w:val="en-US" w:eastAsia="en-US" w:bidi="ar-SA"/>
        </w:rPr>
        <w:t>《国土资源部关于全面实行永久基本农田特殊保护的通知》（国土资规〔2018〕1号）</w:t>
      </w:r>
      <w:r>
        <w:rPr>
          <w:rFonts w:hint="default" w:ascii="Times New Roman" w:hAnsi="Times New Roman" w:eastAsia="仿宋" w:cs="Times New Roman"/>
          <w:color w:val="auto"/>
          <w:kern w:val="2"/>
          <w:sz w:val="32"/>
          <w:szCs w:val="32"/>
          <w:lang w:val="en-US" w:eastAsia="zh-CN" w:bidi="ar-SA"/>
        </w:rPr>
        <w:t>和</w:t>
      </w:r>
      <w:r>
        <w:rPr>
          <w:rFonts w:hint="default" w:ascii="Times New Roman" w:hAnsi="Times New Roman" w:eastAsia="仿宋" w:cs="Times New Roman"/>
          <w:color w:val="auto"/>
          <w:kern w:val="2"/>
          <w:sz w:val="32"/>
          <w:szCs w:val="32"/>
          <w:lang w:val="en-US" w:eastAsia="en-US" w:bidi="ar-SA"/>
        </w:rPr>
        <w:t>《自然资源部关于做好占用永久基本农田重大建设项目用地预审的通知》（自然资规〔2018〕3号）</w:t>
      </w:r>
      <w:r>
        <w:rPr>
          <w:rFonts w:hint="eastAsia" w:ascii="Times New Roman" w:hAnsi="Times New Roman" w:eastAsia="仿宋" w:cs="Times New Roman"/>
          <w:color w:val="auto"/>
          <w:kern w:val="2"/>
          <w:sz w:val="32"/>
          <w:szCs w:val="32"/>
          <w:lang w:val="en-US" w:eastAsia="zh-CN" w:bidi="ar-SA"/>
        </w:rPr>
        <w:t>、《自然资源部 农业农村部关于加强和改进永久基本农田保护工作的通知》（自然资规〔2019〕1号）</w:t>
      </w:r>
      <w:r>
        <w:rPr>
          <w:rFonts w:hint="default" w:ascii="Times New Roman" w:hAnsi="Times New Roman" w:eastAsia="仿宋" w:cs="Times New Roman"/>
          <w:color w:val="auto"/>
          <w:kern w:val="2"/>
          <w:sz w:val="32"/>
          <w:szCs w:val="32"/>
          <w:lang w:val="en-US" w:eastAsia="zh-CN" w:bidi="ar-SA"/>
        </w:rPr>
        <w:t>等文件</w:t>
      </w:r>
      <w:r>
        <w:rPr>
          <w:rFonts w:hint="eastAsia" w:ascii="Times New Roman" w:hAnsi="Times New Roman" w:eastAsia="仿宋" w:cs="Times New Roman"/>
          <w:color w:val="auto"/>
          <w:kern w:val="2"/>
          <w:sz w:val="32"/>
          <w:szCs w:val="32"/>
          <w:lang w:val="en-US" w:eastAsia="zh-CN" w:bidi="ar-SA"/>
        </w:rPr>
        <w:t>规定</w:t>
      </w:r>
      <w:r>
        <w:rPr>
          <w:rFonts w:hint="default" w:ascii="Times New Roman" w:hAnsi="Times New Roman" w:eastAsia="仿宋" w:cs="Times New Roman"/>
          <w:color w:val="auto"/>
          <w:kern w:val="2"/>
          <w:sz w:val="32"/>
          <w:szCs w:val="32"/>
          <w:lang w:val="en-US" w:eastAsia="zh-CN" w:bidi="ar-SA"/>
        </w:rPr>
        <w:t>，为满足</w:t>
      </w:r>
      <w:r>
        <w:rPr>
          <w:rFonts w:hint="eastAsia" w:ascii="Times New Roman" w:hAnsi="Times New Roman" w:eastAsia="仿宋" w:cs="Times New Roman"/>
          <w:color w:val="auto"/>
          <w:kern w:val="2"/>
          <w:sz w:val="32"/>
          <w:szCs w:val="32"/>
          <w:lang w:val="en-US" w:eastAsia="zh-CN" w:bidi="ar-SA"/>
        </w:rPr>
        <w:t>芒市至梁河高速公路</w:t>
      </w:r>
      <w:r>
        <w:rPr>
          <w:rFonts w:hint="default" w:ascii="Times New Roman" w:hAnsi="Times New Roman" w:eastAsia="仿宋" w:cs="Times New Roman"/>
          <w:color w:val="auto"/>
          <w:kern w:val="2"/>
          <w:sz w:val="32"/>
          <w:szCs w:val="32"/>
          <w:lang w:val="en-US" w:eastAsia="zh-CN" w:bidi="ar-SA"/>
        </w:rPr>
        <w:t>合法合规的用地需求，保障项目顺利实施，促进区域经济社会发展，需对项目涉及拟占用</w:t>
      </w:r>
      <w:r>
        <w:rPr>
          <w:rFonts w:hint="eastAsia" w:ascii="Times New Roman" w:hAnsi="Times New Roman" w:eastAsia="仿宋" w:cs="Times New Roman"/>
          <w:color w:val="auto"/>
          <w:kern w:val="2"/>
          <w:sz w:val="32"/>
          <w:szCs w:val="32"/>
          <w:lang w:val="en-US" w:eastAsia="zh-CN" w:bidi="ar-SA"/>
        </w:rPr>
        <w:t>芒市、梁河县、陇川县</w:t>
      </w:r>
      <w:r>
        <w:rPr>
          <w:rFonts w:hint="default" w:ascii="Times New Roman" w:hAnsi="Times New Roman" w:eastAsia="仿宋" w:cs="Times New Roman"/>
          <w:color w:val="auto"/>
          <w:kern w:val="2"/>
          <w:sz w:val="32"/>
          <w:szCs w:val="32"/>
          <w:lang w:val="en-US" w:eastAsia="zh-CN" w:bidi="ar-SA"/>
        </w:rPr>
        <w:t>永久基本农田区域内的土地利用总体规划进行局部修改，</w:t>
      </w:r>
      <w:r>
        <w:rPr>
          <w:rFonts w:hint="eastAsia" w:ascii="Times New Roman" w:hAnsi="Times New Roman" w:eastAsia="仿宋" w:cs="Times New Roman"/>
          <w:color w:val="auto"/>
          <w:kern w:val="2"/>
          <w:sz w:val="32"/>
          <w:szCs w:val="32"/>
          <w:lang w:val="en-US" w:eastAsia="zh-CN" w:bidi="ar-SA"/>
        </w:rPr>
        <w:t>同时补划永久基本农田，</w:t>
      </w:r>
      <w:r>
        <w:rPr>
          <w:rFonts w:hint="default" w:ascii="Times New Roman" w:hAnsi="Times New Roman" w:eastAsia="仿宋" w:cs="Times New Roman"/>
          <w:color w:val="auto"/>
          <w:kern w:val="2"/>
          <w:sz w:val="32"/>
          <w:szCs w:val="32"/>
          <w:lang w:val="en-US" w:eastAsia="zh-CN" w:bidi="ar-SA"/>
        </w:rPr>
        <w:t>编制</w:t>
      </w:r>
      <w:r>
        <w:rPr>
          <w:rFonts w:hint="eastAsia" w:ascii="Times New Roman" w:hAnsi="Times New Roman" w:eastAsia="仿宋" w:cs="Times New Roman"/>
          <w:color w:val="auto"/>
          <w:kern w:val="2"/>
          <w:sz w:val="32"/>
          <w:szCs w:val="32"/>
          <w:lang w:val="en-US" w:eastAsia="zh-CN" w:bidi="ar-SA"/>
        </w:rPr>
        <w:t>芒市至梁河高速公路</w:t>
      </w:r>
      <w:r>
        <w:rPr>
          <w:rFonts w:hint="default" w:ascii="Times New Roman" w:hAnsi="Times New Roman" w:eastAsia="仿宋" w:cs="Times New Roman"/>
          <w:color w:val="auto"/>
          <w:kern w:val="2"/>
          <w:sz w:val="32"/>
          <w:szCs w:val="32"/>
          <w:lang w:val="en-US" w:eastAsia="zh-CN" w:bidi="ar-SA"/>
        </w:rPr>
        <w:t>建设项目土地利用总体规划修改方案暨永久基本农田补划方案。</w:t>
      </w:r>
    </w:p>
    <w:p>
      <w:pPr>
        <w:pStyle w:val="2"/>
        <w:pageBreakBefore w:val="0"/>
        <w:widowControl w:val="0"/>
        <w:numPr>
          <w:ilvl w:val="0"/>
          <w:numId w:val="0"/>
        </w:numPr>
        <w:kinsoku/>
        <w:wordWrap/>
        <w:overflowPunct/>
        <w:topLinePunct w:val="0"/>
        <w:autoSpaceDE/>
        <w:autoSpaceDN/>
        <w:bidi w:val="0"/>
        <w:spacing w:before="0" w:after="0" w:line="520" w:lineRule="exact"/>
        <w:ind w:firstLine="643" w:firstLineChars="200"/>
        <w:rPr>
          <w:rFonts w:hint="default" w:eastAsia="黑体"/>
          <w:color w:val="auto"/>
          <w:sz w:val="32"/>
          <w:szCs w:val="32"/>
          <w:lang w:val="en-US" w:eastAsia="zh-CN"/>
        </w:rPr>
      </w:pPr>
      <w:r>
        <w:rPr>
          <w:rFonts w:hint="eastAsia"/>
          <w:color w:val="auto"/>
          <w:sz w:val="32"/>
          <w:szCs w:val="32"/>
        </w:rPr>
        <w:t>一、</w:t>
      </w:r>
      <w:r>
        <w:rPr>
          <w:rFonts w:hint="eastAsia"/>
          <w:color w:val="auto"/>
          <w:sz w:val="32"/>
          <w:szCs w:val="32"/>
          <w:lang w:val="en-US" w:eastAsia="zh-CN"/>
        </w:rPr>
        <w:t>项目土地利用总体规划修改方案</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（一）修改方案的必要性</w:t>
      </w:r>
    </w:p>
    <w:p>
      <w:pPr>
        <w:keepNext w:val="0"/>
        <w:keepLines w:val="0"/>
        <w:pageBreakBefore w:val="0"/>
        <w:widowControl w:val="0"/>
        <w:kinsoku/>
        <w:wordWrap/>
        <w:overflowPunct/>
        <w:topLinePunct w:val="0"/>
        <w:autoSpaceDE/>
        <w:autoSpaceDN/>
        <w:bidi w:val="0"/>
        <w:spacing w:line="52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该项目依据《中共云南省委办公厅</w:t>
      </w:r>
      <w:r>
        <w:rPr>
          <w:rFonts w:hint="default" w:ascii="Times New Roman" w:hAnsi="Times New Roman" w:eastAsia="仿宋" w:cs="Times New Roman"/>
          <w:color w:val="auto"/>
          <w:kern w:val="2"/>
          <w:sz w:val="32"/>
          <w:szCs w:val="32"/>
          <w:lang w:val="en-US" w:eastAsia="zh-CN" w:bidi="ar-SA"/>
        </w:rPr>
        <w:t xml:space="preserve">  云南省人民政府办公厅关于印发云南省县域高速公路“互联互通”工程实施方案的通知》（云办通〔2</w:t>
      </w:r>
      <w:r>
        <w:rPr>
          <w:rFonts w:hint="eastAsia" w:ascii="Times New Roman" w:hAnsi="Times New Roman" w:eastAsia="仿宋" w:cs="Times New Roman"/>
          <w:color w:val="auto"/>
          <w:kern w:val="2"/>
          <w:sz w:val="32"/>
          <w:szCs w:val="32"/>
          <w:lang w:val="en-US" w:eastAsia="zh-CN" w:bidi="ar-SA"/>
        </w:rPr>
        <w:t>020〕19号）。芒市至梁河高速公路将与</w:t>
      </w:r>
      <w:r>
        <w:rPr>
          <w:rFonts w:hint="default" w:ascii="Times New Roman" w:hAnsi="Times New Roman" w:eastAsia="仿宋" w:cs="Times New Roman"/>
          <w:color w:val="auto"/>
          <w:kern w:val="2"/>
          <w:sz w:val="32"/>
          <w:szCs w:val="32"/>
          <w:lang w:val="en-US" w:eastAsia="zh-CN" w:bidi="ar-SA"/>
        </w:rPr>
        <w:t>G56杭瑞高速</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规划</w:t>
      </w:r>
      <w:r>
        <w:rPr>
          <w:rFonts w:hint="eastAsia" w:ascii="Times New Roman" w:hAnsi="Times New Roman" w:eastAsia="仿宋" w:cs="Times New Roman"/>
          <w:color w:val="auto"/>
          <w:kern w:val="2"/>
          <w:sz w:val="32"/>
          <w:szCs w:val="32"/>
          <w:lang w:val="en-US" w:eastAsia="zh-CN" w:bidi="ar-SA"/>
        </w:rPr>
        <w:t>的</w:t>
      </w:r>
      <w:r>
        <w:rPr>
          <w:rFonts w:hint="default" w:ascii="Times New Roman" w:hAnsi="Times New Roman" w:eastAsia="仿宋" w:cs="Times New Roman"/>
          <w:color w:val="auto"/>
          <w:kern w:val="2"/>
          <w:sz w:val="32"/>
          <w:szCs w:val="32"/>
          <w:lang w:val="en-US" w:eastAsia="zh-CN" w:bidi="ar-SA"/>
        </w:rPr>
        <w:t>芒市至孟连高速公路（芒市至象达段）</w:t>
      </w:r>
      <w:r>
        <w:rPr>
          <w:rFonts w:hint="eastAsia" w:ascii="Times New Roman" w:hAnsi="Times New Roman" w:eastAsia="仿宋" w:cs="Times New Roman"/>
          <w:color w:val="auto"/>
          <w:kern w:val="2"/>
          <w:sz w:val="32"/>
          <w:szCs w:val="32"/>
          <w:lang w:val="en-US" w:eastAsia="zh-CN" w:bidi="ar-SA"/>
        </w:rPr>
        <w:t>和</w:t>
      </w:r>
      <w:r>
        <w:rPr>
          <w:rFonts w:hint="default" w:ascii="Times New Roman" w:hAnsi="Times New Roman" w:eastAsia="仿宋" w:cs="Times New Roman"/>
          <w:color w:val="auto"/>
          <w:kern w:val="2"/>
          <w:sz w:val="32"/>
          <w:szCs w:val="32"/>
          <w:lang w:val="en-US" w:eastAsia="zh-CN" w:bidi="ar-SA"/>
        </w:rPr>
        <w:t>腾陇高速公路</w:t>
      </w:r>
      <w:r>
        <w:rPr>
          <w:rFonts w:hint="eastAsia" w:ascii="Times New Roman" w:hAnsi="Times New Roman" w:eastAsia="仿宋" w:cs="Times New Roman"/>
          <w:color w:val="auto"/>
          <w:kern w:val="2"/>
          <w:sz w:val="32"/>
          <w:szCs w:val="32"/>
          <w:lang w:val="en-US" w:eastAsia="zh-CN" w:bidi="ar-SA"/>
        </w:rPr>
        <w:t>相衔接，项目建设对于完善云南省高速公路网，提高路网连通度和公路网运输服务效率具有至关重要的作用，同时，项目建设对推动区域脱贫攻坚，促进区域经济社会发展，加快云南</w:t>
      </w:r>
      <w:r>
        <w:rPr>
          <w:rFonts w:hint="default" w:ascii="Times New Roman" w:hAnsi="Times New Roman" w:eastAsia="仿宋" w:cs="Times New Roman"/>
          <w:color w:val="auto"/>
          <w:kern w:val="2"/>
          <w:sz w:val="32"/>
          <w:szCs w:val="32"/>
          <w:lang w:val="en-US" w:eastAsia="zh-CN" w:bidi="ar-SA"/>
        </w:rPr>
        <w:t>建成面向南亚东南亚辐射中心</w:t>
      </w:r>
      <w:r>
        <w:rPr>
          <w:rFonts w:hint="eastAsia" w:ascii="Times New Roman" w:hAnsi="Times New Roman" w:eastAsia="仿宋" w:cs="Times New Roman"/>
          <w:color w:val="auto"/>
          <w:kern w:val="2"/>
          <w:sz w:val="32"/>
          <w:szCs w:val="32"/>
          <w:lang w:val="en-US" w:eastAsia="zh-CN" w:bidi="ar-SA"/>
        </w:rPr>
        <w:t>、融入长江经济带建设具有重要意义</w:t>
      </w:r>
      <w:r>
        <w:rPr>
          <w:rFonts w:hint="default" w:ascii="Times New Roman" w:hAnsi="Times New Roman" w:eastAsia="仿宋" w:cs="Times New Roman"/>
          <w:color w:val="auto"/>
          <w:kern w:val="2"/>
          <w:sz w:val="32"/>
          <w:szCs w:val="32"/>
          <w:lang w:val="en-US" w:eastAsia="zh-CN" w:bidi="ar-SA"/>
        </w:rPr>
        <w:t>。项目用地</w:t>
      </w:r>
      <w:r>
        <w:rPr>
          <w:rFonts w:hint="eastAsia" w:ascii="Times New Roman" w:hAnsi="Times New Roman" w:eastAsia="仿宋" w:cs="Times New Roman"/>
          <w:color w:val="auto"/>
          <w:kern w:val="2"/>
          <w:sz w:val="32"/>
          <w:szCs w:val="32"/>
          <w:lang w:val="en-US" w:eastAsia="zh-CN" w:bidi="ar-SA"/>
        </w:rPr>
        <w:t>符合国家产业政策和供地政策。</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（二）项目用地情况</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芒市至梁河高速公路工程用地涉及德宏州芒市、梁河县、陇川县境内，用地总规模363.7747公顷，由路基（主线路基+支线路基）、</w:t>
      </w:r>
      <w:r>
        <w:rPr>
          <w:rFonts w:hint="default" w:ascii="Times New Roman" w:hAnsi="Times New Roman" w:eastAsia="仿宋" w:cs="Times New Roman"/>
          <w:color w:val="auto"/>
          <w:kern w:val="2"/>
          <w:sz w:val="32"/>
          <w:szCs w:val="32"/>
          <w:highlight w:val="none"/>
          <w:lang w:val="en-US" w:eastAsia="zh-CN" w:bidi="ar-SA"/>
        </w:rPr>
        <w:t>桥梁、立体交叉、服务区（含加油站）、停车区（含加油站）组成。路线总长67.205 km，其中主线长61.095公里，翁冷支线长6.110公里</w:t>
      </w:r>
      <w:r>
        <w:rPr>
          <w:rFonts w:hint="eastAsia" w:ascii="Times New Roman" w:hAnsi="Times New Roman" w:eastAsia="仿宋" w:cs="Times New Roman"/>
          <w:color w:val="auto"/>
          <w:kern w:val="2"/>
          <w:sz w:val="32"/>
          <w:szCs w:val="32"/>
          <w:highlight w:val="none"/>
          <w:lang w:val="en-US" w:eastAsia="zh-CN" w:bidi="ar-SA"/>
        </w:rPr>
        <w:t>（芒市境内K1-K26+530m）</w:t>
      </w:r>
      <w:r>
        <w:rPr>
          <w:rFonts w:hint="default" w:ascii="Times New Roman" w:hAnsi="Times New Roman" w:eastAsia="仿宋" w:cs="Times New Roman"/>
          <w:color w:val="auto"/>
          <w:kern w:val="2"/>
          <w:sz w:val="32"/>
          <w:szCs w:val="32"/>
          <w:highlight w:val="none"/>
          <w:lang w:val="en-US" w:eastAsia="zh-CN" w:bidi="ar-SA"/>
        </w:rPr>
        <w:t>。本项目对线路走向和选址进行了论证，并将土地的节约集约利用作为一个</w:t>
      </w:r>
      <w:r>
        <w:rPr>
          <w:rFonts w:hint="default" w:ascii="Times New Roman" w:hAnsi="Times New Roman" w:eastAsia="仿宋" w:cs="Times New Roman"/>
          <w:color w:val="auto"/>
          <w:kern w:val="2"/>
          <w:sz w:val="32"/>
          <w:szCs w:val="32"/>
          <w:lang w:val="en-US" w:eastAsia="zh-CN" w:bidi="ar-SA"/>
        </w:rPr>
        <w:t>重要的控制因素，对耕地和永久基本农田进行了尽可能的避让。</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根据芒市、梁河县、陇川县2018年度变更成果数据，芒市至梁河高速公路工程用地面积363.7747公顷</w:t>
      </w:r>
      <w:r>
        <w:rPr>
          <w:rFonts w:hint="eastAsia" w:ascii="Times New Roman" w:hAnsi="Times New Roman" w:eastAsia="仿宋" w:cs="Times New Roman"/>
          <w:color w:val="auto"/>
          <w:kern w:val="2"/>
          <w:sz w:val="32"/>
          <w:szCs w:val="32"/>
          <w:lang w:val="en-US" w:eastAsia="zh-CN" w:bidi="ar-SA"/>
        </w:rPr>
        <w:t>（其中芒市139.3657公顷）</w:t>
      </w:r>
      <w:r>
        <w:rPr>
          <w:rFonts w:hint="default" w:ascii="Times New Roman" w:hAnsi="Times New Roman" w:eastAsia="仿宋" w:cs="Times New Roman"/>
          <w:color w:val="auto"/>
          <w:kern w:val="2"/>
          <w:sz w:val="32"/>
          <w:szCs w:val="32"/>
          <w:lang w:val="en-US" w:eastAsia="zh-CN" w:bidi="ar-SA"/>
        </w:rPr>
        <w:t>，占总规模的</w:t>
      </w:r>
      <w:r>
        <w:rPr>
          <w:rFonts w:hint="eastAsia" w:ascii="Times New Roman" w:hAnsi="Times New Roman" w:eastAsia="仿宋" w:cs="Times New Roman"/>
          <w:color w:val="auto"/>
          <w:kern w:val="2"/>
          <w:sz w:val="32"/>
          <w:szCs w:val="32"/>
          <w:lang w:val="en-US" w:eastAsia="zh-CN" w:bidi="ar-SA"/>
        </w:rPr>
        <w:t>38.31</w:t>
      </w:r>
      <w:r>
        <w:rPr>
          <w:rFonts w:hint="default" w:ascii="Times New Roman" w:hAnsi="Times New Roman" w:eastAsia="仿宋" w:cs="Times New Roman"/>
          <w:color w:val="auto"/>
          <w:kern w:val="2"/>
          <w:sz w:val="32"/>
          <w:szCs w:val="32"/>
          <w:lang w:val="en-US" w:eastAsia="zh-CN" w:bidi="ar-SA"/>
        </w:rPr>
        <w:t>%，占农用地308.8007公顷</w:t>
      </w:r>
      <w:r>
        <w:rPr>
          <w:rFonts w:hint="eastAsia" w:ascii="Times New Roman" w:hAnsi="Times New Roman" w:eastAsia="仿宋" w:cs="Times New Roman"/>
          <w:color w:val="auto"/>
          <w:kern w:val="2"/>
          <w:sz w:val="32"/>
          <w:szCs w:val="32"/>
          <w:lang w:val="en-US" w:eastAsia="zh-CN" w:bidi="ar-SA"/>
        </w:rPr>
        <w:t>（其中芒市115.9158公顷）</w:t>
      </w:r>
      <w:r>
        <w:rPr>
          <w:rFonts w:hint="default" w:ascii="Times New Roman" w:hAnsi="Times New Roman" w:eastAsia="仿宋" w:cs="Times New Roman"/>
          <w:color w:val="auto"/>
          <w:kern w:val="2"/>
          <w:sz w:val="32"/>
          <w:szCs w:val="32"/>
          <w:lang w:val="en-US" w:eastAsia="zh-CN" w:bidi="ar-SA"/>
        </w:rPr>
        <w:t>，占总规模的</w:t>
      </w:r>
      <w:r>
        <w:rPr>
          <w:rFonts w:hint="eastAsia" w:ascii="Times New Roman" w:hAnsi="Times New Roman" w:eastAsia="仿宋" w:cs="Times New Roman"/>
          <w:color w:val="auto"/>
          <w:kern w:val="2"/>
          <w:sz w:val="32"/>
          <w:szCs w:val="32"/>
          <w:lang w:val="en-US" w:eastAsia="zh-CN" w:bidi="ar-SA"/>
        </w:rPr>
        <w:t>31.86</w:t>
      </w:r>
      <w:r>
        <w:rPr>
          <w:rFonts w:hint="default" w:ascii="Times New Roman" w:hAnsi="Times New Roman" w:eastAsia="仿宋" w:cs="Times New Roman"/>
          <w:color w:val="auto"/>
          <w:kern w:val="2"/>
          <w:sz w:val="32"/>
          <w:szCs w:val="32"/>
          <w:lang w:val="en-US" w:eastAsia="zh-CN" w:bidi="ar-SA"/>
        </w:rPr>
        <w:t>%，建设用地14.4340公顷</w:t>
      </w:r>
      <w:r>
        <w:rPr>
          <w:rFonts w:hint="eastAsia" w:ascii="Times New Roman" w:hAnsi="Times New Roman" w:eastAsia="仿宋" w:cs="Times New Roman"/>
          <w:color w:val="auto"/>
          <w:kern w:val="2"/>
          <w:sz w:val="32"/>
          <w:szCs w:val="32"/>
          <w:lang w:val="en-US" w:eastAsia="zh-CN" w:bidi="ar-SA"/>
        </w:rPr>
        <w:t>（其中芒市7.1514公顷）</w:t>
      </w:r>
      <w:r>
        <w:rPr>
          <w:rFonts w:hint="default" w:ascii="Times New Roman" w:hAnsi="Times New Roman" w:eastAsia="仿宋" w:cs="Times New Roman"/>
          <w:color w:val="auto"/>
          <w:kern w:val="2"/>
          <w:sz w:val="32"/>
          <w:szCs w:val="32"/>
          <w:lang w:val="en-US" w:eastAsia="zh-CN" w:bidi="ar-SA"/>
        </w:rPr>
        <w:t>，占总规模的</w:t>
      </w:r>
      <w:r>
        <w:rPr>
          <w:rFonts w:hint="eastAsia" w:ascii="Times New Roman" w:hAnsi="Times New Roman" w:eastAsia="仿宋" w:cs="Times New Roman"/>
          <w:color w:val="auto"/>
          <w:kern w:val="2"/>
          <w:sz w:val="32"/>
          <w:szCs w:val="32"/>
          <w:lang w:val="en-US" w:eastAsia="zh-CN" w:bidi="ar-SA"/>
        </w:rPr>
        <w:t>1.97</w:t>
      </w:r>
      <w:r>
        <w:rPr>
          <w:rFonts w:hint="default" w:ascii="Times New Roman" w:hAnsi="Times New Roman" w:eastAsia="仿宋" w:cs="Times New Roman"/>
          <w:color w:val="auto"/>
          <w:kern w:val="2"/>
          <w:sz w:val="32"/>
          <w:szCs w:val="32"/>
          <w:lang w:val="en-US" w:eastAsia="zh-CN" w:bidi="ar-SA"/>
        </w:rPr>
        <w:t>%，其他土地40.5400公顷</w:t>
      </w:r>
      <w:r>
        <w:rPr>
          <w:rFonts w:hint="eastAsia" w:ascii="Times New Roman" w:hAnsi="Times New Roman" w:eastAsia="仿宋" w:cs="Times New Roman"/>
          <w:color w:val="auto"/>
          <w:kern w:val="2"/>
          <w:sz w:val="32"/>
          <w:szCs w:val="32"/>
          <w:lang w:val="en-US" w:eastAsia="zh-CN" w:bidi="ar-SA"/>
        </w:rPr>
        <w:t>（其中芒市16.2985公顷）</w:t>
      </w:r>
      <w:r>
        <w:rPr>
          <w:rFonts w:hint="default" w:ascii="Times New Roman" w:hAnsi="Times New Roman" w:eastAsia="仿宋" w:cs="Times New Roman"/>
          <w:color w:val="auto"/>
          <w:kern w:val="2"/>
          <w:sz w:val="32"/>
          <w:szCs w:val="32"/>
          <w:lang w:val="en-US" w:eastAsia="zh-CN" w:bidi="ar-SA"/>
        </w:rPr>
        <w:t>，占总规模的</w:t>
      </w:r>
      <w:r>
        <w:rPr>
          <w:rFonts w:hint="eastAsia" w:ascii="Times New Roman" w:hAnsi="Times New Roman" w:eastAsia="仿宋" w:cs="Times New Roman"/>
          <w:color w:val="auto"/>
          <w:kern w:val="2"/>
          <w:sz w:val="32"/>
          <w:szCs w:val="32"/>
          <w:lang w:val="en-US" w:eastAsia="zh-CN" w:bidi="ar-SA"/>
        </w:rPr>
        <w:t>4.48</w:t>
      </w:r>
      <w:r>
        <w:rPr>
          <w:rFonts w:hint="default" w:ascii="Times New Roman" w:hAnsi="Times New Roman" w:eastAsia="仿宋"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项目涉及</w:t>
      </w:r>
      <w:r>
        <w:rPr>
          <w:rFonts w:hint="default" w:ascii="Times New Roman" w:hAnsi="Times New Roman" w:eastAsia="仿宋" w:cs="Times New Roman"/>
          <w:color w:val="auto"/>
          <w:kern w:val="2"/>
          <w:sz w:val="32"/>
          <w:szCs w:val="32"/>
          <w:lang w:val="en-US" w:eastAsia="zh-CN" w:bidi="ar-SA"/>
        </w:rPr>
        <w:t>占用耕地171.2114公顷，占建设项目用地总规模的47.07%；拟占用坝区耕地46.0685公顷，占用地总规模的</w:t>
      </w:r>
      <w:r>
        <w:rPr>
          <w:rFonts w:hint="eastAsia" w:ascii="Times New Roman" w:hAnsi="Times New Roman" w:eastAsia="仿宋" w:cs="Times New Roman"/>
          <w:color w:val="auto"/>
          <w:kern w:val="2"/>
          <w:sz w:val="32"/>
          <w:szCs w:val="32"/>
          <w:lang w:val="en-US" w:eastAsia="zh-CN" w:bidi="ar-SA"/>
        </w:rPr>
        <w:t>12.66</w:t>
      </w:r>
      <w:r>
        <w:rPr>
          <w:rFonts w:hint="default" w:ascii="Times New Roman" w:hAnsi="Times New Roman" w:eastAsia="仿宋" w:cs="Times New Roman"/>
          <w:color w:val="auto"/>
          <w:kern w:val="2"/>
          <w:sz w:val="32"/>
          <w:szCs w:val="32"/>
          <w:lang w:val="en-US" w:eastAsia="zh-CN" w:bidi="ar-SA"/>
        </w:rPr>
        <w:t>%。其中占用芒市耕地67.7699公顷。</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项目</w:t>
      </w:r>
      <w:r>
        <w:rPr>
          <w:rFonts w:hint="default" w:ascii="Times New Roman" w:hAnsi="Times New Roman" w:eastAsia="仿宋" w:cs="Times New Roman"/>
          <w:color w:val="auto"/>
          <w:kern w:val="2"/>
          <w:sz w:val="32"/>
          <w:szCs w:val="32"/>
          <w:lang w:val="en-US" w:eastAsia="zh-CN" w:bidi="ar-SA"/>
        </w:rPr>
        <w:t>涉及占用永久基本农田共计138.4071公顷，其中占用芒市永久基本农田54.3545公顷（坝区永久基本农田0.0826公顷、城镇周边永久基本农田11.3647公顷），平均质量等10.2等</w:t>
      </w:r>
      <w:r>
        <w:rPr>
          <w:rFonts w:hint="eastAsia" w:ascii="Times New Roman" w:hAnsi="Times New Roman" w:eastAsia="仿宋" w:cs="Times New Roman"/>
          <w:color w:val="auto"/>
          <w:kern w:val="2"/>
          <w:sz w:val="32"/>
          <w:szCs w:val="32"/>
          <w:lang w:val="en-US" w:eastAsia="zh-CN" w:bidi="ar-SA"/>
        </w:rPr>
        <w:t>。</w:t>
      </w:r>
    </w:p>
    <w:p>
      <w:pPr>
        <w:keepNext w:val="0"/>
        <w:keepLines w:val="0"/>
        <w:pageBreakBefore w:val="0"/>
        <w:widowControl w:val="0"/>
        <w:numPr>
          <w:ilvl w:val="0"/>
          <w:numId w:val="1"/>
        </w:numPr>
        <w:kinsoku/>
        <w:wordWrap/>
        <w:overflowPunct/>
        <w:topLinePunct w:val="0"/>
        <w:autoSpaceDE/>
        <w:autoSpaceDN/>
        <w:bidi w:val="0"/>
        <w:spacing w:line="520" w:lineRule="exact"/>
        <w:ind w:firstLine="640"/>
        <w:rPr>
          <w:rFonts w:hint="eastAsia"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lang w:val="en-US" w:eastAsia="zh-CN" w:bidi="ar-SA"/>
        </w:rPr>
        <w:t>土地利用总体规划修改方案</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center"/>
        <w:rPr>
          <w:rFonts w:hint="default"/>
          <w:b/>
          <w:bCs/>
          <w:color w:val="auto"/>
          <w:sz w:val="32"/>
          <w:szCs w:val="32"/>
          <w:lang w:val="en-US" w:eastAsia="zh-CN"/>
        </w:rPr>
      </w:pPr>
      <w:r>
        <w:rPr>
          <w:rFonts w:hint="eastAsia"/>
          <w:b/>
          <w:bCs/>
          <w:color w:val="auto"/>
          <w:sz w:val="32"/>
          <w:szCs w:val="32"/>
          <w:lang w:val="en-US" w:eastAsia="zh-CN"/>
        </w:rPr>
        <w:t>1.指标需求分析</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根据芒市至梁河高速公路工程建设项目申请用地范围，项目涉及占用芒市、梁河县和陇川县永久基本农田面积为138.4071公顷。为保障芒市至梁河高速公路工程建设项目用地需求，需对项目涉及芒市、梁河县和陇川县占用永久基本农田区域内的土地利用总体规划进行局部修改。在充分调查和分析研究的基础上，确定项目建设需要修改的用地指标。</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经统计分析，项目不符合规划部分用地总面积171.0036公顷（该面积为占用永久基本农田的图斑面积，包含永久基本农田面积138.4071公顷，其他农用地面积32.5965公顷），占用永久基本农田面积138.4071公顷；其中，芒市不符合规划部分69.0512公顷，占用永久基本农田54.3545公顷。</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综合上述分析，芒市至梁河高速公路工程建设项目拟占用永久基本农田地块总面积171.0036公顷。由此，项目需新增交通水利用地指标171.0036公顷，拟占用耕地135.5051公顷。其中，芒市需新增交通水利用地指标69.0512公顷，拟占用耕地51.4525公顷。</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center"/>
        <w:rPr>
          <w:rFonts w:hint="default"/>
          <w:b/>
          <w:bCs/>
          <w:color w:val="auto"/>
          <w:sz w:val="32"/>
          <w:szCs w:val="32"/>
          <w:lang w:val="en-US" w:eastAsia="zh-CN"/>
        </w:rPr>
      </w:pPr>
      <w:r>
        <w:rPr>
          <w:rFonts w:hint="eastAsia"/>
          <w:b/>
          <w:bCs/>
          <w:color w:val="auto"/>
          <w:sz w:val="32"/>
          <w:szCs w:val="32"/>
          <w:lang w:val="en-US" w:eastAsia="zh-CN"/>
        </w:rPr>
        <w:t>2.规划修改方向</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将预留的新增建设用地指标171.0036公顷，新增建设用地占用耕地指标135.5051公顷，追加至芒市、梁河县、陇川县，用于保障芒市至梁河高速公路工程项目的建设需求，并根据建设用地布局调整、永久基本农田布局调整情况，按照土地利用总体规划空间管制和用途管制规则，对管制和用途分区进行调整，以满足项目建设用地需求。</w:t>
      </w:r>
    </w:p>
    <w:p>
      <w:pPr>
        <w:keepNext w:val="0"/>
        <w:keepLines w:val="0"/>
        <w:pageBreakBefore w:val="0"/>
        <w:widowControl w:val="0"/>
        <w:kinsoku/>
        <w:wordWrap/>
        <w:overflowPunct/>
        <w:topLinePunct w:val="0"/>
        <w:autoSpaceDE/>
        <w:autoSpaceDN/>
        <w:bidi w:val="0"/>
        <w:spacing w:line="520" w:lineRule="exact"/>
        <w:ind w:firstLine="640"/>
        <w:rPr>
          <w:rFonts w:hint="default"/>
          <w:color w:val="auto"/>
          <w:sz w:val="32"/>
          <w:szCs w:val="32"/>
          <w:lang w:val="en-US" w:eastAsia="zh-CN"/>
        </w:rPr>
      </w:pPr>
      <w:r>
        <w:rPr>
          <w:rFonts w:hint="default" w:ascii="Times New Roman" w:hAnsi="Times New Roman" w:eastAsia="仿宋" w:cs="Times New Roman"/>
          <w:color w:val="auto"/>
          <w:kern w:val="2"/>
          <w:sz w:val="32"/>
          <w:szCs w:val="32"/>
          <w:lang w:val="en-US" w:eastAsia="zh-CN" w:bidi="ar-SA"/>
        </w:rPr>
        <w:t>根据项目占用芒市、梁河县、陇川县永久基本农田情况，按照国家、省关于永久基本农田占用补划相关要求，在充分论证的基础上，将项目申请用地范围内的永久基本农田调整为一般耕地；在芒市、梁河县、陇川县内补划“数量相等、质量相当”的永久基本农田，确保项目占用后，芒市、梁河县、陇川县永久基本农田数量不减少、质量不降低。</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center"/>
        <w:rPr>
          <w:rFonts w:hint="default"/>
          <w:b/>
          <w:bCs/>
          <w:color w:val="auto"/>
          <w:sz w:val="32"/>
          <w:szCs w:val="32"/>
          <w:lang w:val="en-US" w:eastAsia="zh-CN"/>
        </w:rPr>
      </w:pPr>
      <w:r>
        <w:rPr>
          <w:rFonts w:hint="eastAsia"/>
          <w:b/>
          <w:bCs/>
          <w:color w:val="auto"/>
          <w:sz w:val="32"/>
          <w:szCs w:val="32"/>
          <w:lang w:val="en-US" w:eastAsia="zh-CN"/>
        </w:rPr>
        <w:t>3.规划修改重点</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根据调整区域的土地利用现状及土地利用总体规划情况，在保证项目用地需要的同时，为不断提高规划的科学性和合理性，本次规划修改重点包括：</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（1）为使芒市至梁河高速公路工程项目符合规划，对项目不符合规划区域进行建设用地空间局部调整，并确保调整后各项规划目标符合上级下达指标要求。</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（2）对调整项目区涉及的规划永久基本农田保护区进行局部修改。</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（3）对调整项目区的土地用途区进行局部修改：将项目占用永久基本农田地块调整为其他用地区、对补划永久基本农田地块从规划修改前一般农地区调整为基本农田保护区。</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（4）将补划后的永久基本农田纳入土地利用总体规划，并进行图、库更新</w:t>
      </w:r>
      <w:r>
        <w:rPr>
          <w:rFonts w:hint="eastAsia" w:ascii="Times New Roman" w:hAnsi="Times New Roman" w:eastAsia="仿宋" w:cs="Times New Roman"/>
          <w:color w:val="auto"/>
          <w:kern w:val="2"/>
          <w:sz w:val="32"/>
          <w:szCs w:val="32"/>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center"/>
        <w:rPr>
          <w:rFonts w:hint="default"/>
          <w:b/>
          <w:bCs/>
          <w:color w:val="auto"/>
          <w:sz w:val="32"/>
          <w:szCs w:val="32"/>
          <w:lang w:val="en-US" w:eastAsia="zh-CN"/>
        </w:rPr>
      </w:pPr>
      <w:r>
        <w:rPr>
          <w:rFonts w:hint="eastAsia"/>
          <w:b/>
          <w:bCs/>
          <w:color w:val="auto"/>
          <w:sz w:val="32"/>
          <w:szCs w:val="32"/>
          <w:lang w:val="en-US" w:eastAsia="zh-CN"/>
        </w:rPr>
        <w:t>4.规划修改内容</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（1）上级下达指标调整</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本次规划修改使用预留的新增建设用地指标和新增建设用地占用耕地指标，将其追加至芒市、梁河县、陇川县上级下达指标，并分解到本项目涉及的各个乡镇。</w:t>
      </w:r>
    </w:p>
    <w:p>
      <w:pPr>
        <w:keepNext w:val="0"/>
        <w:keepLines w:val="0"/>
        <w:pageBreakBefore w:val="0"/>
        <w:widowControl w:val="0"/>
        <w:kinsoku/>
        <w:wordWrap/>
        <w:overflowPunct/>
        <w:topLinePunct w:val="0"/>
        <w:autoSpaceDE/>
        <w:autoSpaceDN/>
        <w:bidi w:val="0"/>
        <w:spacing w:line="52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永久基本农田占用补划时，由于芒市、梁河县、陇川县十三五重点项目的发展建设、易地扶贫搬迁、城乡建设用地增减挂钩项目区、生态保护红线、退耕还林政策的实施以及需规避芒市、梁河县、陇川县采矿权、探矿权等原因，并考虑坝区原因、补划的耕地质量等别原因，未能完全在占用乡镇实现补划，为使占用补划后各乡镇的永久基本农田保护面积符合上级下达指标要求：需对占用、补划地块涉及的乡镇进行基本农田保护任务的调整，全县永久基本农田保护指标保持不变。</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调整后，芒市建设用地总规模、交通水利及其他建设用地规模、新增建设用地规模、新增建设占农用地规模增加69.0512公顷，新增建设占用耕地规模增加51.4525公顷。</w:t>
      </w:r>
    </w:p>
    <w:p>
      <w:pPr>
        <w:pStyle w:val="3"/>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outlineLvl w:val="9"/>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调整后，风平镇</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基本农田面积减少6.3</w:t>
      </w:r>
      <w:r>
        <w:rPr>
          <w:rFonts w:hint="eastAsia" w:ascii="Times New Roman" w:hAnsi="Times New Roman" w:eastAsia="仿宋" w:cs="Times New Roman"/>
          <w:color w:val="auto"/>
          <w:kern w:val="2"/>
          <w:sz w:val="32"/>
          <w:szCs w:val="32"/>
          <w:lang w:val="en-US" w:eastAsia="zh-CN" w:bidi="ar-SA"/>
        </w:rPr>
        <w:t>030</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公顷，建设用地总规模、交通水利及其他建设用地规、新增建设用地规模、新增建设占用农用地规模增加13.8683公顷，新增建设占用耕地规模增加11.3654公顷。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调整后，轩岗乡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基本农田面积增加22.2008公顷，建设用地总规模、交通水利及其他建设用地规、新增建设用地规模、新增建设占用农用地规模增加13.4236公顷，新增建设占用耕地规模增加9.8811公顷。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调整后，江东乡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基本农田面积减少0.1</w:t>
      </w:r>
      <w:r>
        <w:rPr>
          <w:rFonts w:hint="eastAsia" w:ascii="Times New Roman" w:hAnsi="Times New Roman" w:eastAsia="仿宋" w:cs="Times New Roman"/>
          <w:color w:val="auto"/>
          <w:kern w:val="2"/>
          <w:sz w:val="32"/>
          <w:szCs w:val="32"/>
          <w:lang w:val="en-US" w:eastAsia="zh-CN" w:bidi="ar-SA"/>
        </w:rPr>
        <w:t>036</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公顷，建设用地总规模、交通水利及其他建设用地规、新增建设用地规模、新增建设占用农用地规模增加0.1292公顷，新增建设占用耕地规模增加0.1036公顷。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调整后，三台山乡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基本农田面积减少1</w:t>
      </w:r>
      <w:r>
        <w:rPr>
          <w:rFonts w:hint="eastAsia" w:ascii="Times New Roman" w:hAnsi="Times New Roman" w:eastAsia="仿宋" w:cs="Times New Roman"/>
          <w:color w:val="auto"/>
          <w:kern w:val="2"/>
          <w:sz w:val="32"/>
          <w:szCs w:val="32"/>
          <w:lang w:val="en-US" w:eastAsia="zh-CN" w:bidi="ar-SA"/>
        </w:rPr>
        <w:t>2.0723</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公顷，建设用地总规模、交通水利及其他建设用地规、新增建设用地规模、新增建设占用农用地规模增加15.1237公顷，新增建设占用耕地规模增加12.0723公顷。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调整后，五岔路乡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基本农田面积减少2</w:t>
      </w:r>
      <w:r>
        <w:rPr>
          <w:rFonts w:hint="eastAsia" w:ascii="Times New Roman" w:hAnsi="Times New Roman" w:eastAsia="仿宋" w:cs="Times New Roman"/>
          <w:color w:val="auto"/>
          <w:kern w:val="2"/>
          <w:sz w:val="32"/>
          <w:szCs w:val="32"/>
          <w:lang w:val="en-US" w:eastAsia="zh-CN" w:bidi="ar-SA"/>
        </w:rPr>
        <w:t>0.9321</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公顷，建设用地总规模、交通水利及其他建设用地规、新增建设用地规模、新增建设占用农用地规模增加26.</w:t>
      </w:r>
      <w:r>
        <w:rPr>
          <w:rFonts w:hint="eastAsia" w:ascii="Times New Roman" w:hAnsi="Times New Roman" w:eastAsia="仿宋" w:cs="Times New Roman"/>
          <w:color w:val="auto"/>
          <w:kern w:val="2"/>
          <w:sz w:val="32"/>
          <w:szCs w:val="32"/>
          <w:lang w:val="en-US" w:eastAsia="zh-CN" w:bidi="ar-SA"/>
        </w:rPr>
        <w:t>5064</w:t>
      </w:r>
      <w:r>
        <w:rPr>
          <w:rFonts w:hint="default" w:ascii="Times New Roman" w:hAnsi="Times New Roman" w:eastAsia="仿宋" w:cs="Times New Roman"/>
          <w:color w:val="auto"/>
          <w:kern w:val="2"/>
          <w:sz w:val="32"/>
          <w:szCs w:val="32"/>
          <w:lang w:val="en-US" w:eastAsia="zh-CN" w:bidi="ar-SA"/>
        </w:rPr>
        <w:t>公顷，新增建设占用耕地规模增加18.</w:t>
      </w:r>
      <w:r>
        <w:rPr>
          <w:rFonts w:hint="eastAsia" w:ascii="Times New Roman" w:hAnsi="Times New Roman" w:eastAsia="仿宋" w:cs="Times New Roman"/>
          <w:color w:val="auto"/>
          <w:kern w:val="2"/>
          <w:sz w:val="32"/>
          <w:szCs w:val="32"/>
          <w:lang w:val="en-US" w:eastAsia="zh-CN" w:bidi="ar-SA"/>
        </w:rPr>
        <w:t>0301</w:t>
      </w:r>
      <w:r>
        <w:rPr>
          <w:rFonts w:hint="default" w:ascii="Times New Roman" w:hAnsi="Times New Roman" w:eastAsia="仿宋" w:cs="Times New Roman"/>
          <w:color w:val="auto"/>
          <w:kern w:val="2"/>
          <w:sz w:val="32"/>
          <w:szCs w:val="32"/>
          <w:lang w:val="en-US" w:eastAsia="zh-CN" w:bidi="ar-SA"/>
        </w:rPr>
        <w:t>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调整后，芒市镇</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基本农田面积增加1</w:t>
      </w:r>
      <w:r>
        <w:rPr>
          <w:rFonts w:hint="eastAsia" w:ascii="Times New Roman" w:hAnsi="Times New Roman" w:eastAsia="仿宋" w:cs="Times New Roman"/>
          <w:color w:val="auto"/>
          <w:kern w:val="2"/>
          <w:sz w:val="32"/>
          <w:szCs w:val="32"/>
          <w:lang w:val="en-US" w:eastAsia="zh-CN" w:bidi="ar-SA"/>
        </w:rPr>
        <w:t>7.2532</w:t>
      </w:r>
      <w:r>
        <w:rPr>
          <w:rFonts w:hint="default" w:ascii="Times New Roman" w:hAnsi="Times New Roman" w:eastAsia="仿宋" w:cs="Times New Roman"/>
          <w:color w:val="auto"/>
          <w:kern w:val="2"/>
          <w:sz w:val="32"/>
          <w:szCs w:val="32"/>
          <w:lang w:val="en-US" w:eastAsia="zh-CN" w:bidi="ar-SA"/>
        </w:rPr>
        <w:t>公顷。</w:t>
      </w:r>
    </w:p>
    <w:p>
      <w:pPr>
        <w:pStyle w:val="9"/>
        <w:keepNext w:val="0"/>
        <w:keepLines w:val="0"/>
        <w:pageBreakBefore w:val="0"/>
        <w:widowControl w:val="0"/>
        <w:kinsoku/>
        <w:wordWrap/>
        <w:overflowPunct/>
        <w:topLinePunct w:val="0"/>
        <w:autoSpaceDE/>
        <w:autoSpaceDN/>
        <w:bidi w:val="0"/>
        <w:spacing w:line="520" w:lineRule="exact"/>
        <w:rPr>
          <w:rFonts w:hint="eastAsia"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芒市及涉及各乡镇各项指标调整前后</w:t>
      </w:r>
      <w:r>
        <w:rPr>
          <w:rFonts w:hint="eastAsia" w:ascii="Times New Roman" w:hAnsi="Times New Roman" w:eastAsia="仿宋" w:cs="Times New Roman"/>
          <w:color w:val="auto"/>
          <w:kern w:val="2"/>
          <w:sz w:val="32"/>
          <w:szCs w:val="32"/>
          <w:lang w:val="en-US" w:eastAsia="zh-CN" w:bidi="ar-SA"/>
        </w:rPr>
        <w:t>情况详见下表。</w:t>
      </w:r>
    </w:p>
    <w:p>
      <w:pPr>
        <w:pStyle w:val="9"/>
        <w:keepNext w:val="0"/>
        <w:keepLines w:val="0"/>
        <w:pageBreakBefore w:val="0"/>
        <w:widowControl w:val="0"/>
        <w:kinsoku/>
        <w:wordWrap/>
        <w:overflowPunct/>
        <w:topLinePunct w:val="0"/>
        <w:autoSpaceDE/>
        <w:autoSpaceDN/>
        <w:bidi w:val="0"/>
        <w:spacing w:line="520" w:lineRule="exact"/>
        <w:rPr>
          <w:rFonts w:hint="eastAsia" w:ascii="Times New Roman" w:hAnsi="Times New Roman" w:eastAsia="仿宋" w:cs="Times New Roman"/>
          <w:color w:val="auto"/>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spacing w:line="520" w:lineRule="exact"/>
        <w:ind w:left="0" w:leftChars="0" w:firstLine="0" w:firstLineChars="0"/>
        <w:rPr>
          <w:rFonts w:hint="eastAsia" w:ascii="Times New Roman" w:hAnsi="Times New Roman" w:eastAsia="仿宋" w:cs="Times New Roman"/>
          <w:color w:val="auto"/>
          <w:kern w:val="2"/>
          <w:sz w:val="32"/>
          <w:szCs w:val="32"/>
          <w:lang w:val="en-US" w:eastAsia="zh-CN" w:bidi="ar-SA"/>
        </w:rPr>
      </w:pPr>
    </w:p>
    <w:p>
      <w:pPr>
        <w:jc w:val="both"/>
        <w:rPr>
          <w:rFonts w:hint="default" w:ascii="Times New Roman" w:hAnsi="Times New Roman" w:eastAsia="仿宋" w:cs="Times New Roman"/>
          <w:b/>
          <w:color w:val="auto"/>
          <w:sz w:val="24"/>
          <w:lang w:val="en-US" w:eastAsia="zh-CN"/>
        </w:rPr>
      </w:pPr>
    </w:p>
    <w:p>
      <w:pPr>
        <w:ind w:firstLine="1446" w:firstLineChars="600"/>
        <w:jc w:val="both"/>
        <w:rPr>
          <w:rFonts w:hint="default" w:ascii="Times New Roman" w:hAnsi="Times New Roman" w:eastAsia="仿宋" w:cs="Times New Roman"/>
          <w:b/>
          <w:color w:val="auto"/>
          <w:sz w:val="24"/>
          <w:lang w:val="en-US" w:eastAsia="zh-CN"/>
        </w:rPr>
      </w:pPr>
      <w:r>
        <w:rPr>
          <w:rFonts w:hint="default" w:ascii="Times New Roman" w:hAnsi="Times New Roman" w:eastAsia="仿宋" w:cs="Times New Roman"/>
          <w:b/>
          <w:color w:val="auto"/>
          <w:sz w:val="24"/>
          <w:lang w:val="en-US" w:eastAsia="zh-CN"/>
        </w:rPr>
        <w:t>芒市及涉及各乡镇各项指标调整前后对比表</w:t>
      </w:r>
    </w:p>
    <w:p>
      <w:pPr>
        <w:keepNext w:val="0"/>
        <w:keepLines w:val="0"/>
        <w:pageBreakBefore w:val="0"/>
        <w:widowControl w:val="0"/>
        <w:kinsoku/>
        <w:wordWrap/>
        <w:overflowPunct/>
        <w:topLinePunct/>
        <w:autoSpaceDE/>
        <w:autoSpaceDN/>
        <w:bidi w:val="0"/>
        <w:adjustRightInd w:val="0"/>
        <w:snapToGrid w:val="0"/>
        <w:spacing w:line="240" w:lineRule="exact"/>
        <w:ind w:firstLine="480" w:firstLineChars="200"/>
        <w:jc w:val="right"/>
        <w:textAlignment w:val="auto"/>
        <w:rPr>
          <w:rFonts w:hint="default" w:ascii="Times New Roman" w:hAnsi="Times New Roman" w:eastAsia="仿宋" w:cs="Times New Roman"/>
          <w:b w:val="0"/>
          <w:bCs/>
          <w:color w:val="auto"/>
          <w:sz w:val="24"/>
        </w:rPr>
      </w:pPr>
      <w:r>
        <w:rPr>
          <w:rFonts w:hint="default" w:ascii="Times New Roman" w:hAnsi="Times New Roman" w:eastAsia="仿宋" w:cs="Times New Roman"/>
          <w:b w:val="0"/>
          <w:bCs/>
          <w:color w:val="auto"/>
          <w:sz w:val="24"/>
        </w:rPr>
        <w:t>单位：公顷</w:t>
      </w:r>
    </w:p>
    <w:tbl>
      <w:tblPr>
        <w:tblStyle w:val="6"/>
        <w:tblW w:w="0" w:type="auto"/>
        <w:tblInd w:w="0" w:type="dxa"/>
        <w:tblLayout w:type="fixed"/>
        <w:tblCellMar>
          <w:top w:w="0" w:type="dxa"/>
          <w:left w:w="0" w:type="dxa"/>
          <w:bottom w:w="0" w:type="dxa"/>
          <w:right w:w="0" w:type="dxa"/>
        </w:tblCellMar>
      </w:tblPr>
      <w:tblGrid>
        <w:gridCol w:w="892"/>
        <w:gridCol w:w="3050"/>
        <w:gridCol w:w="1850"/>
        <w:gridCol w:w="2097"/>
        <w:gridCol w:w="1450"/>
      </w:tblGrid>
      <w:tr>
        <w:tblPrEx>
          <w:tblCellMar>
            <w:top w:w="0" w:type="dxa"/>
            <w:left w:w="0" w:type="dxa"/>
            <w:bottom w:w="0" w:type="dxa"/>
            <w:right w:w="0" w:type="dxa"/>
          </w:tblCellMar>
        </w:tblPrEx>
        <w:trPr>
          <w:trHeight w:val="340" w:hRule="exact"/>
        </w:trPr>
        <w:tc>
          <w:tcPr>
            <w:tcW w:w="892"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行政区</w:t>
            </w:r>
          </w:p>
        </w:tc>
        <w:tc>
          <w:tcPr>
            <w:tcW w:w="305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指标名称</w:t>
            </w:r>
          </w:p>
        </w:tc>
        <w:tc>
          <w:tcPr>
            <w:tcW w:w="1850"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上级下达指标（调整前）</w:t>
            </w:r>
          </w:p>
        </w:tc>
        <w:tc>
          <w:tcPr>
            <w:tcW w:w="2097"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上级下达指标（调整后）</w:t>
            </w:r>
          </w:p>
        </w:tc>
        <w:tc>
          <w:tcPr>
            <w:tcW w:w="1450" w:type="dxa"/>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差值（后-前）</w:t>
            </w:r>
          </w:p>
        </w:tc>
      </w:tr>
      <w:tr>
        <w:tblPrEx>
          <w:tblCellMar>
            <w:top w:w="0" w:type="dxa"/>
            <w:left w:w="0" w:type="dxa"/>
            <w:bottom w:w="0" w:type="dxa"/>
            <w:right w:w="0" w:type="dxa"/>
          </w:tblCellMar>
        </w:tblPrEx>
        <w:trPr>
          <w:trHeight w:val="340" w:hRule="exact"/>
        </w:trPr>
        <w:tc>
          <w:tcPr>
            <w:tcW w:w="892"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auto"/>
                <w:sz w:val="22"/>
                <w:szCs w:val="22"/>
                <w:u w:val="none"/>
              </w:rPr>
            </w:pPr>
          </w:p>
        </w:tc>
        <w:tc>
          <w:tcPr>
            <w:tcW w:w="305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auto"/>
                <w:sz w:val="22"/>
                <w:szCs w:val="22"/>
                <w:u w:val="none"/>
              </w:rPr>
            </w:pPr>
          </w:p>
        </w:tc>
        <w:tc>
          <w:tcPr>
            <w:tcW w:w="1850"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auto"/>
                <w:sz w:val="22"/>
                <w:szCs w:val="22"/>
                <w:u w:val="none"/>
              </w:rPr>
            </w:pPr>
          </w:p>
        </w:tc>
        <w:tc>
          <w:tcPr>
            <w:tcW w:w="2097"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auto"/>
                <w:sz w:val="22"/>
                <w:szCs w:val="22"/>
                <w:u w:val="none"/>
              </w:rPr>
            </w:pPr>
          </w:p>
        </w:tc>
        <w:tc>
          <w:tcPr>
            <w:tcW w:w="1450" w:type="dxa"/>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color w:val="auto"/>
                <w:sz w:val="22"/>
                <w:szCs w:val="22"/>
                <w:u w:val="none"/>
              </w:rPr>
            </w:pPr>
          </w:p>
        </w:tc>
      </w:tr>
      <w:tr>
        <w:tblPrEx>
          <w:tblCellMar>
            <w:top w:w="0" w:type="dxa"/>
            <w:left w:w="0" w:type="dxa"/>
            <w:bottom w:w="0" w:type="dxa"/>
            <w:right w:w="0" w:type="dxa"/>
          </w:tblCellMar>
        </w:tblPrEx>
        <w:trPr>
          <w:trHeight w:val="340" w:hRule="exact"/>
        </w:trPr>
        <w:tc>
          <w:tcPr>
            <w:tcW w:w="892" w:type="dxa"/>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芒市</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建设用地总规模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12760.29</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12829.3412</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69.0512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交通水利及其他用地规模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2527</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2596.0512</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69.0512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新增建设用地规模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1468.29</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1537.3412</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69.0512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新增建设占用农用地规模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1379.34</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1448.3912</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69.0512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新增建设占用耕地规模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871.34</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922.7925</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51.4525</w:t>
            </w:r>
          </w:p>
        </w:tc>
      </w:tr>
      <w:tr>
        <w:tblPrEx>
          <w:tblCellMar>
            <w:top w:w="0" w:type="dxa"/>
            <w:left w:w="0" w:type="dxa"/>
            <w:bottom w:w="0" w:type="dxa"/>
            <w:right w:w="0" w:type="dxa"/>
          </w:tblCellMar>
        </w:tblPrEx>
        <w:trPr>
          <w:trHeight w:val="340" w:hRule="exact"/>
        </w:trPr>
        <w:tc>
          <w:tcPr>
            <w:tcW w:w="892" w:type="dxa"/>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风平镇</w:t>
            </w: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永久基本农田面积</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8282</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8275.697</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-6.303</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建设用地总规模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3303.9</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3317.7683</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交通水利及其他用地规模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844.32</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858.1883</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新增建设用地规模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626.46</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640.3283</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新增建设占用农用地规模</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610.07</w:t>
            </w:r>
          </w:p>
        </w:tc>
        <w:tc>
          <w:tcPr>
            <w:tcW w:w="209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623.9383</w:t>
            </w:r>
          </w:p>
        </w:tc>
        <w:tc>
          <w:tcPr>
            <w:tcW w:w="145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新增建设占用耕地规模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421.44</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432.8054</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11.3654</w:t>
            </w:r>
          </w:p>
        </w:tc>
      </w:tr>
      <w:tr>
        <w:tblPrEx>
          <w:tblCellMar>
            <w:top w:w="0" w:type="dxa"/>
            <w:left w:w="0" w:type="dxa"/>
            <w:bottom w:w="0" w:type="dxa"/>
            <w:right w:w="0" w:type="dxa"/>
          </w:tblCellMar>
        </w:tblPrEx>
        <w:trPr>
          <w:trHeight w:val="340" w:hRule="exact"/>
        </w:trPr>
        <w:tc>
          <w:tcPr>
            <w:tcW w:w="892"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轩岗乡</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永久基本农田面积</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4946</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4968.2008</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22.2008</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建设用地总规模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613.86</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627.2836</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交通水利及其他用地规模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139.83</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153.2536</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53.75</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67.1736</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新增建设占用农用地规模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50.35</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63.7736</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新增建设占用耕地规模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28.15</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38.0311</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9.8811</w:t>
            </w:r>
          </w:p>
        </w:tc>
      </w:tr>
      <w:tr>
        <w:tblPrEx>
          <w:tblCellMar>
            <w:top w:w="0" w:type="dxa"/>
            <w:left w:w="0" w:type="dxa"/>
            <w:bottom w:w="0" w:type="dxa"/>
            <w:right w:w="0" w:type="dxa"/>
          </w:tblCellMar>
        </w:tblPrEx>
        <w:trPr>
          <w:trHeight w:val="340" w:hRule="exact"/>
        </w:trPr>
        <w:tc>
          <w:tcPr>
            <w:tcW w:w="892"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江东乡</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永久基本农田面积</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3420</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3419.8964</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-0.1036</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建设用地总规模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531.31</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531.4392</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交通水利及其他用地规模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95.72</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95.8492</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新增建设占用农用地规模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新增建设占用耕地规模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0.1036</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0.1036</w:t>
            </w:r>
          </w:p>
        </w:tc>
      </w:tr>
      <w:tr>
        <w:tblPrEx>
          <w:tblCellMar>
            <w:top w:w="0" w:type="dxa"/>
            <w:left w:w="0" w:type="dxa"/>
            <w:bottom w:w="0" w:type="dxa"/>
            <w:right w:w="0" w:type="dxa"/>
          </w:tblCellMar>
        </w:tblPrEx>
        <w:trPr>
          <w:trHeight w:val="340" w:hRule="exact"/>
        </w:trPr>
        <w:tc>
          <w:tcPr>
            <w:tcW w:w="892"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2"/>
                <w:szCs w:val="22"/>
                <w:u w:val="none"/>
              </w:rPr>
            </w:pPr>
            <w:r>
              <w:rPr>
                <w:rFonts w:hint="eastAsia" w:ascii="仿宋_GB2312" w:hAnsi="宋体" w:eastAsia="仿宋_GB2312" w:cs="仿宋_GB2312"/>
                <w:i w:val="0"/>
                <w:color w:val="auto"/>
                <w:kern w:val="0"/>
                <w:sz w:val="22"/>
                <w:szCs w:val="22"/>
                <w:u w:val="none"/>
                <w:lang w:val="en-US" w:eastAsia="zh-CN" w:bidi="ar"/>
              </w:rPr>
              <w:t>三台山 乡</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永久基本农田面积</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2981</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2968.9277</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-12.0723</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建设用地总规模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499.91</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515.0337</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交通水利及其他用地规模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144.9</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160.0237</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4.57</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19.6937</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新增建设占用农用地规模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3.61</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18.7337</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2"/>
                <w:szCs w:val="22"/>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新增建设占用耕地规模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0.53</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12.6023</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12.0723</w:t>
            </w:r>
          </w:p>
        </w:tc>
      </w:tr>
      <w:tr>
        <w:tblPrEx>
          <w:tblCellMar>
            <w:top w:w="0" w:type="dxa"/>
            <w:left w:w="0" w:type="dxa"/>
            <w:bottom w:w="0" w:type="dxa"/>
            <w:right w:w="0" w:type="dxa"/>
          </w:tblCellMar>
        </w:tblPrEx>
        <w:trPr>
          <w:trHeight w:val="340" w:hRule="exact"/>
        </w:trPr>
        <w:tc>
          <w:tcPr>
            <w:tcW w:w="892"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五岔路乡</w:t>
            </w: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永久基本农田面积</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5290</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5269.0679</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-20.9321</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建设用地总规模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478.95</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505.4564</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交通水利及其他用地规模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99.86</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126.3664</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3.93</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30.4364</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新增建设占用农用地规模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3.81</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30.3164</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r>
      <w:tr>
        <w:tblPrEx>
          <w:tblCellMar>
            <w:top w:w="0" w:type="dxa"/>
            <w:left w:w="0" w:type="dxa"/>
            <w:bottom w:w="0" w:type="dxa"/>
            <w:right w:w="0" w:type="dxa"/>
          </w:tblCellMar>
        </w:tblPrEx>
        <w:trPr>
          <w:trHeight w:val="340" w:hRule="exact"/>
        </w:trPr>
        <w:tc>
          <w:tcPr>
            <w:tcW w:w="892"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仿宋_GB2312" w:hAnsi="宋体" w:eastAsia="仿宋_GB2312" w:cs="仿宋_GB2312"/>
                <w:i w:val="0"/>
                <w:color w:val="auto"/>
                <w:sz w:val="24"/>
                <w:szCs w:val="24"/>
                <w:u w:val="none"/>
              </w:rPr>
            </w:pPr>
          </w:p>
        </w:tc>
        <w:tc>
          <w:tcPr>
            <w:tcW w:w="3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新增建设占用耕地规模</w:t>
            </w:r>
          </w:p>
        </w:tc>
        <w:tc>
          <w:tcPr>
            <w:tcW w:w="1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c>
          <w:tcPr>
            <w:tcW w:w="20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18.0301</w:t>
            </w:r>
          </w:p>
        </w:tc>
        <w:tc>
          <w:tcPr>
            <w:tcW w:w="145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18.0301</w:t>
            </w:r>
          </w:p>
        </w:tc>
      </w:tr>
      <w:tr>
        <w:tblPrEx>
          <w:tblCellMar>
            <w:top w:w="0" w:type="dxa"/>
            <w:left w:w="0" w:type="dxa"/>
            <w:bottom w:w="0" w:type="dxa"/>
            <w:right w:w="0" w:type="dxa"/>
          </w:tblCellMar>
        </w:tblPrEx>
        <w:trPr>
          <w:trHeight w:val="340" w:hRule="exact"/>
        </w:trPr>
        <w:tc>
          <w:tcPr>
            <w:tcW w:w="89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芒市镇</w:t>
            </w:r>
          </w:p>
        </w:tc>
        <w:tc>
          <w:tcPr>
            <w:tcW w:w="30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永久基本农田面积</w:t>
            </w:r>
          </w:p>
        </w:tc>
        <w:tc>
          <w:tcPr>
            <w:tcW w:w="18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3518</w:t>
            </w:r>
          </w:p>
        </w:tc>
        <w:tc>
          <w:tcPr>
            <w:tcW w:w="2097"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3535.2532</w:t>
            </w:r>
          </w:p>
        </w:tc>
        <w:tc>
          <w:tcPr>
            <w:tcW w:w="145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17.2532</w:t>
            </w:r>
          </w:p>
        </w:tc>
      </w:tr>
    </w:tbl>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w:t>
      </w:r>
      <w:r>
        <w:rPr>
          <w:rFonts w:hint="eastAsia" w:cs="Times New Roman"/>
          <w:color w:val="auto"/>
          <w:kern w:val="2"/>
          <w:sz w:val="32"/>
          <w:szCs w:val="32"/>
          <w:lang w:val="en-US" w:eastAsia="zh-CN" w:bidi="ar-SA"/>
        </w:rPr>
        <w:t>2</w:t>
      </w:r>
      <w:r>
        <w:rPr>
          <w:rFonts w:hint="default" w:ascii="Times New Roman" w:hAnsi="Times New Roman" w:eastAsia="仿宋" w:cs="Times New Roman"/>
          <w:color w:val="auto"/>
          <w:kern w:val="2"/>
          <w:sz w:val="32"/>
          <w:szCs w:val="32"/>
          <w:lang w:val="en-US" w:eastAsia="zh-CN" w:bidi="ar-SA"/>
        </w:rPr>
        <w:t>）建设用地布局调整</w:t>
      </w: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本次规划修改仅涉及建设用地调入，调入地块涉及芒市风平镇、轩岗乡、江东乡、三台山乡、五岔路乡</w:t>
      </w:r>
      <w:r>
        <w:rPr>
          <w:rFonts w:hint="eastAsia"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共调入新增建设用地指标</w:t>
      </w:r>
      <w:r>
        <w:rPr>
          <w:rFonts w:hint="eastAsia" w:cs="Times New Roman"/>
          <w:color w:val="auto"/>
          <w:kern w:val="2"/>
          <w:sz w:val="32"/>
          <w:szCs w:val="32"/>
          <w:lang w:val="en-US" w:eastAsia="zh-CN" w:bidi="ar-SA"/>
        </w:rPr>
        <w:t>69.0512</w:t>
      </w:r>
      <w:r>
        <w:rPr>
          <w:rFonts w:hint="default" w:ascii="Times New Roman" w:hAnsi="Times New Roman" w:eastAsia="仿宋" w:cs="Times New Roman"/>
          <w:color w:val="auto"/>
          <w:kern w:val="2"/>
          <w:sz w:val="32"/>
          <w:szCs w:val="32"/>
          <w:lang w:val="en-US" w:eastAsia="zh-CN" w:bidi="ar-SA"/>
        </w:rPr>
        <w:t>公顷，全部为交通水利用地；调入新增建设用地占用耕地指标</w:t>
      </w:r>
      <w:r>
        <w:rPr>
          <w:rFonts w:hint="eastAsia" w:cs="Times New Roman"/>
          <w:color w:val="auto"/>
          <w:kern w:val="2"/>
          <w:sz w:val="32"/>
          <w:szCs w:val="32"/>
          <w:lang w:val="en-US" w:eastAsia="zh-CN" w:bidi="ar-SA"/>
        </w:rPr>
        <w:t>51.4525</w:t>
      </w:r>
      <w:r>
        <w:rPr>
          <w:rFonts w:hint="default" w:ascii="Times New Roman" w:hAnsi="Times New Roman" w:eastAsia="仿宋" w:cs="Times New Roman"/>
          <w:color w:val="auto"/>
          <w:kern w:val="2"/>
          <w:sz w:val="32"/>
          <w:szCs w:val="32"/>
          <w:lang w:val="en-US" w:eastAsia="zh-CN" w:bidi="ar-SA"/>
        </w:rPr>
        <w:t>公顷。</w:t>
      </w:r>
    </w:p>
    <w:p>
      <w:pPr>
        <w:jc w:val="center"/>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项目建设用地布局调整情况</w:t>
      </w:r>
      <w:r>
        <w:rPr>
          <w:rFonts w:hint="default" w:ascii="Times New Roman" w:hAnsi="Times New Roman" w:eastAsia="仿宋" w:cs="Times New Roman"/>
          <w:b/>
          <w:color w:val="auto"/>
          <w:sz w:val="24"/>
          <w:lang w:val="en-US" w:eastAsia="zh-CN"/>
        </w:rPr>
        <w:t>表</w:t>
      </w:r>
    </w:p>
    <w:p>
      <w:pPr>
        <w:pStyle w:val="3"/>
        <w:widowControl w:val="0"/>
        <w:wordWrap/>
        <w:adjustRightInd/>
        <w:snapToGrid/>
        <w:spacing w:line="360" w:lineRule="auto"/>
        <w:ind w:left="0" w:leftChars="0" w:firstLine="480" w:firstLineChars="200"/>
        <w:jc w:val="right"/>
        <w:textAlignment w:val="auto"/>
        <w:outlineLvl w:val="9"/>
        <w:rPr>
          <w:rFonts w:hint="default" w:ascii="Times New Roman" w:hAnsi="Times New Roman" w:eastAsia="仿宋" w:cs="Times New Roman"/>
          <w:b w:val="0"/>
          <w:bCs/>
          <w:color w:val="auto"/>
          <w:sz w:val="24"/>
        </w:rPr>
      </w:pPr>
      <w:r>
        <w:rPr>
          <w:rFonts w:hint="default" w:ascii="Times New Roman" w:hAnsi="Times New Roman" w:eastAsia="仿宋" w:cs="Times New Roman"/>
          <w:b w:val="0"/>
          <w:bCs/>
          <w:color w:val="auto"/>
          <w:sz w:val="24"/>
        </w:rPr>
        <w:t>单位：公顷</w:t>
      </w:r>
    </w:p>
    <w:tbl>
      <w:tblPr>
        <w:tblStyle w:val="6"/>
        <w:tblpPr w:leftFromText="180" w:rightFromText="180" w:vertAnchor="text" w:horzAnchor="page" w:tblpX="1522" w:tblpY="122"/>
        <w:tblOverlap w:val="never"/>
        <w:tblW w:w="9418" w:type="dxa"/>
        <w:tblInd w:w="0" w:type="dxa"/>
        <w:tblLayout w:type="fixed"/>
        <w:tblCellMar>
          <w:top w:w="0" w:type="dxa"/>
          <w:left w:w="0" w:type="dxa"/>
          <w:bottom w:w="0" w:type="dxa"/>
          <w:right w:w="0" w:type="dxa"/>
        </w:tblCellMar>
      </w:tblPr>
      <w:tblGrid>
        <w:gridCol w:w="1291"/>
        <w:gridCol w:w="2140"/>
        <w:gridCol w:w="949"/>
        <w:gridCol w:w="1164"/>
        <w:gridCol w:w="949"/>
        <w:gridCol w:w="951"/>
        <w:gridCol w:w="949"/>
        <w:gridCol w:w="1025"/>
      </w:tblGrid>
      <w:tr>
        <w:tblPrEx>
          <w:tblCellMar>
            <w:top w:w="0" w:type="dxa"/>
            <w:left w:w="0" w:type="dxa"/>
            <w:bottom w:w="0" w:type="dxa"/>
            <w:right w:w="0" w:type="dxa"/>
          </w:tblCellMar>
        </w:tblPrEx>
        <w:trPr>
          <w:trHeight w:val="354" w:hRule="atLeast"/>
        </w:trPr>
        <w:tc>
          <w:tcPr>
            <w:tcW w:w="3431" w:type="dxa"/>
            <w:gridSpan w:val="2"/>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行政区</w:t>
            </w:r>
          </w:p>
        </w:tc>
        <w:tc>
          <w:tcPr>
            <w:tcW w:w="4013" w:type="dxa"/>
            <w:gridSpan w:val="4"/>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调整前规划地类</w:t>
            </w:r>
          </w:p>
        </w:tc>
        <w:tc>
          <w:tcPr>
            <w:tcW w:w="1974"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调整后规划地类</w:t>
            </w:r>
          </w:p>
        </w:tc>
      </w:tr>
      <w:tr>
        <w:tblPrEx>
          <w:tblCellMar>
            <w:top w:w="0" w:type="dxa"/>
            <w:left w:w="0" w:type="dxa"/>
            <w:bottom w:w="0" w:type="dxa"/>
            <w:right w:w="0" w:type="dxa"/>
          </w:tblCellMar>
        </w:tblPrEx>
        <w:trPr>
          <w:trHeight w:val="732" w:hRule="atLeast"/>
        </w:trPr>
        <w:tc>
          <w:tcPr>
            <w:tcW w:w="3431" w:type="dxa"/>
            <w:gridSpan w:val="2"/>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黑体" w:hAnsi="宋体" w:eastAsia="黑体" w:cs="黑体"/>
                <w:i w:val="0"/>
                <w:color w:val="auto"/>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耕地</w:t>
            </w:r>
          </w:p>
        </w:tc>
        <w:tc>
          <w:tcPr>
            <w:tcW w:w="11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园地</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其他农用地</w:t>
            </w:r>
          </w:p>
        </w:tc>
        <w:tc>
          <w:tcPr>
            <w:tcW w:w="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合计</w:t>
            </w:r>
          </w:p>
        </w:tc>
        <w:tc>
          <w:tcPr>
            <w:tcW w:w="9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交通水利用地</w:t>
            </w:r>
          </w:p>
        </w:tc>
        <w:tc>
          <w:tcPr>
            <w:tcW w:w="102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合计</w:t>
            </w:r>
          </w:p>
        </w:tc>
      </w:tr>
      <w:tr>
        <w:tblPrEx>
          <w:tblCellMar>
            <w:top w:w="0" w:type="dxa"/>
            <w:left w:w="0" w:type="dxa"/>
            <w:bottom w:w="0" w:type="dxa"/>
            <w:right w:w="0" w:type="dxa"/>
          </w:tblCellMar>
        </w:tblPrEx>
        <w:trPr>
          <w:trHeight w:val="339" w:hRule="atLeast"/>
        </w:trPr>
        <w:tc>
          <w:tcPr>
            <w:tcW w:w="1291" w:type="dxa"/>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Style w:val="10"/>
                <w:rFonts w:hAnsi="Times New Roman"/>
                <w:color w:val="auto"/>
                <w:lang w:val="en-US" w:eastAsia="zh-CN" w:bidi="ar"/>
              </w:rPr>
              <w:t>芒市</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Style w:val="10"/>
                <w:rFonts w:hAnsi="Times New Roman"/>
                <w:color w:val="auto"/>
                <w:lang w:val="en-US" w:eastAsia="zh-CN" w:bidi="ar"/>
              </w:rPr>
              <w:t>风平镇</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11.3654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2.5029</w:t>
            </w:r>
          </w:p>
        </w:tc>
        <w:tc>
          <w:tcPr>
            <w:tcW w:w="9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c>
          <w:tcPr>
            <w:tcW w:w="1025"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r>
      <w:tr>
        <w:tblPrEx>
          <w:tblCellMar>
            <w:top w:w="0" w:type="dxa"/>
            <w:left w:w="0" w:type="dxa"/>
            <w:bottom w:w="0" w:type="dxa"/>
            <w:right w:w="0" w:type="dxa"/>
          </w:tblCellMar>
        </w:tblPrEx>
        <w:trPr>
          <w:trHeight w:val="339" w:hRule="atLeast"/>
        </w:trPr>
        <w:tc>
          <w:tcPr>
            <w:tcW w:w="129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Style w:val="10"/>
                <w:rFonts w:hAnsi="Times New Roman"/>
                <w:color w:val="auto"/>
                <w:lang w:val="en-US" w:eastAsia="zh-CN" w:bidi="ar"/>
              </w:rPr>
              <w:t>轩岗乡</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9.8811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3.5425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c>
          <w:tcPr>
            <w:tcW w:w="1025"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r>
      <w:tr>
        <w:tblPrEx>
          <w:tblCellMar>
            <w:top w:w="0" w:type="dxa"/>
            <w:left w:w="0" w:type="dxa"/>
            <w:bottom w:w="0" w:type="dxa"/>
            <w:right w:w="0" w:type="dxa"/>
          </w:tblCellMar>
        </w:tblPrEx>
        <w:trPr>
          <w:trHeight w:val="339" w:hRule="atLeast"/>
        </w:trPr>
        <w:tc>
          <w:tcPr>
            <w:tcW w:w="129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Style w:val="10"/>
                <w:rFonts w:hAnsi="Times New Roman"/>
                <w:color w:val="auto"/>
                <w:lang w:val="en-US" w:eastAsia="zh-CN" w:bidi="ar"/>
              </w:rPr>
              <w:t>江东乡</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0.1036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0.0256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c>
          <w:tcPr>
            <w:tcW w:w="1025"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r>
      <w:tr>
        <w:tblPrEx>
          <w:tblCellMar>
            <w:top w:w="0" w:type="dxa"/>
            <w:left w:w="0" w:type="dxa"/>
            <w:bottom w:w="0" w:type="dxa"/>
            <w:right w:w="0" w:type="dxa"/>
          </w:tblCellMar>
        </w:tblPrEx>
        <w:trPr>
          <w:trHeight w:val="339" w:hRule="atLeast"/>
        </w:trPr>
        <w:tc>
          <w:tcPr>
            <w:tcW w:w="129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Style w:val="10"/>
                <w:rFonts w:hAnsi="Times New Roman"/>
                <w:color w:val="auto"/>
                <w:lang w:val="en-US" w:eastAsia="zh-CN" w:bidi="ar"/>
              </w:rPr>
              <w:t>三台山乡</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12.0723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3.0514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c>
          <w:tcPr>
            <w:tcW w:w="1025"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r>
      <w:tr>
        <w:tblPrEx>
          <w:tblCellMar>
            <w:top w:w="0" w:type="dxa"/>
            <w:left w:w="0" w:type="dxa"/>
            <w:bottom w:w="0" w:type="dxa"/>
            <w:right w:w="0" w:type="dxa"/>
          </w:tblCellMar>
        </w:tblPrEx>
        <w:trPr>
          <w:trHeight w:val="339" w:hRule="atLeast"/>
        </w:trPr>
        <w:tc>
          <w:tcPr>
            <w:tcW w:w="129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Style w:val="10"/>
                <w:rFonts w:hAnsi="Times New Roman"/>
                <w:color w:val="auto"/>
                <w:lang w:val="en-US" w:eastAsia="zh-CN" w:bidi="ar"/>
              </w:rPr>
              <w:t>五岔路乡</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18.0301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2.902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5.5743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c>
          <w:tcPr>
            <w:tcW w:w="1025"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r>
      <w:tr>
        <w:tblPrEx>
          <w:tblCellMar>
            <w:top w:w="0" w:type="dxa"/>
            <w:left w:w="0" w:type="dxa"/>
            <w:bottom w:w="0" w:type="dxa"/>
            <w:right w:w="0" w:type="dxa"/>
          </w:tblCellMar>
        </w:tblPrEx>
        <w:trPr>
          <w:trHeight w:val="339" w:hRule="atLeast"/>
        </w:trPr>
        <w:tc>
          <w:tcPr>
            <w:tcW w:w="129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宋体" w:cs="Times New Roman"/>
                <w:i w:val="0"/>
                <w:color w:val="auto"/>
                <w:sz w:val="24"/>
                <w:szCs w:val="24"/>
                <w:u w:val="none"/>
              </w:rPr>
            </w:pP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芒市小计</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51.4525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2.902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14.6967</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69.0512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69.0512</w:t>
            </w:r>
          </w:p>
        </w:tc>
        <w:tc>
          <w:tcPr>
            <w:tcW w:w="1025"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69.0512</w:t>
            </w:r>
          </w:p>
        </w:tc>
      </w:tr>
      <w:tr>
        <w:tblPrEx>
          <w:tblCellMar>
            <w:top w:w="0" w:type="dxa"/>
            <w:left w:w="0" w:type="dxa"/>
            <w:bottom w:w="0" w:type="dxa"/>
            <w:right w:w="0" w:type="dxa"/>
          </w:tblCellMar>
        </w:tblPrEx>
        <w:trPr>
          <w:trHeight w:val="339" w:hRule="atLeast"/>
        </w:trPr>
        <w:tc>
          <w:tcPr>
            <w:tcW w:w="3431" w:type="dxa"/>
            <w:gridSpan w:val="2"/>
            <w:vMerge w:val="restart"/>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总计</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51.4525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2.902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14.6967</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69.0512</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69.0512</w:t>
            </w:r>
          </w:p>
        </w:tc>
        <w:tc>
          <w:tcPr>
            <w:tcW w:w="1025"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69.0512</w:t>
            </w:r>
          </w:p>
        </w:tc>
      </w:tr>
      <w:tr>
        <w:tblPrEx>
          <w:tblCellMar>
            <w:top w:w="0" w:type="dxa"/>
            <w:left w:w="0" w:type="dxa"/>
            <w:bottom w:w="0" w:type="dxa"/>
            <w:right w:w="0" w:type="dxa"/>
          </w:tblCellMar>
        </w:tblPrEx>
        <w:trPr>
          <w:trHeight w:val="339" w:hRule="atLeast"/>
        </w:trPr>
        <w:tc>
          <w:tcPr>
            <w:tcW w:w="3431"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黑体" w:hAnsi="宋体" w:eastAsia="黑体" w:cs="黑体"/>
                <w:i w:val="0"/>
                <w:color w:val="auto"/>
                <w:sz w:val="24"/>
                <w:szCs w:val="24"/>
                <w:u w:val="none"/>
              </w:rPr>
            </w:pPr>
          </w:p>
        </w:tc>
        <w:tc>
          <w:tcPr>
            <w:tcW w:w="21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新增建设用地</w:t>
            </w:r>
          </w:p>
        </w:tc>
        <w:tc>
          <w:tcPr>
            <w:tcW w:w="387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69.0512</w:t>
            </w:r>
          </w:p>
        </w:tc>
      </w:tr>
      <w:tr>
        <w:tblPrEx>
          <w:tblCellMar>
            <w:top w:w="0" w:type="dxa"/>
            <w:left w:w="0" w:type="dxa"/>
            <w:bottom w:w="0" w:type="dxa"/>
            <w:right w:w="0" w:type="dxa"/>
          </w:tblCellMar>
        </w:tblPrEx>
        <w:trPr>
          <w:trHeight w:val="391" w:hRule="atLeast"/>
        </w:trPr>
        <w:tc>
          <w:tcPr>
            <w:tcW w:w="3431"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黑体" w:hAnsi="宋体" w:eastAsia="黑体" w:cs="黑体"/>
                <w:i w:val="0"/>
                <w:color w:val="auto"/>
                <w:sz w:val="24"/>
                <w:szCs w:val="24"/>
                <w:u w:val="none"/>
              </w:rPr>
            </w:pPr>
          </w:p>
        </w:tc>
        <w:tc>
          <w:tcPr>
            <w:tcW w:w="2113"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新增建设占用耕地</w:t>
            </w:r>
          </w:p>
        </w:tc>
        <w:tc>
          <w:tcPr>
            <w:tcW w:w="3874" w:type="dxa"/>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b/>
                <w:i w:val="0"/>
                <w:color w:val="auto"/>
                <w:sz w:val="24"/>
                <w:szCs w:val="24"/>
                <w:u w:val="none"/>
              </w:rPr>
            </w:pPr>
            <w:r>
              <w:rPr>
                <w:rFonts w:hint="default" w:ascii="Times New Roman" w:hAnsi="Times New Roman" w:eastAsia="宋体" w:cs="Times New Roman"/>
                <w:b/>
                <w:i w:val="0"/>
                <w:color w:val="auto"/>
                <w:kern w:val="0"/>
                <w:sz w:val="24"/>
                <w:szCs w:val="24"/>
                <w:u w:val="none"/>
                <w:lang w:val="en-US" w:eastAsia="zh-CN" w:bidi="ar"/>
              </w:rPr>
              <w:t>51.4525</w:t>
            </w:r>
          </w:p>
        </w:tc>
      </w:tr>
    </w:tbl>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w:t>
      </w:r>
      <w:r>
        <w:rPr>
          <w:rFonts w:hint="eastAsia" w:cs="Times New Roman"/>
          <w:color w:val="auto"/>
          <w:kern w:val="2"/>
          <w:sz w:val="32"/>
          <w:szCs w:val="32"/>
          <w:lang w:val="en-US" w:eastAsia="zh-CN" w:bidi="ar-SA"/>
        </w:rPr>
        <w:t>3</w:t>
      </w:r>
      <w:r>
        <w:rPr>
          <w:rFonts w:hint="default" w:ascii="Times New Roman" w:hAnsi="Times New Roman" w:eastAsia="仿宋" w:cs="Times New Roman"/>
          <w:color w:val="auto"/>
          <w:kern w:val="2"/>
          <w:sz w:val="32"/>
          <w:szCs w:val="32"/>
          <w:lang w:val="en-US" w:eastAsia="zh-CN" w:bidi="ar-SA"/>
        </w:rPr>
        <w:t>）地类调整</w:t>
      </w: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本次规划修改，将调入地块</w:t>
      </w:r>
      <w:r>
        <w:rPr>
          <w:rFonts w:hint="eastAsia" w:cs="Times New Roman"/>
          <w:color w:val="auto"/>
          <w:kern w:val="2"/>
          <w:sz w:val="32"/>
          <w:szCs w:val="32"/>
          <w:lang w:val="en-US" w:eastAsia="zh-CN" w:bidi="ar-SA"/>
        </w:rPr>
        <w:t>69.0512</w:t>
      </w:r>
      <w:r>
        <w:rPr>
          <w:rFonts w:hint="default" w:ascii="Times New Roman" w:hAnsi="Times New Roman" w:eastAsia="仿宋" w:cs="Times New Roman"/>
          <w:color w:val="auto"/>
          <w:kern w:val="2"/>
          <w:sz w:val="32"/>
          <w:szCs w:val="32"/>
          <w:lang w:val="en-US" w:eastAsia="zh-CN" w:bidi="ar-SA"/>
        </w:rPr>
        <w:t>公顷（其中：</w:t>
      </w:r>
      <w:r>
        <w:rPr>
          <w:rFonts w:hint="eastAsia" w:cs="Times New Roman"/>
          <w:color w:val="auto"/>
          <w:kern w:val="2"/>
          <w:sz w:val="32"/>
          <w:szCs w:val="32"/>
          <w:lang w:val="en-US" w:eastAsia="zh-CN" w:bidi="ar-SA"/>
        </w:rPr>
        <w:t>51.4525</w:t>
      </w:r>
      <w:r>
        <w:rPr>
          <w:rFonts w:hint="default" w:ascii="Times New Roman" w:hAnsi="Times New Roman" w:eastAsia="仿宋" w:cs="Times New Roman"/>
          <w:color w:val="auto"/>
          <w:kern w:val="2"/>
          <w:sz w:val="32"/>
          <w:szCs w:val="32"/>
          <w:lang w:val="en-US" w:eastAsia="zh-CN" w:bidi="ar-SA"/>
        </w:rPr>
        <w:t>公顷的耕地、2.902公顷的园地、</w:t>
      </w:r>
      <w:r>
        <w:rPr>
          <w:rFonts w:hint="eastAsia" w:cs="Times New Roman"/>
          <w:color w:val="auto"/>
          <w:kern w:val="2"/>
          <w:sz w:val="32"/>
          <w:szCs w:val="32"/>
          <w:lang w:val="en-US" w:eastAsia="zh-CN" w:bidi="ar-SA"/>
        </w:rPr>
        <w:t>14.6967</w:t>
      </w:r>
      <w:r>
        <w:rPr>
          <w:rFonts w:hint="default" w:ascii="Times New Roman" w:hAnsi="Times New Roman" w:eastAsia="仿宋" w:cs="Times New Roman"/>
          <w:color w:val="auto"/>
          <w:kern w:val="2"/>
          <w:sz w:val="32"/>
          <w:szCs w:val="32"/>
          <w:lang w:val="en-US" w:eastAsia="zh-CN" w:bidi="ar-SA"/>
        </w:rPr>
        <w:t>公顷的其他农用地）调整为</w:t>
      </w:r>
      <w:r>
        <w:rPr>
          <w:rFonts w:hint="eastAsia" w:cs="Times New Roman"/>
          <w:color w:val="auto"/>
          <w:kern w:val="2"/>
          <w:sz w:val="32"/>
          <w:szCs w:val="32"/>
          <w:lang w:val="en-US" w:eastAsia="zh-CN" w:bidi="ar-SA"/>
        </w:rPr>
        <w:t>69.0512</w:t>
      </w:r>
      <w:r>
        <w:rPr>
          <w:rFonts w:hint="default" w:ascii="Times New Roman" w:hAnsi="Times New Roman" w:eastAsia="仿宋" w:cs="Times New Roman"/>
          <w:color w:val="auto"/>
          <w:kern w:val="2"/>
          <w:sz w:val="32"/>
          <w:szCs w:val="32"/>
          <w:lang w:val="en-US" w:eastAsia="zh-CN" w:bidi="ar-SA"/>
        </w:rPr>
        <w:t>公顷的交通水利用地。</w:t>
      </w: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r>
        <w:rPr>
          <w:rFonts w:hint="eastAsia" w:cs="Times New Roman"/>
          <w:color w:val="auto"/>
          <w:kern w:val="2"/>
          <w:sz w:val="32"/>
          <w:szCs w:val="32"/>
          <w:lang w:val="en-US" w:eastAsia="zh-CN" w:bidi="ar-SA"/>
        </w:rPr>
        <w:t>（4）</w:t>
      </w:r>
      <w:r>
        <w:rPr>
          <w:rFonts w:hint="default" w:ascii="Times New Roman" w:hAnsi="Times New Roman" w:eastAsia="仿宋" w:cs="Times New Roman"/>
          <w:color w:val="auto"/>
          <w:kern w:val="2"/>
          <w:sz w:val="32"/>
          <w:szCs w:val="32"/>
          <w:lang w:val="en-US" w:eastAsia="zh-CN" w:bidi="ar-SA"/>
        </w:rPr>
        <w:t>建设用地管制区修改</w:t>
      </w: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本次规划修改，修改前调整区域建设用地管制区类型均为限制建设区，修改后保持不变。</w:t>
      </w: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p>
    <w:p>
      <w:pPr>
        <w:jc w:val="center"/>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项目建设用地管制区调整情况</w:t>
      </w:r>
      <w:r>
        <w:rPr>
          <w:rFonts w:hint="default" w:ascii="Times New Roman" w:hAnsi="Times New Roman" w:eastAsia="仿宋" w:cs="Times New Roman"/>
          <w:b/>
          <w:color w:val="auto"/>
          <w:sz w:val="24"/>
          <w:lang w:val="en-US" w:eastAsia="zh-CN"/>
        </w:rPr>
        <w:t>表</w:t>
      </w:r>
    </w:p>
    <w:p>
      <w:pPr>
        <w:pStyle w:val="3"/>
        <w:widowControl w:val="0"/>
        <w:wordWrap/>
        <w:adjustRightInd/>
        <w:snapToGrid/>
        <w:spacing w:line="360" w:lineRule="auto"/>
        <w:ind w:left="0" w:leftChars="0" w:firstLine="480" w:firstLineChars="200"/>
        <w:jc w:val="right"/>
        <w:textAlignment w:val="auto"/>
        <w:outlineLvl w:val="9"/>
        <w:rPr>
          <w:rFonts w:hint="default" w:ascii="Times New Roman" w:hAnsi="Times New Roman" w:eastAsia="仿宋" w:cs="Times New Roman"/>
          <w:b w:val="0"/>
          <w:bCs/>
          <w:color w:val="auto"/>
          <w:sz w:val="24"/>
        </w:rPr>
      </w:pPr>
      <w:r>
        <w:rPr>
          <w:rFonts w:hint="default" w:ascii="Times New Roman" w:hAnsi="Times New Roman" w:eastAsia="仿宋" w:cs="Times New Roman"/>
          <w:b w:val="0"/>
          <w:bCs/>
          <w:color w:val="auto"/>
          <w:sz w:val="24"/>
        </w:rPr>
        <w:t>单位：公顷</w:t>
      </w:r>
    </w:p>
    <w:tbl>
      <w:tblPr>
        <w:tblStyle w:val="6"/>
        <w:tblW w:w="9477" w:type="dxa"/>
        <w:tblInd w:w="0" w:type="dxa"/>
        <w:tblLayout w:type="fixed"/>
        <w:tblCellMar>
          <w:top w:w="0" w:type="dxa"/>
          <w:left w:w="0" w:type="dxa"/>
          <w:bottom w:w="0" w:type="dxa"/>
          <w:right w:w="0" w:type="dxa"/>
        </w:tblCellMar>
      </w:tblPr>
      <w:tblGrid>
        <w:gridCol w:w="910"/>
        <w:gridCol w:w="1817"/>
        <w:gridCol w:w="1583"/>
        <w:gridCol w:w="2000"/>
        <w:gridCol w:w="1984"/>
        <w:gridCol w:w="1183"/>
      </w:tblGrid>
      <w:tr>
        <w:tblPrEx>
          <w:tblCellMar>
            <w:top w:w="0" w:type="dxa"/>
            <w:left w:w="0" w:type="dxa"/>
            <w:bottom w:w="0" w:type="dxa"/>
            <w:right w:w="0" w:type="dxa"/>
          </w:tblCellMar>
        </w:tblPrEx>
        <w:trPr>
          <w:trHeight w:val="885" w:hRule="atLeast"/>
        </w:trPr>
        <w:tc>
          <w:tcPr>
            <w:tcW w:w="2727" w:type="dxa"/>
            <w:gridSpan w:val="2"/>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行政区</w:t>
            </w:r>
          </w:p>
        </w:tc>
        <w:tc>
          <w:tcPr>
            <w:tcW w:w="158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调整方式</w:t>
            </w:r>
          </w:p>
        </w:tc>
        <w:tc>
          <w:tcPr>
            <w:tcW w:w="200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修改前限制建设区</w:t>
            </w:r>
          </w:p>
        </w:tc>
        <w:tc>
          <w:tcPr>
            <w:tcW w:w="198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left"/>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修改后限制建设区</w:t>
            </w:r>
          </w:p>
        </w:tc>
        <w:tc>
          <w:tcPr>
            <w:tcW w:w="118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变化量</w:t>
            </w:r>
          </w:p>
        </w:tc>
      </w:tr>
      <w:tr>
        <w:tblPrEx>
          <w:tblCellMar>
            <w:top w:w="0" w:type="dxa"/>
            <w:left w:w="0" w:type="dxa"/>
            <w:bottom w:w="0" w:type="dxa"/>
            <w:right w:w="0" w:type="dxa"/>
          </w:tblCellMar>
        </w:tblPrEx>
        <w:trPr>
          <w:trHeight w:val="315" w:hRule="atLeast"/>
        </w:trPr>
        <w:tc>
          <w:tcPr>
            <w:tcW w:w="910"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芒市</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芒市镇</w:t>
            </w: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补划地块</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21.4148</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21.4148</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风平镇</w:t>
            </w: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调入</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13.8683</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补划地块</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6.2069</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6.2069</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轩岗乡</w:t>
            </w: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调入</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13.4236</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补划地块</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77.1305</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77.1305</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江东乡</w:t>
            </w: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调入</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0.1292</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三台山乡</w:t>
            </w: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调入</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15.1237</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五岔路乡</w:t>
            </w: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调入</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26.5064</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b/>
                <w:i w:val="0"/>
                <w:color w:val="auto"/>
                <w:sz w:val="24"/>
                <w:szCs w:val="24"/>
                <w:u w:val="none"/>
              </w:rPr>
            </w:pPr>
            <w:r>
              <w:rPr>
                <w:rFonts w:hint="eastAsia" w:ascii="仿宋_GB2312" w:hAnsi="宋体" w:eastAsia="仿宋_GB2312" w:cs="仿宋_GB2312"/>
                <w:b/>
                <w:i w:val="0"/>
                <w:color w:val="auto"/>
                <w:kern w:val="0"/>
                <w:sz w:val="24"/>
                <w:szCs w:val="24"/>
                <w:u w:val="none"/>
                <w:lang w:val="en-US" w:eastAsia="zh-CN" w:bidi="ar"/>
              </w:rPr>
              <w:t>芒市小计</w:t>
            </w: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调入</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69.0512</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69.0512</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r>
        <w:tblPrEx>
          <w:tblCellMar>
            <w:top w:w="0" w:type="dxa"/>
            <w:left w:w="0" w:type="dxa"/>
            <w:bottom w:w="0" w:type="dxa"/>
            <w:right w:w="0" w:type="dxa"/>
          </w:tblCellMar>
        </w:tblPrEx>
        <w:trPr>
          <w:trHeight w:val="315" w:hRule="atLeast"/>
        </w:trPr>
        <w:tc>
          <w:tcPr>
            <w:tcW w:w="910"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4"/>
                <w:szCs w:val="24"/>
                <w:u w:val="none"/>
              </w:rPr>
            </w:pPr>
          </w:p>
        </w:tc>
        <w:tc>
          <w:tcPr>
            <w:tcW w:w="18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b/>
                <w:i w:val="0"/>
                <w:color w:val="auto"/>
                <w:sz w:val="24"/>
                <w:szCs w:val="24"/>
                <w:u w:val="none"/>
              </w:rPr>
            </w:pPr>
          </w:p>
        </w:tc>
        <w:tc>
          <w:tcPr>
            <w:tcW w:w="15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补划地块</w:t>
            </w:r>
          </w:p>
        </w:tc>
        <w:tc>
          <w:tcPr>
            <w:tcW w:w="2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104.7522</w:t>
            </w:r>
          </w:p>
        </w:tc>
        <w:tc>
          <w:tcPr>
            <w:tcW w:w="19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104.7522</w:t>
            </w:r>
          </w:p>
        </w:tc>
        <w:tc>
          <w:tcPr>
            <w:tcW w:w="1183"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w:t>
            </w:r>
          </w:p>
        </w:tc>
      </w:tr>
    </w:tbl>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w:t>
      </w:r>
      <w:r>
        <w:rPr>
          <w:rFonts w:hint="eastAsia" w:cs="Times New Roman"/>
          <w:color w:val="auto"/>
          <w:kern w:val="2"/>
          <w:sz w:val="32"/>
          <w:szCs w:val="32"/>
          <w:lang w:val="en-US" w:eastAsia="zh-CN" w:bidi="ar-SA"/>
        </w:rPr>
        <w:t>5</w:t>
      </w:r>
      <w:r>
        <w:rPr>
          <w:rFonts w:hint="default" w:ascii="Times New Roman" w:hAnsi="Times New Roman" w:eastAsia="仿宋" w:cs="Times New Roman"/>
          <w:color w:val="auto"/>
          <w:kern w:val="2"/>
          <w:sz w:val="32"/>
          <w:szCs w:val="32"/>
          <w:lang w:val="en-US" w:eastAsia="zh-CN" w:bidi="ar-SA"/>
        </w:rPr>
        <w:t>）土地用途区修改</w:t>
      </w:r>
    </w:p>
    <w:p>
      <w:pPr>
        <w:pStyle w:val="9"/>
        <w:keepNext w:val="0"/>
        <w:keepLines w:val="0"/>
        <w:pageBreakBefore w:val="0"/>
        <w:widowControl w:val="0"/>
        <w:kinsoku/>
        <w:wordWrap/>
        <w:overflowPunct/>
        <w:topLinePunct w:val="0"/>
        <w:autoSpaceDE/>
        <w:autoSpaceDN/>
        <w:bidi w:val="0"/>
        <w:adjustRightInd w:val="0"/>
        <w:snapToGrid w:val="0"/>
        <w:spacing w:line="520" w:lineRule="exact"/>
        <w:textAlignment w:val="center"/>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color w:val="auto"/>
          <w:kern w:val="2"/>
          <w:sz w:val="32"/>
          <w:szCs w:val="32"/>
          <w:lang w:val="en-US" w:eastAsia="zh-CN" w:bidi="ar-SA"/>
        </w:rPr>
        <w:t>本次规划修改，将调入地块</w:t>
      </w:r>
      <w:r>
        <w:rPr>
          <w:rFonts w:hint="eastAsia" w:ascii="Times New Roman" w:hAnsi="Times New Roman" w:eastAsia="仿宋" w:cs="Times New Roman"/>
          <w:color w:val="auto"/>
          <w:kern w:val="2"/>
          <w:sz w:val="32"/>
          <w:szCs w:val="32"/>
          <w:lang w:val="en-US" w:eastAsia="zh-CN" w:bidi="ar-SA"/>
        </w:rPr>
        <w:t>69.0512</w:t>
      </w:r>
      <w:r>
        <w:rPr>
          <w:rFonts w:hint="default" w:ascii="Times New Roman" w:hAnsi="Times New Roman" w:eastAsia="仿宋" w:cs="Times New Roman"/>
          <w:color w:val="auto"/>
          <w:kern w:val="2"/>
          <w:sz w:val="32"/>
          <w:szCs w:val="32"/>
          <w:lang w:val="en-US" w:eastAsia="zh-CN" w:bidi="ar-SA"/>
        </w:rPr>
        <w:t>公顷的基本农田保护区调整为</w:t>
      </w:r>
      <w:r>
        <w:rPr>
          <w:rFonts w:hint="eastAsia" w:ascii="Times New Roman" w:hAnsi="Times New Roman" w:eastAsia="仿宋" w:cs="Times New Roman"/>
          <w:color w:val="auto"/>
          <w:kern w:val="2"/>
          <w:sz w:val="32"/>
          <w:szCs w:val="32"/>
          <w:lang w:val="en-US" w:eastAsia="zh-CN" w:bidi="ar-SA"/>
        </w:rPr>
        <w:t>69.0512</w:t>
      </w:r>
      <w:r>
        <w:rPr>
          <w:rFonts w:hint="default" w:ascii="Times New Roman" w:hAnsi="Times New Roman" w:eastAsia="仿宋" w:cs="Times New Roman"/>
          <w:color w:val="auto"/>
          <w:kern w:val="2"/>
          <w:sz w:val="32"/>
          <w:szCs w:val="32"/>
          <w:lang w:val="en-US" w:eastAsia="zh-CN" w:bidi="ar-SA"/>
        </w:rPr>
        <w:t>公顷的其他用地区；将补划地块104.7522公顷的一般农地区调整为104.7522公顷的基本农田保护区。芒市、梁河县、陇川县基本农田保护区总量面积相对修改前不减少（因补划地块比占用地块面积略大造成）</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pP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28"/>
          <w:szCs w:val="28"/>
          <w:lang w:val="en-US" w:eastAsia="zh-CN" w:bidi="ar-SA"/>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fmt="numberInDash"/>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b/>
          <w:color w:val="auto"/>
          <w:sz w:val="24"/>
          <w:lang w:val="en-US" w:eastAsia="zh-CN"/>
        </w:rPr>
      </w:pPr>
      <w:r>
        <w:rPr>
          <w:rFonts w:hint="eastAsia" w:ascii="Times New Roman" w:hAnsi="Times New Roman" w:eastAsia="仿宋" w:cs="Times New Roman"/>
          <w:b/>
          <w:color w:val="auto"/>
          <w:sz w:val="24"/>
          <w:lang w:val="en-US" w:eastAsia="zh-CN"/>
        </w:rPr>
        <w:t>项目土地用途分区调整情况</w:t>
      </w:r>
      <w:r>
        <w:rPr>
          <w:rFonts w:hint="default" w:ascii="Times New Roman" w:hAnsi="Times New Roman" w:eastAsia="仿宋" w:cs="Times New Roman"/>
          <w:b/>
          <w:color w:val="auto"/>
          <w:sz w:val="24"/>
          <w:lang w:val="en-US" w:eastAsia="zh-CN"/>
        </w:rPr>
        <w:t>表</w:t>
      </w:r>
    </w:p>
    <w:p>
      <w:pPr>
        <w:pStyle w:val="9"/>
        <w:jc w:val="right"/>
        <w:rPr>
          <w:rFonts w:hint="default"/>
          <w:color w:val="auto"/>
          <w:lang w:val="en-US" w:eastAsia="zh-CN"/>
        </w:rPr>
      </w:pPr>
      <w:r>
        <w:rPr>
          <w:rFonts w:hint="default" w:ascii="Times New Roman" w:hAnsi="Times New Roman" w:eastAsia="仿宋" w:cs="Times New Roman"/>
          <w:b w:val="0"/>
          <w:bCs/>
          <w:color w:val="auto"/>
          <w:sz w:val="24"/>
        </w:rPr>
        <w:t>单位：公顷</w:t>
      </w:r>
    </w:p>
    <w:p>
      <w:pPr>
        <w:pStyle w:val="9"/>
        <w:keepNext w:val="0"/>
        <w:keepLines w:val="0"/>
        <w:pageBreakBefore w:val="0"/>
        <w:widowControl w:val="0"/>
        <w:numPr>
          <w:ilvl w:val="0"/>
          <w:numId w:val="0"/>
        </w:numPr>
        <w:kinsoku/>
        <w:wordWrap/>
        <w:overflowPunct/>
        <w:topLinePunct w:val="0"/>
        <w:autoSpaceDE/>
        <w:autoSpaceDN/>
        <w:bidi w:val="0"/>
        <w:adjustRightInd w:val="0"/>
        <w:snapToGrid w:val="0"/>
        <w:textAlignment w:val="center"/>
        <w:rPr>
          <w:rFonts w:hint="eastAsia"/>
          <w:b/>
          <w:bCs/>
          <w:color w:val="auto"/>
          <w:sz w:val="28"/>
          <w:szCs w:val="28"/>
          <w:lang w:val="en-US" w:eastAsia="zh-CN"/>
        </w:rPr>
      </w:pPr>
    </w:p>
    <w:tbl>
      <w:tblPr>
        <w:tblStyle w:val="6"/>
        <w:tblW w:w="15477" w:type="dxa"/>
        <w:jc w:val="center"/>
        <w:tblLayout w:type="fixed"/>
        <w:tblCellMar>
          <w:top w:w="0" w:type="dxa"/>
          <w:left w:w="0" w:type="dxa"/>
          <w:bottom w:w="0" w:type="dxa"/>
          <w:right w:w="0" w:type="dxa"/>
        </w:tblCellMar>
      </w:tblPr>
      <w:tblGrid>
        <w:gridCol w:w="456"/>
        <w:gridCol w:w="1157"/>
        <w:gridCol w:w="1224"/>
        <w:gridCol w:w="2062"/>
        <w:gridCol w:w="1467"/>
        <w:gridCol w:w="911"/>
        <w:gridCol w:w="1467"/>
        <w:gridCol w:w="941"/>
        <w:gridCol w:w="1470"/>
        <w:gridCol w:w="1426"/>
        <w:gridCol w:w="1426"/>
        <w:gridCol w:w="1470"/>
      </w:tblGrid>
      <w:tr>
        <w:tblPrEx>
          <w:tblCellMar>
            <w:top w:w="0" w:type="dxa"/>
            <w:left w:w="0" w:type="dxa"/>
            <w:bottom w:w="0" w:type="dxa"/>
            <w:right w:w="0" w:type="dxa"/>
          </w:tblCellMar>
        </w:tblPrEx>
        <w:trPr>
          <w:trHeight w:val="100" w:hRule="atLeast"/>
          <w:jc w:val="center"/>
        </w:trPr>
        <w:tc>
          <w:tcPr>
            <w:tcW w:w="1613" w:type="dxa"/>
            <w:gridSpan w:val="2"/>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bidi="ar"/>
              </w:rPr>
              <w:t>行政区</w:t>
            </w:r>
          </w:p>
        </w:tc>
        <w:tc>
          <w:tcPr>
            <w:tcW w:w="1224"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i w:val="0"/>
                <w:color w:val="auto"/>
                <w:sz w:val="20"/>
                <w:szCs w:val="20"/>
                <w:u w:val="none"/>
              </w:rPr>
            </w:pPr>
            <w:r>
              <w:rPr>
                <w:rFonts w:hint="eastAsia" w:ascii="黑体" w:hAnsi="宋体" w:eastAsia="黑体" w:cs="黑体"/>
                <w:i w:val="0"/>
                <w:color w:val="auto"/>
                <w:kern w:val="0"/>
                <w:sz w:val="20"/>
                <w:szCs w:val="20"/>
                <w:u w:val="none"/>
                <w:lang w:val="en-US" w:eastAsia="zh-CN" w:bidi="ar"/>
              </w:rPr>
              <w:t>调整方式</w:t>
            </w:r>
          </w:p>
        </w:tc>
        <w:tc>
          <w:tcPr>
            <w:tcW w:w="4440"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修改前</w:t>
            </w:r>
          </w:p>
        </w:tc>
        <w:tc>
          <w:tcPr>
            <w:tcW w:w="3878"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修改后</w:t>
            </w:r>
          </w:p>
        </w:tc>
        <w:tc>
          <w:tcPr>
            <w:tcW w:w="4322"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差值</w:t>
            </w:r>
          </w:p>
        </w:tc>
      </w:tr>
      <w:tr>
        <w:tblPrEx>
          <w:tblCellMar>
            <w:top w:w="0" w:type="dxa"/>
            <w:left w:w="0" w:type="dxa"/>
            <w:bottom w:w="0" w:type="dxa"/>
            <w:right w:w="0" w:type="dxa"/>
          </w:tblCellMar>
        </w:tblPrEx>
        <w:trPr>
          <w:trHeight w:val="189" w:hRule="atLeast"/>
          <w:jc w:val="center"/>
        </w:trPr>
        <w:tc>
          <w:tcPr>
            <w:tcW w:w="1613" w:type="dxa"/>
            <w:gridSpan w:val="2"/>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黑体" w:hAnsi="宋体" w:eastAsia="黑体" w:cs="黑体"/>
                <w:i w:val="0"/>
                <w:color w:val="auto"/>
                <w:sz w:val="20"/>
                <w:szCs w:val="20"/>
                <w:u w:val="none"/>
              </w:rPr>
            </w:pPr>
          </w:p>
        </w:tc>
        <w:tc>
          <w:tcPr>
            <w:tcW w:w="1224"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黑体" w:hAnsi="宋体" w:eastAsia="黑体" w:cs="黑体"/>
                <w:i w:val="0"/>
                <w:color w:val="auto"/>
                <w:sz w:val="20"/>
                <w:szCs w:val="20"/>
                <w:u w:val="none"/>
              </w:rPr>
            </w:pP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基本农田保护区</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一般农地区</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其他用地区</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基本农田保护区</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一般农地区</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其他用地区</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基本农田保护区</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一般农地区</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黑体" w:hAnsi="宋体" w:eastAsia="黑体" w:cs="黑体"/>
                <w:b w:val="0"/>
                <w:bCs/>
                <w:i w:val="0"/>
                <w:color w:val="auto"/>
                <w:sz w:val="20"/>
                <w:szCs w:val="20"/>
                <w:u w:val="none"/>
              </w:rPr>
            </w:pPr>
            <w:r>
              <w:rPr>
                <w:rFonts w:hint="eastAsia" w:ascii="黑体" w:hAnsi="宋体" w:eastAsia="黑体" w:cs="黑体"/>
                <w:b w:val="0"/>
                <w:bCs/>
                <w:i w:val="0"/>
                <w:color w:val="auto"/>
                <w:kern w:val="0"/>
                <w:sz w:val="20"/>
                <w:szCs w:val="20"/>
                <w:u w:val="none"/>
                <w:lang w:val="en-US" w:eastAsia="zh-CN" w:bidi="ar"/>
              </w:rPr>
              <w:t>其他用地区</w:t>
            </w:r>
          </w:p>
        </w:tc>
      </w:tr>
      <w:tr>
        <w:tblPrEx>
          <w:tblCellMar>
            <w:top w:w="0" w:type="dxa"/>
            <w:left w:w="0" w:type="dxa"/>
            <w:bottom w:w="0" w:type="dxa"/>
            <w:right w:w="0" w:type="dxa"/>
          </w:tblCellMar>
        </w:tblPrEx>
        <w:trPr>
          <w:trHeight w:val="110" w:hRule="atLeast"/>
          <w:jc w:val="center"/>
        </w:trPr>
        <w:tc>
          <w:tcPr>
            <w:tcW w:w="456"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芒市</w:t>
            </w: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芒市镇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补划地块</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21.4148</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21.4148</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21.4148</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-21.4148</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风平镇</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调入</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13.8683</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13.8683</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-13.8683</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13.8683</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补划地块</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6.2069</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6.2069</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6.2069</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-6.2069</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轩岗乡</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调入</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13.4236</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13.4236</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-13.4236</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13.4236</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补划地块</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77.1305</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77.1305</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77.1305</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-77.1305</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江东乡</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调入</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0.1292</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0.1292</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-0.1292</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0.1292</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三台山乡</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调入</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15.1237</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15.1237</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-15.1237</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15.1237</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五岔路乡</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调入</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26.5064</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26.5064</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-26.5064</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26.5064</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b/>
                <w:i w:val="0"/>
                <w:color w:val="auto"/>
                <w:sz w:val="20"/>
                <w:szCs w:val="20"/>
                <w:u w:val="none"/>
              </w:rPr>
            </w:pPr>
            <w:r>
              <w:rPr>
                <w:rFonts w:hint="eastAsia" w:ascii="仿宋_GB2312" w:hAnsi="宋体" w:eastAsia="仿宋_GB2312" w:cs="仿宋_GB2312"/>
                <w:b/>
                <w:i w:val="0"/>
                <w:color w:val="auto"/>
                <w:kern w:val="0"/>
                <w:sz w:val="20"/>
                <w:szCs w:val="20"/>
                <w:u w:val="none"/>
                <w:lang w:val="en-US" w:eastAsia="zh-CN" w:bidi="ar"/>
              </w:rPr>
              <w:t>芒市小计</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调入</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69.0512</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69.0512</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-69.0512</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69.0512</w:t>
            </w:r>
          </w:p>
        </w:tc>
      </w:tr>
      <w:tr>
        <w:tblPrEx>
          <w:tblCellMar>
            <w:top w:w="0" w:type="dxa"/>
            <w:left w:w="0" w:type="dxa"/>
            <w:bottom w:w="0" w:type="dxa"/>
            <w:right w:w="0" w:type="dxa"/>
          </w:tblCellMar>
        </w:tblPrEx>
        <w:trPr>
          <w:trHeight w:val="110" w:hRule="atLeast"/>
          <w:jc w:val="center"/>
        </w:trPr>
        <w:tc>
          <w:tcPr>
            <w:tcW w:w="456"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i w:val="0"/>
                <w:color w:val="auto"/>
                <w:sz w:val="20"/>
                <w:szCs w:val="20"/>
                <w:u w:val="none"/>
              </w:rPr>
            </w:pPr>
          </w:p>
        </w:tc>
        <w:tc>
          <w:tcPr>
            <w:tcW w:w="115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仿宋_GB2312" w:hAnsi="宋体" w:eastAsia="仿宋_GB2312" w:cs="仿宋_GB2312"/>
                <w:b/>
                <w:i w:val="0"/>
                <w:color w:val="auto"/>
                <w:sz w:val="20"/>
                <w:szCs w:val="20"/>
                <w:u w:val="none"/>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补划地块</w:t>
            </w:r>
          </w:p>
        </w:tc>
        <w:tc>
          <w:tcPr>
            <w:tcW w:w="20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104.7522</w:t>
            </w:r>
          </w:p>
        </w:tc>
        <w:tc>
          <w:tcPr>
            <w:tcW w:w="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104.7522</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104.7522</w:t>
            </w:r>
          </w:p>
        </w:tc>
        <w:tc>
          <w:tcPr>
            <w:tcW w:w="14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top"/>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-104.7522</w:t>
            </w:r>
          </w:p>
        </w:tc>
        <w:tc>
          <w:tcPr>
            <w:tcW w:w="147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0</w:t>
            </w:r>
          </w:p>
        </w:tc>
      </w:tr>
    </w:tbl>
    <w:p>
      <w:pPr>
        <w:pStyle w:val="9"/>
        <w:keepNext w:val="0"/>
        <w:keepLines w:val="0"/>
        <w:pageBreakBefore w:val="0"/>
        <w:widowControl w:val="0"/>
        <w:numPr>
          <w:ilvl w:val="0"/>
          <w:numId w:val="0"/>
        </w:numPr>
        <w:kinsoku/>
        <w:wordWrap/>
        <w:overflowPunct/>
        <w:topLinePunct w:val="0"/>
        <w:autoSpaceDE/>
        <w:autoSpaceDN/>
        <w:bidi w:val="0"/>
        <w:adjustRightInd w:val="0"/>
        <w:snapToGrid w:val="0"/>
        <w:textAlignment w:val="center"/>
        <w:rPr>
          <w:rFonts w:hint="eastAsia"/>
          <w:b/>
          <w:bCs/>
          <w:color w:val="auto"/>
          <w:sz w:val="28"/>
          <w:szCs w:val="28"/>
          <w:lang w:val="en-US" w:eastAsia="zh-CN"/>
        </w:rPr>
        <w:sectPr>
          <w:pgSz w:w="16838" w:h="11906" w:orient="landscape"/>
          <w:pgMar w:top="1417" w:right="1417" w:bottom="1417" w:left="1417" w:header="851" w:footer="992" w:gutter="0"/>
          <w:pgNumType w:fmt="numberInDash"/>
          <w:cols w:space="720" w:num="1"/>
          <w:rtlGutter w:val="0"/>
          <w:docGrid w:type="lines" w:linePitch="312" w:charSpace="0"/>
        </w:sect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center"/>
        <w:rPr>
          <w:rFonts w:hint="default"/>
          <w:b/>
          <w:bCs/>
          <w:color w:val="auto"/>
          <w:sz w:val="32"/>
          <w:szCs w:val="32"/>
          <w:lang w:val="en-US" w:eastAsia="zh-CN"/>
        </w:rPr>
      </w:pPr>
      <w:r>
        <w:rPr>
          <w:rFonts w:hint="eastAsia"/>
          <w:b/>
          <w:bCs/>
          <w:color w:val="auto"/>
          <w:sz w:val="32"/>
          <w:szCs w:val="32"/>
          <w:lang w:val="en-US" w:eastAsia="zh-CN"/>
        </w:rPr>
        <w:t>5.规划修改影响分析</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规划修改后芒市土地利用总体规划（2010-2020年）建设用地总规模增加69.0512公顷，新增建设用地规模增加69.0512公顷，新增建设占用耕地增加51.4525公顷。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调整后，风平镇</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基本农田面积减少6.3</w:t>
      </w:r>
      <w:r>
        <w:rPr>
          <w:rFonts w:hint="eastAsia" w:ascii="Times New Roman" w:hAnsi="Times New Roman" w:eastAsia="仿宋" w:cs="Times New Roman"/>
          <w:color w:val="auto"/>
          <w:kern w:val="2"/>
          <w:sz w:val="32"/>
          <w:szCs w:val="32"/>
          <w:lang w:val="en-US" w:eastAsia="zh-CN" w:bidi="ar-SA"/>
        </w:rPr>
        <w:t>030</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公顷，建设用地总规模、交通水利及其他建设用地规、新增建设用地规模、新增建设占用农用地规模增加13.8683公顷，新增建设占用耕地规模增加11.3654公顷。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调整后，轩岗乡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基本农田面积增加22.2008公顷，建设用地总规模、交通水利及其他建设用地规、新增建设用地规模、新增建设占用农用地规模增加13.4236公顷，新增建设占用耕地规模增加9.8811公顷。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调整后，江东乡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基本农田面积减少0.1</w:t>
      </w:r>
      <w:r>
        <w:rPr>
          <w:rFonts w:hint="eastAsia" w:ascii="Times New Roman" w:hAnsi="Times New Roman" w:eastAsia="仿宋" w:cs="Times New Roman"/>
          <w:color w:val="auto"/>
          <w:kern w:val="2"/>
          <w:sz w:val="32"/>
          <w:szCs w:val="32"/>
          <w:lang w:val="en-US" w:eastAsia="zh-CN" w:bidi="ar-SA"/>
        </w:rPr>
        <w:t>036</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公顷，建设用地总规模、交通水利及其他建设用地规、新增建设用地规模、新增建设占用农用地规模增加0.1292公顷，新增建设占用耕地规模增加0.1036公顷。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调整后，三台山乡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基本农田面积减少1</w:t>
      </w:r>
      <w:r>
        <w:rPr>
          <w:rFonts w:hint="eastAsia" w:ascii="Times New Roman" w:hAnsi="Times New Roman" w:eastAsia="仿宋" w:cs="Times New Roman"/>
          <w:color w:val="auto"/>
          <w:kern w:val="2"/>
          <w:sz w:val="32"/>
          <w:szCs w:val="32"/>
          <w:lang w:val="en-US" w:eastAsia="zh-CN" w:bidi="ar-SA"/>
        </w:rPr>
        <w:t>2.0723</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公顷，建设用地总规模、交通水利及其他建设用地规、新增建设用地规模、新增建设占用农用地规模增加15.1237公顷，新增建设占用耕地规模增加12.0723公顷。</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调整后，五岔路乡</w:t>
      </w:r>
      <w:r>
        <w:rPr>
          <w:rFonts w:hint="eastAsia" w:ascii="Times New Roman" w:hAnsi="Times New Roman" w:eastAsia="仿宋" w:cs="Times New Roman"/>
          <w:color w:val="auto"/>
          <w:kern w:val="2"/>
          <w:sz w:val="32"/>
          <w:szCs w:val="32"/>
          <w:lang w:val="en-US" w:eastAsia="zh-CN" w:bidi="ar-SA"/>
        </w:rPr>
        <w:t>永久</w:t>
      </w:r>
      <w:r>
        <w:rPr>
          <w:rFonts w:hint="default" w:ascii="Times New Roman" w:hAnsi="Times New Roman" w:eastAsia="仿宋" w:cs="Times New Roman"/>
          <w:color w:val="auto"/>
          <w:kern w:val="2"/>
          <w:sz w:val="32"/>
          <w:szCs w:val="32"/>
          <w:lang w:val="en-US" w:eastAsia="zh-CN" w:bidi="ar-SA"/>
        </w:rPr>
        <w:t>基本农田面积减少2</w:t>
      </w:r>
      <w:r>
        <w:rPr>
          <w:rFonts w:hint="eastAsia" w:ascii="Times New Roman" w:hAnsi="Times New Roman" w:eastAsia="仿宋" w:cs="Times New Roman"/>
          <w:color w:val="auto"/>
          <w:kern w:val="2"/>
          <w:sz w:val="32"/>
          <w:szCs w:val="32"/>
          <w:lang w:val="en-US" w:eastAsia="zh-CN" w:bidi="ar-SA"/>
        </w:rPr>
        <w:t>0.9321</w:t>
      </w:r>
      <w:r>
        <w:rPr>
          <w:rFonts w:hint="default" w:ascii="Times New Roman" w:hAnsi="Times New Roman" w:eastAsia="仿宋" w:cs="Times New Roman"/>
          <w:color w:val="auto"/>
          <w:kern w:val="2"/>
          <w:sz w:val="32"/>
          <w:szCs w:val="32"/>
          <w:lang w:val="en-US" w:eastAsia="zh-CN" w:bidi="ar-SA"/>
        </w:rPr>
        <w:t>公顷，建设用地总规模、交通水利及其他建设用地规、新增建设用地规模、新增建设占用农用地规模增加26.</w:t>
      </w:r>
      <w:r>
        <w:rPr>
          <w:rFonts w:hint="eastAsia" w:ascii="Times New Roman" w:hAnsi="Times New Roman" w:eastAsia="仿宋" w:cs="Times New Roman"/>
          <w:color w:val="auto"/>
          <w:kern w:val="2"/>
          <w:sz w:val="32"/>
          <w:szCs w:val="32"/>
          <w:lang w:val="en-US" w:eastAsia="zh-CN" w:bidi="ar-SA"/>
        </w:rPr>
        <w:t>5064</w:t>
      </w:r>
      <w:r>
        <w:rPr>
          <w:rFonts w:hint="default" w:ascii="Times New Roman" w:hAnsi="Times New Roman" w:eastAsia="仿宋" w:cs="Times New Roman"/>
          <w:color w:val="auto"/>
          <w:kern w:val="2"/>
          <w:sz w:val="32"/>
          <w:szCs w:val="32"/>
          <w:lang w:val="en-US" w:eastAsia="zh-CN" w:bidi="ar-SA"/>
        </w:rPr>
        <w:t>公顷，新增建设占用耕地规模增加18.</w:t>
      </w:r>
      <w:r>
        <w:rPr>
          <w:rFonts w:hint="eastAsia" w:ascii="Times New Roman" w:hAnsi="Times New Roman" w:eastAsia="仿宋" w:cs="Times New Roman"/>
          <w:color w:val="auto"/>
          <w:kern w:val="2"/>
          <w:sz w:val="32"/>
          <w:szCs w:val="32"/>
          <w:lang w:val="en-US" w:eastAsia="zh-CN" w:bidi="ar-SA"/>
        </w:rPr>
        <w:t>0301</w:t>
      </w:r>
      <w:r>
        <w:rPr>
          <w:rFonts w:hint="default" w:ascii="Times New Roman" w:hAnsi="Times New Roman" w:eastAsia="仿宋" w:cs="Times New Roman"/>
          <w:color w:val="auto"/>
          <w:kern w:val="2"/>
          <w:sz w:val="32"/>
          <w:szCs w:val="32"/>
          <w:lang w:val="en-US" w:eastAsia="zh-CN" w:bidi="ar-SA"/>
        </w:rPr>
        <w:t>公顷。</w:t>
      </w:r>
    </w:p>
    <w:p>
      <w:pPr>
        <w:pStyle w:val="2"/>
        <w:pageBreakBefore w:val="0"/>
        <w:widowControl w:val="0"/>
        <w:numPr>
          <w:ilvl w:val="0"/>
          <w:numId w:val="0"/>
        </w:numPr>
        <w:kinsoku/>
        <w:wordWrap/>
        <w:overflowPunct/>
        <w:topLinePunct w:val="0"/>
        <w:autoSpaceDE/>
        <w:autoSpaceDN/>
        <w:bidi w:val="0"/>
        <w:spacing w:before="0" w:after="0" w:line="520" w:lineRule="exact"/>
        <w:ind w:firstLine="643" w:firstLineChars="200"/>
        <w:rPr>
          <w:color w:val="auto"/>
          <w:sz w:val="32"/>
          <w:szCs w:val="32"/>
        </w:rPr>
      </w:pPr>
      <w:r>
        <w:rPr>
          <w:rFonts w:hint="eastAsia"/>
          <w:color w:val="auto"/>
          <w:sz w:val="32"/>
          <w:szCs w:val="32"/>
          <w:lang w:val="en-US" w:eastAsia="zh-CN"/>
        </w:rPr>
        <w:t>二、</w:t>
      </w:r>
      <w:r>
        <w:rPr>
          <w:rFonts w:hint="eastAsia"/>
          <w:color w:val="auto"/>
          <w:sz w:val="32"/>
          <w:szCs w:val="32"/>
        </w:rPr>
        <w:t>永久基本农田补划方案</w:t>
      </w:r>
    </w:p>
    <w:p>
      <w:pPr>
        <w:pStyle w:val="9"/>
        <w:keepNext w:val="0"/>
        <w:keepLines w:val="0"/>
        <w:pageBreakBefore w:val="0"/>
        <w:widowControl w:val="0"/>
        <w:kinsoku/>
        <w:wordWrap/>
        <w:overflowPunct/>
        <w:topLinePunct w:val="0"/>
        <w:autoSpaceDE/>
        <w:autoSpaceDN/>
        <w:bidi w:val="0"/>
        <w:spacing w:line="520" w:lineRule="exact"/>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该项目选址坚持了保护耕地和节约集约用地的原则，在综合考虑地理位置、工程地质等自然因素和项目建设工程技术等特殊要求的基础上，基本做到了尽量少占耕地和永久基本农田，不占用自然保护区且尽量避让生态保护红线。</w:t>
      </w:r>
    </w:p>
    <w:p>
      <w:pPr>
        <w:pStyle w:val="9"/>
        <w:keepNext w:val="0"/>
        <w:keepLines w:val="0"/>
        <w:pageBreakBefore w:val="0"/>
        <w:widowControl w:val="0"/>
        <w:kinsoku/>
        <w:wordWrap/>
        <w:overflowPunct/>
        <w:topLinePunct w:val="0"/>
        <w:autoSpaceDE/>
        <w:autoSpaceDN/>
        <w:bidi w:val="0"/>
        <w:spacing w:line="520" w:lineRule="exact"/>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按照“占优补优、占水田补水田”要求，做到耕地占补数量、质量平衡。该项目已列入</w:t>
      </w:r>
      <w:r>
        <w:rPr>
          <w:rFonts w:hint="default" w:ascii="Times New Roman" w:hAnsi="Times New Roman" w:eastAsia="仿宋" w:cs="Times New Roman"/>
          <w:color w:val="auto"/>
          <w:kern w:val="2"/>
          <w:sz w:val="32"/>
          <w:szCs w:val="32"/>
          <w:lang w:val="en-US" w:eastAsia="zh-CN" w:bidi="ar-SA"/>
        </w:rPr>
        <w:t>《中共云南省委办公厅  云南省人民政府办公厅关于印发云南省县域高速公路“互联互通”工程实施方案的通知》（云办通〔2020〕19号）</w:t>
      </w:r>
      <w:r>
        <w:rPr>
          <w:rFonts w:hint="eastAsia" w:ascii="Times New Roman" w:hAnsi="Times New Roman" w:eastAsia="仿宋" w:cs="Times New Roman"/>
          <w:color w:val="auto"/>
          <w:kern w:val="2"/>
          <w:sz w:val="32"/>
          <w:szCs w:val="32"/>
          <w:lang w:val="en-US" w:eastAsia="zh-CN" w:bidi="ar-SA"/>
        </w:rPr>
        <w:t>，根据《云南省国土资源厅关于进一步做好农村扶贫用地保障有关问题的通知》（云国土资规〔2018〕174号）、《云南省重大项目永久基本农田占用补划方案编制指南》深度贫困县及</w:t>
      </w:r>
      <w:r>
        <w:rPr>
          <w:rFonts w:hint="default" w:ascii="Times New Roman" w:hAnsi="Times New Roman" w:eastAsia="仿宋" w:cs="Times New Roman"/>
          <w:color w:val="auto"/>
          <w:kern w:val="2"/>
          <w:sz w:val="32"/>
          <w:szCs w:val="32"/>
          <w:lang w:val="en-US" w:eastAsia="zh-CN" w:bidi="ar-SA"/>
        </w:rPr>
        <w:t>乌蒙山片区省级以下基础设施、易地扶贫搬迁、民生发展项目，确实难以避让的情况下可以占用永久基本农田，</w:t>
      </w:r>
      <w:r>
        <w:rPr>
          <w:rFonts w:hint="eastAsia" w:ascii="Times New Roman" w:hAnsi="Times New Roman" w:eastAsia="仿宋" w:cs="Times New Roman"/>
          <w:color w:val="auto"/>
          <w:kern w:val="2"/>
          <w:sz w:val="32"/>
          <w:szCs w:val="32"/>
          <w:lang w:val="en-US" w:eastAsia="zh-CN" w:bidi="ar-SA"/>
        </w:rPr>
        <w:t>梁河县</w:t>
      </w:r>
      <w:r>
        <w:rPr>
          <w:rFonts w:hint="default" w:ascii="Times New Roman" w:hAnsi="Times New Roman" w:eastAsia="仿宋" w:cs="Times New Roman"/>
          <w:color w:val="auto"/>
          <w:kern w:val="2"/>
          <w:sz w:val="32"/>
          <w:szCs w:val="32"/>
          <w:lang w:val="en-US" w:eastAsia="zh-CN" w:bidi="ar-SA"/>
        </w:rPr>
        <w:t>属于深度贫困县，且</w:t>
      </w:r>
      <w:r>
        <w:rPr>
          <w:rFonts w:hint="eastAsia" w:ascii="Times New Roman" w:hAnsi="Times New Roman" w:eastAsia="仿宋" w:cs="Times New Roman"/>
          <w:color w:val="auto"/>
          <w:kern w:val="2"/>
          <w:sz w:val="32"/>
          <w:szCs w:val="32"/>
          <w:lang w:val="en-US" w:eastAsia="zh-CN" w:bidi="ar-SA"/>
        </w:rPr>
        <w:t>芒市至梁河高速公路工程建设项目</w:t>
      </w:r>
      <w:r>
        <w:rPr>
          <w:rFonts w:hint="default" w:ascii="Times New Roman" w:hAnsi="Times New Roman" w:eastAsia="仿宋" w:cs="Times New Roman"/>
          <w:color w:val="auto"/>
          <w:kern w:val="2"/>
          <w:sz w:val="32"/>
          <w:szCs w:val="32"/>
          <w:lang w:val="en-US" w:eastAsia="zh-CN" w:bidi="ar-SA"/>
        </w:rPr>
        <w:t>属于基础设施用地，因此符合编制永久基本农</w:t>
      </w:r>
      <w:r>
        <w:rPr>
          <w:rFonts w:hint="eastAsia" w:ascii="Times New Roman" w:hAnsi="Times New Roman" w:eastAsia="仿宋" w:cs="Times New Roman"/>
          <w:color w:val="auto"/>
          <w:kern w:val="2"/>
          <w:sz w:val="32"/>
          <w:szCs w:val="32"/>
          <w:lang w:val="en-US" w:eastAsia="zh-CN" w:bidi="ar-SA"/>
        </w:rPr>
        <w:t>田占用补划方案的要求。</w:t>
      </w:r>
    </w:p>
    <w:p>
      <w:pPr>
        <w:pStyle w:val="9"/>
        <w:keepNext w:val="0"/>
        <w:keepLines w:val="0"/>
        <w:pageBreakBefore w:val="0"/>
        <w:widowControl w:val="0"/>
        <w:kinsoku/>
        <w:wordWrap/>
        <w:overflowPunct/>
        <w:topLinePunct w:val="0"/>
        <w:autoSpaceDE/>
        <w:autoSpaceDN/>
        <w:bidi w:val="0"/>
        <w:spacing w:line="520" w:lineRule="exact"/>
        <w:rPr>
          <w:color w:val="auto"/>
          <w:sz w:val="32"/>
          <w:szCs w:val="32"/>
          <w:highlight w:val="yellow"/>
        </w:rPr>
      </w:pPr>
      <w:r>
        <w:rPr>
          <w:rFonts w:hint="eastAsia" w:ascii="Times New Roman" w:hAnsi="Times New Roman" w:eastAsia="仿宋" w:cs="Times New Roman"/>
          <w:color w:val="auto"/>
          <w:kern w:val="2"/>
          <w:sz w:val="32"/>
          <w:szCs w:val="32"/>
          <w:lang w:val="en-US" w:eastAsia="zh-CN" w:bidi="ar-SA"/>
        </w:rPr>
        <w:t>涉及占用耕地数量171.2114公顷，占用永久基本农田共计</w:t>
      </w:r>
      <w:r>
        <w:rPr>
          <w:rFonts w:hint="default" w:ascii="Times New Roman" w:hAnsi="Times New Roman" w:eastAsia="仿宋" w:cs="Times New Roman"/>
          <w:color w:val="auto"/>
          <w:kern w:val="2"/>
          <w:sz w:val="32"/>
          <w:szCs w:val="32"/>
          <w:lang w:val="en-US" w:eastAsia="zh-CN" w:bidi="ar-SA"/>
        </w:rPr>
        <w:t>138.4071</w:t>
      </w:r>
      <w:r>
        <w:rPr>
          <w:rFonts w:hint="eastAsia" w:ascii="Times New Roman" w:hAnsi="Times New Roman" w:eastAsia="仿宋" w:cs="Times New Roman"/>
          <w:color w:val="auto"/>
          <w:kern w:val="2"/>
          <w:sz w:val="32"/>
          <w:szCs w:val="32"/>
          <w:lang w:val="en-US" w:eastAsia="zh-CN" w:bidi="ar-SA"/>
        </w:rPr>
        <w:t>公顷，其中占用芒市永久基本农田</w:t>
      </w:r>
      <w:r>
        <w:rPr>
          <w:rFonts w:hint="default" w:ascii="Times New Roman" w:hAnsi="Times New Roman" w:eastAsia="仿宋" w:cs="Times New Roman"/>
          <w:color w:val="auto"/>
          <w:kern w:val="2"/>
          <w:sz w:val="32"/>
          <w:szCs w:val="32"/>
          <w:lang w:val="en-US" w:eastAsia="zh-CN" w:bidi="ar-SA"/>
        </w:rPr>
        <w:t>54.3545</w:t>
      </w:r>
      <w:r>
        <w:rPr>
          <w:rFonts w:hint="eastAsia" w:ascii="Times New Roman" w:hAnsi="Times New Roman" w:eastAsia="仿宋" w:cs="Times New Roman"/>
          <w:color w:val="auto"/>
          <w:kern w:val="2"/>
          <w:sz w:val="32"/>
          <w:szCs w:val="32"/>
          <w:lang w:val="en-US" w:eastAsia="zh-CN" w:bidi="ar-SA"/>
        </w:rPr>
        <w:t>公顷（坝区永久基本农田</w:t>
      </w:r>
      <w:r>
        <w:rPr>
          <w:rFonts w:hint="default" w:ascii="Times New Roman" w:hAnsi="Times New Roman" w:eastAsia="仿宋" w:cs="Times New Roman"/>
          <w:color w:val="auto"/>
          <w:kern w:val="2"/>
          <w:sz w:val="32"/>
          <w:szCs w:val="32"/>
          <w:lang w:val="en-US" w:eastAsia="zh-CN" w:bidi="ar-SA"/>
        </w:rPr>
        <w:t>0.0826</w:t>
      </w:r>
      <w:r>
        <w:rPr>
          <w:rFonts w:hint="eastAsia" w:ascii="Times New Roman" w:hAnsi="Times New Roman" w:eastAsia="仿宋" w:cs="Times New Roman"/>
          <w:color w:val="auto"/>
          <w:kern w:val="2"/>
          <w:sz w:val="32"/>
          <w:szCs w:val="32"/>
          <w:lang w:val="en-US" w:eastAsia="zh-CN" w:bidi="ar-SA"/>
        </w:rPr>
        <w:t>公顷、城镇周边永久基本农田</w:t>
      </w:r>
      <w:r>
        <w:rPr>
          <w:rFonts w:hint="default" w:ascii="Times New Roman" w:hAnsi="Times New Roman" w:eastAsia="仿宋" w:cs="Times New Roman"/>
          <w:color w:val="auto"/>
          <w:kern w:val="2"/>
          <w:sz w:val="32"/>
          <w:szCs w:val="32"/>
          <w:lang w:val="en-US" w:eastAsia="zh-CN" w:bidi="ar-SA"/>
        </w:rPr>
        <w:t>11.3647</w:t>
      </w:r>
      <w:r>
        <w:rPr>
          <w:rFonts w:hint="eastAsia" w:ascii="Times New Roman" w:hAnsi="Times New Roman" w:eastAsia="仿宋" w:cs="Times New Roman"/>
          <w:color w:val="auto"/>
          <w:kern w:val="2"/>
          <w:sz w:val="32"/>
          <w:szCs w:val="32"/>
          <w:lang w:val="en-US" w:eastAsia="zh-CN" w:bidi="ar-SA"/>
        </w:rPr>
        <w:t>公顷），</w:t>
      </w:r>
      <w:r>
        <w:rPr>
          <w:rFonts w:hint="eastAsia" w:cs="Times New Roman"/>
          <w:color w:val="auto"/>
          <w:kern w:val="2"/>
          <w:sz w:val="32"/>
          <w:szCs w:val="32"/>
          <w:lang w:val="en-US" w:eastAsia="zh-CN" w:bidi="ar-SA"/>
        </w:rPr>
        <w:t>所占永久基本农田地块涉及芒市风平镇帕底村民委员会、轩岗乡芒棒村民委员会、江东乡李子坪村民委员会、三台山乡帮外村民委员会、五岔路乡（梁子街村民委员会、芒蚌村民委员会、新寨村民委员会），</w:t>
      </w:r>
      <w:r>
        <w:rPr>
          <w:rFonts w:hint="eastAsia" w:ascii="Times New Roman" w:hAnsi="Times New Roman" w:eastAsia="仿宋" w:cs="Times New Roman"/>
          <w:color w:val="auto"/>
          <w:kern w:val="2"/>
          <w:sz w:val="32"/>
          <w:szCs w:val="32"/>
          <w:lang w:val="en-US" w:eastAsia="zh-CN" w:bidi="ar-SA"/>
        </w:rPr>
        <w:t>平均质量等10.2等；涉及补划芒市境内永久基本农田共计</w:t>
      </w:r>
      <w:r>
        <w:rPr>
          <w:rFonts w:hint="default" w:ascii="Times New Roman" w:hAnsi="Times New Roman" w:eastAsia="仿宋" w:cs="Times New Roman"/>
          <w:color w:val="auto"/>
          <w:kern w:val="2"/>
          <w:sz w:val="32"/>
          <w:szCs w:val="32"/>
          <w:lang w:val="en-US" w:eastAsia="zh-CN" w:bidi="ar-SA"/>
        </w:rPr>
        <w:t>54.3975</w:t>
      </w:r>
      <w:r>
        <w:rPr>
          <w:rFonts w:hint="eastAsia" w:ascii="Times New Roman" w:hAnsi="Times New Roman" w:eastAsia="仿宋" w:cs="Times New Roman"/>
          <w:color w:val="auto"/>
          <w:kern w:val="2"/>
          <w:sz w:val="32"/>
          <w:szCs w:val="32"/>
          <w:lang w:val="en-US" w:eastAsia="zh-CN" w:bidi="ar-SA"/>
        </w:rPr>
        <w:t>公顷（坝区永久基本农田</w:t>
      </w:r>
      <w:r>
        <w:rPr>
          <w:rFonts w:hint="default" w:ascii="Times New Roman" w:hAnsi="Times New Roman" w:eastAsia="仿宋" w:cs="Times New Roman"/>
          <w:color w:val="auto"/>
          <w:kern w:val="2"/>
          <w:sz w:val="32"/>
          <w:szCs w:val="32"/>
          <w:lang w:val="en-US" w:eastAsia="zh-CN" w:bidi="ar-SA"/>
        </w:rPr>
        <w:t>0.2090</w:t>
      </w:r>
      <w:r>
        <w:rPr>
          <w:rFonts w:hint="eastAsia" w:ascii="Times New Roman" w:hAnsi="Times New Roman" w:eastAsia="仿宋" w:cs="Times New Roman"/>
          <w:color w:val="auto"/>
          <w:kern w:val="2"/>
          <w:sz w:val="32"/>
          <w:szCs w:val="32"/>
          <w:lang w:val="en-US" w:eastAsia="zh-CN" w:bidi="ar-SA"/>
        </w:rPr>
        <w:t>公顷、城镇周边永久基本农田</w:t>
      </w:r>
      <w:r>
        <w:rPr>
          <w:rFonts w:hint="default" w:ascii="Times New Roman" w:hAnsi="Times New Roman" w:eastAsia="仿宋" w:cs="Times New Roman"/>
          <w:color w:val="auto"/>
          <w:kern w:val="2"/>
          <w:sz w:val="32"/>
          <w:szCs w:val="32"/>
          <w:lang w:val="en-US" w:eastAsia="zh-CN" w:bidi="ar-SA"/>
        </w:rPr>
        <w:t>22.3156</w:t>
      </w:r>
      <w:r>
        <w:rPr>
          <w:rFonts w:hint="eastAsia" w:ascii="Times New Roman" w:hAnsi="Times New Roman" w:eastAsia="仿宋" w:cs="Times New Roman"/>
          <w:color w:val="auto"/>
          <w:kern w:val="2"/>
          <w:sz w:val="32"/>
          <w:szCs w:val="32"/>
          <w:lang w:val="en-US" w:eastAsia="zh-CN" w:bidi="ar-SA"/>
        </w:rPr>
        <w:t>公顷），</w:t>
      </w:r>
      <w:r>
        <w:rPr>
          <w:rFonts w:hint="eastAsia" w:cs="Times New Roman"/>
          <w:color w:val="auto"/>
          <w:kern w:val="2"/>
          <w:sz w:val="32"/>
          <w:szCs w:val="32"/>
          <w:lang w:val="en-US" w:eastAsia="zh-CN" w:bidi="ar-SA"/>
        </w:rPr>
        <w:t>所补划永久基本农田地块涉及芒市镇拉怀村民委员会、轩岗乡芒棒村民委员会、风平镇芒赛村民委员会，</w:t>
      </w:r>
      <w:r>
        <w:rPr>
          <w:rFonts w:hint="eastAsia" w:ascii="Times New Roman" w:hAnsi="Times New Roman" w:eastAsia="仿宋" w:cs="Times New Roman"/>
          <w:color w:val="auto"/>
          <w:kern w:val="2"/>
          <w:sz w:val="32"/>
          <w:szCs w:val="32"/>
          <w:lang w:val="en-US" w:eastAsia="zh-CN" w:bidi="ar-SA"/>
        </w:rPr>
        <w:t>平均质量等9.1等。相关县（市、区）境内补划的永久基本农田均达到了面积不减少、质量不降低的要求，并与永久基本农田集中连片。</w:t>
      </w:r>
    </w:p>
    <w:p>
      <w:pPr>
        <w:pStyle w:val="2"/>
        <w:pageBreakBefore w:val="0"/>
        <w:widowControl w:val="0"/>
        <w:numPr>
          <w:ilvl w:val="0"/>
          <w:numId w:val="2"/>
        </w:numPr>
        <w:kinsoku/>
        <w:wordWrap/>
        <w:overflowPunct/>
        <w:topLinePunct w:val="0"/>
        <w:autoSpaceDE/>
        <w:autoSpaceDN/>
        <w:bidi w:val="0"/>
        <w:spacing w:before="0" w:after="0" w:line="520" w:lineRule="exact"/>
        <w:ind w:firstLine="643" w:firstLineChars="200"/>
        <w:rPr>
          <w:rFonts w:hint="eastAsia"/>
          <w:color w:val="auto"/>
          <w:sz w:val="32"/>
          <w:szCs w:val="32"/>
        </w:rPr>
      </w:pPr>
      <w:r>
        <w:rPr>
          <w:rFonts w:hint="eastAsia"/>
          <w:color w:val="auto"/>
          <w:sz w:val="32"/>
          <w:szCs w:val="32"/>
        </w:rPr>
        <w:t>结论</w:t>
      </w:r>
    </w:p>
    <w:p>
      <w:pPr>
        <w:pStyle w:val="9"/>
        <w:keepNext w:val="0"/>
        <w:keepLines w:val="0"/>
        <w:pageBreakBefore w:val="0"/>
        <w:widowControl w:val="0"/>
        <w:kinsoku/>
        <w:wordWrap/>
        <w:overflowPunct/>
        <w:topLinePunct w:val="0"/>
        <w:autoSpaceDE/>
        <w:autoSpaceDN/>
        <w:bidi w:val="0"/>
        <w:spacing w:line="520" w:lineRule="exact"/>
        <w:rPr>
          <w:rFonts w:hint="eastAsia" w:ascii="Times New Roman" w:hAnsi="Times New Roman" w:eastAsia="仿宋" w:cs="Times New Roman"/>
          <w:color w:val="auto"/>
          <w:kern w:val="2"/>
          <w:sz w:val="32"/>
          <w:szCs w:val="32"/>
          <w:lang w:val="en-US" w:eastAsia="zh-CN" w:bidi="ar-SA"/>
        </w:rPr>
      </w:pPr>
      <w:r>
        <w:rPr>
          <w:rFonts w:hint="eastAsia" w:cs="Times New Roman"/>
          <w:color w:val="auto"/>
          <w:kern w:val="2"/>
          <w:sz w:val="32"/>
          <w:szCs w:val="32"/>
          <w:lang w:val="en-US" w:eastAsia="zh-CN" w:bidi="ar-SA"/>
        </w:rPr>
        <w:t>（一）</w:t>
      </w:r>
      <w:r>
        <w:rPr>
          <w:rFonts w:hint="eastAsia" w:ascii="Times New Roman" w:hAnsi="Times New Roman" w:eastAsia="仿宋" w:cs="Times New Roman"/>
          <w:color w:val="auto"/>
          <w:kern w:val="2"/>
          <w:sz w:val="32"/>
          <w:szCs w:val="32"/>
          <w:lang w:val="en-US" w:eastAsia="zh-CN" w:bidi="ar-SA"/>
        </w:rPr>
        <w:t>永久基本农田补划情况</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芒市至梁河高速公路项目占用全域永久基本农田138.4071公顷（芒市54.3545公顷），补划全域永久基本农田139.4192公顷（芒市54.3975公顷），</w:t>
      </w:r>
      <w:r>
        <w:rPr>
          <w:rFonts w:hint="eastAsia" w:cs="Times New Roman"/>
          <w:color w:val="auto"/>
          <w:kern w:val="2"/>
          <w:sz w:val="32"/>
          <w:szCs w:val="32"/>
          <w:lang w:val="en-US" w:eastAsia="zh-CN" w:bidi="ar-SA"/>
        </w:rPr>
        <w:t>芒市境内</w:t>
      </w:r>
      <w:r>
        <w:rPr>
          <w:rFonts w:hint="default" w:ascii="Times New Roman" w:hAnsi="Times New Roman" w:eastAsia="仿宋" w:cs="Times New Roman"/>
          <w:color w:val="auto"/>
          <w:kern w:val="2"/>
          <w:sz w:val="32"/>
          <w:szCs w:val="32"/>
          <w:lang w:val="en-US" w:eastAsia="zh-CN" w:bidi="ar-SA"/>
        </w:rPr>
        <w:t>多补划了</w:t>
      </w:r>
      <w:r>
        <w:rPr>
          <w:rFonts w:hint="eastAsia" w:cs="Times New Roman"/>
          <w:color w:val="auto"/>
          <w:kern w:val="2"/>
          <w:sz w:val="32"/>
          <w:szCs w:val="32"/>
          <w:lang w:val="en-US" w:eastAsia="zh-CN" w:bidi="ar-SA"/>
        </w:rPr>
        <w:t>0.043</w:t>
      </w:r>
      <w:r>
        <w:rPr>
          <w:rFonts w:hint="default" w:ascii="Times New Roman" w:hAnsi="Times New Roman" w:eastAsia="仿宋" w:cs="Times New Roman"/>
          <w:color w:val="auto"/>
          <w:kern w:val="2"/>
          <w:sz w:val="32"/>
          <w:szCs w:val="32"/>
          <w:lang w:val="en-US" w:eastAsia="zh-CN" w:bidi="ar-SA"/>
        </w:rPr>
        <w:t>公顷；补划比占用全域永久基本农田质量等别都提高，能满足补划要求。</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项目占用坝区永久基本农田39.3063公顷（芒市0.0826公顷），补划坝区永久基本农田62.6942公顷（芒市0.209公顷），</w:t>
      </w:r>
      <w:r>
        <w:rPr>
          <w:rFonts w:hint="eastAsia" w:cs="Times New Roman"/>
          <w:color w:val="auto"/>
          <w:kern w:val="2"/>
          <w:sz w:val="32"/>
          <w:szCs w:val="32"/>
          <w:lang w:val="en-US" w:eastAsia="zh-CN" w:bidi="ar-SA"/>
        </w:rPr>
        <w:t>芒市境内</w:t>
      </w:r>
      <w:r>
        <w:rPr>
          <w:rFonts w:hint="default" w:ascii="Times New Roman" w:hAnsi="Times New Roman" w:eastAsia="仿宋" w:cs="Times New Roman"/>
          <w:color w:val="auto"/>
          <w:kern w:val="2"/>
          <w:sz w:val="32"/>
          <w:szCs w:val="32"/>
          <w:lang w:val="en-US" w:eastAsia="zh-CN" w:bidi="ar-SA"/>
        </w:rPr>
        <w:t>多补划了</w:t>
      </w:r>
      <w:r>
        <w:rPr>
          <w:rFonts w:hint="eastAsia" w:cs="Times New Roman"/>
          <w:color w:val="auto"/>
          <w:kern w:val="2"/>
          <w:sz w:val="32"/>
          <w:szCs w:val="32"/>
          <w:lang w:val="en-US" w:eastAsia="zh-CN" w:bidi="ar-SA"/>
        </w:rPr>
        <w:t>0.1264</w:t>
      </w:r>
      <w:r>
        <w:rPr>
          <w:rFonts w:hint="default" w:ascii="Times New Roman" w:hAnsi="Times New Roman" w:eastAsia="仿宋" w:cs="Times New Roman"/>
          <w:color w:val="auto"/>
          <w:kern w:val="2"/>
          <w:sz w:val="32"/>
          <w:szCs w:val="32"/>
          <w:lang w:val="en-US" w:eastAsia="zh-CN" w:bidi="ar-SA"/>
        </w:rPr>
        <w:t>公顷；补划比占用坝区永久基本农田质量等别都提高，因此补划坝区永久基本农田比占用多，能满足补划要求。</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项目占用城镇周边永久基本农田11.3647公顷（全为芒市境内占用），补划城镇周边永久基本农田22.3156公顷（全为芒市境内），多补划了10.9505公顷；补划比占用城镇周边永久基本农田质量等别都提高，并且补划城镇周边永久基本农田均比占用多，能满足补划要求。</w:t>
      </w:r>
    </w:p>
    <w:p>
      <w:pPr>
        <w:pStyle w:val="9"/>
        <w:keepNext w:val="0"/>
        <w:keepLines w:val="0"/>
        <w:pageBreakBefore w:val="0"/>
        <w:widowControl w:val="0"/>
        <w:kinsoku/>
        <w:wordWrap/>
        <w:overflowPunct/>
        <w:topLinePunct w:val="0"/>
        <w:autoSpaceDE/>
        <w:autoSpaceDN/>
        <w:bidi w:val="0"/>
        <w:spacing w:line="520" w:lineRule="exact"/>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芒市至梁河高速公路项目所涉及乡镇占用补划的全域、坝区和城镇周边永久基本农田均满足要求，补划后对全域、坝区、城镇周边永久基本农田保护任务无影响。</w:t>
      </w:r>
    </w:p>
    <w:p>
      <w:pPr>
        <w:pStyle w:val="9"/>
        <w:keepNext w:val="0"/>
        <w:keepLines w:val="0"/>
        <w:pageBreakBefore w:val="0"/>
        <w:widowControl w:val="0"/>
        <w:kinsoku/>
        <w:wordWrap/>
        <w:overflowPunct/>
        <w:topLinePunct w:val="0"/>
        <w:autoSpaceDE/>
        <w:autoSpaceDN/>
        <w:bidi w:val="0"/>
        <w:spacing w:line="520" w:lineRule="exact"/>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芒市至梁河高速公路工程建设项目建设依据充分，选址基本符合节约集约用地及少占永久基本农田的要求，按规定对占用的永久基本农田进行了补划。补划永久基本农田符合相关要求，不影响芒市、梁河县和陇川县永久基本农田保护任务。</w:t>
      </w:r>
    </w:p>
    <w:p>
      <w:pPr>
        <w:pStyle w:val="9"/>
        <w:keepNext w:val="0"/>
        <w:keepLines w:val="0"/>
        <w:pageBreakBefore w:val="0"/>
        <w:widowControl w:val="0"/>
        <w:numPr>
          <w:ilvl w:val="0"/>
          <w:numId w:val="3"/>
        </w:numPr>
        <w:kinsoku/>
        <w:wordWrap/>
        <w:overflowPunct/>
        <w:topLinePunct w:val="0"/>
        <w:autoSpaceDE/>
        <w:autoSpaceDN/>
        <w:bidi w:val="0"/>
        <w:spacing w:line="520" w:lineRule="exact"/>
        <w:rPr>
          <w:rFonts w:hint="eastAsia" w:cs="Times New Roman"/>
          <w:color w:val="auto"/>
          <w:kern w:val="2"/>
          <w:sz w:val="32"/>
          <w:szCs w:val="32"/>
          <w:lang w:val="en-US" w:eastAsia="zh-CN" w:bidi="ar-SA"/>
        </w:rPr>
      </w:pPr>
      <w:r>
        <w:rPr>
          <w:rFonts w:hint="eastAsia" w:cs="Times New Roman"/>
          <w:color w:val="auto"/>
          <w:kern w:val="2"/>
          <w:sz w:val="32"/>
          <w:szCs w:val="32"/>
          <w:lang w:val="en-US" w:eastAsia="zh-CN" w:bidi="ar-SA"/>
        </w:rPr>
        <w:t>规划修改情况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芒市</w:t>
      </w:r>
      <w:r>
        <w:rPr>
          <w:rFonts w:hint="default" w:ascii="Times New Roman" w:hAnsi="Times New Roman" w:eastAsia="仿宋" w:cs="Times New Roman"/>
          <w:color w:val="auto"/>
          <w:kern w:val="2"/>
          <w:sz w:val="32"/>
          <w:szCs w:val="32"/>
          <w:lang w:val="en-US" w:eastAsia="zh-CN" w:bidi="ar-SA"/>
        </w:rPr>
        <w:t>耕地保有量减少51.4525公顷，永久基本农田面积增加</w:t>
      </w:r>
      <w:r>
        <w:rPr>
          <w:rFonts w:hint="eastAsia" w:ascii="Times New Roman" w:hAnsi="Times New Roman" w:eastAsia="仿宋" w:cs="Times New Roman"/>
          <w:color w:val="auto"/>
          <w:kern w:val="2"/>
          <w:sz w:val="32"/>
          <w:szCs w:val="32"/>
          <w:lang w:val="en-US" w:eastAsia="zh-CN" w:bidi="ar-SA"/>
        </w:rPr>
        <w:t>0.043</w:t>
      </w:r>
      <w:r>
        <w:rPr>
          <w:rFonts w:hint="default" w:ascii="Times New Roman" w:hAnsi="Times New Roman" w:eastAsia="仿宋" w:cs="Times New Roman"/>
          <w:color w:val="auto"/>
          <w:kern w:val="2"/>
          <w:sz w:val="32"/>
          <w:szCs w:val="32"/>
          <w:lang w:val="en-US" w:eastAsia="zh-CN" w:bidi="ar-SA"/>
        </w:rPr>
        <w:t>公顷，建设用地总规模、交通水路及其他建设用地规模、新增建设用地规模增加69.0512公顷，新增建设占用农用地规模增加69.0512公顷，新增建设占用耕地规模增加51.4525公顷，其余各项指标未发生变化，调整后各项指标均能够满足上级下达指标要求。</w:t>
      </w:r>
    </w:p>
    <w:p>
      <w:pPr>
        <w:pStyle w:val="9"/>
        <w:keepNext w:val="0"/>
        <w:keepLines w:val="0"/>
        <w:pageBreakBefore w:val="0"/>
        <w:widowControl w:val="0"/>
        <w:kinsoku/>
        <w:wordWrap/>
        <w:overflowPunct/>
        <w:topLinePunct w:val="0"/>
        <w:autoSpaceDE/>
        <w:autoSpaceDN/>
        <w:bidi w:val="0"/>
        <w:spacing w:line="520" w:lineRule="exact"/>
        <w:rPr>
          <w:color w:val="auto"/>
          <w:sz w:val="32"/>
          <w:szCs w:val="32"/>
        </w:rPr>
      </w:pPr>
      <w:r>
        <w:rPr>
          <w:rFonts w:hint="eastAsia" w:ascii="Times New Roman" w:hAnsi="Times New Roman" w:eastAsia="仿宋" w:cs="Times New Roman"/>
          <w:color w:val="auto"/>
          <w:kern w:val="2"/>
          <w:sz w:val="32"/>
          <w:szCs w:val="32"/>
          <w:lang w:val="en-US" w:eastAsia="zh-CN" w:bidi="ar-SA"/>
        </w:rPr>
        <w:t>《方案》对原土地利用总体规划进行局部修改，各项约束性指标均符合要求。在规划修改过程中充分考虑到各部门的要求，做到与城市规划、林业规划等规划的衔接。</w:t>
      </w:r>
    </w:p>
    <w:p>
      <w:pPr>
        <w:pageBreakBefore w:val="0"/>
        <w:widowControl w:val="0"/>
        <w:kinsoku/>
        <w:wordWrap/>
        <w:overflowPunct/>
        <w:topLinePunct w:val="0"/>
        <w:autoSpaceDE/>
        <w:autoSpaceDN/>
        <w:bidi w:val="0"/>
        <w:spacing w:line="520" w:lineRule="exact"/>
        <w:ind w:firstLine="640"/>
        <w:rPr>
          <w:rFonts w:eastAsia="仿宋_GB2312"/>
          <w:sz w:val="32"/>
          <w:szCs w:val="32"/>
        </w:rPr>
      </w:pPr>
    </w:p>
    <w:p>
      <w:pPr>
        <w:spacing w:line="560" w:lineRule="exact"/>
        <w:ind w:firstLine="6400" w:firstLineChars="2000"/>
        <w:rPr>
          <w:rFonts w:hint="default" w:eastAsia="仿宋_GB2312"/>
          <w:sz w:val="32"/>
          <w:szCs w:val="32"/>
          <w:lang w:val="en-US" w:eastAsia="zh-CN"/>
        </w:rPr>
      </w:pPr>
      <w:r>
        <w:rPr>
          <w:rFonts w:hint="eastAsia" w:eastAsia="仿宋_GB2312"/>
          <w:sz w:val="32"/>
          <w:szCs w:val="32"/>
          <w:lang w:val="en-US" w:eastAsia="zh-CN"/>
        </w:rPr>
        <w:t>2020年6月29日</w:t>
      </w:r>
    </w:p>
    <w:p/>
    <w:sectPr>
      <w:footerReference r:id="rId9" w:type="default"/>
      <w:footerReference r:id="rId10" w:type="even"/>
      <w:pgSz w:w="12240" w:h="15840"/>
      <w:pgMar w:top="1440" w:right="1531" w:bottom="1440"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center"/>
    </w:pPr>
    <w:r>
      <w:fldChar w:fldCharType="begin"/>
    </w:r>
    <w:r>
      <w:instrText xml:space="preserve">PAGE   \* MERGEFORMAT</w:instrText>
    </w:r>
    <w:r>
      <w:fldChar w:fldCharType="separate"/>
    </w:r>
    <w:r>
      <w:rPr>
        <w:lang w:val="zh-CN"/>
      </w:rPr>
      <w:t>-</w:t>
    </w:r>
    <w:r>
      <w:t xml:space="preserve"> 1 -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B2B1A"/>
    <w:multiLevelType w:val="singleLevel"/>
    <w:tmpl w:val="160B2B1A"/>
    <w:lvl w:ilvl="0" w:tentative="0">
      <w:start w:val="3"/>
      <w:numFmt w:val="chineseCounting"/>
      <w:suff w:val="nothing"/>
      <w:lvlText w:val="（%1）"/>
      <w:lvlJc w:val="left"/>
      <w:rPr>
        <w:rFonts w:hint="eastAsia"/>
      </w:rPr>
    </w:lvl>
  </w:abstractNum>
  <w:abstractNum w:abstractNumId="1">
    <w:nsid w:val="5737F3FD"/>
    <w:multiLevelType w:val="singleLevel"/>
    <w:tmpl w:val="5737F3FD"/>
    <w:lvl w:ilvl="0" w:tentative="0">
      <w:start w:val="3"/>
      <w:numFmt w:val="chineseCounting"/>
      <w:suff w:val="nothing"/>
      <w:lvlText w:val="%1、"/>
      <w:lvlJc w:val="left"/>
      <w:rPr>
        <w:rFonts w:hint="eastAsia"/>
      </w:rPr>
    </w:lvl>
  </w:abstractNum>
  <w:abstractNum w:abstractNumId="2">
    <w:nsid w:val="73CEABA9"/>
    <w:multiLevelType w:val="singleLevel"/>
    <w:tmpl w:val="73CEABA9"/>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372D2577"/>
    <w:rsid w:val="372D2577"/>
    <w:rsid w:val="70F072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内容"/>
    <w:basedOn w:val="1"/>
    <w:qFormat/>
    <w:uiPriority w:val="0"/>
    <w:pPr>
      <w:tabs>
        <w:tab w:val="left" w:leader="middleDot" w:pos="7955"/>
      </w:tabs>
      <w:adjustRightInd w:val="0"/>
      <w:snapToGrid w:val="0"/>
      <w:spacing w:line="600" w:lineRule="exact"/>
      <w:ind w:firstLine="200" w:firstLineChars="200"/>
      <w:textAlignment w:val="center"/>
    </w:pPr>
    <w:rPr>
      <w:rFonts w:ascii="Times New Roman" w:hAnsi="Times New Roman" w:eastAsia="仿宋"/>
      <w:color w:val="000000"/>
      <w:sz w:val="30"/>
      <w:szCs w:val="28"/>
    </w:rPr>
  </w:style>
  <w:style w:type="character" w:customStyle="1" w:styleId="10">
    <w:name w:val="font21"/>
    <w:basedOn w:val="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2020-06-30T01:57:00Z</dcterms:created>
  <dc:creator>腾勇灵</dc:creator>
  <cp:lastModifiedBy>腾勇灵</cp:lastModifiedBy>
  <dcterms:modified xsi:type="dcterms:W3CDTF">2025-09-16T03:05:11Z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31326DE6FCC648ABAC89B4BAB535D2D1_13</vt:lpwstr>
  </property>
</Properties>
</file>