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方正仿宋_GBK"/>
          <w:sz w:val="32"/>
          <w:szCs w:val="32"/>
        </w:rPr>
      </w:pPr>
      <w:bookmarkStart w:id="0" w:name="_GoBack"/>
      <w:bookmarkEnd w:id="0"/>
      <w:r>
        <w:rPr>
          <w:rFonts w:hint="eastAsia" w:ascii="方正黑体_GBK" w:hAnsi="方正黑体_GBK" w:eastAsia="方正黑体_GBK" w:cs="方正黑体_GBK"/>
          <w:sz w:val="32"/>
          <w:szCs w:val="32"/>
        </w:rPr>
        <w:t xml:space="preserve">附件1 </w:t>
      </w:r>
      <w:r>
        <w:rPr>
          <w:rFonts w:eastAsia="方正仿宋_GBK"/>
          <w:sz w:val="32"/>
          <w:szCs w:val="32"/>
        </w:rPr>
        <w:t xml:space="preserve">   </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德宏州人民政府决定下放的8项州级行政权力事项</w:t>
      </w:r>
    </w:p>
    <w:tbl>
      <w:tblPr>
        <w:tblStyle w:val="4"/>
        <w:tblW w:w="0" w:type="auto"/>
        <w:jc w:val="center"/>
        <w:tblLayout w:type="fixed"/>
        <w:tblCellMar>
          <w:top w:w="15" w:type="dxa"/>
          <w:left w:w="108" w:type="dxa"/>
          <w:bottom w:w="15" w:type="dxa"/>
          <w:right w:w="108" w:type="dxa"/>
        </w:tblCellMar>
      </w:tblPr>
      <w:tblGrid>
        <w:gridCol w:w="546"/>
        <w:gridCol w:w="1641"/>
        <w:gridCol w:w="736"/>
        <w:gridCol w:w="709"/>
        <w:gridCol w:w="5528"/>
        <w:gridCol w:w="851"/>
        <w:gridCol w:w="4123"/>
      </w:tblGrid>
      <w:tr>
        <w:tblPrEx>
          <w:tblCellMar>
            <w:top w:w="15" w:type="dxa"/>
            <w:left w:w="108" w:type="dxa"/>
            <w:bottom w:w="15" w:type="dxa"/>
            <w:right w:w="108" w:type="dxa"/>
          </w:tblCellMar>
        </w:tblPrEx>
        <w:trPr>
          <w:trHeight w:val="283" w:hRule="atLeast"/>
          <w:tblHeader/>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序号</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事项名称</w:t>
            </w:r>
          </w:p>
        </w:tc>
        <w:tc>
          <w:tcPr>
            <w:tcW w:w="736" w:type="dxa"/>
            <w:tcBorders>
              <w:top w:val="single" w:color="000000" w:sz="4" w:space="0"/>
              <w:left w:val="single" w:color="000000" w:sz="4" w:space="0"/>
              <w:bottom w:val="single" w:color="000000" w:sz="4" w:space="0"/>
              <w:right w:val="single" w:color="auto"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 xml:space="preserve">事项类型 </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 xml:space="preserve">行使层级 </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 xml:space="preserve">设定依据 </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业务指导部门</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调整方式</w:t>
            </w:r>
          </w:p>
        </w:tc>
      </w:tr>
      <w:tr>
        <w:tblPrEx>
          <w:tblCellMar>
            <w:top w:w="15" w:type="dxa"/>
            <w:left w:w="108" w:type="dxa"/>
            <w:bottom w:w="15" w:type="dxa"/>
            <w:right w:w="108" w:type="dxa"/>
          </w:tblCellMar>
        </w:tblPrEx>
        <w:trPr>
          <w:trHeight w:val="1482"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1</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通航水域岸线安全使用和水上水下活动许可</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《中华人民共和国内河交通安全管理条例》</w:t>
            </w:r>
          </w:p>
          <w:p>
            <w:pPr>
              <w:widowControl/>
              <w:spacing w:line="240" w:lineRule="exact"/>
              <w:jc w:val="left"/>
              <w:rPr>
                <w:rFonts w:eastAsia="方正仿宋_GBK"/>
                <w:color w:val="000000"/>
                <w:kern w:val="0"/>
                <w:szCs w:val="21"/>
              </w:rPr>
            </w:pPr>
            <w:r>
              <w:rPr>
                <w:rFonts w:eastAsia="方正仿宋_GBK"/>
                <w:color w:val="000000"/>
                <w:kern w:val="0"/>
                <w:szCs w:val="21"/>
              </w:rPr>
              <w:t>《中华人民共和国水上水下活动通航安全管理规定》（交通运输部令2019年第2号）</w:t>
            </w:r>
          </w:p>
          <w:p>
            <w:pPr>
              <w:widowControl/>
              <w:spacing w:line="240" w:lineRule="exact"/>
              <w:jc w:val="left"/>
              <w:rPr>
                <w:rFonts w:eastAsia="方正仿宋_GBK"/>
                <w:color w:val="000000"/>
                <w:kern w:val="0"/>
                <w:szCs w:val="21"/>
              </w:rPr>
            </w:pPr>
            <w:r>
              <w:rPr>
                <w:rFonts w:eastAsia="方正仿宋_GBK"/>
                <w:color w:val="000000"/>
                <w:kern w:val="0"/>
                <w:szCs w:val="21"/>
              </w:rPr>
              <w:t>《云南省地方海事局关于印发云南省海事监管事权层级划分方案的通知》（云海监〔2015〕345号）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州交通运输局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下放，将州级权限下放至县级</w:t>
            </w:r>
          </w:p>
        </w:tc>
      </w:tr>
      <w:tr>
        <w:tblPrEx>
          <w:tblCellMar>
            <w:top w:w="15" w:type="dxa"/>
            <w:left w:w="108" w:type="dxa"/>
            <w:bottom w:w="15" w:type="dxa"/>
            <w:right w:w="108" w:type="dxa"/>
          </w:tblCellMar>
        </w:tblPrEx>
        <w:trPr>
          <w:trHeight w:val="193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2</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临时占用林地审批</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 xml:space="preserve">州、县 </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《中华人民共和国森林法》</w:t>
            </w:r>
          </w:p>
          <w:p>
            <w:pPr>
              <w:widowControl/>
              <w:spacing w:line="240" w:lineRule="exact"/>
              <w:jc w:val="left"/>
              <w:rPr>
                <w:rFonts w:eastAsia="方正仿宋_GBK"/>
                <w:color w:val="000000"/>
                <w:kern w:val="0"/>
                <w:szCs w:val="21"/>
              </w:rPr>
            </w:pPr>
            <w:r>
              <w:rPr>
                <w:rFonts w:eastAsia="方正仿宋_GBK"/>
                <w:color w:val="000000"/>
                <w:kern w:val="0"/>
                <w:szCs w:val="21"/>
              </w:rPr>
              <w:t>《建设项目使用林地审核审批管理办法》（国家林业局令第 35 号）</w:t>
            </w:r>
          </w:p>
          <w:p>
            <w:pPr>
              <w:widowControl/>
              <w:spacing w:line="240" w:lineRule="exact"/>
              <w:jc w:val="left"/>
              <w:rPr>
                <w:rFonts w:eastAsia="方正仿宋_GBK"/>
                <w:color w:val="000000"/>
                <w:kern w:val="0"/>
                <w:szCs w:val="21"/>
              </w:rPr>
            </w:pPr>
            <w:r>
              <w:rPr>
                <w:rFonts w:eastAsia="方正仿宋_GBK"/>
                <w:color w:val="000000"/>
                <w:kern w:val="0"/>
                <w:szCs w:val="21"/>
              </w:rPr>
              <w:t>《云南省林业厅关于贯彻执行〈建设项目使用林地审核审批管理办法〉的通知》（云林林政〔2015〕28 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eastAsia="方正仿宋_GBK"/>
                <w:color w:val="000000"/>
                <w:kern w:val="0"/>
                <w:szCs w:val="21"/>
                <w:lang w:eastAsia="zh-CN"/>
              </w:rPr>
            </w:pPr>
            <w:r>
              <w:rPr>
                <w:rFonts w:eastAsia="方正仿宋_GBK"/>
                <w:color w:val="000000"/>
                <w:kern w:val="0"/>
                <w:szCs w:val="21"/>
              </w:rPr>
              <w:t>州</w:t>
            </w:r>
            <w:r>
              <w:rPr>
                <w:rFonts w:hint="eastAsia" w:eastAsia="方正仿宋_GBK"/>
                <w:color w:val="000000"/>
                <w:kern w:val="0"/>
                <w:szCs w:val="21"/>
                <w:lang w:eastAsia="zh-CN"/>
              </w:rPr>
              <w:t>林业和草原局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下放，将临时占用防护林林地或者特种用途林林地面积不足5公顷，其他林地面积10公顷以上、不足20公顷的审批权限下放至县级。此事项是“建设工程占用、征用林地审批”的子项</w:t>
            </w:r>
          </w:p>
        </w:tc>
      </w:tr>
      <w:tr>
        <w:tblPrEx>
          <w:tblCellMar>
            <w:top w:w="15" w:type="dxa"/>
            <w:left w:w="108" w:type="dxa"/>
            <w:bottom w:w="15" w:type="dxa"/>
            <w:right w:w="108" w:type="dxa"/>
          </w:tblCellMar>
        </w:tblPrEx>
        <w:trPr>
          <w:trHeight w:val="137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3</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核桃、油茶定点采穗和定点育苗的确定</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《国家林业局关于印发〈油茶种苗质量管理规定〉的通知》（林场发〔2008〕253 号）</w:t>
            </w:r>
          </w:p>
          <w:p>
            <w:pPr>
              <w:widowControl/>
              <w:spacing w:line="240" w:lineRule="exact"/>
              <w:jc w:val="left"/>
              <w:rPr>
                <w:rFonts w:eastAsia="方正仿宋_GBK"/>
                <w:color w:val="000000"/>
                <w:kern w:val="0"/>
                <w:szCs w:val="21"/>
              </w:rPr>
            </w:pPr>
            <w:r>
              <w:rPr>
                <w:rFonts w:eastAsia="方正仿宋_GBK"/>
                <w:color w:val="000000"/>
                <w:kern w:val="0"/>
                <w:szCs w:val="21"/>
              </w:rPr>
              <w:t>《云南省核桃、油茶定点采穗和定点育苗管理办法》（云南省林业厅公告第 4 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eastAsia="方正仿宋_GBK"/>
                <w:color w:val="000000"/>
                <w:kern w:val="0"/>
                <w:szCs w:val="21"/>
                <w:lang w:eastAsia="zh-CN"/>
              </w:rPr>
            </w:pPr>
            <w:r>
              <w:rPr>
                <w:rFonts w:eastAsia="方正仿宋_GBK"/>
                <w:color w:val="000000"/>
                <w:kern w:val="0"/>
                <w:szCs w:val="21"/>
              </w:rPr>
              <w:t>州</w:t>
            </w:r>
            <w:r>
              <w:rPr>
                <w:rFonts w:hint="eastAsia" w:eastAsia="方正仿宋_GBK"/>
                <w:color w:val="000000"/>
                <w:kern w:val="0"/>
                <w:szCs w:val="21"/>
                <w:lang w:eastAsia="zh-CN"/>
              </w:rPr>
              <w:t>林业和草原局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下放，将核桃定点育苗的确定权限下放至县级</w:t>
            </w:r>
          </w:p>
        </w:tc>
      </w:tr>
      <w:tr>
        <w:tblPrEx>
          <w:tblCellMar>
            <w:top w:w="15" w:type="dxa"/>
            <w:left w:w="108" w:type="dxa"/>
            <w:bottom w:w="15" w:type="dxa"/>
            <w:right w:w="108" w:type="dxa"/>
          </w:tblCellMar>
        </w:tblPrEx>
        <w:trPr>
          <w:trHeight w:val="123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4</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单用途商业预付卡备案</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其它行政权力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《单用途商业预付卡管理办法（试行）》（商务部令 2012 年第 9 号）                                                     《云南省人民政府关于调整 482 项涉及省级行政权力事项的决定》（云政发〔2020〕16 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州商务局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部分下放，将规模发卡企业的单用途商业预付卡备案权限下放至县级。下放后州级负责集团发卡企业和品牌发卡企业的单用途商业预付卡备案。</w:t>
            </w:r>
          </w:p>
        </w:tc>
      </w:tr>
      <w:tr>
        <w:tblPrEx>
          <w:tblCellMar>
            <w:top w:w="15" w:type="dxa"/>
            <w:left w:w="108" w:type="dxa"/>
            <w:bottom w:w="15" w:type="dxa"/>
            <w:right w:w="108" w:type="dxa"/>
          </w:tblCellMar>
        </w:tblPrEx>
        <w:trPr>
          <w:trHeight w:val="18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5</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人民防空工程拆除审批</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《中华人民共和国人民防空法》                                                                  《国家人民防空办公室关于颁布〈人民防空工程维护管理办法〉的通知》（〔2001〕国人防办字第210号）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州住房城乡建设局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部分下放，将5级以下工程、300平方米以下5级工程和疏散支干道工程审批权限下放至县级。州级保留300平方米（含）以上5级工程、4级（含）以上工程、指挥工程和疏散干道工程的审查及上报省级的权限。</w:t>
            </w:r>
          </w:p>
        </w:tc>
      </w:tr>
      <w:tr>
        <w:tblPrEx>
          <w:tblCellMar>
            <w:top w:w="15" w:type="dxa"/>
            <w:left w:w="108" w:type="dxa"/>
            <w:bottom w:w="15" w:type="dxa"/>
            <w:right w:w="108" w:type="dxa"/>
          </w:tblCellMar>
        </w:tblPrEx>
        <w:trPr>
          <w:trHeight w:val="18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6</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医疗机构执业登记</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《医疗机构管理条例》</w:t>
            </w:r>
          </w:p>
          <w:p>
            <w:pPr>
              <w:widowControl/>
              <w:spacing w:line="240" w:lineRule="exact"/>
              <w:jc w:val="left"/>
              <w:rPr>
                <w:rFonts w:eastAsia="方正仿宋_GBK"/>
                <w:color w:val="000000"/>
                <w:kern w:val="0"/>
                <w:szCs w:val="21"/>
              </w:rPr>
            </w:pPr>
            <w:r>
              <w:rPr>
                <w:rFonts w:eastAsia="方正仿宋_GBK"/>
                <w:color w:val="000000"/>
                <w:kern w:val="0"/>
                <w:szCs w:val="21"/>
              </w:rPr>
              <w:t>《国家卫生健康委员会 国家中医药管理局关于印发互联网诊疗管理办法（试行）等3个文件的通知》（国卫医发〔2018〕25号）《互联网医院管理办法（试行）》</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州卫生健康委</w:t>
            </w:r>
          </w:p>
        </w:tc>
        <w:tc>
          <w:tcPr>
            <w:tcW w:w="4123" w:type="dxa"/>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rPr>
                <w:rFonts w:eastAsia="方正仿宋_GBK"/>
                <w:color w:val="000000"/>
                <w:kern w:val="0"/>
                <w:szCs w:val="21"/>
              </w:rPr>
            </w:pPr>
            <w:r>
              <w:rPr>
                <w:rFonts w:eastAsia="方正仿宋_GBK"/>
                <w:color w:val="000000"/>
                <w:kern w:val="0"/>
                <w:szCs w:val="21"/>
              </w:rPr>
              <w:t>部分下放，将辖区范围内的二级医院、二级妇幼保健院执业登记，医疗美容门诊部执业登记，美沙酮维持治疗机构执业登记，疗养院、护理院执业登记下放至县级。州级保留辖区范围内急救中心、急救站、省级下放的医疗机构、国家规定由州（市）级卫生健康行政部门审批的其他医疗机构执业登记权限</w:t>
            </w:r>
          </w:p>
        </w:tc>
      </w:tr>
      <w:tr>
        <w:tblPrEx>
          <w:tblCellMar>
            <w:top w:w="15" w:type="dxa"/>
            <w:left w:w="108" w:type="dxa"/>
            <w:bottom w:w="15" w:type="dxa"/>
            <w:right w:w="108" w:type="dxa"/>
          </w:tblCellMar>
        </w:tblPrEx>
        <w:trPr>
          <w:trHeight w:val="1802"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7</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医师执业注册</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《中华人民共和国执业医师法》</w:t>
            </w:r>
          </w:p>
          <w:p>
            <w:pPr>
              <w:widowControl/>
              <w:spacing w:line="240" w:lineRule="exact"/>
              <w:jc w:val="left"/>
              <w:rPr>
                <w:rFonts w:eastAsia="方正仿宋_GBK"/>
                <w:color w:val="000000"/>
                <w:kern w:val="0"/>
                <w:szCs w:val="21"/>
              </w:rPr>
            </w:pPr>
            <w:r>
              <w:rPr>
                <w:rFonts w:eastAsia="方正仿宋_GBK"/>
                <w:color w:val="000000"/>
                <w:kern w:val="0"/>
                <w:szCs w:val="21"/>
              </w:rPr>
              <w:t>《医师执业注册管理办法》（国家卫生和计划生育委员会令第13号）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州卫生健康委</w:t>
            </w:r>
          </w:p>
        </w:tc>
        <w:tc>
          <w:tcPr>
            <w:tcW w:w="4123" w:type="dxa"/>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rPr>
                <w:rFonts w:eastAsia="方正仿宋_GBK"/>
                <w:color w:val="000000"/>
                <w:kern w:val="0"/>
                <w:szCs w:val="21"/>
              </w:rPr>
            </w:pPr>
            <w:r>
              <w:rPr>
                <w:rFonts w:eastAsia="方正仿宋_GBK"/>
                <w:color w:val="000000"/>
                <w:kern w:val="0"/>
                <w:szCs w:val="21"/>
              </w:rPr>
              <w:t>部分下放，将在辖区范围内的二级医院、二级妇幼保健院、医疗美容门诊部、美沙酮维持治疗机构、疗养院、护理院中申请执业的医师注册下放至县级。州级保留省级下放医疗机构、急救中心、急救站，以及国家规定由州（市）级卫生健康行政部门审批的其他医疗机构申请执业医师注册权限</w:t>
            </w:r>
          </w:p>
        </w:tc>
      </w:tr>
      <w:tr>
        <w:tblPrEx>
          <w:tblCellMar>
            <w:top w:w="15" w:type="dxa"/>
            <w:left w:w="108" w:type="dxa"/>
            <w:bottom w:w="15" w:type="dxa"/>
            <w:right w:w="108" w:type="dxa"/>
          </w:tblCellMar>
        </w:tblPrEx>
        <w:trPr>
          <w:trHeight w:val="1814"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8</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护士执业注册</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《护士条例》</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州卫生健康委</w:t>
            </w:r>
          </w:p>
        </w:tc>
        <w:tc>
          <w:tcPr>
            <w:tcW w:w="4123" w:type="dxa"/>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rPr>
                <w:rFonts w:eastAsia="方正仿宋_GBK"/>
                <w:color w:val="000000"/>
                <w:kern w:val="0"/>
                <w:szCs w:val="21"/>
              </w:rPr>
            </w:pPr>
            <w:r>
              <w:rPr>
                <w:rFonts w:eastAsia="方正仿宋_GBK"/>
                <w:color w:val="000000"/>
                <w:kern w:val="0"/>
                <w:szCs w:val="21"/>
              </w:rPr>
              <w:t>部分下放，将在辖区范围内的二级医院、二级妇幼保健院、医疗美容门诊部、美沙酮维持治疗机构、疗养院、护理院申请护士执业注册的权限下放县级。州级保留辖区范围内急救中心、急救站、省级下放的医疗机构、国家规定由州（市）级卫生健康行政部门审批的其他医疗机构的护士执业注册</w:t>
            </w:r>
          </w:p>
        </w:tc>
      </w:tr>
    </w:tbl>
    <w:p>
      <w:pPr>
        <w:jc w:val="left"/>
        <w:rPr>
          <w:rFonts w:hint="eastAsia" w:ascii="方正黑体_GBK" w:hAnsi="方正黑体_GBK" w:eastAsia="方正黑体_GBK" w:cs="方正黑体_GBK"/>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35DC3468"/>
    <w:rsid w:val="17264BFD"/>
    <w:rsid w:val="35DC3468"/>
    <w:rsid w:val="3E7C19AB"/>
    <w:rsid w:val="449F45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2021-11-30T01:27:00Z</dcterms:created>
  <dc:creator>请叫我104</dc:creator>
  <cp:lastModifiedBy>腾勇灵</cp:lastModifiedBy>
  <dcterms:modified xsi:type="dcterms:W3CDTF">2024-02-05T01:12:56Z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97FD1B0E4AD943BFB5A798D2C2331B47_13</vt:lpwstr>
  </property>
</Properties>
</file>