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等线" w:hAnsi="等线" w:eastAsia="方正小标宋_GBK" w:cs="Times New Roman"/>
          <w:b/>
          <w:bCs/>
          <w:color w:val="000000"/>
          <w:sz w:val="44"/>
          <w:szCs w:val="44"/>
        </w:rPr>
      </w:pPr>
      <w:bookmarkStart w:id="56" w:name="_GoBack"/>
      <w:bookmarkEnd w:id="56"/>
      <w:r>
        <w:rPr>
          <w:rFonts w:hint="eastAsia" w:ascii="等线" w:hAnsi="等线" w:eastAsia="方正小标宋_GBK" w:cs="Times New Roman"/>
          <w:b/>
          <w:bCs/>
          <w:color w:val="000000"/>
          <w:sz w:val="44"/>
          <w:szCs w:val="44"/>
        </w:rPr>
        <w:t>瑞丽至孟连高速公路建设项目土地用途调整方案暨永久基本农田补划方案</w:t>
      </w:r>
    </w:p>
    <w:p>
      <w:pPr>
        <w:jc w:val="center"/>
        <w:rPr>
          <w:rFonts w:ascii="等线" w:hAnsi="等线" w:eastAsia="方正小标宋_GBK" w:cs="Times New Roman"/>
          <w:b/>
          <w:bCs/>
          <w:color w:val="000000"/>
          <w:sz w:val="44"/>
          <w:szCs w:val="44"/>
        </w:rPr>
      </w:pPr>
    </w:p>
    <w:p>
      <w:pPr>
        <w:jc w:val="center"/>
        <w:rPr>
          <w:rFonts w:ascii="等线" w:hAnsi="等线" w:eastAsia="方正小标宋_GBK" w:cs="Times New Roman"/>
          <w:b/>
          <w:bCs/>
          <w:color w:val="000000"/>
          <w:sz w:val="44"/>
          <w:szCs w:val="44"/>
        </w:rPr>
      </w:pPr>
      <w:r>
        <w:rPr>
          <w:rFonts w:ascii="Times New Roman" w:hAnsi="Times New Roman" w:eastAsia="仿宋_GB2312" w:cs="Times New Roman"/>
          <w:b/>
          <w:sz w:val="44"/>
          <w:szCs w:val="44"/>
        </w:rPr>
        <w:t>初步成果简报</w:t>
      </w:r>
    </w:p>
    <w:p>
      <w:pPr>
        <w:jc w:val="center"/>
        <w:rPr>
          <w:rFonts w:ascii="等线" w:hAnsi="等线" w:eastAsia="方正小标宋_GBK" w:cs="Times New Roman"/>
          <w:b/>
          <w:bCs/>
          <w:color w:val="000000"/>
          <w:sz w:val="44"/>
          <w:szCs w:val="44"/>
        </w:rPr>
      </w:pPr>
    </w:p>
    <w:p>
      <w:pPr>
        <w:jc w:val="center"/>
        <w:rPr>
          <w:rFonts w:ascii="等线" w:hAnsi="等线" w:eastAsia="方正小标宋_GBK" w:cs="Times New Roman"/>
          <w:b/>
          <w:bCs/>
          <w:color w:val="000000"/>
          <w:sz w:val="44"/>
          <w:szCs w:val="44"/>
        </w:rPr>
      </w:pPr>
    </w:p>
    <w:p>
      <w:pPr>
        <w:jc w:val="center"/>
        <w:rPr>
          <w:rFonts w:ascii="等线" w:hAnsi="等线" w:eastAsia="方正小标宋_GBK" w:cs="Times New Roman"/>
          <w:b/>
          <w:bCs/>
          <w:color w:val="000000"/>
          <w:sz w:val="44"/>
          <w:szCs w:val="44"/>
        </w:rPr>
      </w:pPr>
    </w:p>
    <w:p>
      <w:pPr>
        <w:jc w:val="center"/>
        <w:rPr>
          <w:rFonts w:ascii="等线" w:hAnsi="等线" w:eastAsia="方正小标宋_GBK" w:cs="Times New Roman"/>
          <w:b/>
          <w:bCs/>
          <w:color w:val="000000"/>
          <w:sz w:val="44"/>
          <w:szCs w:val="44"/>
        </w:rPr>
      </w:pPr>
    </w:p>
    <w:p>
      <w:pPr>
        <w:jc w:val="center"/>
        <w:rPr>
          <w:rFonts w:ascii="等线" w:hAnsi="等线" w:eastAsia="方正小标宋_GBK" w:cs="Times New Roman"/>
          <w:b/>
          <w:bCs/>
          <w:color w:val="000000"/>
          <w:sz w:val="44"/>
          <w:szCs w:val="44"/>
        </w:rPr>
      </w:pPr>
    </w:p>
    <w:p>
      <w:pPr>
        <w:jc w:val="center"/>
        <w:rPr>
          <w:rFonts w:ascii="等线" w:hAnsi="等线" w:eastAsia="方正小标宋_GBK" w:cs="Times New Roman"/>
          <w:b/>
          <w:bCs/>
          <w:color w:val="000000"/>
          <w:sz w:val="44"/>
          <w:szCs w:val="44"/>
        </w:rPr>
      </w:pPr>
    </w:p>
    <w:p>
      <w:pPr>
        <w:jc w:val="center"/>
        <w:rPr>
          <w:rFonts w:ascii="等线" w:hAnsi="等线" w:eastAsia="方正小标宋_GBK" w:cs="Times New Roman"/>
          <w:b/>
          <w:bCs/>
          <w:color w:val="000000"/>
          <w:sz w:val="44"/>
          <w:szCs w:val="44"/>
        </w:rPr>
      </w:pPr>
    </w:p>
    <w:p>
      <w:pPr>
        <w:jc w:val="center"/>
        <w:rPr>
          <w:rFonts w:ascii="等线" w:hAnsi="等线" w:eastAsia="方正小标宋_GBK" w:cs="Times New Roman"/>
          <w:b/>
          <w:bCs/>
          <w:color w:val="000000"/>
          <w:sz w:val="44"/>
          <w:szCs w:val="44"/>
        </w:rPr>
      </w:pPr>
    </w:p>
    <w:p>
      <w:pPr>
        <w:jc w:val="center"/>
        <w:rPr>
          <w:rFonts w:ascii="等线" w:hAnsi="等线" w:eastAsia="方正小标宋_GBK" w:cs="Times New Roman"/>
          <w:b/>
          <w:bCs/>
          <w:color w:val="000000"/>
          <w:sz w:val="44"/>
          <w:szCs w:val="44"/>
        </w:rPr>
      </w:pPr>
    </w:p>
    <w:p>
      <w:pPr>
        <w:jc w:val="center"/>
        <w:rPr>
          <w:rFonts w:ascii="等线" w:hAnsi="等线" w:eastAsia="方正小标宋_GBK" w:cs="Times New Roman"/>
          <w:b/>
          <w:bCs/>
          <w:color w:val="000000"/>
          <w:sz w:val="44"/>
          <w:szCs w:val="44"/>
        </w:rPr>
      </w:pPr>
    </w:p>
    <w:p>
      <w:pPr>
        <w:jc w:val="center"/>
        <w:rPr>
          <w:rFonts w:ascii="等线" w:hAnsi="等线" w:eastAsia="方正小标宋_GBK" w:cs="Times New Roman"/>
          <w:b/>
          <w:bCs/>
          <w:color w:val="000000"/>
          <w:sz w:val="44"/>
          <w:szCs w:val="44"/>
        </w:rPr>
      </w:pPr>
    </w:p>
    <w:p>
      <w:pPr>
        <w:spacing w:line="360" w:lineRule="auto"/>
        <w:jc w:val="center"/>
        <w:rPr>
          <w:rFonts w:ascii="Times New Roman" w:hAnsi="Times New Roman" w:eastAsia="仿宋_GB2312" w:cs="Times New Roman"/>
          <w:b/>
          <w:bCs/>
          <w:sz w:val="30"/>
          <w:szCs w:val="30"/>
        </w:rPr>
      </w:pPr>
      <w:r>
        <w:rPr>
          <w:rFonts w:hint="eastAsia" w:ascii="Times New Roman" w:hAnsi="Times New Roman" w:eastAsia="仿宋_GB2312" w:cs="Times New Roman"/>
          <w:b/>
          <w:bCs/>
          <w:sz w:val="30"/>
          <w:szCs w:val="30"/>
        </w:rPr>
        <w:t>芒市</w:t>
      </w:r>
      <w:r>
        <w:rPr>
          <w:rFonts w:ascii="Times New Roman" w:hAnsi="Times New Roman" w:eastAsia="仿宋_GB2312" w:cs="Times New Roman"/>
          <w:b/>
          <w:bCs/>
          <w:sz w:val="30"/>
          <w:szCs w:val="30"/>
        </w:rPr>
        <w:t>自然资源局</w:t>
      </w:r>
    </w:p>
    <w:p>
      <w:pPr>
        <w:spacing w:line="360" w:lineRule="auto"/>
        <w:jc w:val="center"/>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昆明麦普空间科技有限公司</w:t>
      </w:r>
    </w:p>
    <w:p>
      <w:pPr>
        <w:jc w:val="center"/>
        <w:rPr>
          <w:rFonts w:ascii="Times New Roman" w:hAnsi="Times New Roman" w:eastAsia="仿宋_GB2312" w:cs="Times New Roman"/>
          <w:b/>
          <w:bCs/>
          <w:color w:val="000000"/>
          <w:sz w:val="44"/>
          <w:szCs w:val="44"/>
        </w:rPr>
      </w:pPr>
      <w:r>
        <w:rPr>
          <w:rFonts w:ascii="Times New Roman" w:hAnsi="Times New Roman" w:eastAsia="仿宋_GB2312" w:cs="Times New Roman"/>
          <w:b/>
          <w:bCs/>
          <w:sz w:val="30"/>
          <w:szCs w:val="30"/>
        </w:rPr>
        <w:t>202</w:t>
      </w:r>
      <w:r>
        <w:rPr>
          <w:rFonts w:hint="eastAsia" w:ascii="Times New Roman" w:hAnsi="Times New Roman" w:eastAsia="仿宋_GB2312" w:cs="Times New Roman"/>
          <w:b/>
          <w:bCs/>
          <w:sz w:val="30"/>
          <w:szCs w:val="30"/>
        </w:rPr>
        <w:t>1</w:t>
      </w:r>
      <w:r>
        <w:rPr>
          <w:rFonts w:ascii="Times New Roman" w:hAnsi="Times New Roman" w:eastAsia="仿宋_GB2312" w:cs="Times New Roman"/>
          <w:b/>
          <w:bCs/>
          <w:sz w:val="30"/>
          <w:szCs w:val="30"/>
        </w:rPr>
        <w:t>年11月</w:t>
      </w:r>
    </w:p>
    <w:p>
      <w:pPr>
        <w:pStyle w:val="22"/>
        <w:spacing w:line="360" w:lineRule="auto"/>
        <w:jc w:val="center"/>
        <w:rPr>
          <w:rFonts w:asciiTheme="minorHAnsi" w:hAnsiTheme="minorHAnsi" w:eastAsiaTheme="minorEastAsia" w:cstheme="minorBidi"/>
          <w:b w:val="0"/>
          <w:bCs w:val="0"/>
          <w:color w:val="auto"/>
          <w:kern w:val="2"/>
          <w:sz w:val="21"/>
          <w:szCs w:val="22"/>
          <w:lang w:val="zh-CN"/>
        </w:rPr>
        <w:sectPr>
          <w:footerReference r:id="rId3" w:type="default"/>
          <w:pgSz w:w="11906" w:h="16838"/>
          <w:pgMar w:top="1418" w:right="1418" w:bottom="1361" w:left="1588" w:header="851" w:footer="992" w:gutter="0"/>
          <w:pgNumType w:start="0"/>
          <w:cols w:space="425" w:num="1"/>
          <w:docGrid w:type="lines" w:linePitch="312" w:charSpace="0"/>
        </w:sectPr>
      </w:pPr>
    </w:p>
    <w:sdt>
      <w:sdtPr>
        <w:rPr>
          <w:rFonts w:asciiTheme="minorHAnsi" w:hAnsiTheme="minorHAnsi" w:eastAsiaTheme="minorEastAsia" w:cstheme="minorBidi"/>
          <w:b w:val="0"/>
          <w:bCs w:val="0"/>
          <w:color w:val="auto"/>
          <w:kern w:val="2"/>
          <w:sz w:val="21"/>
          <w:szCs w:val="22"/>
          <w:lang w:val="zh-CN"/>
        </w:rPr>
        <w:id w:val="-1117751207"/>
        <w:docPartObj>
          <w:docPartGallery w:val="Table of Contents"/>
          <w:docPartUnique/>
        </w:docPartObj>
      </w:sdtPr>
      <w:sdtEndPr>
        <w:rPr>
          <w:rFonts w:ascii="Times New Roman" w:hAnsi="Times New Roman" w:eastAsia="仿宋_GB2312" w:cs="Times New Roman"/>
          <w:b/>
          <w:bCs/>
          <w:color w:val="auto"/>
          <w:kern w:val="2"/>
          <w:sz w:val="32"/>
          <w:szCs w:val="32"/>
          <w:lang w:val="zh-CN"/>
        </w:rPr>
      </w:sdtEndPr>
      <w:sdtContent>
        <w:p>
          <w:pPr>
            <w:pStyle w:val="22"/>
            <w:spacing w:line="560" w:lineRule="exact"/>
            <w:jc w:val="center"/>
            <w:rPr>
              <w:rFonts w:ascii="仿宋_GB2312" w:eastAsia="仿宋_GB2312"/>
              <w:color w:val="auto"/>
              <w:sz w:val="40"/>
            </w:rPr>
          </w:pPr>
          <w:r>
            <w:rPr>
              <w:rFonts w:hint="eastAsia" w:ascii="仿宋_GB2312" w:eastAsia="仿宋_GB2312"/>
              <w:color w:val="auto"/>
              <w:sz w:val="40"/>
              <w:lang w:val="zh-CN"/>
            </w:rPr>
            <w:t>目 录</w:t>
          </w:r>
        </w:p>
        <w:p>
          <w:pPr>
            <w:pStyle w:val="12"/>
            <w:tabs>
              <w:tab w:val="right" w:leader="dot" w:pos="8890"/>
            </w:tabs>
            <w:rPr>
              <w:rFonts w:ascii="Times New Roman" w:hAnsi="Times New Roman" w:eastAsia="仿宋_GB2312" w:cs="Times New Roman"/>
              <w:b/>
              <w:bCs/>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TOC \o "1-3" \h \z \u </w:instrText>
          </w:r>
          <w:r>
            <w:rPr>
              <w:rFonts w:ascii="Times New Roman" w:hAnsi="Times New Roman" w:eastAsia="仿宋_GB2312" w:cs="Times New Roman"/>
              <w:sz w:val="28"/>
              <w:szCs w:val="28"/>
            </w:rPr>
            <w:fldChar w:fldCharType="separate"/>
          </w:r>
          <w:r>
            <w:fldChar w:fldCharType="begin"/>
          </w:r>
          <w:r>
            <w:instrText xml:space="preserve"> HYPERLINK \l "_Toc88211866" </w:instrText>
          </w:r>
          <w:r>
            <w:fldChar w:fldCharType="separate"/>
          </w:r>
          <w:r>
            <w:rPr>
              <w:rStyle w:val="16"/>
              <w:rFonts w:ascii="Times New Roman" w:hAnsi="Times New Roman" w:eastAsia="仿宋_GB2312" w:cs="Times New Roman"/>
              <w:b/>
              <w:bCs/>
              <w:kern w:val="44"/>
              <w:sz w:val="28"/>
              <w:szCs w:val="28"/>
            </w:rPr>
            <w:t>一、项目背景</w:t>
          </w:r>
          <w:r>
            <w:rPr>
              <w:rFonts w:ascii="Times New Roman" w:hAnsi="Times New Roman" w:eastAsia="仿宋_GB2312" w:cs="Times New Roman"/>
              <w:b/>
              <w:bCs/>
              <w:sz w:val="28"/>
              <w:szCs w:val="28"/>
            </w:rPr>
            <w:tab/>
          </w:r>
          <w:r>
            <w:rPr>
              <w:rFonts w:ascii="Times New Roman" w:hAnsi="Times New Roman" w:eastAsia="仿宋_GB2312" w:cs="Times New Roman"/>
              <w:b/>
              <w:bCs/>
              <w:sz w:val="28"/>
              <w:szCs w:val="28"/>
            </w:rPr>
            <w:fldChar w:fldCharType="begin"/>
          </w:r>
          <w:r>
            <w:rPr>
              <w:rFonts w:ascii="Times New Roman" w:hAnsi="Times New Roman" w:eastAsia="仿宋_GB2312" w:cs="Times New Roman"/>
              <w:b/>
              <w:bCs/>
              <w:sz w:val="28"/>
              <w:szCs w:val="28"/>
            </w:rPr>
            <w:instrText xml:space="preserve"> PAGEREF _Toc88211866 \h </w:instrText>
          </w:r>
          <w:r>
            <w:rPr>
              <w:rFonts w:ascii="Times New Roman" w:hAnsi="Times New Roman" w:eastAsia="仿宋_GB2312" w:cs="Times New Roman"/>
              <w:b/>
              <w:bCs/>
              <w:sz w:val="28"/>
              <w:szCs w:val="28"/>
            </w:rPr>
            <w:fldChar w:fldCharType="separate"/>
          </w:r>
          <w:r>
            <w:rPr>
              <w:rFonts w:ascii="Times New Roman" w:hAnsi="Times New Roman" w:eastAsia="仿宋_GB2312" w:cs="Times New Roman"/>
              <w:b/>
              <w:bCs/>
              <w:sz w:val="28"/>
              <w:szCs w:val="28"/>
            </w:rPr>
            <w:t>1</w:t>
          </w:r>
          <w:r>
            <w:rPr>
              <w:rFonts w:ascii="Times New Roman" w:hAnsi="Times New Roman" w:eastAsia="仿宋_GB2312" w:cs="Times New Roman"/>
              <w:b/>
              <w:bCs/>
              <w:sz w:val="28"/>
              <w:szCs w:val="28"/>
            </w:rPr>
            <w:fldChar w:fldCharType="end"/>
          </w:r>
          <w:r>
            <w:rPr>
              <w:rFonts w:ascii="Times New Roman" w:hAnsi="Times New Roman" w:eastAsia="仿宋_GB2312" w:cs="Times New Roman"/>
              <w:b/>
              <w:bCs/>
              <w:sz w:val="28"/>
              <w:szCs w:val="28"/>
            </w:rPr>
            <w:fldChar w:fldCharType="end"/>
          </w:r>
        </w:p>
        <w:p>
          <w:pPr>
            <w:pStyle w:val="12"/>
            <w:tabs>
              <w:tab w:val="right" w:leader="dot" w:pos="8890"/>
            </w:tabs>
            <w:spacing w:line="360" w:lineRule="auto"/>
            <w:rPr>
              <w:rFonts w:ascii="Times New Roman" w:hAnsi="Times New Roman" w:eastAsia="仿宋_GB2312" w:cs="Times New Roman"/>
              <w:b/>
              <w:bCs/>
              <w:sz w:val="28"/>
              <w:szCs w:val="28"/>
            </w:rPr>
          </w:pPr>
          <w:r>
            <w:fldChar w:fldCharType="begin"/>
          </w:r>
          <w:r>
            <w:instrText xml:space="preserve"> HYPERLINK \l "_Toc88211867" </w:instrText>
          </w:r>
          <w:r>
            <w:fldChar w:fldCharType="separate"/>
          </w:r>
          <w:r>
            <w:rPr>
              <w:rStyle w:val="16"/>
              <w:rFonts w:ascii="Times New Roman" w:hAnsi="Times New Roman" w:eastAsia="仿宋_GB2312" w:cs="Times New Roman"/>
              <w:b/>
              <w:bCs/>
              <w:kern w:val="44"/>
              <w:sz w:val="28"/>
              <w:szCs w:val="28"/>
            </w:rPr>
            <w:t>二、项目建设依据</w:t>
          </w:r>
          <w:r>
            <w:rPr>
              <w:rFonts w:ascii="Times New Roman" w:hAnsi="Times New Roman" w:eastAsia="仿宋_GB2312" w:cs="Times New Roman"/>
              <w:b/>
              <w:bCs/>
              <w:sz w:val="28"/>
              <w:szCs w:val="28"/>
            </w:rPr>
            <w:tab/>
          </w:r>
          <w:r>
            <w:rPr>
              <w:rFonts w:ascii="Times New Roman" w:hAnsi="Times New Roman" w:eastAsia="仿宋_GB2312" w:cs="Times New Roman"/>
              <w:b/>
              <w:bCs/>
              <w:sz w:val="28"/>
              <w:szCs w:val="28"/>
            </w:rPr>
            <w:fldChar w:fldCharType="begin"/>
          </w:r>
          <w:r>
            <w:rPr>
              <w:rFonts w:ascii="Times New Roman" w:hAnsi="Times New Roman" w:eastAsia="仿宋_GB2312" w:cs="Times New Roman"/>
              <w:b/>
              <w:bCs/>
              <w:sz w:val="28"/>
              <w:szCs w:val="28"/>
            </w:rPr>
            <w:instrText xml:space="preserve"> PAGEREF _Toc88211867 \h </w:instrText>
          </w:r>
          <w:r>
            <w:rPr>
              <w:rFonts w:ascii="Times New Roman" w:hAnsi="Times New Roman" w:eastAsia="仿宋_GB2312" w:cs="Times New Roman"/>
              <w:b/>
              <w:bCs/>
              <w:sz w:val="28"/>
              <w:szCs w:val="28"/>
            </w:rPr>
            <w:fldChar w:fldCharType="separate"/>
          </w:r>
          <w:r>
            <w:rPr>
              <w:rFonts w:ascii="Times New Roman" w:hAnsi="Times New Roman" w:eastAsia="仿宋_GB2312" w:cs="Times New Roman"/>
              <w:b/>
              <w:bCs/>
              <w:sz w:val="28"/>
              <w:szCs w:val="28"/>
            </w:rPr>
            <w:t>3</w:t>
          </w:r>
          <w:r>
            <w:rPr>
              <w:rFonts w:ascii="Times New Roman" w:hAnsi="Times New Roman" w:eastAsia="仿宋_GB2312" w:cs="Times New Roman"/>
              <w:b/>
              <w:bCs/>
              <w:sz w:val="28"/>
              <w:szCs w:val="28"/>
            </w:rPr>
            <w:fldChar w:fldCharType="end"/>
          </w:r>
          <w:r>
            <w:rPr>
              <w:rFonts w:ascii="Times New Roman" w:hAnsi="Times New Roman" w:eastAsia="仿宋_GB2312" w:cs="Times New Roman"/>
              <w:b/>
              <w:bCs/>
              <w:sz w:val="28"/>
              <w:szCs w:val="28"/>
            </w:rPr>
            <w:fldChar w:fldCharType="end"/>
          </w:r>
        </w:p>
        <w:p>
          <w:pPr>
            <w:pStyle w:val="12"/>
            <w:tabs>
              <w:tab w:val="right" w:leader="dot" w:pos="8890"/>
            </w:tabs>
            <w:rPr>
              <w:rFonts w:ascii="Times New Roman" w:hAnsi="Times New Roman" w:eastAsia="仿宋_GB2312" w:cs="Times New Roman"/>
              <w:b/>
              <w:bCs/>
              <w:sz w:val="28"/>
              <w:szCs w:val="28"/>
            </w:rPr>
          </w:pPr>
          <w:r>
            <w:fldChar w:fldCharType="begin"/>
          </w:r>
          <w:r>
            <w:instrText xml:space="preserve"> HYPERLINK \l "_Toc88211868" </w:instrText>
          </w:r>
          <w:r>
            <w:fldChar w:fldCharType="separate"/>
          </w:r>
          <w:r>
            <w:rPr>
              <w:rStyle w:val="16"/>
              <w:rFonts w:ascii="Times New Roman" w:hAnsi="Times New Roman" w:eastAsia="仿宋_GB2312" w:cs="Times New Roman"/>
              <w:b/>
              <w:bCs/>
              <w:kern w:val="44"/>
              <w:sz w:val="28"/>
              <w:szCs w:val="28"/>
            </w:rPr>
            <w:t>三、土地用途调整原则和依据</w:t>
          </w:r>
          <w:r>
            <w:rPr>
              <w:rFonts w:ascii="Times New Roman" w:hAnsi="Times New Roman" w:eastAsia="仿宋_GB2312" w:cs="Times New Roman"/>
              <w:b/>
              <w:bCs/>
              <w:sz w:val="28"/>
              <w:szCs w:val="28"/>
            </w:rPr>
            <w:tab/>
          </w:r>
          <w:r>
            <w:rPr>
              <w:rFonts w:ascii="Times New Roman" w:hAnsi="Times New Roman" w:eastAsia="仿宋_GB2312" w:cs="Times New Roman"/>
              <w:b/>
              <w:bCs/>
              <w:sz w:val="28"/>
              <w:szCs w:val="28"/>
            </w:rPr>
            <w:fldChar w:fldCharType="begin"/>
          </w:r>
          <w:r>
            <w:rPr>
              <w:rFonts w:ascii="Times New Roman" w:hAnsi="Times New Roman" w:eastAsia="仿宋_GB2312" w:cs="Times New Roman"/>
              <w:b/>
              <w:bCs/>
              <w:sz w:val="28"/>
              <w:szCs w:val="28"/>
            </w:rPr>
            <w:instrText xml:space="preserve"> PAGEREF _Toc88211868 \h </w:instrText>
          </w:r>
          <w:r>
            <w:rPr>
              <w:rFonts w:ascii="Times New Roman" w:hAnsi="Times New Roman" w:eastAsia="仿宋_GB2312" w:cs="Times New Roman"/>
              <w:b/>
              <w:bCs/>
              <w:sz w:val="28"/>
              <w:szCs w:val="28"/>
            </w:rPr>
            <w:fldChar w:fldCharType="separate"/>
          </w:r>
          <w:r>
            <w:rPr>
              <w:rFonts w:ascii="Times New Roman" w:hAnsi="Times New Roman" w:eastAsia="仿宋_GB2312" w:cs="Times New Roman"/>
              <w:b/>
              <w:bCs/>
              <w:sz w:val="28"/>
              <w:szCs w:val="28"/>
            </w:rPr>
            <w:t>4</w:t>
          </w:r>
          <w:r>
            <w:rPr>
              <w:rFonts w:ascii="Times New Roman" w:hAnsi="Times New Roman" w:eastAsia="仿宋_GB2312" w:cs="Times New Roman"/>
              <w:b/>
              <w:bCs/>
              <w:sz w:val="28"/>
              <w:szCs w:val="28"/>
            </w:rPr>
            <w:fldChar w:fldCharType="end"/>
          </w:r>
          <w:r>
            <w:rPr>
              <w:rFonts w:ascii="Times New Roman" w:hAnsi="Times New Roman" w:eastAsia="仿宋_GB2312" w:cs="Times New Roman"/>
              <w:b/>
              <w:bCs/>
              <w:sz w:val="28"/>
              <w:szCs w:val="28"/>
            </w:rPr>
            <w:fldChar w:fldCharType="end"/>
          </w:r>
        </w:p>
        <w:p>
          <w:pPr>
            <w:pStyle w:val="8"/>
            <w:tabs>
              <w:tab w:val="right" w:leader="dot" w:pos="8890"/>
            </w:tabs>
            <w:rPr>
              <w:rFonts w:ascii="Times New Roman" w:hAnsi="Times New Roman" w:eastAsia="仿宋_GB2312" w:cs="Times New Roman"/>
              <w:sz w:val="28"/>
              <w:szCs w:val="28"/>
            </w:rPr>
          </w:pPr>
          <w:r>
            <w:fldChar w:fldCharType="begin"/>
          </w:r>
          <w:r>
            <w:instrText xml:space="preserve"> HYPERLINK \l "_Toc88211869" </w:instrText>
          </w:r>
          <w:r>
            <w:fldChar w:fldCharType="separate"/>
          </w:r>
          <w:r>
            <w:rPr>
              <w:rStyle w:val="16"/>
              <w:rFonts w:ascii="Times New Roman" w:hAnsi="Times New Roman" w:eastAsia="仿宋_GB2312" w:cs="Times New Roman"/>
              <w:bCs/>
              <w:sz w:val="28"/>
              <w:szCs w:val="28"/>
            </w:rPr>
            <w:t>3.1 永久基本农田占用补划原则</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_Toc88211869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890"/>
            </w:tabs>
            <w:rPr>
              <w:rFonts w:ascii="Times New Roman" w:hAnsi="Times New Roman" w:eastAsia="仿宋_GB2312" w:cs="Times New Roman"/>
              <w:sz w:val="28"/>
              <w:szCs w:val="28"/>
            </w:rPr>
          </w:pPr>
          <w:r>
            <w:fldChar w:fldCharType="begin"/>
          </w:r>
          <w:r>
            <w:instrText xml:space="preserve"> HYPERLINK \l "_Toc88211870" </w:instrText>
          </w:r>
          <w:r>
            <w:fldChar w:fldCharType="separate"/>
          </w:r>
          <w:r>
            <w:rPr>
              <w:rStyle w:val="16"/>
              <w:rFonts w:ascii="Times New Roman" w:hAnsi="Times New Roman" w:eastAsia="仿宋_GB2312" w:cs="Times New Roman"/>
              <w:bCs/>
              <w:sz w:val="28"/>
              <w:szCs w:val="28"/>
            </w:rPr>
            <w:t>3.2规划修改原则</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_Toc88211870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890"/>
            </w:tabs>
            <w:rPr>
              <w:rFonts w:ascii="Times New Roman" w:hAnsi="Times New Roman" w:eastAsia="仿宋_GB2312" w:cs="Times New Roman"/>
              <w:sz w:val="28"/>
              <w:szCs w:val="28"/>
            </w:rPr>
          </w:pPr>
          <w:r>
            <w:fldChar w:fldCharType="begin"/>
          </w:r>
          <w:r>
            <w:instrText xml:space="preserve"> HYPERLINK \l "_Toc88211871" </w:instrText>
          </w:r>
          <w:r>
            <w:fldChar w:fldCharType="separate"/>
          </w:r>
          <w:r>
            <w:rPr>
              <w:rStyle w:val="16"/>
              <w:rFonts w:ascii="Times New Roman" w:hAnsi="Times New Roman" w:eastAsia="仿宋_GB2312" w:cs="Times New Roman"/>
              <w:bCs/>
              <w:sz w:val="28"/>
              <w:szCs w:val="28"/>
            </w:rPr>
            <w:t>3.3 法律依据</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_Toc88211871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890"/>
            </w:tabs>
            <w:rPr>
              <w:rFonts w:ascii="Times New Roman" w:hAnsi="Times New Roman" w:eastAsia="仿宋_GB2312" w:cs="Times New Roman"/>
              <w:sz w:val="28"/>
              <w:szCs w:val="28"/>
            </w:rPr>
          </w:pPr>
          <w:r>
            <w:fldChar w:fldCharType="begin"/>
          </w:r>
          <w:r>
            <w:instrText xml:space="preserve"> HYPERLINK \l "_Toc88211872" </w:instrText>
          </w:r>
          <w:r>
            <w:fldChar w:fldCharType="separate"/>
          </w:r>
          <w:r>
            <w:rPr>
              <w:rStyle w:val="16"/>
              <w:rFonts w:ascii="Times New Roman" w:hAnsi="Times New Roman" w:eastAsia="仿宋_GB2312" w:cs="Times New Roman"/>
              <w:bCs/>
              <w:sz w:val="28"/>
              <w:szCs w:val="28"/>
            </w:rPr>
            <w:t>3.4 政策文件依据</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_Toc88211872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890"/>
            </w:tabs>
            <w:rPr>
              <w:rFonts w:ascii="Times New Roman" w:hAnsi="Times New Roman" w:eastAsia="仿宋_GB2312" w:cs="Times New Roman"/>
              <w:sz w:val="28"/>
              <w:szCs w:val="28"/>
            </w:rPr>
          </w:pPr>
          <w:r>
            <w:fldChar w:fldCharType="begin"/>
          </w:r>
          <w:r>
            <w:instrText xml:space="preserve"> HYPERLINK \l "_Toc88211873" </w:instrText>
          </w:r>
          <w:r>
            <w:fldChar w:fldCharType="separate"/>
          </w:r>
          <w:r>
            <w:rPr>
              <w:rStyle w:val="16"/>
              <w:rFonts w:ascii="Times New Roman" w:hAnsi="Times New Roman" w:eastAsia="仿宋_GB2312" w:cs="Times New Roman"/>
              <w:bCs/>
              <w:sz w:val="28"/>
              <w:szCs w:val="28"/>
            </w:rPr>
            <w:t>3.5 规范及标准</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_Toc88211873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890"/>
            </w:tabs>
            <w:rPr>
              <w:rFonts w:ascii="Times New Roman" w:hAnsi="Times New Roman" w:eastAsia="仿宋_GB2312" w:cs="Times New Roman"/>
              <w:sz w:val="28"/>
              <w:szCs w:val="28"/>
            </w:rPr>
          </w:pPr>
          <w:r>
            <w:fldChar w:fldCharType="begin"/>
          </w:r>
          <w:r>
            <w:instrText xml:space="preserve"> HYPERLINK \l "_Toc88211874" </w:instrText>
          </w:r>
          <w:r>
            <w:fldChar w:fldCharType="separate"/>
          </w:r>
          <w:r>
            <w:rPr>
              <w:rStyle w:val="16"/>
              <w:rFonts w:ascii="Times New Roman" w:hAnsi="Times New Roman" w:eastAsia="仿宋_GB2312" w:cs="Times New Roman"/>
              <w:bCs/>
              <w:sz w:val="28"/>
              <w:szCs w:val="28"/>
            </w:rPr>
            <w:t>3.6 相关规划</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_Toc88211874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890"/>
            </w:tabs>
            <w:rPr>
              <w:rFonts w:ascii="Times New Roman" w:hAnsi="Times New Roman" w:eastAsia="仿宋_GB2312" w:cs="Times New Roman"/>
              <w:sz w:val="28"/>
              <w:szCs w:val="28"/>
            </w:rPr>
          </w:pPr>
          <w:r>
            <w:fldChar w:fldCharType="begin"/>
          </w:r>
          <w:r>
            <w:instrText xml:space="preserve"> HYPERLINK \l "_Toc88211875" </w:instrText>
          </w:r>
          <w:r>
            <w:fldChar w:fldCharType="separate"/>
          </w:r>
          <w:r>
            <w:rPr>
              <w:rStyle w:val="16"/>
              <w:rFonts w:ascii="Times New Roman" w:hAnsi="Times New Roman" w:eastAsia="仿宋_GB2312" w:cs="Times New Roman"/>
              <w:bCs/>
              <w:sz w:val="28"/>
              <w:szCs w:val="28"/>
            </w:rPr>
            <w:t>3.7其它依据</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_Toc88211875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8890"/>
            </w:tabs>
            <w:rPr>
              <w:rFonts w:ascii="Times New Roman" w:hAnsi="Times New Roman" w:eastAsia="仿宋_GB2312" w:cs="Times New Roman"/>
              <w:b/>
              <w:bCs/>
              <w:sz w:val="28"/>
              <w:szCs w:val="28"/>
            </w:rPr>
          </w:pPr>
          <w:r>
            <w:fldChar w:fldCharType="begin"/>
          </w:r>
          <w:r>
            <w:instrText xml:space="preserve"> HYPERLINK \l "_Toc88211876" </w:instrText>
          </w:r>
          <w:r>
            <w:fldChar w:fldCharType="separate"/>
          </w:r>
          <w:r>
            <w:rPr>
              <w:rStyle w:val="16"/>
              <w:rFonts w:ascii="Times New Roman" w:hAnsi="Times New Roman" w:eastAsia="仿宋_GB2312" w:cs="Times New Roman"/>
              <w:b/>
              <w:bCs/>
              <w:kern w:val="44"/>
              <w:sz w:val="28"/>
              <w:szCs w:val="28"/>
            </w:rPr>
            <w:t>四、项目涉及芒市用地情况</w:t>
          </w:r>
          <w:r>
            <w:rPr>
              <w:rFonts w:ascii="Times New Roman" w:hAnsi="Times New Roman" w:eastAsia="仿宋_GB2312" w:cs="Times New Roman"/>
              <w:b/>
              <w:bCs/>
              <w:sz w:val="28"/>
              <w:szCs w:val="28"/>
            </w:rPr>
            <w:tab/>
          </w:r>
          <w:r>
            <w:rPr>
              <w:rFonts w:ascii="Times New Roman" w:hAnsi="Times New Roman" w:eastAsia="仿宋_GB2312" w:cs="Times New Roman"/>
              <w:b/>
              <w:bCs/>
              <w:sz w:val="28"/>
              <w:szCs w:val="28"/>
            </w:rPr>
            <w:fldChar w:fldCharType="begin"/>
          </w:r>
          <w:r>
            <w:rPr>
              <w:rFonts w:ascii="Times New Roman" w:hAnsi="Times New Roman" w:eastAsia="仿宋_GB2312" w:cs="Times New Roman"/>
              <w:b/>
              <w:bCs/>
              <w:sz w:val="28"/>
              <w:szCs w:val="28"/>
            </w:rPr>
            <w:instrText xml:space="preserve"> PAGEREF _Toc88211876 \h </w:instrText>
          </w:r>
          <w:r>
            <w:rPr>
              <w:rFonts w:ascii="Times New Roman" w:hAnsi="Times New Roman" w:eastAsia="仿宋_GB2312" w:cs="Times New Roman"/>
              <w:b/>
              <w:bCs/>
              <w:sz w:val="28"/>
              <w:szCs w:val="28"/>
            </w:rPr>
            <w:fldChar w:fldCharType="separate"/>
          </w:r>
          <w:r>
            <w:rPr>
              <w:rFonts w:ascii="Times New Roman" w:hAnsi="Times New Roman" w:eastAsia="仿宋_GB2312" w:cs="Times New Roman"/>
              <w:b/>
              <w:bCs/>
              <w:sz w:val="28"/>
              <w:szCs w:val="28"/>
            </w:rPr>
            <w:t>9</w:t>
          </w:r>
          <w:r>
            <w:rPr>
              <w:rFonts w:ascii="Times New Roman" w:hAnsi="Times New Roman" w:eastAsia="仿宋_GB2312" w:cs="Times New Roman"/>
              <w:b/>
              <w:bCs/>
              <w:sz w:val="28"/>
              <w:szCs w:val="28"/>
            </w:rPr>
            <w:fldChar w:fldCharType="end"/>
          </w:r>
          <w:r>
            <w:rPr>
              <w:rFonts w:ascii="Times New Roman" w:hAnsi="Times New Roman" w:eastAsia="仿宋_GB2312" w:cs="Times New Roman"/>
              <w:b/>
              <w:bCs/>
              <w:sz w:val="28"/>
              <w:szCs w:val="28"/>
            </w:rPr>
            <w:fldChar w:fldCharType="end"/>
          </w:r>
        </w:p>
        <w:p>
          <w:pPr>
            <w:pStyle w:val="8"/>
            <w:tabs>
              <w:tab w:val="right" w:leader="dot" w:pos="8890"/>
            </w:tabs>
            <w:rPr>
              <w:rFonts w:ascii="Times New Roman" w:hAnsi="Times New Roman" w:eastAsia="仿宋_GB2312" w:cs="Times New Roman"/>
              <w:sz w:val="28"/>
              <w:szCs w:val="28"/>
            </w:rPr>
          </w:pPr>
          <w:r>
            <w:fldChar w:fldCharType="begin"/>
          </w:r>
          <w:r>
            <w:instrText xml:space="preserve"> HYPERLINK \l "_Toc88211877" </w:instrText>
          </w:r>
          <w:r>
            <w:fldChar w:fldCharType="separate"/>
          </w:r>
          <w:r>
            <w:rPr>
              <w:rStyle w:val="16"/>
              <w:rFonts w:ascii="Times New Roman" w:hAnsi="Times New Roman" w:eastAsia="仿宋_GB2312" w:cs="Times New Roman"/>
              <w:bCs/>
              <w:sz w:val="28"/>
              <w:szCs w:val="28"/>
            </w:rPr>
            <w:t>4.1 上级分解指标调整</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_Toc88211877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890"/>
            </w:tabs>
            <w:rPr>
              <w:rFonts w:ascii="Times New Roman" w:hAnsi="Times New Roman" w:eastAsia="仿宋_GB2312" w:cs="Times New Roman"/>
              <w:sz w:val="28"/>
              <w:szCs w:val="28"/>
            </w:rPr>
          </w:pPr>
          <w:r>
            <w:fldChar w:fldCharType="begin"/>
          </w:r>
          <w:r>
            <w:instrText xml:space="preserve"> HYPERLINK \l "_Toc88211878" </w:instrText>
          </w:r>
          <w:r>
            <w:fldChar w:fldCharType="separate"/>
          </w:r>
          <w:r>
            <w:rPr>
              <w:rStyle w:val="16"/>
              <w:rFonts w:ascii="Times New Roman" w:hAnsi="Times New Roman" w:eastAsia="仿宋_GB2312" w:cs="Times New Roman"/>
              <w:bCs/>
              <w:sz w:val="28"/>
              <w:szCs w:val="28"/>
            </w:rPr>
            <w:t>4.2 项目占用土地利用现状地类情况</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_Toc88211878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890"/>
            </w:tabs>
            <w:rPr>
              <w:rFonts w:ascii="Times New Roman" w:hAnsi="Times New Roman" w:eastAsia="仿宋_GB2312" w:cs="Times New Roman"/>
              <w:sz w:val="28"/>
              <w:szCs w:val="28"/>
            </w:rPr>
          </w:pPr>
          <w:r>
            <w:fldChar w:fldCharType="begin"/>
          </w:r>
          <w:r>
            <w:instrText xml:space="preserve"> HYPERLINK \l "_Toc88211879" </w:instrText>
          </w:r>
          <w:r>
            <w:fldChar w:fldCharType="separate"/>
          </w:r>
          <w:r>
            <w:rPr>
              <w:rStyle w:val="16"/>
              <w:rFonts w:ascii="Times New Roman" w:hAnsi="Times New Roman" w:eastAsia="仿宋_GB2312" w:cs="Times New Roman"/>
              <w:bCs/>
              <w:sz w:val="28"/>
              <w:szCs w:val="28"/>
            </w:rPr>
            <w:t>4.3 占用芒市全域永久基本农田情况</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_Toc88211879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890"/>
            </w:tabs>
            <w:rPr>
              <w:rFonts w:ascii="Times New Roman" w:hAnsi="Times New Roman" w:eastAsia="仿宋_GB2312" w:cs="Times New Roman"/>
              <w:sz w:val="28"/>
              <w:szCs w:val="28"/>
            </w:rPr>
          </w:pPr>
          <w:r>
            <w:fldChar w:fldCharType="begin"/>
          </w:r>
          <w:r>
            <w:instrText xml:space="preserve"> HYPERLINK \l "_Toc88211880" </w:instrText>
          </w:r>
          <w:r>
            <w:fldChar w:fldCharType="separate"/>
          </w:r>
          <w:r>
            <w:rPr>
              <w:rStyle w:val="16"/>
              <w:rFonts w:ascii="Times New Roman" w:hAnsi="Times New Roman" w:eastAsia="仿宋_GB2312" w:cs="Times New Roman"/>
              <w:bCs/>
              <w:sz w:val="28"/>
              <w:szCs w:val="28"/>
            </w:rPr>
            <w:t>4.4 占用芒市坝区永久基本农田情况</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_Toc88211880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890"/>
            </w:tabs>
            <w:rPr>
              <w:rFonts w:ascii="Times New Roman" w:hAnsi="Times New Roman" w:eastAsia="仿宋_GB2312" w:cs="Times New Roman"/>
              <w:sz w:val="28"/>
              <w:szCs w:val="28"/>
            </w:rPr>
          </w:pPr>
          <w:r>
            <w:fldChar w:fldCharType="begin"/>
          </w:r>
          <w:r>
            <w:instrText xml:space="preserve"> HYPERLINK \l "_Toc88211881" </w:instrText>
          </w:r>
          <w:r>
            <w:fldChar w:fldCharType="separate"/>
          </w:r>
          <w:r>
            <w:rPr>
              <w:rStyle w:val="16"/>
              <w:rFonts w:ascii="Times New Roman" w:hAnsi="Times New Roman" w:eastAsia="仿宋_GB2312" w:cs="Times New Roman"/>
              <w:bCs/>
              <w:sz w:val="28"/>
              <w:szCs w:val="28"/>
            </w:rPr>
            <w:t>4.5 占用芒市城镇周边永久基本农田情况</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_Toc88211881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890"/>
            </w:tabs>
            <w:rPr>
              <w:rFonts w:ascii="Times New Roman" w:hAnsi="Times New Roman" w:eastAsia="仿宋_GB2312" w:cs="Times New Roman"/>
              <w:sz w:val="28"/>
              <w:szCs w:val="28"/>
            </w:rPr>
          </w:pPr>
          <w:r>
            <w:fldChar w:fldCharType="begin"/>
          </w:r>
          <w:r>
            <w:instrText xml:space="preserve"> HYPERLINK \l "_Toc88211882" </w:instrText>
          </w:r>
          <w:r>
            <w:fldChar w:fldCharType="separate"/>
          </w:r>
          <w:r>
            <w:rPr>
              <w:rStyle w:val="16"/>
              <w:rFonts w:ascii="Times New Roman" w:hAnsi="Times New Roman" w:eastAsia="仿宋_GB2312" w:cs="Times New Roman"/>
              <w:bCs/>
              <w:sz w:val="28"/>
              <w:szCs w:val="28"/>
            </w:rPr>
            <w:t>4.6项目不符合土地用途部分的用地情况</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_Toc88211882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8890"/>
            </w:tabs>
            <w:rPr>
              <w:rFonts w:ascii="Times New Roman" w:hAnsi="Times New Roman" w:eastAsia="仿宋_GB2312" w:cs="Times New Roman"/>
              <w:b/>
              <w:bCs/>
              <w:sz w:val="28"/>
              <w:szCs w:val="28"/>
            </w:rPr>
          </w:pPr>
          <w:r>
            <w:fldChar w:fldCharType="begin"/>
          </w:r>
          <w:r>
            <w:instrText xml:space="preserve"> HYPERLINK \l "_Toc88211883" </w:instrText>
          </w:r>
          <w:r>
            <w:fldChar w:fldCharType="separate"/>
          </w:r>
          <w:r>
            <w:rPr>
              <w:rStyle w:val="16"/>
              <w:rFonts w:ascii="Times New Roman" w:hAnsi="Times New Roman" w:eastAsia="仿宋_GB2312" w:cs="Times New Roman"/>
              <w:b/>
              <w:bCs/>
              <w:kern w:val="44"/>
              <w:sz w:val="28"/>
              <w:szCs w:val="28"/>
            </w:rPr>
            <w:t>五、项目涉及芒市基本农田补划情况</w:t>
          </w:r>
          <w:r>
            <w:rPr>
              <w:rFonts w:ascii="Times New Roman" w:hAnsi="Times New Roman" w:eastAsia="仿宋_GB2312" w:cs="Times New Roman"/>
              <w:b/>
              <w:bCs/>
              <w:sz w:val="28"/>
              <w:szCs w:val="28"/>
            </w:rPr>
            <w:tab/>
          </w:r>
          <w:r>
            <w:rPr>
              <w:rFonts w:ascii="Times New Roman" w:hAnsi="Times New Roman" w:eastAsia="仿宋_GB2312" w:cs="Times New Roman"/>
              <w:b/>
              <w:bCs/>
              <w:sz w:val="28"/>
              <w:szCs w:val="28"/>
            </w:rPr>
            <w:fldChar w:fldCharType="begin"/>
          </w:r>
          <w:r>
            <w:rPr>
              <w:rFonts w:ascii="Times New Roman" w:hAnsi="Times New Roman" w:eastAsia="仿宋_GB2312" w:cs="Times New Roman"/>
              <w:b/>
              <w:bCs/>
              <w:sz w:val="28"/>
              <w:szCs w:val="28"/>
            </w:rPr>
            <w:instrText xml:space="preserve"> PAGEREF _Toc88211883 \h </w:instrText>
          </w:r>
          <w:r>
            <w:rPr>
              <w:rFonts w:ascii="Times New Roman" w:hAnsi="Times New Roman" w:eastAsia="仿宋_GB2312" w:cs="Times New Roman"/>
              <w:b/>
              <w:bCs/>
              <w:sz w:val="28"/>
              <w:szCs w:val="28"/>
            </w:rPr>
            <w:fldChar w:fldCharType="separate"/>
          </w:r>
          <w:r>
            <w:rPr>
              <w:rFonts w:ascii="Times New Roman" w:hAnsi="Times New Roman" w:eastAsia="仿宋_GB2312" w:cs="Times New Roman"/>
              <w:b/>
              <w:bCs/>
              <w:sz w:val="28"/>
              <w:szCs w:val="28"/>
            </w:rPr>
            <w:t>15</w:t>
          </w:r>
          <w:r>
            <w:rPr>
              <w:rFonts w:ascii="Times New Roman" w:hAnsi="Times New Roman" w:eastAsia="仿宋_GB2312" w:cs="Times New Roman"/>
              <w:b/>
              <w:bCs/>
              <w:sz w:val="28"/>
              <w:szCs w:val="28"/>
            </w:rPr>
            <w:fldChar w:fldCharType="end"/>
          </w:r>
          <w:r>
            <w:rPr>
              <w:rFonts w:ascii="Times New Roman" w:hAnsi="Times New Roman" w:eastAsia="仿宋_GB2312" w:cs="Times New Roman"/>
              <w:b/>
              <w:bCs/>
              <w:sz w:val="28"/>
              <w:szCs w:val="28"/>
            </w:rPr>
            <w:fldChar w:fldCharType="end"/>
          </w:r>
        </w:p>
        <w:p>
          <w:pPr>
            <w:pStyle w:val="8"/>
            <w:tabs>
              <w:tab w:val="right" w:leader="dot" w:pos="8890"/>
            </w:tabs>
            <w:rPr>
              <w:rFonts w:ascii="Times New Roman" w:hAnsi="Times New Roman" w:eastAsia="仿宋_GB2312" w:cs="Times New Roman"/>
              <w:sz w:val="28"/>
              <w:szCs w:val="28"/>
            </w:rPr>
          </w:pPr>
          <w:r>
            <w:fldChar w:fldCharType="begin"/>
          </w:r>
          <w:r>
            <w:instrText xml:space="preserve"> HYPERLINK \l "_Toc88211884" </w:instrText>
          </w:r>
          <w:r>
            <w:fldChar w:fldCharType="separate"/>
          </w:r>
          <w:r>
            <w:rPr>
              <w:rStyle w:val="16"/>
              <w:rFonts w:ascii="Times New Roman" w:hAnsi="Times New Roman" w:eastAsia="仿宋_GB2312" w:cs="Times New Roman"/>
              <w:bCs/>
              <w:sz w:val="28"/>
              <w:szCs w:val="28"/>
            </w:rPr>
            <w:t>5.1 补划永久基本农田分布</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_Toc88211884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890"/>
            </w:tabs>
            <w:rPr>
              <w:rFonts w:ascii="Times New Roman" w:hAnsi="Times New Roman" w:eastAsia="仿宋_GB2312" w:cs="Times New Roman"/>
              <w:sz w:val="28"/>
              <w:szCs w:val="28"/>
            </w:rPr>
          </w:pPr>
          <w:r>
            <w:fldChar w:fldCharType="begin"/>
          </w:r>
          <w:r>
            <w:instrText xml:space="preserve"> HYPERLINK \l "_Toc88211885" </w:instrText>
          </w:r>
          <w:r>
            <w:fldChar w:fldCharType="separate"/>
          </w:r>
          <w:r>
            <w:rPr>
              <w:rStyle w:val="16"/>
              <w:rFonts w:ascii="Times New Roman" w:hAnsi="Times New Roman" w:eastAsia="仿宋_GB2312" w:cs="Times New Roman"/>
              <w:bCs/>
              <w:sz w:val="28"/>
              <w:szCs w:val="28"/>
            </w:rPr>
            <w:t>5.2 补划永久基本农田地块与相关规划衔接</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_Toc88211885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890"/>
            </w:tabs>
            <w:rPr>
              <w:rFonts w:ascii="Times New Roman" w:hAnsi="Times New Roman" w:eastAsia="仿宋_GB2312" w:cs="Times New Roman"/>
              <w:sz w:val="28"/>
              <w:szCs w:val="28"/>
            </w:rPr>
          </w:pPr>
          <w:r>
            <w:fldChar w:fldCharType="begin"/>
          </w:r>
          <w:r>
            <w:instrText xml:space="preserve"> HYPERLINK \l "_Toc88211886" </w:instrText>
          </w:r>
          <w:r>
            <w:fldChar w:fldCharType="separate"/>
          </w:r>
          <w:r>
            <w:rPr>
              <w:rStyle w:val="16"/>
              <w:rFonts w:ascii="Times New Roman" w:hAnsi="Times New Roman" w:eastAsia="仿宋_GB2312" w:cs="Times New Roman"/>
              <w:bCs/>
              <w:sz w:val="28"/>
              <w:szCs w:val="28"/>
            </w:rPr>
            <w:t>5.3芒市全域永久基本农田补划情况</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_Toc88211886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890"/>
            </w:tabs>
            <w:rPr>
              <w:rFonts w:ascii="Times New Roman" w:hAnsi="Times New Roman" w:eastAsia="仿宋_GB2312" w:cs="Times New Roman"/>
              <w:sz w:val="28"/>
              <w:szCs w:val="28"/>
            </w:rPr>
          </w:pPr>
          <w:r>
            <w:fldChar w:fldCharType="begin"/>
          </w:r>
          <w:r>
            <w:instrText xml:space="preserve"> HYPERLINK \l "_Toc88211887" </w:instrText>
          </w:r>
          <w:r>
            <w:fldChar w:fldCharType="separate"/>
          </w:r>
          <w:r>
            <w:rPr>
              <w:rStyle w:val="16"/>
              <w:rFonts w:ascii="Times New Roman" w:hAnsi="Times New Roman" w:eastAsia="仿宋_GB2312" w:cs="Times New Roman"/>
              <w:bCs/>
              <w:sz w:val="28"/>
              <w:szCs w:val="28"/>
            </w:rPr>
            <w:t>5.4 坝区永久基本农田补划情况</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_Toc88211887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890"/>
            </w:tabs>
            <w:rPr>
              <w:rFonts w:ascii="Times New Roman" w:hAnsi="Times New Roman" w:eastAsia="仿宋_GB2312" w:cs="Times New Roman"/>
              <w:sz w:val="28"/>
              <w:szCs w:val="28"/>
            </w:rPr>
          </w:pPr>
          <w:r>
            <w:fldChar w:fldCharType="begin"/>
          </w:r>
          <w:r>
            <w:instrText xml:space="preserve"> HYPERLINK \l "_Toc88211888" </w:instrText>
          </w:r>
          <w:r>
            <w:fldChar w:fldCharType="separate"/>
          </w:r>
          <w:r>
            <w:rPr>
              <w:rStyle w:val="16"/>
              <w:rFonts w:ascii="Times New Roman" w:hAnsi="Times New Roman" w:eastAsia="仿宋_GB2312" w:cs="Times New Roman"/>
              <w:bCs/>
              <w:sz w:val="28"/>
              <w:szCs w:val="28"/>
            </w:rPr>
            <w:t>5.5城镇周边永久基本农田补划情况</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_Toc88211888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890"/>
            </w:tabs>
            <w:rPr>
              <w:rFonts w:ascii="Times New Roman" w:hAnsi="Times New Roman" w:eastAsia="仿宋_GB2312" w:cs="Times New Roman"/>
              <w:sz w:val="28"/>
              <w:szCs w:val="28"/>
            </w:rPr>
          </w:pPr>
          <w:r>
            <w:fldChar w:fldCharType="begin"/>
          </w:r>
          <w:r>
            <w:instrText xml:space="preserve"> HYPERLINK \l "_Toc88211889" </w:instrText>
          </w:r>
          <w:r>
            <w:fldChar w:fldCharType="separate"/>
          </w:r>
          <w:r>
            <w:rPr>
              <w:rStyle w:val="16"/>
              <w:rFonts w:ascii="Times New Roman" w:hAnsi="Times New Roman" w:eastAsia="仿宋_GB2312" w:cs="Times New Roman"/>
              <w:bCs/>
              <w:sz w:val="28"/>
              <w:szCs w:val="28"/>
            </w:rPr>
            <w:t>5.6 永久基本农田占补分析</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_Toc88211889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890"/>
            </w:tabs>
            <w:rPr>
              <w:rFonts w:ascii="Times New Roman" w:hAnsi="Times New Roman" w:eastAsia="仿宋_GB2312" w:cs="Times New Roman"/>
              <w:sz w:val="28"/>
              <w:szCs w:val="28"/>
            </w:rPr>
          </w:pPr>
          <w:r>
            <w:fldChar w:fldCharType="begin"/>
          </w:r>
          <w:r>
            <w:instrText xml:space="preserve"> HYPERLINK \l "_Toc88211890" </w:instrText>
          </w:r>
          <w:r>
            <w:fldChar w:fldCharType="separate"/>
          </w:r>
          <w:r>
            <w:rPr>
              <w:rStyle w:val="16"/>
              <w:rFonts w:ascii="Times New Roman" w:hAnsi="Times New Roman" w:eastAsia="仿宋_GB2312" w:cs="Times New Roman"/>
              <w:bCs/>
              <w:sz w:val="28"/>
              <w:szCs w:val="28"/>
            </w:rPr>
            <w:t>5.7调整区域地类变化情况</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_Toc88211890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890"/>
            </w:tabs>
            <w:rPr>
              <w:rFonts w:ascii="Times New Roman" w:hAnsi="Times New Roman" w:eastAsia="仿宋_GB2312" w:cs="Times New Roman"/>
              <w:sz w:val="28"/>
              <w:szCs w:val="28"/>
            </w:rPr>
          </w:pPr>
          <w:r>
            <w:fldChar w:fldCharType="begin"/>
          </w:r>
          <w:r>
            <w:instrText xml:space="preserve"> HYPERLINK \l "_Toc88211891" </w:instrText>
          </w:r>
          <w:r>
            <w:fldChar w:fldCharType="separate"/>
          </w:r>
          <w:r>
            <w:rPr>
              <w:rStyle w:val="16"/>
              <w:rFonts w:ascii="Times New Roman" w:hAnsi="Times New Roman" w:eastAsia="仿宋_GB2312" w:cs="Times New Roman"/>
              <w:bCs/>
              <w:sz w:val="28"/>
              <w:szCs w:val="28"/>
            </w:rPr>
            <w:t>5.8建设用地管制区调整</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_Toc88211891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890"/>
            </w:tabs>
            <w:rPr>
              <w:rFonts w:ascii="Times New Roman" w:hAnsi="Times New Roman" w:eastAsia="仿宋_GB2312" w:cs="Times New Roman"/>
              <w:b/>
              <w:bCs/>
              <w:sz w:val="28"/>
              <w:szCs w:val="28"/>
            </w:rPr>
          </w:pPr>
          <w:r>
            <w:fldChar w:fldCharType="begin"/>
          </w:r>
          <w:r>
            <w:instrText xml:space="preserve"> HYPERLINK \l "_Toc88211892" </w:instrText>
          </w:r>
          <w:r>
            <w:fldChar w:fldCharType="separate"/>
          </w:r>
          <w:r>
            <w:rPr>
              <w:rStyle w:val="16"/>
              <w:rFonts w:ascii="Times New Roman" w:hAnsi="Times New Roman" w:eastAsia="仿宋_GB2312" w:cs="Times New Roman"/>
              <w:bCs/>
              <w:sz w:val="28"/>
              <w:szCs w:val="28"/>
            </w:rPr>
            <w:t>5.9土地用途分区调整</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_Toc88211892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8890"/>
            </w:tabs>
            <w:rPr>
              <w:rFonts w:ascii="Times New Roman" w:hAnsi="Times New Roman" w:eastAsia="仿宋_GB2312" w:cs="Times New Roman"/>
              <w:sz w:val="28"/>
              <w:szCs w:val="28"/>
            </w:rPr>
          </w:pPr>
          <w:r>
            <w:fldChar w:fldCharType="begin"/>
          </w:r>
          <w:r>
            <w:instrText xml:space="preserve"> HYPERLINK \l "_Toc88211893" </w:instrText>
          </w:r>
          <w:r>
            <w:fldChar w:fldCharType="separate"/>
          </w:r>
          <w:r>
            <w:rPr>
              <w:rStyle w:val="16"/>
              <w:rFonts w:ascii="Times New Roman" w:hAnsi="Times New Roman" w:eastAsia="仿宋_GB2312" w:cs="Times New Roman"/>
              <w:b/>
              <w:bCs/>
              <w:kern w:val="44"/>
              <w:sz w:val="28"/>
              <w:szCs w:val="28"/>
            </w:rPr>
            <w:t>六 结论</w:t>
          </w:r>
          <w:r>
            <w:rPr>
              <w:rFonts w:ascii="Times New Roman" w:hAnsi="Times New Roman" w:eastAsia="仿宋_GB2312" w:cs="Times New Roman"/>
              <w:b/>
              <w:bCs/>
              <w:sz w:val="28"/>
              <w:szCs w:val="28"/>
            </w:rPr>
            <w:tab/>
          </w:r>
          <w:r>
            <w:rPr>
              <w:rFonts w:ascii="Times New Roman" w:hAnsi="Times New Roman" w:eastAsia="仿宋_GB2312" w:cs="Times New Roman"/>
              <w:b/>
              <w:bCs/>
              <w:sz w:val="28"/>
              <w:szCs w:val="28"/>
            </w:rPr>
            <w:fldChar w:fldCharType="begin"/>
          </w:r>
          <w:r>
            <w:rPr>
              <w:rFonts w:ascii="Times New Roman" w:hAnsi="Times New Roman" w:eastAsia="仿宋_GB2312" w:cs="Times New Roman"/>
              <w:b/>
              <w:bCs/>
              <w:sz w:val="28"/>
              <w:szCs w:val="28"/>
            </w:rPr>
            <w:instrText xml:space="preserve"> PAGEREF _Toc88211893 \h </w:instrText>
          </w:r>
          <w:r>
            <w:rPr>
              <w:rFonts w:ascii="Times New Roman" w:hAnsi="Times New Roman" w:eastAsia="仿宋_GB2312" w:cs="Times New Roman"/>
              <w:b/>
              <w:bCs/>
              <w:sz w:val="28"/>
              <w:szCs w:val="28"/>
            </w:rPr>
            <w:fldChar w:fldCharType="separate"/>
          </w:r>
          <w:r>
            <w:rPr>
              <w:rFonts w:ascii="Times New Roman" w:hAnsi="Times New Roman" w:eastAsia="仿宋_GB2312" w:cs="Times New Roman"/>
              <w:b/>
              <w:bCs/>
              <w:sz w:val="28"/>
              <w:szCs w:val="28"/>
            </w:rPr>
            <w:t>23</w:t>
          </w:r>
          <w:r>
            <w:rPr>
              <w:rFonts w:ascii="Times New Roman" w:hAnsi="Times New Roman" w:eastAsia="仿宋_GB2312" w:cs="Times New Roman"/>
              <w:b/>
              <w:bCs/>
              <w:sz w:val="28"/>
              <w:szCs w:val="28"/>
            </w:rPr>
            <w:fldChar w:fldCharType="end"/>
          </w:r>
          <w:r>
            <w:rPr>
              <w:rFonts w:ascii="Times New Roman" w:hAnsi="Times New Roman" w:eastAsia="仿宋_GB2312" w:cs="Times New Roman"/>
              <w:b/>
              <w:bCs/>
              <w:sz w:val="28"/>
              <w:szCs w:val="28"/>
            </w:rPr>
            <w:fldChar w:fldCharType="end"/>
          </w:r>
        </w:p>
        <w:p>
          <w:pPr>
            <w:pStyle w:val="8"/>
            <w:tabs>
              <w:tab w:val="right" w:leader="dot" w:pos="8890"/>
            </w:tabs>
            <w:rPr>
              <w:rFonts w:ascii="Times New Roman" w:hAnsi="Times New Roman" w:eastAsia="仿宋_GB2312" w:cs="Times New Roman"/>
              <w:sz w:val="28"/>
              <w:szCs w:val="28"/>
            </w:rPr>
          </w:pPr>
          <w:r>
            <w:fldChar w:fldCharType="begin"/>
          </w:r>
          <w:r>
            <w:instrText xml:space="preserve"> HYPERLINK \l "_Toc88211894" </w:instrText>
          </w:r>
          <w:r>
            <w:fldChar w:fldCharType="separate"/>
          </w:r>
          <w:r>
            <w:rPr>
              <w:rStyle w:val="16"/>
              <w:rFonts w:ascii="Times New Roman" w:hAnsi="Times New Roman" w:eastAsia="仿宋_GB2312" w:cs="Times New Roman"/>
              <w:sz w:val="28"/>
              <w:szCs w:val="28"/>
            </w:rPr>
            <w:t>6.1 占用永久基本农田的必要性和合理性</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_Toc88211894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8"/>
            <w:tabs>
              <w:tab w:val="right" w:leader="dot" w:pos="8900"/>
            </w:tabs>
            <w:rPr>
              <w:rFonts w:ascii="Times New Roman" w:hAnsi="Times New Roman" w:eastAsia="仿宋_GB2312" w:cs="Times New Roman"/>
              <w:bCs/>
              <w:sz w:val="28"/>
              <w:szCs w:val="28"/>
              <w:lang w:val="zh-CN"/>
            </w:rPr>
          </w:pPr>
          <w:r>
            <w:fldChar w:fldCharType="begin"/>
          </w:r>
          <w:r>
            <w:instrText xml:space="preserve"> HYPERLINK \l "_Toc88211895" </w:instrText>
          </w:r>
          <w:r>
            <w:fldChar w:fldCharType="separate"/>
          </w:r>
          <w:r>
            <w:rPr>
              <w:rStyle w:val="16"/>
              <w:rFonts w:ascii="Times New Roman" w:hAnsi="Times New Roman" w:eastAsia="仿宋_GB2312" w:cs="Times New Roman"/>
              <w:sz w:val="28"/>
              <w:szCs w:val="28"/>
            </w:rPr>
            <w:t>6.2 占用永久基本农田的合理性</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_Toc88211895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r>
            <w:rPr>
              <w:rFonts w:ascii="Times New Roman" w:hAnsi="Times New Roman" w:eastAsia="仿宋_GB2312" w:cs="Times New Roman"/>
              <w:bCs/>
              <w:sz w:val="28"/>
              <w:szCs w:val="28"/>
              <w:lang w:val="zh-CN"/>
            </w:rPr>
            <w:fldChar w:fldCharType="end"/>
          </w:r>
        </w:p>
        <w:p>
          <w:pPr>
            <w:pStyle w:val="2"/>
            <w:rPr>
              <w:rFonts w:ascii="Times New Roman" w:hAnsi="Times New Roman" w:eastAsia="仿宋_GB2312" w:cs="Times New Roman"/>
              <w:lang w:val="zh-CN"/>
            </w:rPr>
          </w:pPr>
          <w:r>
            <w:rPr>
              <w:lang w:val="zh-CN"/>
            </w:rPr>
            <w:br w:type="page"/>
          </w:r>
        </w:p>
      </w:sdtContent>
    </w:sdt>
    <w:p>
      <w:pPr>
        <w:tabs>
          <w:tab w:val="left" w:pos="5605"/>
        </w:tabs>
        <w:jc w:val="left"/>
        <w:sectPr>
          <w:footerReference r:id="rId4" w:type="default"/>
          <w:pgSz w:w="11906" w:h="16838"/>
          <w:pgMar w:top="1134" w:right="1418" w:bottom="1134" w:left="1588" w:header="851" w:footer="992" w:gutter="0"/>
          <w:pgNumType w:fmt="upperRoman" w:start="1"/>
          <w:cols w:space="425" w:num="1"/>
          <w:docGrid w:type="lines" w:linePitch="312" w:charSpace="0"/>
        </w:sectPr>
      </w:pPr>
    </w:p>
    <w:p>
      <w:pPr>
        <w:pStyle w:val="13"/>
        <w:spacing w:line="360" w:lineRule="auto"/>
        <w:ind w:left="0"/>
        <w:jc w:val="center"/>
        <w:outlineLvl w:val="0"/>
        <w:rPr>
          <w:rFonts w:eastAsia="黑体"/>
          <w:bCs/>
          <w:color w:val="000000"/>
          <w:kern w:val="44"/>
          <w:sz w:val="36"/>
          <w:szCs w:val="44"/>
        </w:rPr>
      </w:pPr>
      <w:bookmarkStart w:id="0" w:name="_Toc88211866"/>
      <w:r>
        <w:rPr>
          <w:rFonts w:hint="eastAsia" w:eastAsia="黑体"/>
          <w:bCs/>
          <w:color w:val="000000"/>
          <w:kern w:val="44"/>
          <w:sz w:val="36"/>
          <w:szCs w:val="44"/>
        </w:rPr>
        <w:t>一、项目背景</w:t>
      </w:r>
      <w:bookmarkEnd w:id="0"/>
    </w:p>
    <w:p>
      <w:pPr>
        <w:adjustRightInd w:val="0"/>
        <w:spacing w:line="360" w:lineRule="auto"/>
        <w:ind w:firstLine="560" w:firstLineChars="200"/>
        <w:rPr>
          <w:rFonts w:eastAsia="仿宋_GB2312"/>
          <w:color w:val="000000"/>
          <w:sz w:val="28"/>
          <w:szCs w:val="28"/>
        </w:rPr>
      </w:pPr>
      <w:r>
        <w:rPr>
          <w:rFonts w:hint="eastAsia" w:eastAsia="仿宋_GB2312"/>
          <w:color w:val="000000"/>
          <w:sz w:val="28"/>
          <w:szCs w:val="28"/>
        </w:rPr>
        <w:t>严格保护耕地特别是永久基本农田，促进土地节约集约利用，是我国土地管理制度的核心，党中央、国务院十分重视此项工作。耕地是我国最为宝贵的资源，永久基本农田是耕地的精华，完成永久基本农田控制线划定功在当前、利及长远。全面实行永久基本农田特殊保护，是确保国家粮食安全，加快推进农业农村现代化的有力保障，是深化农业供给侧结构性改革，促进经济高质量发展的重要前提，是实施乡村振兴，促进生态文明建设的必然要求。</w:t>
      </w:r>
    </w:p>
    <w:p>
      <w:pPr>
        <w:autoSpaceDE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bookmarkStart w:id="1" w:name="_Hlk38792723"/>
      <w:bookmarkStart w:id="2" w:name="_Toc521158432"/>
      <w:bookmarkStart w:id="3" w:name="_Toc37838256"/>
      <w:r>
        <w:rPr>
          <w:rFonts w:ascii="Times New Roman" w:hAnsi="Times New Roman" w:eastAsia="仿宋_GB2312" w:cs="Times New Roman"/>
          <w:color w:val="000000" w:themeColor="text1"/>
          <w:sz w:val="28"/>
          <w:szCs w:val="28"/>
          <w14:textFill>
            <w14:solidFill>
              <w14:schemeClr w14:val="tx1"/>
            </w14:solidFill>
          </w14:textFill>
        </w:rPr>
        <w:t>我省沿边地区与越南、老挝、缅甸接壤，拥有国家一类口岸18个、二类口岸7个，是陆路通达印度洋、东南亚腹地及南亚的必经之地，处于孟中印缅经济走廊、中国一中南半岛经济走廊重要的交汇节点，在面向南亚东南亚开放合作和全省区域协调发展中具有重要战略地位。瑞丽至孟连高速公路建设项目属于《云南省道网规划修编（2016—2030年）》中“五纵五横一边两环二十联”高速公路网布局方案中的“一边”即沿边高速：泸水—腾冲—梁河—盈江—陇川—瑞丽—畹町—龙镇桥—镇康—清水河—耿马—沧源—西盟—孟连—勐海—景洪—勐醒—江城—绿春—元阳—蔓耗—河口—马关—西畴—富宁的重要组成部分。该项目线路途经德宏州芒市，保山市</w:t>
      </w:r>
      <w:r>
        <w:rPr>
          <w:rFonts w:hint="eastAsia" w:ascii="Times New Roman" w:hAnsi="Times New Roman" w:eastAsia="仿宋_GB2312" w:cs="Times New Roman"/>
          <w:color w:val="000000" w:themeColor="text1"/>
          <w:sz w:val="28"/>
          <w:szCs w:val="28"/>
          <w14:textFill>
            <w14:solidFill>
              <w14:schemeClr w14:val="tx1"/>
            </w14:solidFill>
          </w14:textFill>
        </w:rPr>
        <w:t>龙陵县</w:t>
      </w:r>
      <w:r>
        <w:rPr>
          <w:rFonts w:ascii="Times New Roman" w:hAnsi="Times New Roman" w:eastAsia="仿宋_GB2312" w:cs="Times New Roman"/>
          <w:color w:val="000000" w:themeColor="text1"/>
          <w:sz w:val="28"/>
          <w:szCs w:val="28"/>
          <w14:textFill>
            <w14:solidFill>
              <w14:schemeClr w14:val="tx1"/>
            </w14:solidFill>
          </w14:textFill>
        </w:rPr>
        <w:t xml:space="preserve">，临沧市镇康县、耿马县、沧源县和普洱市澜沧县、西盟县、孟连县，本项目连接昆明至猴桥、昆明至瑞丽、昆明至清水河三条出境大通道，串联了瑞丽、畹町、南伞、清水河、永和、孟连等6个口岸，是我国面向南亚、东南亚辐射中心的干线公路；同时也是实现与周边国家互联互通的重要高速公路通道；承担着“搞活沿边、沿边开发开放”的任务，是我国沿边经济开发重要基础设施，是云南省沿边经济带的重要支撑。 </w:t>
      </w:r>
    </w:p>
    <w:p>
      <w:pPr>
        <w:autoSpaceDE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本次拟建项目与区域内的高速公路（国家高速公路网G56杭瑞高速龙陵至瑞丽段和省高网规划芒市至梁河高速公路、规划弥渡至链子桥至龙镇桥高速公路、在建临沧至清水河高速公路、在建思茅至澜沧至勐阿高速公路及沿边高速弥勒至勐海段）有机连接，在滇西、滇西南地区构成了区域高速公路网。同时通过互通立交方式，与众多的国道（G320沪瑞线、G219龙陵至孟连段、G323瑞临线、G214西景线、G227普洱至孟连段）和省道（S236、S233、S235、S326、S327、S328、S220、S330）及众多县道和各种乡村道路有机衔接，构成区域内完善畅通的公路交通网,项目建成后极大地促进区域经济发展。</w:t>
      </w:r>
    </w:p>
    <w:p>
      <w:pPr>
        <w:autoSpaceDE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xml:space="preserve">本项目的建成对云南省主动服务和融入“一带一路”、“长江经济带”等国家战略，完善地方高速公路网，优化区域路网结构，打通云南省面向南亚东南亚、联系两洋国际大通道，改善道路服务水平，促进区域社会经济发展，维护边疆和少数民族地区稳定，巩固国防等具有重大意义。 </w:t>
      </w:r>
    </w:p>
    <w:p>
      <w:pPr>
        <w:pStyle w:val="29"/>
        <w:spacing w:afterLines="0" w:line="240" w:lineRule="auto"/>
        <w:ind w:left="-850" w:leftChars="-405" w:firstLine="213" w:firstLineChars="71"/>
        <w:jc w:val="center"/>
        <w:rPr>
          <w:rFonts w:hAnsi="宋体"/>
          <w:spacing w:val="0"/>
          <w:szCs w:val="24"/>
        </w:rPr>
      </w:pPr>
      <w:r>
        <w:rPr>
          <w:rFonts w:hAnsi="宋体"/>
          <w:sz w:val="28"/>
          <w:szCs w:val="28"/>
        </w:rPr>
        <mc:AlternateContent>
          <mc:Choice Requires="wps">
            <w:drawing>
              <wp:anchor distT="0" distB="0" distL="114300" distR="114300" simplePos="0" relativeHeight="251664384" behindDoc="0" locked="0" layoutInCell="1" allowOverlap="1">
                <wp:simplePos x="0" y="0"/>
                <wp:positionH relativeFrom="column">
                  <wp:posOffset>-353695</wp:posOffset>
                </wp:positionH>
                <wp:positionV relativeFrom="paragraph">
                  <wp:posOffset>2875915</wp:posOffset>
                </wp:positionV>
                <wp:extent cx="1170940" cy="215900"/>
                <wp:effectExtent l="6350" t="167640" r="316230" b="12700"/>
                <wp:wrapNone/>
                <wp:docPr id="77" name="自选图形 1072"/>
                <wp:cNvGraphicFramePr/>
                <a:graphic xmlns:a="http://schemas.openxmlformats.org/drawingml/2006/main">
                  <a:graphicData uri="http://schemas.microsoft.com/office/word/2010/wordprocessingShape">
                    <wps:wsp>
                      <wps:cNvSpPr>
                        <a:spLocks noChangeArrowheads="1"/>
                      </wps:cNvSpPr>
                      <wps:spPr bwMode="auto">
                        <a:xfrm>
                          <a:off x="0" y="0"/>
                          <a:ext cx="1170940" cy="215900"/>
                        </a:xfrm>
                        <a:prstGeom prst="wedgeRoundRectCallout">
                          <a:avLst>
                            <a:gd name="adj1" fmla="val 72398"/>
                            <a:gd name="adj2" fmla="val -120100"/>
                            <a:gd name="adj3" fmla="val 16667"/>
                          </a:avLst>
                        </a:prstGeom>
                        <a:solidFill>
                          <a:srgbClr val="F4B083"/>
                        </a:solidFill>
                        <a:ln w="12700">
                          <a:solidFill>
                            <a:srgbClr val="000000"/>
                          </a:solidFill>
                          <a:miter lim="800000"/>
                        </a:ln>
                        <a:effectLst/>
                      </wps:spPr>
                      <wps:txbx>
                        <w:txbxContent>
                          <w:p>
                            <w:pPr>
                              <w:jc w:val="center"/>
                              <w:rPr>
                                <w:b/>
                                <w:sz w:val="18"/>
                                <w:szCs w:val="18"/>
                              </w:rPr>
                            </w:pPr>
                            <w:r>
                              <w:rPr>
                                <w:rFonts w:hint="eastAsia"/>
                                <w:b/>
                                <w:sz w:val="18"/>
                                <w:szCs w:val="18"/>
                              </w:rPr>
                              <w:t>瑞</w:t>
                            </w:r>
                            <w:r>
                              <w:rPr>
                                <w:b/>
                                <w:sz w:val="18"/>
                                <w:szCs w:val="18"/>
                              </w:rPr>
                              <w:t>丽</w:t>
                            </w:r>
                            <w:r>
                              <w:rPr>
                                <w:rFonts w:hint="eastAsia"/>
                                <w:b/>
                                <w:sz w:val="18"/>
                                <w:szCs w:val="18"/>
                              </w:rPr>
                              <w:t>至孟</w:t>
                            </w:r>
                            <w:r>
                              <w:rPr>
                                <w:b/>
                                <w:sz w:val="18"/>
                                <w:szCs w:val="18"/>
                              </w:rPr>
                              <w:t>连高速公路</w:t>
                            </w:r>
                          </w:p>
                          <w:p>
                            <w:pPr>
                              <w:rPr>
                                <w:szCs w:val="21"/>
                              </w:rPr>
                            </w:pPr>
                          </w:p>
                        </w:txbxContent>
                      </wps:txbx>
                      <wps:bodyPr rot="0" vert="horz" wrap="square" lIns="0" tIns="0" rIns="0" bIns="0" anchor="t" anchorCtr="0" upright="1">
                        <a:noAutofit/>
                      </wps:bodyPr>
                    </wps:wsp>
                  </a:graphicData>
                </a:graphic>
              </wp:anchor>
            </w:drawing>
          </mc:Choice>
          <mc:Fallback>
            <w:pict>
              <v:shape id="自选图形 1072" o:spid="_x0000_s1026" o:spt="62" type="#_x0000_t62" style="position:absolute;left:0pt;margin-left:-27.85pt;margin-top:226.45pt;height:17pt;width:92.2pt;z-index:251664384;mso-width-relative:page;mso-height-relative:page;" fillcolor="#F4B083" filled="t" stroked="t" coordsize="21600,21600" o:gfxdata="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slNKVNkAAAALAQAADwAAAAAAAAABACAA&#10;AAAiAAAAZHJzL2Rvd25yZXYueG1sUEsBAhQAFAAAAAgAh07iQEcUoCB+AgAACwUAAA4AAAAAAAAA&#10;AQAgAAAAKAEAAGRycy9lMm9Eb2MueG1sUEsFBgAAAAAGAAYAWQEAABgGAAAAAA==&#10;" adj="26438,-15142,14400">
                <v:fill on="t" focussize="0,0"/>
                <v:stroke weight="1pt" color="#000000" miterlimit="8" joinstyle="miter"/>
                <v:imagedata o:title=""/>
                <o:lock v:ext="edit" aspectratio="f"/>
                <v:textbox inset="0mm,0mm,0mm,0mm">
                  <w:txbxContent>
                    <w:p>
                      <w:pPr>
                        <w:jc w:val="center"/>
                        <w:rPr>
                          <w:b/>
                          <w:sz w:val="18"/>
                          <w:szCs w:val="18"/>
                        </w:rPr>
                      </w:pPr>
                      <w:r>
                        <w:rPr>
                          <w:rFonts w:hint="eastAsia"/>
                          <w:b/>
                          <w:sz w:val="18"/>
                          <w:szCs w:val="18"/>
                        </w:rPr>
                        <w:t>瑞</w:t>
                      </w:r>
                      <w:r>
                        <w:rPr>
                          <w:b/>
                          <w:sz w:val="18"/>
                          <w:szCs w:val="18"/>
                        </w:rPr>
                        <w:t>丽</w:t>
                      </w:r>
                      <w:r>
                        <w:rPr>
                          <w:rFonts w:hint="eastAsia"/>
                          <w:b/>
                          <w:sz w:val="18"/>
                          <w:szCs w:val="18"/>
                        </w:rPr>
                        <w:t>至孟</w:t>
                      </w:r>
                      <w:r>
                        <w:rPr>
                          <w:b/>
                          <w:sz w:val="18"/>
                          <w:szCs w:val="18"/>
                        </w:rPr>
                        <w:t>连高速公路</w:t>
                      </w:r>
                    </w:p>
                    <w:p>
                      <w:pPr>
                        <w:rPr>
                          <w:szCs w:val="21"/>
                        </w:rPr>
                      </w:pPr>
                    </w:p>
                  </w:txbxContent>
                </v:textbox>
              </v:shape>
            </w:pict>
          </mc:Fallback>
        </mc:AlternateContent>
      </w:r>
      <w:r>
        <w:rPr>
          <w:rFonts w:hAnsi="宋体"/>
          <w:sz w:val="28"/>
          <w:szCs w:val="28"/>
        </w:rPr>
        <mc:AlternateContent>
          <mc:Choice Requires="wps">
            <w:drawing>
              <wp:anchor distT="0" distB="0" distL="114300" distR="114300" simplePos="0" relativeHeight="251659264" behindDoc="0" locked="0" layoutInCell="1" allowOverlap="1">
                <wp:simplePos x="0" y="0"/>
                <wp:positionH relativeFrom="column">
                  <wp:posOffset>1080135</wp:posOffset>
                </wp:positionH>
                <wp:positionV relativeFrom="paragraph">
                  <wp:posOffset>1350010</wp:posOffset>
                </wp:positionV>
                <wp:extent cx="280035" cy="196850"/>
                <wp:effectExtent l="6350" t="6350" r="18415" b="10160"/>
                <wp:wrapNone/>
                <wp:docPr id="69" name="矩形 1258"/>
                <wp:cNvGraphicFramePr/>
                <a:graphic xmlns:a="http://schemas.openxmlformats.org/drawingml/2006/main">
                  <a:graphicData uri="http://schemas.microsoft.com/office/word/2010/wordprocessingShape">
                    <wps:wsp>
                      <wps:cNvSpPr>
                        <a:spLocks noChangeArrowheads="1"/>
                      </wps:cNvSpPr>
                      <wps:spPr bwMode="auto">
                        <a:xfrm>
                          <a:off x="0" y="0"/>
                          <a:ext cx="280035" cy="196850"/>
                        </a:xfrm>
                        <a:prstGeom prst="rect">
                          <a:avLst/>
                        </a:prstGeom>
                        <a:solidFill>
                          <a:srgbClr val="F7CAAC"/>
                        </a:solidFill>
                        <a:ln w="12700">
                          <a:solidFill>
                            <a:srgbClr val="FF0000"/>
                          </a:solidFill>
                          <a:miter lim="800000"/>
                        </a:ln>
                        <a:effectLst/>
                      </wps:spPr>
                      <wps:txbx>
                        <w:txbxContent>
                          <w:p>
                            <w:pPr>
                              <w:rPr>
                                <w:color w:val="FF0000"/>
                                <w:sz w:val="18"/>
                                <w:szCs w:val="18"/>
                                <w:shd w:val="pct10" w:color="auto" w:fill="FFFFFF"/>
                              </w:rPr>
                            </w:pPr>
                            <w:r>
                              <w:rPr>
                                <w:rFonts w:hint="eastAsia"/>
                                <w:b/>
                                <w:color w:val="FF0000"/>
                                <w:sz w:val="18"/>
                                <w:szCs w:val="18"/>
                                <w:shd w:val="pct10" w:color="auto" w:fill="FFFFFF"/>
                              </w:rPr>
                              <w:t>保山</w:t>
                            </w:r>
                          </w:p>
                        </w:txbxContent>
                      </wps:txbx>
                      <wps:bodyPr rot="0" vert="horz" wrap="square" lIns="0" tIns="0" rIns="0" bIns="0" anchor="t" anchorCtr="0" upright="1">
                        <a:noAutofit/>
                      </wps:bodyPr>
                    </wps:wsp>
                  </a:graphicData>
                </a:graphic>
              </wp:anchor>
            </w:drawing>
          </mc:Choice>
          <mc:Fallback>
            <w:pict>
              <v:rect id="矩形 1258" o:spid="_x0000_s1026" o:spt="1" style="position:absolute;left:0pt;margin-left:85.05pt;margin-top:106.3pt;height:15.5pt;width:22.05pt;z-index:251659264;mso-width-relative:page;mso-height-relative:page;" fillcolor="#F7CAAC" filled="t" stroked="t" coordsize="21600,21600" o:gfxdata="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VzYlXZAAAACwEAAA8AAAAAAAAAAQAgAAAAIgAAAGRy&#10;cy9kb3ducmV2LnhtbFBLAQIUABQAAAAIAIdO4kDdofFePQIAAHwEAAAOAAAAAAAAAAEAIAAAACgB&#10;AABkcnMvZTJvRG9jLnhtbFBLBQYAAAAABgAGAFkBAADXBQAAAAA=&#10;">
                <v:fill on="t" focussize="0,0"/>
                <v:stroke weight="1pt" color="#FF0000" miterlimit="8" joinstyle="miter"/>
                <v:imagedata o:title=""/>
                <o:lock v:ext="edit" aspectratio="f"/>
                <v:textbox inset="0mm,0mm,0mm,0mm">
                  <w:txbxContent>
                    <w:p>
                      <w:pPr>
                        <w:rPr>
                          <w:color w:val="FF0000"/>
                          <w:sz w:val="18"/>
                          <w:szCs w:val="18"/>
                          <w:shd w:val="pct10" w:color="auto" w:fill="FFFFFF"/>
                        </w:rPr>
                      </w:pPr>
                      <w:r>
                        <w:rPr>
                          <w:rFonts w:hint="eastAsia"/>
                          <w:b/>
                          <w:color w:val="FF0000"/>
                          <w:sz w:val="18"/>
                          <w:szCs w:val="18"/>
                          <w:shd w:val="pct10" w:color="auto" w:fill="FFFFFF"/>
                        </w:rPr>
                        <w:t>保山</w:t>
                      </w:r>
                    </w:p>
                  </w:txbxContent>
                </v:textbox>
              </v:rect>
            </w:pict>
          </mc:Fallback>
        </mc:AlternateContent>
      </w:r>
      <w:r>
        <w:rPr>
          <w:rFonts w:hAnsi="宋体"/>
          <w:sz w:val="28"/>
          <w:szCs w:val="28"/>
        </w:rPr>
        <mc:AlternateContent>
          <mc:Choice Requires="wps">
            <w:drawing>
              <wp:anchor distT="0" distB="0" distL="114300" distR="114300" simplePos="0" relativeHeight="251660288" behindDoc="0" locked="0" layoutInCell="1" allowOverlap="1">
                <wp:simplePos x="0" y="0"/>
                <wp:positionH relativeFrom="column">
                  <wp:posOffset>-206375</wp:posOffset>
                </wp:positionH>
                <wp:positionV relativeFrom="paragraph">
                  <wp:posOffset>2098040</wp:posOffset>
                </wp:positionV>
                <wp:extent cx="280035" cy="196850"/>
                <wp:effectExtent l="6350" t="6350" r="18415" b="10160"/>
                <wp:wrapNone/>
                <wp:docPr id="70" name="矩形 1258"/>
                <wp:cNvGraphicFramePr/>
                <a:graphic xmlns:a="http://schemas.openxmlformats.org/drawingml/2006/main">
                  <a:graphicData uri="http://schemas.microsoft.com/office/word/2010/wordprocessingShape">
                    <wps:wsp>
                      <wps:cNvSpPr>
                        <a:spLocks noChangeArrowheads="1"/>
                      </wps:cNvSpPr>
                      <wps:spPr bwMode="auto">
                        <a:xfrm>
                          <a:off x="0" y="0"/>
                          <a:ext cx="280035" cy="196850"/>
                        </a:xfrm>
                        <a:prstGeom prst="rect">
                          <a:avLst/>
                        </a:prstGeom>
                        <a:solidFill>
                          <a:srgbClr val="F7CAAC"/>
                        </a:solidFill>
                        <a:ln w="12700">
                          <a:solidFill>
                            <a:srgbClr val="FF0000"/>
                          </a:solidFill>
                          <a:miter lim="800000"/>
                        </a:ln>
                        <a:effectLst/>
                      </wps:spPr>
                      <wps:txbx>
                        <w:txbxContent>
                          <w:p>
                            <w:pPr>
                              <w:rPr>
                                <w:color w:val="FF0000"/>
                                <w:sz w:val="18"/>
                                <w:szCs w:val="18"/>
                                <w:shd w:val="pct10" w:color="auto" w:fill="FFFFFF"/>
                              </w:rPr>
                            </w:pPr>
                            <w:r>
                              <w:rPr>
                                <w:rFonts w:hint="eastAsia"/>
                                <w:b/>
                                <w:color w:val="FF0000"/>
                                <w:sz w:val="18"/>
                                <w:szCs w:val="18"/>
                                <w:shd w:val="pct10" w:color="auto" w:fill="FFFFFF"/>
                              </w:rPr>
                              <w:t>瑞丽</w:t>
                            </w:r>
                          </w:p>
                        </w:txbxContent>
                      </wps:txbx>
                      <wps:bodyPr rot="0" vert="horz" wrap="square" lIns="0" tIns="0" rIns="0" bIns="0" anchor="t" anchorCtr="0" upright="1">
                        <a:noAutofit/>
                      </wps:bodyPr>
                    </wps:wsp>
                  </a:graphicData>
                </a:graphic>
              </wp:anchor>
            </w:drawing>
          </mc:Choice>
          <mc:Fallback>
            <w:pict>
              <v:rect id="矩形 1258" o:spid="_x0000_s1026" o:spt="1" style="position:absolute;left:0pt;margin-left:-16.25pt;margin-top:165.2pt;height:15.5pt;width:22.05pt;z-index:251660288;mso-width-relative:page;mso-height-relative:page;" fillcolor="#F7CAAC" filled="t" stroked="t" coordsize="21600,21600" o:gfxdata="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aeBzNkAAAAKAQAADwAAAAAAAAABACAAAAAiAAAAZHJz&#10;L2Rvd25yZXYueG1sUEsBAhQAFAAAAAgAh07iQO2AhSc8AgAAfAQAAA4AAAAAAAAAAQAgAAAAKAEA&#10;AGRycy9lMm9Eb2MueG1sUEsFBgAAAAAGAAYAWQEAANYFAAAAAA==&#10;">
                <v:fill on="t" focussize="0,0"/>
                <v:stroke weight="1pt" color="#FF0000" miterlimit="8" joinstyle="miter"/>
                <v:imagedata o:title=""/>
                <o:lock v:ext="edit" aspectratio="f"/>
                <v:textbox inset="0mm,0mm,0mm,0mm">
                  <w:txbxContent>
                    <w:p>
                      <w:pPr>
                        <w:rPr>
                          <w:color w:val="FF0000"/>
                          <w:sz w:val="18"/>
                          <w:szCs w:val="18"/>
                          <w:shd w:val="pct10" w:color="auto" w:fill="FFFFFF"/>
                        </w:rPr>
                      </w:pPr>
                      <w:r>
                        <w:rPr>
                          <w:rFonts w:hint="eastAsia"/>
                          <w:b/>
                          <w:color w:val="FF0000"/>
                          <w:sz w:val="18"/>
                          <w:szCs w:val="18"/>
                          <w:shd w:val="pct10" w:color="auto" w:fill="FFFFFF"/>
                        </w:rPr>
                        <w:t>瑞丽</w:t>
                      </w:r>
                    </w:p>
                  </w:txbxContent>
                </v:textbox>
              </v:rect>
            </w:pict>
          </mc:Fallback>
        </mc:AlternateContent>
      </w:r>
      <w:r>
        <w:rPr>
          <w:rFonts w:hAnsi="宋体"/>
          <w:sz w:val="28"/>
          <w:szCs w:val="28"/>
        </w:rPr>
        <mc:AlternateContent>
          <mc:Choice Requires="wps">
            <w:drawing>
              <wp:anchor distT="0" distB="0" distL="114300" distR="114300" simplePos="0" relativeHeight="251661312" behindDoc="0" locked="0" layoutInCell="1" allowOverlap="1">
                <wp:simplePos x="0" y="0"/>
                <wp:positionH relativeFrom="column">
                  <wp:posOffset>1628140</wp:posOffset>
                </wp:positionH>
                <wp:positionV relativeFrom="paragraph">
                  <wp:posOffset>2463800</wp:posOffset>
                </wp:positionV>
                <wp:extent cx="280035" cy="196850"/>
                <wp:effectExtent l="6350" t="6350" r="18415" b="10160"/>
                <wp:wrapNone/>
                <wp:docPr id="71" name="矩形 1258"/>
                <wp:cNvGraphicFramePr/>
                <a:graphic xmlns:a="http://schemas.openxmlformats.org/drawingml/2006/main">
                  <a:graphicData uri="http://schemas.microsoft.com/office/word/2010/wordprocessingShape">
                    <wps:wsp>
                      <wps:cNvSpPr>
                        <a:spLocks noChangeArrowheads="1"/>
                      </wps:cNvSpPr>
                      <wps:spPr bwMode="auto">
                        <a:xfrm>
                          <a:off x="0" y="0"/>
                          <a:ext cx="280035" cy="196850"/>
                        </a:xfrm>
                        <a:prstGeom prst="rect">
                          <a:avLst/>
                        </a:prstGeom>
                        <a:solidFill>
                          <a:srgbClr val="F7CAAC"/>
                        </a:solidFill>
                        <a:ln w="12700">
                          <a:solidFill>
                            <a:srgbClr val="FF0000"/>
                          </a:solidFill>
                          <a:miter lim="800000"/>
                        </a:ln>
                        <a:effectLst/>
                      </wps:spPr>
                      <wps:txbx>
                        <w:txbxContent>
                          <w:p>
                            <w:pPr>
                              <w:rPr>
                                <w:color w:val="FF0000"/>
                                <w:sz w:val="18"/>
                                <w:szCs w:val="18"/>
                                <w:shd w:val="pct10" w:color="auto" w:fill="FFFFFF"/>
                              </w:rPr>
                            </w:pPr>
                            <w:r>
                              <w:rPr>
                                <w:rFonts w:hint="eastAsia"/>
                                <w:b/>
                                <w:color w:val="FF0000"/>
                                <w:sz w:val="18"/>
                                <w:szCs w:val="18"/>
                                <w:shd w:val="pct10" w:color="auto" w:fill="FFFFFF"/>
                              </w:rPr>
                              <w:t>临沧</w:t>
                            </w:r>
                          </w:p>
                        </w:txbxContent>
                      </wps:txbx>
                      <wps:bodyPr rot="0" vert="horz" wrap="square" lIns="0" tIns="0" rIns="0" bIns="0" anchor="t" anchorCtr="0" upright="1">
                        <a:noAutofit/>
                      </wps:bodyPr>
                    </wps:wsp>
                  </a:graphicData>
                </a:graphic>
              </wp:anchor>
            </w:drawing>
          </mc:Choice>
          <mc:Fallback>
            <w:pict>
              <v:rect id="矩形 1258" o:spid="_x0000_s1026" o:spt="1" style="position:absolute;left:0pt;margin-left:128.2pt;margin-top:194pt;height:15.5pt;width:22.05pt;z-index:251661312;mso-width-relative:page;mso-height-relative:page;" fillcolor="#F7CAAC" filled="t" stroked="t" coordsize="21600,21600" o:gfxdata="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UhP/NsAAAALAQAADwAAAAAAAAABACAAAAAiAAAA&#10;ZHJzL2Rvd25yZXYueG1sUEsBAhQAFAAAAAgAh07iQLXuYSQ9AgAAfAQAAA4AAAAAAAAAAQAgAAAA&#10;KgEAAGRycy9lMm9Eb2MueG1sUEsFBgAAAAAGAAYAWQEAANkFAAAAAA==&#10;">
                <v:fill on="t" focussize="0,0"/>
                <v:stroke weight="1pt" color="#FF0000" miterlimit="8" joinstyle="miter"/>
                <v:imagedata o:title=""/>
                <o:lock v:ext="edit" aspectratio="f"/>
                <v:textbox inset="0mm,0mm,0mm,0mm">
                  <w:txbxContent>
                    <w:p>
                      <w:pPr>
                        <w:rPr>
                          <w:color w:val="FF0000"/>
                          <w:sz w:val="18"/>
                          <w:szCs w:val="18"/>
                          <w:shd w:val="pct10" w:color="auto" w:fill="FFFFFF"/>
                        </w:rPr>
                      </w:pPr>
                      <w:r>
                        <w:rPr>
                          <w:rFonts w:hint="eastAsia"/>
                          <w:b/>
                          <w:color w:val="FF0000"/>
                          <w:sz w:val="18"/>
                          <w:szCs w:val="18"/>
                          <w:shd w:val="pct10" w:color="auto" w:fill="FFFFFF"/>
                        </w:rPr>
                        <w:t>临沧</w:t>
                      </w:r>
                    </w:p>
                  </w:txbxContent>
                </v:textbox>
              </v:rect>
            </w:pict>
          </mc:Fallback>
        </mc:AlternateContent>
      </w:r>
      <w:r>
        <w:rPr>
          <w:rFonts w:hAnsi="宋体"/>
          <w:sz w:val="28"/>
          <w:szCs w:val="28"/>
        </w:rPr>
        <mc:AlternateContent>
          <mc:Choice Requires="wps">
            <w:drawing>
              <wp:anchor distT="0" distB="0" distL="114300" distR="114300" simplePos="0" relativeHeight="251662336" behindDoc="0" locked="0" layoutInCell="1" allowOverlap="1">
                <wp:simplePos x="0" y="0"/>
                <wp:positionH relativeFrom="column">
                  <wp:posOffset>2290445</wp:posOffset>
                </wp:positionH>
                <wp:positionV relativeFrom="paragraph">
                  <wp:posOffset>3091815</wp:posOffset>
                </wp:positionV>
                <wp:extent cx="280035" cy="196850"/>
                <wp:effectExtent l="6350" t="6350" r="18415" b="10160"/>
                <wp:wrapNone/>
                <wp:docPr id="72" name="矩形 1258"/>
                <wp:cNvGraphicFramePr/>
                <a:graphic xmlns:a="http://schemas.openxmlformats.org/drawingml/2006/main">
                  <a:graphicData uri="http://schemas.microsoft.com/office/word/2010/wordprocessingShape">
                    <wps:wsp>
                      <wps:cNvSpPr>
                        <a:spLocks noChangeArrowheads="1"/>
                      </wps:cNvSpPr>
                      <wps:spPr bwMode="auto">
                        <a:xfrm>
                          <a:off x="0" y="0"/>
                          <a:ext cx="280035" cy="196850"/>
                        </a:xfrm>
                        <a:prstGeom prst="rect">
                          <a:avLst/>
                        </a:prstGeom>
                        <a:solidFill>
                          <a:srgbClr val="F7CAAC"/>
                        </a:solidFill>
                        <a:ln w="12700">
                          <a:solidFill>
                            <a:srgbClr val="FF0000"/>
                          </a:solidFill>
                          <a:miter lim="800000"/>
                        </a:ln>
                        <a:effectLst/>
                      </wps:spPr>
                      <wps:txbx>
                        <w:txbxContent>
                          <w:p>
                            <w:pPr>
                              <w:rPr>
                                <w:color w:val="FF0000"/>
                                <w:sz w:val="18"/>
                                <w:szCs w:val="18"/>
                                <w:shd w:val="pct10" w:color="auto" w:fill="FFFFFF"/>
                              </w:rPr>
                            </w:pPr>
                            <w:r>
                              <w:rPr>
                                <w:rFonts w:hint="eastAsia"/>
                                <w:b/>
                                <w:color w:val="FF0000"/>
                                <w:sz w:val="18"/>
                                <w:szCs w:val="18"/>
                                <w:shd w:val="pct10" w:color="auto" w:fill="FFFFFF"/>
                              </w:rPr>
                              <w:t>普洱</w:t>
                            </w:r>
                          </w:p>
                        </w:txbxContent>
                      </wps:txbx>
                      <wps:bodyPr rot="0" vert="horz" wrap="square" lIns="0" tIns="0" rIns="0" bIns="0" anchor="t" anchorCtr="0" upright="1">
                        <a:noAutofit/>
                      </wps:bodyPr>
                    </wps:wsp>
                  </a:graphicData>
                </a:graphic>
              </wp:anchor>
            </w:drawing>
          </mc:Choice>
          <mc:Fallback>
            <w:pict>
              <v:rect id="矩形 1258" o:spid="_x0000_s1026" o:spt="1" style="position:absolute;left:0pt;margin-left:180.35pt;margin-top:243.45pt;height:15.5pt;width:22.05pt;z-index:251662336;mso-width-relative:page;mso-height-relative:page;" fillcolor="#F7CAAC" filled="t" stroked="t" coordsize="21600,21600" o:gfxdata="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9ulNtsAAAALAQAADwAAAAAAAAABACAAAAAiAAAA&#10;ZHJzL2Rvd25yZXYueG1sUEsBAhQAFAAAAAgAh07iQF1cTSA9AgAAfAQAAA4AAAAAAAAAAQAgAAAA&#10;KgEAAGRycy9lMm9Eb2MueG1sUEsFBgAAAAAGAAYAWQEAANkFAAAAAA==&#10;">
                <v:fill on="t" focussize="0,0"/>
                <v:stroke weight="1pt" color="#FF0000" miterlimit="8" joinstyle="miter"/>
                <v:imagedata o:title=""/>
                <o:lock v:ext="edit" aspectratio="f"/>
                <v:textbox inset="0mm,0mm,0mm,0mm">
                  <w:txbxContent>
                    <w:p>
                      <w:pPr>
                        <w:rPr>
                          <w:color w:val="FF0000"/>
                          <w:sz w:val="18"/>
                          <w:szCs w:val="18"/>
                          <w:shd w:val="pct10" w:color="auto" w:fill="FFFFFF"/>
                        </w:rPr>
                      </w:pPr>
                      <w:r>
                        <w:rPr>
                          <w:rFonts w:hint="eastAsia"/>
                          <w:b/>
                          <w:color w:val="FF0000"/>
                          <w:sz w:val="18"/>
                          <w:szCs w:val="18"/>
                          <w:shd w:val="pct10" w:color="auto" w:fill="FFFFFF"/>
                        </w:rPr>
                        <w:t>普洱</w:t>
                      </w:r>
                    </w:p>
                  </w:txbxContent>
                </v:textbox>
              </v:rect>
            </w:pict>
          </mc:Fallback>
        </mc:AlternateContent>
      </w:r>
      <w:r>
        <w:rPr>
          <w:rFonts w:hAnsi="宋体"/>
          <w:sz w:val="28"/>
          <w:szCs w:val="28"/>
        </w:rPr>
        <mc:AlternateContent>
          <mc:Choice Requires="wps">
            <w:drawing>
              <wp:anchor distT="0" distB="0" distL="114300" distR="114300" simplePos="0" relativeHeight="251663360" behindDoc="0" locked="0" layoutInCell="1" allowOverlap="1">
                <wp:simplePos x="0" y="0"/>
                <wp:positionH relativeFrom="column">
                  <wp:posOffset>117475</wp:posOffset>
                </wp:positionH>
                <wp:positionV relativeFrom="paragraph">
                  <wp:posOffset>1981200</wp:posOffset>
                </wp:positionV>
                <wp:extent cx="1214120" cy="1547495"/>
                <wp:effectExtent l="10160" t="16510" r="25400" b="20955"/>
                <wp:wrapNone/>
                <wp:docPr id="74" name="任意多边形 1070"/>
                <wp:cNvGraphicFramePr/>
                <a:graphic xmlns:a="http://schemas.openxmlformats.org/drawingml/2006/main">
                  <a:graphicData uri="http://schemas.microsoft.com/office/word/2010/wordprocessingShape">
                    <wps:wsp>
                      <wps:cNvSpPr/>
                      <wps:spPr bwMode="auto">
                        <a:xfrm>
                          <a:off x="0" y="0"/>
                          <a:ext cx="1214120" cy="1547495"/>
                        </a:xfrm>
                        <a:custGeom>
                          <a:avLst/>
                          <a:gdLst>
                            <a:gd name="T0" fmla="*/ 0 w 1912"/>
                            <a:gd name="T1" fmla="*/ 494 h 2437"/>
                            <a:gd name="T2" fmla="*/ 335 w 1912"/>
                            <a:gd name="T3" fmla="*/ 274 h 2437"/>
                            <a:gd name="T4" fmla="*/ 531 w 1912"/>
                            <a:gd name="T5" fmla="*/ 116 h 2437"/>
                            <a:gd name="T6" fmla="*/ 741 w 1912"/>
                            <a:gd name="T7" fmla="*/ 4 h 2437"/>
                            <a:gd name="T8" fmla="*/ 831 w 1912"/>
                            <a:gd name="T9" fmla="*/ 92 h 2437"/>
                            <a:gd name="T10" fmla="*/ 927 w 1912"/>
                            <a:gd name="T11" fmla="*/ 170 h 2437"/>
                            <a:gd name="T12" fmla="*/ 1131 w 1912"/>
                            <a:gd name="T13" fmla="*/ 212 h 2437"/>
                            <a:gd name="T14" fmla="*/ 1234 w 1912"/>
                            <a:gd name="T15" fmla="*/ 280 h 2437"/>
                            <a:gd name="T16" fmla="*/ 1275 w 1912"/>
                            <a:gd name="T17" fmla="*/ 368 h 2437"/>
                            <a:gd name="T18" fmla="*/ 1131 w 1912"/>
                            <a:gd name="T19" fmla="*/ 494 h 2437"/>
                            <a:gd name="T20" fmla="*/ 1058 w 1912"/>
                            <a:gd name="T21" fmla="*/ 626 h 2437"/>
                            <a:gd name="T22" fmla="*/ 1052 w 1912"/>
                            <a:gd name="T23" fmla="*/ 744 h 2437"/>
                            <a:gd name="T24" fmla="*/ 1126 w 1912"/>
                            <a:gd name="T25" fmla="*/ 1043 h 2437"/>
                            <a:gd name="T26" fmla="*/ 1273 w 1912"/>
                            <a:gd name="T27" fmla="*/ 1054 h 2437"/>
                            <a:gd name="T28" fmla="*/ 1475 w 1912"/>
                            <a:gd name="T29" fmla="*/ 978 h 2437"/>
                            <a:gd name="T30" fmla="*/ 1566 w 1912"/>
                            <a:gd name="T31" fmla="*/ 958 h 2437"/>
                            <a:gd name="T32" fmla="*/ 1606 w 1912"/>
                            <a:gd name="T33" fmla="*/ 1017 h 2437"/>
                            <a:gd name="T34" fmla="*/ 1593 w 1912"/>
                            <a:gd name="T35" fmla="*/ 1219 h 2437"/>
                            <a:gd name="T36" fmla="*/ 1566 w 1912"/>
                            <a:gd name="T37" fmla="*/ 1310 h 2437"/>
                            <a:gd name="T38" fmla="*/ 1513 w 1912"/>
                            <a:gd name="T39" fmla="*/ 1395 h 2437"/>
                            <a:gd name="T40" fmla="*/ 1513 w 1912"/>
                            <a:gd name="T41" fmla="*/ 1486 h 2437"/>
                            <a:gd name="T42" fmla="*/ 1710 w 1912"/>
                            <a:gd name="T43" fmla="*/ 1557 h 2437"/>
                            <a:gd name="T44" fmla="*/ 1775 w 1912"/>
                            <a:gd name="T45" fmla="*/ 1603 h 2437"/>
                            <a:gd name="T46" fmla="*/ 1827 w 1912"/>
                            <a:gd name="T47" fmla="*/ 1681 h 2437"/>
                            <a:gd name="T48" fmla="*/ 1860 w 1912"/>
                            <a:gd name="T49" fmla="*/ 1749 h 2437"/>
                            <a:gd name="T50" fmla="*/ 1879 w 1912"/>
                            <a:gd name="T51" fmla="*/ 2007 h 2437"/>
                            <a:gd name="T52" fmla="*/ 1866 w 1912"/>
                            <a:gd name="T53" fmla="*/ 2163 h 2437"/>
                            <a:gd name="T54" fmla="*/ 1866 w 1912"/>
                            <a:gd name="T55" fmla="*/ 2281 h 2437"/>
                            <a:gd name="T56" fmla="*/ 1912 w 1912"/>
                            <a:gd name="T57" fmla="*/ 2437 h 2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12" h="2437">
                              <a:moveTo>
                                <a:pt x="0" y="494"/>
                              </a:moveTo>
                              <a:cubicBezTo>
                                <a:pt x="127" y="415"/>
                                <a:pt x="247" y="337"/>
                                <a:pt x="335" y="274"/>
                              </a:cubicBezTo>
                              <a:cubicBezTo>
                                <a:pt x="423" y="211"/>
                                <a:pt x="463" y="161"/>
                                <a:pt x="531" y="116"/>
                              </a:cubicBezTo>
                              <a:cubicBezTo>
                                <a:pt x="599" y="71"/>
                                <a:pt x="691" y="8"/>
                                <a:pt x="741" y="4"/>
                              </a:cubicBezTo>
                              <a:cubicBezTo>
                                <a:pt x="791" y="0"/>
                                <a:pt x="800" y="64"/>
                                <a:pt x="831" y="92"/>
                              </a:cubicBezTo>
                              <a:cubicBezTo>
                                <a:pt x="862" y="120"/>
                                <a:pt x="877" y="150"/>
                                <a:pt x="927" y="170"/>
                              </a:cubicBezTo>
                              <a:cubicBezTo>
                                <a:pt x="977" y="190"/>
                                <a:pt x="1080" y="194"/>
                                <a:pt x="1131" y="212"/>
                              </a:cubicBezTo>
                              <a:cubicBezTo>
                                <a:pt x="1182" y="230"/>
                                <a:pt x="1210" y="254"/>
                                <a:pt x="1234" y="280"/>
                              </a:cubicBezTo>
                              <a:cubicBezTo>
                                <a:pt x="1258" y="306"/>
                                <a:pt x="1292" y="332"/>
                                <a:pt x="1275" y="368"/>
                              </a:cubicBezTo>
                              <a:cubicBezTo>
                                <a:pt x="1258" y="404"/>
                                <a:pt x="1167" y="451"/>
                                <a:pt x="1131" y="494"/>
                              </a:cubicBezTo>
                              <a:cubicBezTo>
                                <a:pt x="1095" y="537"/>
                                <a:pt x="1071" y="584"/>
                                <a:pt x="1058" y="626"/>
                              </a:cubicBezTo>
                              <a:cubicBezTo>
                                <a:pt x="1045" y="668"/>
                                <a:pt x="1041" y="675"/>
                                <a:pt x="1052" y="744"/>
                              </a:cubicBezTo>
                              <a:cubicBezTo>
                                <a:pt x="1063" y="813"/>
                                <a:pt x="1089" y="991"/>
                                <a:pt x="1126" y="1043"/>
                              </a:cubicBezTo>
                              <a:cubicBezTo>
                                <a:pt x="1163" y="1095"/>
                                <a:pt x="1215" y="1065"/>
                                <a:pt x="1273" y="1054"/>
                              </a:cubicBezTo>
                              <a:cubicBezTo>
                                <a:pt x="1331" y="1043"/>
                                <a:pt x="1426" y="994"/>
                                <a:pt x="1475" y="978"/>
                              </a:cubicBezTo>
                              <a:cubicBezTo>
                                <a:pt x="1524" y="962"/>
                                <a:pt x="1544" y="952"/>
                                <a:pt x="1566" y="958"/>
                              </a:cubicBezTo>
                              <a:cubicBezTo>
                                <a:pt x="1588" y="964"/>
                                <a:pt x="1602" y="974"/>
                                <a:pt x="1606" y="1017"/>
                              </a:cubicBezTo>
                              <a:cubicBezTo>
                                <a:pt x="1610" y="1060"/>
                                <a:pt x="1600" y="1170"/>
                                <a:pt x="1593" y="1219"/>
                              </a:cubicBezTo>
                              <a:cubicBezTo>
                                <a:pt x="1586" y="1268"/>
                                <a:pt x="1579" y="1281"/>
                                <a:pt x="1566" y="1310"/>
                              </a:cubicBezTo>
                              <a:cubicBezTo>
                                <a:pt x="1553" y="1339"/>
                                <a:pt x="1522" y="1366"/>
                                <a:pt x="1513" y="1395"/>
                              </a:cubicBezTo>
                              <a:cubicBezTo>
                                <a:pt x="1504" y="1424"/>
                                <a:pt x="1480" y="1459"/>
                                <a:pt x="1513" y="1486"/>
                              </a:cubicBezTo>
                              <a:cubicBezTo>
                                <a:pt x="1546" y="1513"/>
                                <a:pt x="1666" y="1537"/>
                                <a:pt x="1710" y="1557"/>
                              </a:cubicBezTo>
                              <a:cubicBezTo>
                                <a:pt x="1754" y="1577"/>
                                <a:pt x="1756" y="1582"/>
                                <a:pt x="1775" y="1603"/>
                              </a:cubicBezTo>
                              <a:cubicBezTo>
                                <a:pt x="1794" y="1624"/>
                                <a:pt x="1813" y="1657"/>
                                <a:pt x="1827" y="1681"/>
                              </a:cubicBezTo>
                              <a:cubicBezTo>
                                <a:pt x="1841" y="1705"/>
                                <a:pt x="1851" y="1695"/>
                                <a:pt x="1860" y="1749"/>
                              </a:cubicBezTo>
                              <a:cubicBezTo>
                                <a:pt x="1869" y="1803"/>
                                <a:pt x="1878" y="1938"/>
                                <a:pt x="1879" y="2007"/>
                              </a:cubicBezTo>
                              <a:cubicBezTo>
                                <a:pt x="1880" y="2076"/>
                                <a:pt x="1868" y="2117"/>
                                <a:pt x="1866" y="2163"/>
                              </a:cubicBezTo>
                              <a:cubicBezTo>
                                <a:pt x="1864" y="2209"/>
                                <a:pt x="1858" y="2235"/>
                                <a:pt x="1866" y="2281"/>
                              </a:cubicBezTo>
                              <a:cubicBezTo>
                                <a:pt x="1874" y="2327"/>
                                <a:pt x="1893" y="2382"/>
                                <a:pt x="1912" y="2437"/>
                              </a:cubicBezTo>
                            </a:path>
                          </a:pathLst>
                        </a:custGeom>
                        <a:noFill/>
                        <a:ln w="38100" cmpd="sng">
                          <a:solidFill>
                            <a:srgbClr val="FF00FF"/>
                          </a:solidFill>
                          <a:round/>
                        </a:ln>
                        <a:effectLst/>
                      </wps:spPr>
                      <wps:bodyPr rot="0" vert="horz" wrap="square" lIns="91440" tIns="45720" rIns="91440" bIns="45720" anchor="t" anchorCtr="0" upright="1">
                        <a:noAutofit/>
                      </wps:bodyPr>
                    </wps:wsp>
                  </a:graphicData>
                </a:graphic>
              </wp:anchor>
            </w:drawing>
          </mc:Choice>
          <mc:Fallback>
            <w:pict>
              <v:shape id="任意多边形 1070" o:spid="_x0000_s1026" o:spt="100" style="position:absolute;left:0pt;margin-left:9.25pt;margin-top:156pt;height:121.85pt;width:95.6pt;z-index:251663360;mso-width-relative:page;mso-height-relative:page;" filled="f" stroked="t" coordsize="1912,2437" o:gfxdata="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" path="m0,494c127,415,247,337,335,274c423,211,463,161,531,116c599,71,691,8,741,4c791,0,800,64,831,92c862,120,877,150,927,170c977,190,1080,194,1131,212c1182,230,1210,254,1234,280c1258,306,1292,332,1275,368c1258,404,1167,451,1131,494c1095,537,1071,584,1058,626c1045,668,1041,675,1052,744c1063,813,1089,991,1126,1043c1163,1095,1215,1065,1273,1054c1331,1043,1426,994,1475,978c1524,962,1544,952,1566,958c1588,964,1602,974,1606,1017c1610,1060,1600,1170,1593,1219c1586,1268,1579,1281,1566,1310c1553,1339,1522,1366,1513,1395c1504,1424,1480,1459,1513,1486c1546,1513,1666,1537,1710,1557c1754,1577,1756,1582,1775,1603c1794,1624,1813,1657,1827,1681c1841,1705,1851,1695,1860,1749c1869,1803,1878,1938,1879,2007c1880,2076,1868,2117,1866,2163c1864,2209,1858,2235,1866,2281c1874,2327,1893,2382,1912,2437e">
                <v:path o:connectlocs="0,313690;212725,173990;337185,73660;470535,2540;527685,58420;588645,107950;718185,134620;783590,177800;809625,233680;718185,313690;671830,397510;668020,472440;715010,662305;808355,669290;936625,621030;994410,608330;1019810,645795;1011555,774065;994410,831850;960755,885825;960755,943610;1085850,988695;1127125,1017905;1160145,1067435;1181100,1110615;1193165,1274445;1184910,1373505;1184910,1448435;1214120,1547495" o:connectangles="0,0,0,0,0,0,0,0,0,0,0,0,0,0,0,0,0,0,0,0,0,0,0,0,0,0,0,0,0"/>
                <v:fill on="f" focussize="0,0"/>
                <v:stroke weight="3pt" color="#FF00FF" joinstyle="round"/>
                <v:imagedata o:title=""/>
                <o:lock v:ext="edit" aspectratio="f"/>
              </v:shape>
            </w:pict>
          </mc:Fallback>
        </mc:AlternateContent>
      </w:r>
      <w:r>
        <w:rPr>
          <w:rFonts w:hAnsi="宋体"/>
          <w:sz w:val="28"/>
          <w:szCs w:val="28"/>
        </w:rPr>
        <mc:AlternateContent>
          <mc:Choice Requires="wps">
            <w:drawing>
              <wp:anchor distT="0" distB="0" distL="114300" distR="114300" simplePos="0" relativeHeight="251665408" behindDoc="0" locked="0" layoutInCell="1" allowOverlap="1">
                <wp:simplePos x="0" y="0"/>
                <wp:positionH relativeFrom="column">
                  <wp:posOffset>982980</wp:posOffset>
                </wp:positionH>
                <wp:positionV relativeFrom="paragraph">
                  <wp:posOffset>3483610</wp:posOffset>
                </wp:positionV>
                <wp:extent cx="280035" cy="196850"/>
                <wp:effectExtent l="6350" t="6350" r="18415" b="10160"/>
                <wp:wrapNone/>
                <wp:docPr id="82" name="矩形 1258"/>
                <wp:cNvGraphicFramePr/>
                <a:graphic xmlns:a="http://schemas.openxmlformats.org/drawingml/2006/main">
                  <a:graphicData uri="http://schemas.microsoft.com/office/word/2010/wordprocessingShape">
                    <wps:wsp>
                      <wps:cNvSpPr>
                        <a:spLocks noChangeArrowheads="1"/>
                      </wps:cNvSpPr>
                      <wps:spPr bwMode="auto">
                        <a:xfrm>
                          <a:off x="0" y="0"/>
                          <a:ext cx="280035" cy="196850"/>
                        </a:xfrm>
                        <a:prstGeom prst="rect">
                          <a:avLst/>
                        </a:prstGeom>
                        <a:solidFill>
                          <a:srgbClr val="F7CAAC"/>
                        </a:solidFill>
                        <a:ln w="12700">
                          <a:solidFill>
                            <a:srgbClr val="FF0000"/>
                          </a:solidFill>
                          <a:miter lim="800000"/>
                        </a:ln>
                        <a:effectLst/>
                      </wps:spPr>
                      <wps:txbx>
                        <w:txbxContent>
                          <w:p>
                            <w:pPr>
                              <w:rPr>
                                <w:color w:val="FF0000"/>
                                <w:sz w:val="18"/>
                                <w:szCs w:val="18"/>
                                <w:shd w:val="pct10" w:color="auto" w:fill="FFFFFF"/>
                              </w:rPr>
                            </w:pPr>
                            <w:r>
                              <w:rPr>
                                <w:rFonts w:hint="eastAsia"/>
                                <w:b/>
                                <w:color w:val="FF0000"/>
                                <w:sz w:val="18"/>
                                <w:szCs w:val="18"/>
                                <w:shd w:val="pct10" w:color="auto" w:fill="FFFFFF"/>
                              </w:rPr>
                              <w:t>孟连</w:t>
                            </w:r>
                          </w:p>
                        </w:txbxContent>
                      </wps:txbx>
                      <wps:bodyPr rot="0" vert="horz" wrap="square" lIns="0" tIns="0" rIns="0" bIns="0" anchor="t" anchorCtr="0" upright="1">
                        <a:noAutofit/>
                      </wps:bodyPr>
                    </wps:wsp>
                  </a:graphicData>
                </a:graphic>
              </wp:anchor>
            </w:drawing>
          </mc:Choice>
          <mc:Fallback>
            <w:pict>
              <v:rect id="矩形 1258" o:spid="_x0000_s1026" o:spt="1" style="position:absolute;left:0pt;margin-left:77.4pt;margin-top:274.3pt;height:15.5pt;width:22.05pt;z-index:251665408;mso-width-relative:page;mso-height-relative:page;" fillcolor="#F7CAAC" filled="t" stroked="t" coordsize="21600,21600" o:gfxdata="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m5c0dkAAAALAQAADwAAAAAAAAABACAAAAAiAAAAZHJz&#10;L2Rvd25yZXYueG1sUEsBAhQAFAAAAAgAh07iQIYLXlg8AgAAfAQAAA4AAAAAAAAAAQAgAAAAKAEA&#10;AGRycy9lMm9Eb2MueG1sUEsFBgAAAAAGAAYAWQEAANYFAAAAAA==&#10;">
                <v:fill on="t" focussize="0,0"/>
                <v:stroke weight="1pt" color="#FF0000" miterlimit="8" joinstyle="miter"/>
                <v:imagedata o:title=""/>
                <o:lock v:ext="edit" aspectratio="f"/>
                <v:textbox inset="0mm,0mm,0mm,0mm">
                  <w:txbxContent>
                    <w:p>
                      <w:pPr>
                        <w:rPr>
                          <w:color w:val="FF0000"/>
                          <w:sz w:val="18"/>
                          <w:szCs w:val="18"/>
                          <w:shd w:val="pct10" w:color="auto" w:fill="FFFFFF"/>
                        </w:rPr>
                      </w:pPr>
                      <w:r>
                        <w:rPr>
                          <w:rFonts w:hint="eastAsia"/>
                          <w:b/>
                          <w:color w:val="FF0000"/>
                          <w:sz w:val="18"/>
                          <w:szCs w:val="18"/>
                          <w:shd w:val="pct10" w:color="auto" w:fill="FFFFFF"/>
                        </w:rPr>
                        <w:t>孟连</w:t>
                      </w:r>
                    </w:p>
                  </w:txbxContent>
                </v:textbox>
              </v:rect>
            </w:pict>
          </mc:Fallback>
        </mc:AlternateContent>
      </w:r>
      <w:r>
        <w:rPr>
          <w:rFonts w:hAnsi="宋体"/>
          <w:sz w:val="28"/>
          <w:szCs w:val="28"/>
        </w:rPr>
        <w:drawing>
          <wp:inline distT="0" distB="0" distL="0" distR="0">
            <wp:extent cx="6238875" cy="4438650"/>
            <wp:effectExtent l="9525" t="9525" r="15240" b="17145"/>
            <wp:docPr id="42" name="图片 42" descr="C:\Users\Administrator\Deskto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Desktop\2.bmp"/>
                    <pic:cNvPicPr>
                      <a:picLocks noChangeAspect="1" noChangeArrowheads="1"/>
                    </pic:cNvPicPr>
                  </pic:nvPicPr>
                  <pic:blipFill>
                    <a:blip r:embed="rId9" cstate="print">
                      <a:extLst>
                        <a:ext uri="{28A0092B-C50C-407E-A947-70E740481C1C}">
                          <a14:useLocalDpi xmlns:a14="http://schemas.microsoft.com/office/drawing/2010/main" val="0"/>
                        </a:ext>
                      </a:extLst>
                    </a:blip>
                    <a:srcRect l="1665" r="1666"/>
                    <a:stretch>
                      <a:fillRect/>
                    </a:stretch>
                  </pic:blipFill>
                  <pic:spPr>
                    <a:xfrm>
                      <a:off x="0" y="0"/>
                      <a:ext cx="6238875" cy="4438650"/>
                    </a:xfrm>
                    <a:prstGeom prst="rect">
                      <a:avLst/>
                    </a:prstGeom>
                    <a:noFill/>
                    <a:ln w="6350" cmpd="sng">
                      <a:solidFill>
                        <a:srgbClr val="000000"/>
                      </a:solidFill>
                      <a:miter lim="800000"/>
                      <a:headEnd/>
                      <a:tailEnd/>
                    </a:ln>
                    <a:effectLst/>
                  </pic:spPr>
                </pic:pic>
              </a:graphicData>
            </a:graphic>
          </wp:inline>
        </w:drawing>
      </w:r>
    </w:p>
    <w:p>
      <w:pPr>
        <w:autoSpaceDE w:val="0"/>
        <w:autoSpaceDN w:val="0"/>
        <w:adjustRightInd w:val="0"/>
        <w:jc w:val="center"/>
        <w:rPr>
          <w:rFonts w:ascii="方正小标宋_GBK" w:eastAsia="方正小标宋_GBK"/>
          <w:szCs w:val="21"/>
        </w:rPr>
      </w:pPr>
      <w:r>
        <w:rPr>
          <w:rFonts w:hint="eastAsia" w:ascii="方正小标宋_GBK" w:eastAsia="方正小标宋_GBK"/>
          <w:szCs w:val="21"/>
        </w:rPr>
        <w:t>图1-1项目位置示意图</w:t>
      </w:r>
    </w:p>
    <w:bookmarkEnd w:id="1"/>
    <w:p>
      <w:pPr>
        <w:pStyle w:val="13"/>
        <w:spacing w:line="360" w:lineRule="auto"/>
        <w:ind w:left="0" w:firstLine="200"/>
        <w:jc w:val="center"/>
        <w:outlineLvl w:val="0"/>
        <w:rPr>
          <w:rFonts w:eastAsia="黑体"/>
          <w:bCs/>
          <w:color w:val="000000"/>
          <w:kern w:val="44"/>
          <w:sz w:val="36"/>
          <w:szCs w:val="44"/>
        </w:rPr>
      </w:pPr>
      <w:bookmarkStart w:id="4" w:name="_Toc88211867"/>
      <w:r>
        <w:rPr>
          <w:rFonts w:hint="eastAsia" w:eastAsia="黑体"/>
          <w:bCs/>
          <w:color w:val="000000"/>
          <w:kern w:val="44"/>
          <w:sz w:val="36"/>
          <w:szCs w:val="44"/>
        </w:rPr>
        <w:t>二、</w:t>
      </w:r>
      <w:r>
        <w:rPr>
          <w:rFonts w:eastAsia="黑体"/>
          <w:bCs/>
          <w:color w:val="000000"/>
          <w:kern w:val="44"/>
          <w:sz w:val="36"/>
          <w:szCs w:val="44"/>
        </w:rPr>
        <w:t>项目建设依据</w:t>
      </w:r>
      <w:bookmarkEnd w:id="2"/>
      <w:bookmarkEnd w:id="3"/>
      <w:bookmarkEnd w:id="4"/>
    </w:p>
    <w:p>
      <w:pPr>
        <w:adjustRightInd w:val="0"/>
        <w:spacing w:line="36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1、《云南省人民政府办公厅关于印发云南省道网规划修编（2016-2030年）的通知》（云政办发〔2017〕61号）。</w:t>
      </w:r>
    </w:p>
    <w:p>
      <w:pPr>
        <w:adjustRightInd w:val="0"/>
        <w:spacing w:line="36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2017年6月2日，经云南省人民政府同意，印发了《云南省道网规划修编（2016-2030年）》。瑞丽至孟连高速公路是《云南省道网规划修编（2016-2030年）》中“五纵五横一边两环二十联”中的一边，在云南省道网规划中有着至关重要的战略意义。</w:t>
      </w:r>
    </w:p>
    <w:p>
      <w:pPr>
        <w:adjustRightInd w:val="0"/>
        <w:spacing w:line="36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2、《云南省人民政府关于印发云南省加快“十三五”高速公路建设行动方案的通知》（云政办发〔2017〕68号）。</w:t>
      </w:r>
    </w:p>
    <w:p>
      <w:pPr>
        <w:adjustRightInd w:val="0"/>
        <w:spacing w:line="36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2017年6月16日，经云南省人民政府同意，印发了《云南省加快“十三五”高速公路建设行动方案》。方案提出要主动服务和融入“一带一路”、长江经济带建设，紧紧抓住国家深入推进脱贫攻坚、加大中西部地区交通基础设施建设支持力度的机遇，按照“宜高则高、能开尽开、能通必通”的原则，加快实施通县高速公路、出省出境通道及沿边高速公路建设，着力构建布局合理、功能完善、覆盖广泛、互联互通的高速公路网络，为实现我省与全国同步全面建设小康社会、建设面向南亚东南亚辐射中心提供强有力的交通运输保障。在此背景下，瑞丽至孟连高速公路积极推</w:t>
      </w:r>
      <w:r>
        <w:rPr>
          <w:rFonts w:hint="eastAsia" w:ascii="Times New Roman" w:hAnsi="Times New Roman" w:eastAsia="仿宋_GB2312" w:cs="Times New Roman"/>
          <w:sz w:val="28"/>
          <w:szCs w:val="28"/>
        </w:rPr>
        <w:t>进用地报批手续，保障项目的顺利实施。</w:t>
      </w:r>
    </w:p>
    <w:p>
      <w:pPr>
        <w:adjustRightInd w:val="0"/>
        <w:spacing w:line="360"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综上，瑞丽至孟连高速公路项目已列入《云南省道网规划修编（</w:t>
      </w:r>
      <w:r>
        <w:rPr>
          <w:rFonts w:ascii="Times New Roman" w:hAnsi="Times New Roman" w:eastAsia="仿宋_GB2312" w:cs="Times New Roman"/>
          <w:sz w:val="28"/>
          <w:szCs w:val="28"/>
        </w:rPr>
        <w:t>2016~2030年）》（云政办发〔2017〕61号）及《云南省加快“十三五”高速公路建设行动方案》（云政办发〔2017〕68号），属于省级高速公路，应由云南省发展和改革委员会审批，符合受理占用永久基本农田的重大建设项目用地预审范围。</w:t>
      </w:r>
    </w:p>
    <w:p>
      <w:pPr>
        <w:pStyle w:val="13"/>
        <w:spacing w:line="360" w:lineRule="auto"/>
        <w:ind w:left="0"/>
        <w:jc w:val="center"/>
        <w:outlineLvl w:val="0"/>
        <w:rPr>
          <w:rFonts w:eastAsia="黑体"/>
          <w:bCs/>
          <w:color w:val="000000"/>
          <w:kern w:val="44"/>
          <w:sz w:val="36"/>
          <w:szCs w:val="44"/>
        </w:rPr>
      </w:pPr>
      <w:bookmarkStart w:id="5" w:name="_Toc88211868"/>
      <w:r>
        <w:rPr>
          <w:rFonts w:hint="eastAsia" w:eastAsia="黑体"/>
          <w:bCs/>
          <w:color w:val="000000"/>
          <w:kern w:val="44"/>
          <w:sz w:val="36"/>
          <w:szCs w:val="44"/>
        </w:rPr>
        <w:t>三、土地用途调整原则和依据</w:t>
      </w:r>
      <w:bookmarkEnd w:id="5"/>
    </w:p>
    <w:p>
      <w:pPr>
        <w:keepNext/>
        <w:keepLines/>
        <w:adjustRightInd w:val="0"/>
        <w:spacing w:line="360" w:lineRule="auto"/>
        <w:ind w:firstLine="600" w:firstLineChars="200"/>
        <w:outlineLvl w:val="2"/>
        <w:rPr>
          <w:rFonts w:eastAsia="黑体"/>
          <w:bCs/>
          <w:color w:val="000000"/>
          <w:sz w:val="30"/>
          <w:szCs w:val="28"/>
        </w:rPr>
      </w:pPr>
      <w:bookmarkStart w:id="6" w:name="_Toc88211869"/>
      <w:bookmarkStart w:id="7" w:name="_Toc24168"/>
      <w:r>
        <w:rPr>
          <w:rFonts w:hint="eastAsia" w:eastAsia="黑体"/>
          <w:bCs/>
          <w:color w:val="000000"/>
          <w:sz w:val="30"/>
          <w:szCs w:val="28"/>
        </w:rPr>
        <w:t>3.1 永久基本农田占用补划原则</w:t>
      </w:r>
      <w:bookmarkEnd w:id="6"/>
    </w:p>
    <w:p>
      <w:pPr>
        <w:adjustRightInd w:val="0"/>
        <w:spacing w:line="360" w:lineRule="auto"/>
        <w:ind w:firstLine="560" w:firstLineChars="200"/>
        <w:rPr>
          <w:rFonts w:eastAsia="仿宋_GB2312"/>
          <w:sz w:val="28"/>
          <w:szCs w:val="28"/>
        </w:rPr>
      </w:pPr>
      <w:r>
        <w:rPr>
          <w:rFonts w:eastAsia="仿宋_GB2312"/>
          <w:b/>
          <w:sz w:val="28"/>
          <w:szCs w:val="28"/>
        </w:rPr>
        <w:t>合法合规原则：</w:t>
      </w:r>
      <w:r>
        <w:rPr>
          <w:rFonts w:eastAsia="仿宋_GB2312"/>
          <w:sz w:val="28"/>
          <w:szCs w:val="28"/>
        </w:rPr>
        <w:t>建设项目占用永久基本农田必须符合国家规定。</w:t>
      </w:r>
    </w:p>
    <w:p>
      <w:pPr>
        <w:adjustRightInd w:val="0"/>
        <w:spacing w:line="360" w:lineRule="auto"/>
        <w:ind w:firstLine="560" w:firstLineChars="200"/>
        <w:rPr>
          <w:rFonts w:eastAsia="仿宋_GB2312"/>
          <w:sz w:val="28"/>
          <w:szCs w:val="28"/>
        </w:rPr>
      </w:pPr>
      <w:r>
        <w:rPr>
          <w:rFonts w:eastAsia="仿宋_GB2312"/>
          <w:b/>
          <w:sz w:val="28"/>
          <w:szCs w:val="28"/>
        </w:rPr>
        <w:t>保护优先原则：</w:t>
      </w:r>
      <w:r>
        <w:rPr>
          <w:rFonts w:eastAsia="仿宋_GB2312"/>
          <w:sz w:val="28"/>
          <w:szCs w:val="28"/>
        </w:rPr>
        <w:t>建设项目布局应在实地踏勘和充分论证的基础上，最大限度避让永久基本农田。</w:t>
      </w:r>
    </w:p>
    <w:p>
      <w:pPr>
        <w:adjustRightInd w:val="0"/>
        <w:spacing w:line="360" w:lineRule="auto"/>
        <w:ind w:firstLine="560" w:firstLineChars="200"/>
        <w:rPr>
          <w:rFonts w:eastAsia="仿宋_GB2312"/>
          <w:sz w:val="28"/>
          <w:szCs w:val="28"/>
        </w:rPr>
      </w:pPr>
      <w:r>
        <w:rPr>
          <w:rFonts w:eastAsia="仿宋_GB2312"/>
          <w:b/>
          <w:sz w:val="28"/>
          <w:szCs w:val="28"/>
        </w:rPr>
        <w:t>实事求是原则：</w:t>
      </w:r>
      <w:r>
        <w:rPr>
          <w:rFonts w:eastAsia="仿宋_GB2312"/>
          <w:sz w:val="28"/>
          <w:szCs w:val="28"/>
        </w:rPr>
        <w:t>严格按照优化后的项目用地功能区布局，编制补划方案，严禁“搭车”占用永久基本农田。</w:t>
      </w:r>
    </w:p>
    <w:p>
      <w:pPr>
        <w:adjustRightInd w:val="0"/>
        <w:spacing w:line="360" w:lineRule="auto"/>
        <w:ind w:firstLine="560" w:firstLineChars="200"/>
        <w:rPr>
          <w:rFonts w:eastAsia="仿宋_GB2312"/>
          <w:sz w:val="28"/>
          <w:szCs w:val="28"/>
        </w:rPr>
      </w:pPr>
      <w:r>
        <w:rPr>
          <w:rFonts w:eastAsia="仿宋_GB2312"/>
          <w:b/>
          <w:sz w:val="28"/>
          <w:szCs w:val="28"/>
        </w:rPr>
        <w:t>量质并重原则：</w:t>
      </w:r>
      <w:r>
        <w:rPr>
          <w:rFonts w:eastAsia="仿宋_GB2312"/>
          <w:sz w:val="28"/>
          <w:szCs w:val="28"/>
        </w:rPr>
        <w:t>严格落实占优补优、占水田补水田的规定，按照数量不减少、质量不降低的要求，补划的永久基本农田地类必须是耕地，耕地平均质量等别不得低于占用的永久基本农田耕地平均质量等别。</w:t>
      </w:r>
    </w:p>
    <w:p>
      <w:pPr>
        <w:adjustRightInd w:val="0"/>
        <w:spacing w:line="360" w:lineRule="auto"/>
        <w:ind w:firstLine="560" w:firstLineChars="200"/>
        <w:rPr>
          <w:rFonts w:eastAsia="仿宋_GB2312"/>
          <w:sz w:val="28"/>
          <w:szCs w:val="28"/>
        </w:rPr>
      </w:pPr>
      <w:r>
        <w:rPr>
          <w:rFonts w:eastAsia="仿宋_GB2312"/>
          <w:b/>
          <w:sz w:val="28"/>
          <w:szCs w:val="28"/>
        </w:rPr>
        <w:t>公开编制原则：</w:t>
      </w:r>
      <w:r>
        <w:rPr>
          <w:rFonts w:eastAsia="仿宋_GB2312"/>
          <w:sz w:val="28"/>
          <w:szCs w:val="28"/>
        </w:rPr>
        <w:t>听取相关部门和公众意见，并组织专家论证。</w:t>
      </w:r>
    </w:p>
    <w:p>
      <w:pPr>
        <w:adjustRightInd w:val="0"/>
        <w:spacing w:line="360" w:lineRule="auto"/>
        <w:ind w:firstLine="560" w:firstLineChars="200"/>
        <w:rPr>
          <w:rFonts w:eastAsia="仿宋_GB2312"/>
          <w:sz w:val="28"/>
          <w:szCs w:val="28"/>
        </w:rPr>
      </w:pPr>
      <w:r>
        <w:rPr>
          <w:rFonts w:eastAsia="仿宋_GB2312"/>
          <w:b/>
          <w:sz w:val="28"/>
          <w:szCs w:val="28"/>
        </w:rPr>
        <w:t>动态更新原则：</w:t>
      </w:r>
      <w:r>
        <w:rPr>
          <w:rFonts w:eastAsia="仿宋_GB2312"/>
          <w:sz w:val="28"/>
          <w:szCs w:val="28"/>
        </w:rPr>
        <w:t>建立永久基本农田占用、补划台账，动态更新县级永久基本农田数据库，并纳入年度土地变更调查。</w:t>
      </w:r>
    </w:p>
    <w:p>
      <w:pPr>
        <w:keepNext/>
        <w:keepLines/>
        <w:adjustRightInd w:val="0"/>
        <w:spacing w:line="360" w:lineRule="auto"/>
        <w:ind w:firstLine="600" w:firstLineChars="200"/>
        <w:outlineLvl w:val="2"/>
        <w:rPr>
          <w:rFonts w:eastAsia="黑体"/>
          <w:bCs/>
          <w:color w:val="000000"/>
          <w:sz w:val="30"/>
          <w:szCs w:val="28"/>
        </w:rPr>
      </w:pPr>
      <w:bookmarkStart w:id="8" w:name="_Toc88211870"/>
      <w:r>
        <w:rPr>
          <w:rFonts w:hint="eastAsia" w:eastAsia="黑体"/>
          <w:bCs/>
          <w:color w:val="000000"/>
          <w:sz w:val="30"/>
          <w:szCs w:val="28"/>
        </w:rPr>
        <w:t>3.2</w:t>
      </w:r>
      <w:r>
        <w:rPr>
          <w:rFonts w:eastAsia="黑体"/>
          <w:bCs/>
          <w:color w:val="000000"/>
          <w:sz w:val="30"/>
          <w:szCs w:val="28"/>
        </w:rPr>
        <w:t>规划修改原则</w:t>
      </w:r>
      <w:bookmarkEnd w:id="8"/>
    </w:p>
    <w:p>
      <w:pPr>
        <w:adjustRightInd w:val="0"/>
        <w:spacing w:line="360" w:lineRule="auto"/>
        <w:ind w:firstLine="560" w:firstLineChars="200"/>
        <w:rPr>
          <w:rFonts w:eastAsia="仿宋_GB2312"/>
          <w:b/>
          <w:sz w:val="28"/>
          <w:szCs w:val="28"/>
        </w:rPr>
      </w:pPr>
      <w:r>
        <w:rPr>
          <w:rFonts w:eastAsia="仿宋_GB2312"/>
          <w:b/>
          <w:sz w:val="28"/>
          <w:szCs w:val="28"/>
        </w:rPr>
        <w:t>保护耕地原则：</w:t>
      </w:r>
      <w:r>
        <w:rPr>
          <w:rFonts w:eastAsia="仿宋_GB2312"/>
          <w:sz w:val="28"/>
          <w:szCs w:val="28"/>
        </w:rPr>
        <w:t>履行好耕地保护责任，应充分论证减少占用耕地和基本农田的各项措施和可行性，严守耕地红线。</w:t>
      </w:r>
    </w:p>
    <w:p>
      <w:pPr>
        <w:adjustRightInd w:val="0"/>
        <w:spacing w:line="360" w:lineRule="auto"/>
        <w:ind w:firstLine="560" w:firstLineChars="200"/>
        <w:rPr>
          <w:rFonts w:eastAsia="仿宋_GB2312"/>
          <w:sz w:val="28"/>
          <w:szCs w:val="28"/>
        </w:rPr>
      </w:pPr>
      <w:r>
        <w:rPr>
          <w:rFonts w:eastAsia="仿宋_GB2312"/>
          <w:b/>
          <w:sz w:val="28"/>
          <w:szCs w:val="28"/>
        </w:rPr>
        <w:t>节约集约原则：</w:t>
      </w:r>
      <w:r>
        <w:rPr>
          <w:rFonts w:eastAsia="仿宋_GB2312"/>
          <w:sz w:val="28"/>
          <w:szCs w:val="28"/>
        </w:rPr>
        <w:t>规划修改涉及的项目用地，符合节约集约用地相关要求、准入条件和行业用地标准等。</w:t>
      </w:r>
    </w:p>
    <w:p>
      <w:pPr>
        <w:adjustRightInd w:val="0"/>
        <w:spacing w:line="360" w:lineRule="auto"/>
        <w:ind w:firstLine="560" w:firstLineChars="200"/>
        <w:rPr>
          <w:rFonts w:eastAsia="仿宋_GB2312"/>
          <w:sz w:val="28"/>
          <w:szCs w:val="28"/>
        </w:rPr>
      </w:pPr>
      <w:r>
        <w:rPr>
          <w:rFonts w:eastAsia="仿宋_GB2312"/>
          <w:b/>
          <w:sz w:val="28"/>
          <w:szCs w:val="28"/>
        </w:rPr>
        <w:t>公众参与原则：</w:t>
      </w:r>
      <w:r>
        <w:rPr>
          <w:rFonts w:eastAsia="仿宋_GB2312"/>
          <w:sz w:val="28"/>
          <w:szCs w:val="28"/>
        </w:rPr>
        <w:t>规划修改充分听取了社会公众意见，举行听证，充分论证，修改方案依法公示。</w:t>
      </w:r>
    </w:p>
    <w:p>
      <w:pPr>
        <w:keepNext/>
        <w:keepLines/>
        <w:adjustRightInd w:val="0"/>
        <w:spacing w:line="360" w:lineRule="auto"/>
        <w:ind w:firstLine="600" w:firstLineChars="200"/>
        <w:outlineLvl w:val="2"/>
        <w:rPr>
          <w:rFonts w:eastAsia="黑体"/>
          <w:bCs/>
          <w:color w:val="000000"/>
          <w:sz w:val="30"/>
          <w:szCs w:val="28"/>
        </w:rPr>
      </w:pPr>
      <w:bookmarkStart w:id="9" w:name="_Toc88211871"/>
      <w:r>
        <w:rPr>
          <w:rFonts w:hint="eastAsia" w:eastAsia="黑体"/>
          <w:bCs/>
          <w:color w:val="000000"/>
          <w:sz w:val="30"/>
          <w:szCs w:val="28"/>
        </w:rPr>
        <w:t>3</w:t>
      </w:r>
      <w:r>
        <w:rPr>
          <w:rFonts w:eastAsia="黑体"/>
          <w:bCs/>
          <w:color w:val="000000"/>
          <w:sz w:val="30"/>
          <w:szCs w:val="28"/>
        </w:rPr>
        <w:t>.</w:t>
      </w:r>
      <w:r>
        <w:rPr>
          <w:rFonts w:hint="eastAsia" w:eastAsia="黑体"/>
          <w:bCs/>
          <w:color w:val="000000"/>
          <w:sz w:val="30"/>
          <w:szCs w:val="28"/>
        </w:rPr>
        <w:t xml:space="preserve">3 </w:t>
      </w:r>
      <w:r>
        <w:rPr>
          <w:rFonts w:eastAsia="黑体"/>
          <w:bCs/>
          <w:color w:val="000000"/>
          <w:sz w:val="30"/>
          <w:szCs w:val="28"/>
        </w:rPr>
        <w:t>法律依据</w:t>
      </w:r>
      <w:bookmarkEnd w:id="7"/>
      <w:bookmarkEnd w:id="9"/>
    </w:p>
    <w:p>
      <w:pPr>
        <w:adjustRightInd w:val="0"/>
        <w:spacing w:line="360" w:lineRule="auto"/>
        <w:ind w:firstLine="560" w:firstLineChars="200"/>
        <w:rPr>
          <w:rFonts w:ascii="Times New Roman" w:hAnsi="Times New Roman" w:eastAsia="仿宋_GB2312" w:cs="Times New Roman"/>
          <w:color w:val="000000"/>
          <w:sz w:val="28"/>
          <w:szCs w:val="28"/>
        </w:rPr>
      </w:pPr>
      <w:bookmarkStart w:id="10" w:name="_Toc17345"/>
      <w:r>
        <w:rPr>
          <w:rFonts w:ascii="Times New Roman" w:hAnsi="Times New Roman" w:eastAsia="仿宋_GB2312" w:cs="Times New Roman"/>
          <w:color w:val="000000"/>
          <w:sz w:val="28"/>
          <w:szCs w:val="28"/>
        </w:rPr>
        <w:t>1、《中华人民共和国土地管理法》（2019年8月26日修订）；</w:t>
      </w:r>
    </w:p>
    <w:p>
      <w:pPr>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2、《中华人民共和国土地管理法实施条例》；</w:t>
      </w:r>
    </w:p>
    <w:p>
      <w:pPr>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3、《基本农田保护条例》（2011年1月8日修订）；</w:t>
      </w:r>
    </w:p>
    <w:p>
      <w:pPr>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4、《云南省土地管理条例》（2015年9月25日修）；</w:t>
      </w:r>
    </w:p>
    <w:p>
      <w:pPr>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5、《云南省基本农田保护条例》（2000年5月26日颁布）；</w:t>
      </w:r>
    </w:p>
    <w:p>
      <w:pPr>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6、其他法律法规依据。</w:t>
      </w:r>
    </w:p>
    <w:p>
      <w:pPr>
        <w:keepNext/>
        <w:keepLines/>
        <w:adjustRightInd w:val="0"/>
        <w:spacing w:line="360" w:lineRule="auto"/>
        <w:ind w:firstLine="600" w:firstLineChars="200"/>
        <w:outlineLvl w:val="2"/>
        <w:rPr>
          <w:rFonts w:eastAsia="黑体"/>
          <w:bCs/>
          <w:color w:val="000000"/>
          <w:sz w:val="30"/>
          <w:szCs w:val="28"/>
        </w:rPr>
      </w:pPr>
      <w:bookmarkStart w:id="11" w:name="_Toc88211872"/>
      <w:r>
        <w:rPr>
          <w:rFonts w:hint="eastAsia" w:eastAsia="黑体"/>
          <w:bCs/>
          <w:color w:val="000000"/>
          <w:sz w:val="30"/>
          <w:szCs w:val="28"/>
        </w:rPr>
        <w:t>3</w:t>
      </w:r>
      <w:r>
        <w:rPr>
          <w:rFonts w:eastAsia="黑体"/>
          <w:bCs/>
          <w:color w:val="000000"/>
          <w:sz w:val="30"/>
          <w:szCs w:val="28"/>
        </w:rPr>
        <w:t>.</w:t>
      </w:r>
      <w:r>
        <w:rPr>
          <w:rFonts w:hint="eastAsia" w:eastAsia="黑体"/>
          <w:bCs/>
          <w:color w:val="000000"/>
          <w:sz w:val="30"/>
          <w:szCs w:val="28"/>
        </w:rPr>
        <w:t>4</w:t>
      </w:r>
      <w:r>
        <w:rPr>
          <w:rFonts w:eastAsia="黑体"/>
          <w:bCs/>
          <w:color w:val="000000"/>
          <w:sz w:val="30"/>
          <w:szCs w:val="28"/>
        </w:rPr>
        <w:t xml:space="preserve"> 政策文件依据</w:t>
      </w:r>
      <w:bookmarkEnd w:id="10"/>
      <w:bookmarkEnd w:id="11"/>
    </w:p>
    <w:p>
      <w:pPr>
        <w:widowControl/>
        <w:adjustRightInd w:val="0"/>
        <w:spacing w:line="360" w:lineRule="auto"/>
        <w:ind w:firstLine="560" w:firstLineChars="200"/>
        <w:rPr>
          <w:rFonts w:ascii="Times New Roman" w:hAnsi="Times New Roman" w:eastAsia="仿宋_GB2312" w:cs="Times New Roman"/>
          <w:bCs/>
          <w:color w:val="000000"/>
          <w:sz w:val="28"/>
          <w:szCs w:val="28"/>
        </w:rPr>
      </w:pPr>
      <w:bookmarkStart w:id="12" w:name="_Toc11143"/>
      <w:r>
        <w:rPr>
          <w:rFonts w:ascii="Times New Roman" w:hAnsi="Times New Roman" w:eastAsia="仿宋_GB2312" w:cs="Times New Roman"/>
          <w:bCs/>
          <w:color w:val="000000"/>
          <w:sz w:val="28"/>
          <w:szCs w:val="28"/>
        </w:rPr>
        <w:t>1、《中共中央国务院关于加强耕地保护和改进占补平衡的意见》（中发〔2017〕4号）；</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2、《国土资源部关于严格土地利用总体规划实施管理的通知》（国土资发〔2012〕2号）；</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3、《土地利用总体规划管理办法》（国土资源部</w:t>
      </w:r>
      <w:r>
        <w:rPr>
          <w:rFonts w:hint="eastAsia" w:ascii="Times New Roman" w:hAnsi="Times New Roman" w:eastAsia="仿宋_GB2312" w:cs="Times New Roman"/>
          <w:bCs/>
          <w:color w:val="000000"/>
          <w:sz w:val="28"/>
          <w:szCs w:val="28"/>
          <w:lang w:eastAsia="zh-CN"/>
        </w:rPr>
        <w:t>令第</w:t>
      </w:r>
      <w:r>
        <w:rPr>
          <w:rFonts w:ascii="Times New Roman" w:hAnsi="Times New Roman" w:eastAsia="仿宋_GB2312" w:cs="Times New Roman"/>
          <w:bCs/>
          <w:color w:val="000000"/>
          <w:sz w:val="28"/>
          <w:szCs w:val="28"/>
        </w:rPr>
        <w:t>72号）</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4、《国土资源部关于全面实行永久基本农田特殊保护的通知》（国土资规〔2018〕1号）；</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5、《自然资源部关于做好占用永久基本农田重大建设项目用地预审的通知》（自然资规〔2018〕3号）；</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6、《云南省人民政府关于加强耕地保护促进城镇化科学发展的意见》（云政发〔2011〕185号）；</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7、《中共云南省委云南省人民政府关于加快高速公路建设的意见》（云发〔2016〕19号）；</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8、《云南省人民政府关于进一步加强国土资源管理工作的意见》（云政发〔2017〕69号）；</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9、《云南省国土资源厅关于进一步改进土地利用总体规划评估修改审查工作的通知》（云国土资</w:t>
      </w:r>
      <w:bookmarkStart w:id="13" w:name="_Hlk77106024"/>
      <w:r>
        <w:rPr>
          <w:rFonts w:ascii="Times New Roman" w:hAnsi="Times New Roman" w:eastAsia="仿宋_GB2312" w:cs="Times New Roman"/>
          <w:bCs/>
          <w:color w:val="000000"/>
          <w:sz w:val="28"/>
          <w:szCs w:val="28"/>
        </w:rPr>
        <w:t>〔2015〕99</w:t>
      </w:r>
      <w:bookmarkEnd w:id="13"/>
      <w:r>
        <w:rPr>
          <w:rFonts w:ascii="Times New Roman" w:hAnsi="Times New Roman" w:eastAsia="仿宋_GB2312" w:cs="Times New Roman"/>
          <w:bCs/>
          <w:color w:val="000000"/>
          <w:sz w:val="28"/>
          <w:szCs w:val="28"/>
        </w:rPr>
        <w:t>号）；</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10、《云南省国土资源厅关于进一步提高用地审批效率为经济社会发展服务的意见》（云国土资〔2015〕81号）；</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11、《云南省国土资源厅关于贯彻落实省人大常委会修改云南省土地管理条例决定有关问题的通知》（云国土资电〔2015〕37号）。</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12、《云南省国土资源厅关于印发建设项目用地预审实地踏勘和论证技术指南的通知》（云国土资规〔2017〕67号）；</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13、《云南省国土资源厅关于印发云南省建设项目用地预审管理实施细则和云南省土地征收农用地转用审批管理细则（2017年修订）的通知》（云国土资〔2017〕29号）;</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14、《云南省国土资源转发国土资源部关于全面实行永久基本农田特殊保护文件的通知》（云国土资〔2018〕65号）；</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15、《云南省国土资源厅关于印发云南省重大项目永久基本农田占用补划方案编制指南（试行）的通知》（云国土资〔2018〕83号）；</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16、《云南省自然资源厅关于印发规范过渡期规划管理工作指导意见的通知》（云自然资〔2019〕235号）。</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17、《中共中央国务院关于坚持农业农村优先发展做好“</w:t>
      </w:r>
      <w:r>
        <w:rPr>
          <w:rFonts w:hint="eastAsia" w:ascii="Times New Roman" w:hAnsi="Times New Roman" w:eastAsia="仿宋_GB2312" w:cs="Times New Roman"/>
          <w:bCs/>
          <w:color w:val="000000"/>
          <w:sz w:val="28"/>
          <w:szCs w:val="28"/>
          <w:lang w:eastAsia="zh-CN"/>
        </w:rPr>
        <w:t>“三农”工作</w:t>
      </w:r>
      <w:r>
        <w:rPr>
          <w:rFonts w:ascii="Times New Roman" w:hAnsi="Times New Roman" w:eastAsia="仿宋_GB2312" w:cs="Times New Roman"/>
          <w:bCs/>
          <w:color w:val="000000"/>
          <w:sz w:val="28"/>
          <w:szCs w:val="28"/>
        </w:rPr>
        <w:t>”的若干意见》（中发〔2019〕1号）；</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18、《云南省自然资源厅关于印发规范过渡期规划管理工作指导意见的通知》（云自然资〔2019〕235号）；</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19、《关于全面开展国土空间规划工作的通知》（自然资发〔2019〕87号）；</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20、《关于建立国土空间规划体系并监管实施的若干意见》（中发〔2019〕18号）；</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21、《自然资源部关于做好近期国土空间规划有关工作的通知》（自然资发〔2020〕183号）；</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22、《自然资源部办公厅关于规范开展建设项目节地评价工作的通知》（自然资办发〔2021〕14号）；</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23、《云南省自然资源厅关于做好过渡期国土空间规划管理工作的通知》（云自然资〔2021〕44号）；</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24、《云南省自然资源厅关于印发进一步加大重大项目用地预审与选址意见保障力度工作方案的通知》（云自然资空规〔2021〕178号）；</w:t>
      </w:r>
    </w:p>
    <w:p>
      <w:pPr>
        <w:widowControl/>
        <w:adjustRightInd w:val="0"/>
        <w:spacing w:line="360" w:lineRule="auto"/>
        <w:ind w:firstLine="560" w:firstLineChars="200"/>
        <w:rPr>
          <w:rFonts w:eastAsia="仿宋_GB2312"/>
          <w:bCs/>
          <w:color w:val="000000"/>
          <w:sz w:val="28"/>
          <w:szCs w:val="28"/>
        </w:rPr>
      </w:pPr>
      <w:r>
        <w:rPr>
          <w:rFonts w:ascii="Times New Roman" w:hAnsi="Times New Roman" w:eastAsia="仿宋_GB2312" w:cs="Times New Roman"/>
          <w:bCs/>
          <w:color w:val="000000"/>
          <w:sz w:val="28"/>
          <w:szCs w:val="28"/>
        </w:rPr>
        <w:t>25.《云南省自然资源厅关于进一步做好重大建设项目补划永久基本农田审核有关事项的通知》（云自然资耕保〔2021〕478号）</w:t>
      </w:r>
      <w:r>
        <w:rPr>
          <w:rFonts w:hint="eastAsia" w:eastAsia="仿宋_GB2312"/>
          <w:bCs/>
          <w:color w:val="000000"/>
          <w:sz w:val="28"/>
          <w:szCs w:val="28"/>
        </w:rPr>
        <w:t>。</w:t>
      </w:r>
    </w:p>
    <w:p>
      <w:pPr>
        <w:keepNext/>
        <w:keepLines/>
        <w:adjustRightInd w:val="0"/>
        <w:spacing w:line="360" w:lineRule="auto"/>
        <w:ind w:firstLine="600" w:firstLineChars="200"/>
        <w:outlineLvl w:val="2"/>
        <w:rPr>
          <w:rFonts w:eastAsia="黑体"/>
          <w:bCs/>
          <w:color w:val="000000"/>
          <w:sz w:val="30"/>
          <w:szCs w:val="28"/>
        </w:rPr>
      </w:pPr>
      <w:bookmarkStart w:id="14" w:name="_Toc88211873"/>
      <w:r>
        <w:rPr>
          <w:rFonts w:hint="eastAsia" w:eastAsia="黑体"/>
          <w:bCs/>
          <w:color w:val="000000"/>
          <w:sz w:val="30"/>
          <w:szCs w:val="28"/>
        </w:rPr>
        <w:t>3</w:t>
      </w:r>
      <w:r>
        <w:rPr>
          <w:rFonts w:eastAsia="黑体"/>
          <w:bCs/>
          <w:color w:val="000000"/>
          <w:sz w:val="30"/>
          <w:szCs w:val="28"/>
        </w:rPr>
        <w:t>.</w:t>
      </w:r>
      <w:r>
        <w:rPr>
          <w:rFonts w:hint="eastAsia" w:eastAsia="黑体"/>
          <w:bCs/>
          <w:color w:val="000000"/>
          <w:sz w:val="30"/>
          <w:szCs w:val="28"/>
        </w:rPr>
        <w:t>5</w:t>
      </w:r>
      <w:r>
        <w:rPr>
          <w:rFonts w:eastAsia="黑体"/>
          <w:bCs/>
          <w:color w:val="000000"/>
          <w:sz w:val="30"/>
          <w:szCs w:val="28"/>
        </w:rPr>
        <w:t xml:space="preserve"> 规范及标准</w:t>
      </w:r>
      <w:bookmarkEnd w:id="12"/>
      <w:bookmarkEnd w:id="14"/>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1、G/B2260-2007中华人民共和国行政区划代码；</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2、G/B21010-2007土地利用现状分类；</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3、TD/T1032-2011基本农田划定技术规程；</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4、TD/T1004-2003农用地分等规程；</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5、TD/T1016-2007土地利用数据库标准；</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6、TD/T1017-2008第二次全国土地调查基本农田调查技术规程；</w:t>
      </w:r>
    </w:p>
    <w:p>
      <w:pPr>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7、《县级土地利用总体规划编制规程》（TD/T1024-2010）；</w:t>
      </w:r>
    </w:p>
    <w:p>
      <w:pPr>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8、《县级土地利用总体规划数据库标准》（TD/T1027-2010）；</w:t>
      </w:r>
    </w:p>
    <w:p>
      <w:pPr>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9、《云南省乡（镇）土地利用总体规划电子数据要求》（试行）；</w:t>
      </w:r>
    </w:p>
    <w:p>
      <w:pPr>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10、《云南省市县乡级土地利用总体规划调整完善技术指南》；</w:t>
      </w:r>
    </w:p>
    <w:p>
      <w:pPr>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11、《云南省土地利用总体规划修改技术要求》；</w:t>
      </w:r>
    </w:p>
    <w:p>
      <w:pPr>
        <w:adjustRightInd w:val="0"/>
        <w:spacing w:line="360" w:lineRule="auto"/>
        <w:ind w:firstLine="560" w:firstLineChars="200"/>
        <w:jc w:val="lef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12、《云南省全域永久基本农田划定工作实施方案》；</w:t>
      </w:r>
    </w:p>
    <w:p>
      <w:pPr>
        <w:adjustRightInd w:val="0"/>
        <w:spacing w:line="360" w:lineRule="auto"/>
        <w:ind w:firstLine="560" w:firstLineChars="200"/>
        <w:jc w:val="lef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13、《云南省永久基本农田划定数据库标准（2017版）》；</w:t>
      </w:r>
    </w:p>
    <w:p>
      <w:pPr>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14、《</w:t>
      </w:r>
      <w:r>
        <w:rPr>
          <w:rFonts w:ascii="Times New Roman" w:hAnsi="Times New Roman" w:eastAsia="仿宋_GB2312" w:cs="Times New Roman"/>
          <w:color w:val="000000"/>
          <w:kern w:val="0"/>
          <w:sz w:val="28"/>
          <w:szCs w:val="28"/>
        </w:rPr>
        <w:t>云南省重大项目永久基本农田占用补划方案编制指南（试行）</w:t>
      </w:r>
      <w:r>
        <w:rPr>
          <w:rFonts w:ascii="Times New Roman" w:hAnsi="Times New Roman" w:eastAsia="仿宋_GB2312" w:cs="Times New Roman"/>
          <w:color w:val="000000"/>
          <w:sz w:val="28"/>
          <w:szCs w:val="28"/>
        </w:rPr>
        <w:t>》；</w:t>
      </w:r>
    </w:p>
    <w:p>
      <w:pPr>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bCs/>
          <w:color w:val="000000"/>
          <w:sz w:val="28"/>
          <w:szCs w:val="28"/>
        </w:rPr>
        <w:t>15、公路工程项目建设用地指标（建标〔2011〕124号）</w:t>
      </w:r>
    </w:p>
    <w:p>
      <w:pPr>
        <w:keepNext/>
        <w:keepLines/>
        <w:adjustRightInd w:val="0"/>
        <w:spacing w:line="360" w:lineRule="auto"/>
        <w:ind w:firstLine="600" w:firstLineChars="200"/>
        <w:outlineLvl w:val="2"/>
        <w:rPr>
          <w:rFonts w:ascii="Times New Roman" w:hAnsi="Times New Roman" w:eastAsia="黑体" w:cs="Times New Roman"/>
          <w:bCs/>
          <w:color w:val="000000"/>
          <w:sz w:val="30"/>
          <w:szCs w:val="28"/>
        </w:rPr>
      </w:pPr>
      <w:bookmarkStart w:id="15" w:name="_Toc88211874"/>
      <w:r>
        <w:rPr>
          <w:rFonts w:ascii="Times New Roman" w:hAnsi="Times New Roman" w:eastAsia="黑体" w:cs="Times New Roman"/>
          <w:bCs/>
          <w:color w:val="000000"/>
          <w:sz w:val="30"/>
          <w:szCs w:val="28"/>
        </w:rPr>
        <w:t>3.6 相关规划</w:t>
      </w:r>
      <w:bookmarkEnd w:id="15"/>
    </w:p>
    <w:p>
      <w:pPr>
        <w:adjustRightInd w:val="0"/>
        <w:spacing w:line="360" w:lineRule="auto"/>
        <w:ind w:firstLine="560" w:firstLineChars="200"/>
        <w:jc w:val="lef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1、《芒市土地利用总体规划(2010-2020年)调整完善方案》；</w:t>
      </w:r>
    </w:p>
    <w:p>
      <w:pPr>
        <w:adjustRightInd w:val="0"/>
        <w:spacing w:line="360" w:lineRule="auto"/>
        <w:ind w:firstLine="560" w:firstLineChars="200"/>
        <w:jc w:val="lef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2、《县级土地利用总体规划编制规程》（TD/T1024-2010）；</w:t>
      </w:r>
    </w:p>
    <w:p>
      <w:pPr>
        <w:adjustRightInd w:val="0"/>
        <w:spacing w:line="360" w:lineRule="auto"/>
        <w:ind w:firstLine="560" w:firstLineChars="200"/>
        <w:jc w:val="lef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3、《县级土地利用总体制规规划数据库标准》（TD/T1027-2010）；</w:t>
      </w:r>
    </w:p>
    <w:p>
      <w:pPr>
        <w:adjustRightInd w:val="0"/>
        <w:spacing w:line="360" w:lineRule="auto"/>
        <w:ind w:firstLine="560" w:firstLineChars="200"/>
        <w:jc w:val="lef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4、《乡（镇）土地利用总体规划编程》（TD/T1025-2010）；</w:t>
      </w:r>
    </w:p>
    <w:p>
      <w:pPr>
        <w:adjustRightInd w:val="0"/>
        <w:spacing w:line="360" w:lineRule="auto"/>
        <w:ind w:firstLine="560" w:firstLineChars="200"/>
        <w:jc w:val="lef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5、《乡（镇）土地利用总体规划制图规程》（TD/T1022-2009）；</w:t>
      </w:r>
    </w:p>
    <w:p>
      <w:pPr>
        <w:adjustRightInd w:val="0"/>
        <w:spacing w:line="360" w:lineRule="auto"/>
        <w:ind w:firstLine="560" w:firstLineChars="200"/>
        <w:jc w:val="lef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6、《乡（镇）土地利用总体规划数据库标准》（TD/T1028-2010）；</w:t>
      </w:r>
    </w:p>
    <w:p>
      <w:pPr>
        <w:adjustRightInd w:val="0"/>
        <w:spacing w:line="360" w:lineRule="auto"/>
        <w:ind w:firstLine="560" w:firstLineChars="200"/>
        <w:jc w:val="lef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7、《云南省土地利用总体规划修改技术要求》(2016年5月)；</w:t>
      </w:r>
    </w:p>
    <w:p>
      <w:pPr>
        <w:adjustRightInd w:val="0"/>
        <w:spacing w:line="360" w:lineRule="auto"/>
        <w:ind w:firstLine="560" w:firstLineChars="200"/>
        <w:jc w:val="lef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8、《芒市永久基本农田划定成果数据》；</w:t>
      </w:r>
    </w:p>
    <w:p>
      <w:pPr>
        <w:adjustRightInd w:val="0"/>
        <w:spacing w:line="360" w:lineRule="auto"/>
        <w:ind w:firstLine="560" w:firstLineChars="200"/>
        <w:jc w:val="lef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9、《芒市2018年土地变更调查数据》；</w:t>
      </w:r>
    </w:p>
    <w:p>
      <w:pPr>
        <w:adjustRightInd w:val="0"/>
        <w:spacing w:line="360" w:lineRule="auto"/>
        <w:ind w:firstLine="560" w:firstLineChars="200"/>
        <w:jc w:val="lef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10、《芒市2018年度耕地质量等别更新评价成果》；</w:t>
      </w:r>
    </w:p>
    <w:p>
      <w:pPr>
        <w:adjustRightInd w:val="0"/>
        <w:spacing w:line="360" w:lineRule="auto"/>
        <w:ind w:firstLine="560" w:firstLineChars="200"/>
        <w:jc w:val="lef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12、《芒市永久基本农田划定成果数据》；</w:t>
      </w:r>
    </w:p>
    <w:p>
      <w:pPr>
        <w:adjustRightInd w:val="0"/>
        <w:spacing w:line="360" w:lineRule="auto"/>
        <w:ind w:firstLine="560" w:firstLineChars="200"/>
        <w:jc w:val="lef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13、《芒市2018年土地变更调查数据》；</w:t>
      </w:r>
    </w:p>
    <w:p>
      <w:pPr>
        <w:adjustRightInd w:val="0"/>
        <w:spacing w:line="360" w:lineRule="auto"/>
        <w:ind w:firstLine="560" w:firstLineChars="200"/>
        <w:jc w:val="lef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14、《芒市2018年度耕地质量等别更新评价成果》；</w:t>
      </w:r>
    </w:p>
    <w:p>
      <w:pPr>
        <w:keepNext/>
        <w:keepLines/>
        <w:adjustRightInd w:val="0"/>
        <w:spacing w:line="360" w:lineRule="auto"/>
        <w:ind w:firstLine="600" w:firstLineChars="200"/>
        <w:outlineLvl w:val="2"/>
        <w:rPr>
          <w:rFonts w:eastAsia="黑体"/>
          <w:bCs/>
          <w:color w:val="000000"/>
          <w:sz w:val="30"/>
          <w:szCs w:val="28"/>
        </w:rPr>
      </w:pPr>
      <w:bookmarkStart w:id="16" w:name="_Toc1077"/>
      <w:bookmarkStart w:id="17" w:name="_Toc88211875"/>
      <w:r>
        <w:rPr>
          <w:rFonts w:hint="eastAsia" w:eastAsia="黑体"/>
          <w:bCs/>
          <w:color w:val="000000"/>
          <w:sz w:val="30"/>
          <w:szCs w:val="28"/>
        </w:rPr>
        <w:t>3</w:t>
      </w:r>
      <w:r>
        <w:rPr>
          <w:rFonts w:eastAsia="黑体"/>
          <w:bCs/>
          <w:color w:val="000000"/>
          <w:sz w:val="30"/>
          <w:szCs w:val="28"/>
        </w:rPr>
        <w:t>.</w:t>
      </w:r>
      <w:r>
        <w:rPr>
          <w:rFonts w:hint="eastAsia" w:eastAsia="黑体"/>
          <w:bCs/>
          <w:color w:val="000000"/>
          <w:sz w:val="30"/>
          <w:szCs w:val="28"/>
        </w:rPr>
        <w:t>7</w:t>
      </w:r>
      <w:r>
        <w:rPr>
          <w:rFonts w:eastAsia="黑体"/>
          <w:bCs/>
          <w:color w:val="000000"/>
          <w:sz w:val="30"/>
          <w:szCs w:val="28"/>
        </w:rPr>
        <w:t>其它依据</w:t>
      </w:r>
      <w:bookmarkEnd w:id="16"/>
      <w:bookmarkEnd w:id="17"/>
    </w:p>
    <w:p>
      <w:pPr>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1、《云南省人民政府办公厅关于印发云南省道网规划修编（2016-2030年）的通知》（云政办发〔2017〕61号）；</w:t>
      </w:r>
    </w:p>
    <w:p>
      <w:pPr>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2、《云南省人民政府关于印发云南省加快“十三五”高速公路建设行动方案的通知》（云政办发〔2017〕68号）；</w:t>
      </w:r>
    </w:p>
    <w:p>
      <w:pPr>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3、《云南省发展和改革委员会关于瑞丽至孟连高速公路工程可行性研究报告的批复》（云发改基础〔2019〕493号）；</w:t>
      </w:r>
    </w:p>
    <w:p>
      <w:pPr>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4、云南省交通运输厅关于瑞丽至孟连高速公路初步设计的批复（云交审批便〔2019〕42号）；</w:t>
      </w:r>
    </w:p>
    <w:p>
      <w:pPr>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5、云南省交通运输厅关于瑞丽至孟连高速公路施工设计图的批复（云交审批便〔2020〕26号）；</w:t>
      </w:r>
    </w:p>
    <w:p>
      <w:pPr>
        <w:pStyle w:val="13"/>
        <w:spacing w:line="360" w:lineRule="auto"/>
        <w:ind w:left="0"/>
        <w:jc w:val="center"/>
        <w:outlineLvl w:val="0"/>
        <w:rPr>
          <w:rFonts w:eastAsia="黑体"/>
          <w:bCs/>
          <w:color w:val="000000"/>
          <w:kern w:val="44"/>
          <w:sz w:val="36"/>
          <w:szCs w:val="44"/>
        </w:rPr>
      </w:pPr>
      <w:bookmarkStart w:id="18" w:name="_Toc88211876"/>
      <w:r>
        <w:rPr>
          <w:rFonts w:hint="eastAsia" w:eastAsia="黑体"/>
          <w:bCs/>
          <w:color w:val="000000"/>
          <w:kern w:val="44"/>
          <w:sz w:val="36"/>
          <w:szCs w:val="44"/>
        </w:rPr>
        <w:t>四、项目涉及芒市用地情况</w:t>
      </w:r>
      <w:bookmarkEnd w:id="18"/>
    </w:p>
    <w:p>
      <w:pPr>
        <w:keepNext/>
        <w:keepLines/>
        <w:adjustRightInd w:val="0"/>
        <w:spacing w:line="360" w:lineRule="auto"/>
        <w:ind w:firstLine="600" w:firstLineChars="200"/>
        <w:outlineLvl w:val="2"/>
        <w:rPr>
          <w:rFonts w:eastAsia="黑体"/>
          <w:bCs/>
          <w:color w:val="000000"/>
          <w:sz w:val="30"/>
          <w:szCs w:val="28"/>
        </w:rPr>
      </w:pPr>
      <w:bookmarkStart w:id="19" w:name="_Toc79586842"/>
      <w:bookmarkStart w:id="20" w:name="_Toc88211877"/>
      <w:r>
        <w:rPr>
          <w:rFonts w:hint="eastAsia" w:eastAsia="黑体"/>
          <w:bCs/>
          <w:color w:val="000000"/>
          <w:sz w:val="30"/>
          <w:szCs w:val="28"/>
        </w:rPr>
        <w:t>4.1 上级分解指标调整</w:t>
      </w:r>
      <w:bookmarkEnd w:id="19"/>
      <w:bookmarkEnd w:id="20"/>
    </w:p>
    <w:p>
      <w:pPr>
        <w:adjustRightInd w:val="0"/>
        <w:spacing w:line="360" w:lineRule="auto"/>
        <w:ind w:firstLine="560" w:firstLineChars="200"/>
        <w:jc w:val="left"/>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根据瑞丽至孟连高速公路建设项目实际指标需求情况，申请使用的新增建设用地指标30.9275公顷追加到芒市后，上级下达芒市的建设用地总规模，交通、水利及其他用地规模，新增建设用地总量均增加30.9275公顷；新增建设占用农用地规模增加</w:t>
      </w:r>
      <w:r>
        <w:rPr>
          <w:rFonts w:ascii="Times New Roman" w:hAnsi="Times New Roman" w:eastAsia="仿宋_GB2312" w:cs="Times New Roman"/>
          <w:bCs/>
          <w:color w:val="000000" w:themeColor="text1"/>
          <w:sz w:val="28"/>
          <w:szCs w:val="28"/>
          <w14:textFill>
            <w14:solidFill>
              <w14:schemeClr w14:val="tx1"/>
            </w14:solidFill>
          </w14:textFill>
        </w:rPr>
        <w:t>30.8000</w:t>
      </w:r>
      <w:r>
        <w:rPr>
          <w:rFonts w:ascii="Times New Roman" w:hAnsi="Times New Roman" w:eastAsia="仿宋_GB2312" w:cs="Times New Roman"/>
          <w:bCs/>
          <w:color w:val="000000"/>
          <w:sz w:val="28"/>
          <w:szCs w:val="28"/>
        </w:rPr>
        <w:t>公顷；新增建设占用耕地规模增加25.8665公顷，并将追加的指标相应的分解至</w:t>
      </w:r>
      <w:r>
        <w:rPr>
          <w:rFonts w:hint="eastAsia" w:ascii="Times New Roman" w:hAnsi="Times New Roman" w:eastAsia="仿宋_GB2312" w:cs="Times New Roman"/>
          <w:bCs/>
          <w:color w:val="000000"/>
          <w:sz w:val="28"/>
          <w:szCs w:val="28"/>
        </w:rPr>
        <w:t>芒市镇、风平镇</w:t>
      </w:r>
      <w:r>
        <w:rPr>
          <w:rFonts w:ascii="Times New Roman" w:hAnsi="Times New Roman" w:eastAsia="仿宋_GB2312" w:cs="Times New Roman"/>
          <w:bCs/>
          <w:color w:val="000000"/>
          <w:sz w:val="28"/>
          <w:szCs w:val="28"/>
        </w:rPr>
        <w:t>，由于占用补划后</w:t>
      </w:r>
      <w:r>
        <w:rPr>
          <w:rFonts w:hint="eastAsia" w:ascii="Times New Roman" w:hAnsi="Times New Roman" w:eastAsia="仿宋_GB2312" w:cs="Times New Roman"/>
          <w:bCs/>
          <w:color w:val="000000"/>
          <w:sz w:val="28"/>
          <w:szCs w:val="28"/>
        </w:rPr>
        <w:t>凤平镇</w:t>
      </w:r>
      <w:r>
        <w:rPr>
          <w:rFonts w:ascii="Times New Roman" w:hAnsi="Times New Roman" w:eastAsia="仿宋_GB2312" w:cs="Times New Roman"/>
          <w:bCs/>
          <w:color w:val="000000"/>
          <w:sz w:val="28"/>
          <w:szCs w:val="28"/>
        </w:rPr>
        <w:t>永久基本农田面积小于上级下达保护任务，而</w:t>
      </w:r>
      <w:r>
        <w:rPr>
          <w:rFonts w:hint="eastAsia" w:ascii="Times New Roman" w:hAnsi="Times New Roman" w:eastAsia="仿宋_GB2312" w:cs="Times New Roman"/>
          <w:bCs/>
          <w:color w:val="000000"/>
          <w:sz w:val="28"/>
          <w:szCs w:val="28"/>
        </w:rPr>
        <w:t>芒市镇</w:t>
      </w:r>
      <w:r>
        <w:rPr>
          <w:rFonts w:ascii="Times New Roman" w:hAnsi="Times New Roman" w:eastAsia="仿宋_GB2312" w:cs="Times New Roman"/>
          <w:bCs/>
          <w:color w:val="000000"/>
          <w:sz w:val="28"/>
          <w:szCs w:val="28"/>
        </w:rPr>
        <w:t>永久基本农田面积大于上级下达保护任务，因此调芒市镇</w:t>
      </w:r>
      <w:r>
        <w:rPr>
          <w:rFonts w:hint="eastAsia" w:ascii="Times New Roman" w:hAnsi="Times New Roman" w:eastAsia="仿宋_GB2312" w:cs="Times New Roman"/>
          <w:bCs/>
          <w:color w:val="000000"/>
          <w:sz w:val="28"/>
          <w:szCs w:val="28"/>
        </w:rPr>
        <w:t>、</w:t>
      </w:r>
      <w:r>
        <w:rPr>
          <w:rFonts w:ascii="Times New Roman" w:hAnsi="Times New Roman" w:eastAsia="仿宋_GB2312" w:cs="Times New Roman"/>
          <w:bCs/>
          <w:color w:val="000000"/>
          <w:sz w:val="28"/>
          <w:szCs w:val="28"/>
        </w:rPr>
        <w:t>风平镇永久基本农田保护任务，调整后芒市上级下达永久基本农田保护任务保持不变，详见下表。</w:t>
      </w:r>
    </w:p>
    <w:p>
      <w:pPr>
        <w:ind w:firstLine="48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表</w:t>
      </w:r>
      <w:r>
        <w:rPr>
          <w:rFonts w:hint="eastAsia" w:ascii="Times New Roman" w:hAnsi="Times New Roman" w:eastAsia="仿宋_GB2312" w:cs="Times New Roman"/>
          <w:b/>
          <w:kern w:val="0"/>
          <w:sz w:val="28"/>
          <w:szCs w:val="28"/>
        </w:rPr>
        <w:t>4-1芒市</w:t>
      </w:r>
      <w:r>
        <w:rPr>
          <w:rFonts w:ascii="Times New Roman" w:hAnsi="Times New Roman" w:eastAsia="仿宋_GB2312" w:cs="Times New Roman"/>
          <w:b/>
          <w:kern w:val="0"/>
          <w:sz w:val="28"/>
          <w:szCs w:val="28"/>
        </w:rPr>
        <w:t>上级下达指标调整表</w:t>
      </w:r>
    </w:p>
    <w:p>
      <w:pPr>
        <w:widowControl/>
        <w:jc w:val="right"/>
        <w:rPr>
          <w:rFonts w:ascii="Times New Roman" w:hAnsi="Times New Roman" w:cs="Times New Roman"/>
          <w:kern w:val="0"/>
          <w:szCs w:val="21"/>
        </w:rPr>
      </w:pPr>
      <w:r>
        <w:rPr>
          <w:rFonts w:ascii="Times New Roman" w:hAnsi="Times New Roman" w:cs="Times New Roman"/>
          <w:kern w:val="0"/>
          <w:szCs w:val="21"/>
        </w:rPr>
        <w:t>单位：公顷</w:t>
      </w:r>
    </w:p>
    <w:tbl>
      <w:tblPr>
        <w:tblStyle w:val="14"/>
        <w:tblW w:w="5000" w:type="pct"/>
        <w:jc w:val="center"/>
        <w:tblLayout w:type="autofit"/>
        <w:tblCellMar>
          <w:top w:w="0" w:type="dxa"/>
          <w:left w:w="108" w:type="dxa"/>
          <w:bottom w:w="0" w:type="dxa"/>
          <w:right w:w="108" w:type="dxa"/>
        </w:tblCellMar>
      </w:tblPr>
      <w:tblGrid>
        <w:gridCol w:w="641"/>
        <w:gridCol w:w="850"/>
        <w:gridCol w:w="1005"/>
        <w:gridCol w:w="810"/>
        <w:gridCol w:w="1214"/>
        <w:gridCol w:w="1260"/>
        <w:gridCol w:w="1134"/>
        <w:gridCol w:w="1134"/>
        <w:gridCol w:w="1068"/>
      </w:tblGrid>
      <w:tr>
        <w:tblPrEx>
          <w:tblCellMar>
            <w:top w:w="0" w:type="dxa"/>
            <w:left w:w="108" w:type="dxa"/>
            <w:bottom w:w="0" w:type="dxa"/>
            <w:right w:w="108" w:type="dxa"/>
          </w:tblCellMar>
        </w:tblPrEx>
        <w:trPr>
          <w:trHeight w:val="1263" w:hRule="atLeast"/>
          <w:jc w:val="center"/>
        </w:trPr>
        <w:tc>
          <w:tcPr>
            <w:tcW w:w="3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仿宋_GB2312" w:hAnsi="Arial" w:eastAsia="仿宋_GB2312" w:cs="Arial"/>
                <w:b/>
                <w:bCs/>
                <w:color w:val="000000"/>
                <w:kern w:val="0"/>
                <w:sz w:val="24"/>
                <w:szCs w:val="24"/>
              </w:rPr>
            </w:pPr>
            <w:r>
              <w:rPr>
                <w:rFonts w:hint="eastAsia" w:ascii="仿宋_GB2312" w:hAnsi="Arial" w:eastAsia="仿宋_GB2312" w:cs="Arial"/>
                <w:b/>
                <w:bCs/>
                <w:color w:val="000000"/>
                <w:kern w:val="0"/>
                <w:sz w:val="24"/>
                <w:szCs w:val="24"/>
              </w:rPr>
              <w:t>行政区划</w:t>
            </w:r>
          </w:p>
        </w:tc>
        <w:tc>
          <w:tcPr>
            <w:tcW w:w="466"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仿宋_GB2312" w:hAnsi="Arial" w:eastAsia="仿宋_GB2312" w:cs="Arial"/>
                <w:b/>
                <w:bCs/>
                <w:color w:val="000000"/>
                <w:kern w:val="0"/>
                <w:sz w:val="24"/>
                <w:szCs w:val="24"/>
              </w:rPr>
            </w:pPr>
            <w:r>
              <w:rPr>
                <w:rFonts w:hint="eastAsia" w:ascii="仿宋_GB2312" w:hAnsi="Arial" w:eastAsia="仿宋_GB2312" w:cs="Arial"/>
                <w:b/>
                <w:bCs/>
                <w:color w:val="000000"/>
                <w:kern w:val="0"/>
                <w:sz w:val="24"/>
                <w:szCs w:val="24"/>
              </w:rPr>
              <w:t>指标状态</w:t>
            </w:r>
          </w:p>
        </w:tc>
        <w:tc>
          <w:tcPr>
            <w:tcW w:w="551"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仿宋_GB2312" w:hAnsi="Arial" w:eastAsia="仿宋_GB2312" w:cs="Arial"/>
                <w:b/>
                <w:bCs/>
                <w:color w:val="000000"/>
                <w:kern w:val="0"/>
                <w:sz w:val="24"/>
                <w:szCs w:val="24"/>
              </w:rPr>
            </w:pPr>
            <w:r>
              <w:rPr>
                <w:rFonts w:hint="eastAsia" w:ascii="仿宋_GB2312" w:hAnsi="Arial" w:eastAsia="仿宋_GB2312" w:cs="Arial"/>
                <w:b/>
                <w:bCs/>
                <w:color w:val="000000"/>
                <w:kern w:val="0"/>
                <w:sz w:val="24"/>
                <w:szCs w:val="24"/>
              </w:rPr>
              <w:t>耕地保有量</w:t>
            </w:r>
          </w:p>
        </w:tc>
        <w:tc>
          <w:tcPr>
            <w:tcW w:w="444"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仿宋_GB2312" w:hAnsi="Arial" w:eastAsia="仿宋_GB2312" w:cs="Arial"/>
                <w:b/>
                <w:bCs/>
                <w:color w:val="000000"/>
                <w:kern w:val="0"/>
                <w:sz w:val="24"/>
                <w:szCs w:val="24"/>
              </w:rPr>
            </w:pPr>
            <w:r>
              <w:rPr>
                <w:rFonts w:hint="eastAsia" w:ascii="仿宋_GB2312" w:hAnsi="Arial" w:eastAsia="仿宋_GB2312" w:cs="Arial"/>
                <w:b/>
                <w:bCs/>
                <w:color w:val="000000"/>
                <w:kern w:val="0"/>
                <w:sz w:val="24"/>
                <w:szCs w:val="24"/>
              </w:rPr>
              <w:t>基本农田面积</w:t>
            </w:r>
          </w:p>
        </w:tc>
        <w:tc>
          <w:tcPr>
            <w:tcW w:w="666"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仿宋_GB2312" w:hAnsi="Arial" w:eastAsia="仿宋_GB2312" w:cs="Arial"/>
                <w:b/>
                <w:bCs/>
                <w:color w:val="000000"/>
                <w:kern w:val="0"/>
                <w:sz w:val="24"/>
                <w:szCs w:val="24"/>
              </w:rPr>
            </w:pPr>
            <w:r>
              <w:rPr>
                <w:rFonts w:hint="eastAsia" w:ascii="仿宋_GB2312" w:hAnsi="Arial" w:eastAsia="仿宋_GB2312" w:cs="Arial"/>
                <w:b/>
                <w:bCs/>
                <w:color w:val="000000"/>
                <w:kern w:val="0"/>
                <w:sz w:val="24"/>
                <w:szCs w:val="24"/>
              </w:rPr>
              <w:t>建设用地总规模</w:t>
            </w:r>
          </w:p>
        </w:tc>
        <w:tc>
          <w:tcPr>
            <w:tcW w:w="691"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仿宋_GB2312" w:hAnsi="Arial" w:eastAsia="仿宋_GB2312" w:cs="Arial"/>
                <w:b/>
                <w:bCs/>
                <w:color w:val="000000"/>
                <w:kern w:val="0"/>
                <w:sz w:val="24"/>
                <w:szCs w:val="24"/>
              </w:rPr>
            </w:pPr>
            <w:r>
              <w:rPr>
                <w:rFonts w:hint="eastAsia" w:ascii="仿宋_GB2312" w:hAnsi="Arial" w:eastAsia="仿宋_GB2312" w:cs="Arial"/>
                <w:b/>
                <w:bCs/>
                <w:color w:val="000000"/>
                <w:kern w:val="0"/>
                <w:sz w:val="24"/>
                <w:szCs w:val="24"/>
              </w:rPr>
              <w:t>交通、水利及其他用地规模</w:t>
            </w:r>
          </w:p>
        </w:tc>
        <w:tc>
          <w:tcPr>
            <w:tcW w:w="622"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仿宋_GB2312" w:hAnsi="Arial" w:eastAsia="仿宋_GB2312" w:cs="Arial"/>
                <w:b/>
                <w:bCs/>
                <w:color w:val="000000"/>
                <w:kern w:val="0"/>
                <w:sz w:val="24"/>
                <w:szCs w:val="24"/>
              </w:rPr>
            </w:pPr>
            <w:r>
              <w:rPr>
                <w:rFonts w:hint="eastAsia" w:ascii="仿宋_GB2312" w:hAnsi="Arial" w:eastAsia="仿宋_GB2312" w:cs="Arial"/>
                <w:b/>
                <w:bCs/>
                <w:color w:val="000000"/>
                <w:kern w:val="0"/>
                <w:sz w:val="24"/>
                <w:szCs w:val="24"/>
              </w:rPr>
              <w:t>新增建设用地总量</w:t>
            </w:r>
          </w:p>
        </w:tc>
        <w:tc>
          <w:tcPr>
            <w:tcW w:w="622"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仿宋_GB2312" w:hAnsi="Arial" w:eastAsia="仿宋_GB2312" w:cs="Arial"/>
                <w:b/>
                <w:bCs/>
                <w:color w:val="000000"/>
                <w:kern w:val="0"/>
                <w:sz w:val="24"/>
                <w:szCs w:val="24"/>
              </w:rPr>
            </w:pPr>
            <w:r>
              <w:rPr>
                <w:rFonts w:hint="eastAsia" w:ascii="仿宋_GB2312" w:hAnsi="Arial" w:eastAsia="仿宋_GB2312" w:cs="Arial"/>
                <w:b/>
                <w:bCs/>
                <w:color w:val="000000"/>
                <w:kern w:val="0"/>
                <w:sz w:val="24"/>
                <w:szCs w:val="24"/>
              </w:rPr>
              <w:t>新增建设占用农用地规模</w:t>
            </w:r>
          </w:p>
        </w:tc>
        <w:tc>
          <w:tcPr>
            <w:tcW w:w="586"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仿宋_GB2312" w:hAnsi="Arial" w:eastAsia="仿宋_GB2312" w:cs="Arial"/>
                <w:b/>
                <w:bCs/>
                <w:color w:val="000000"/>
                <w:kern w:val="0"/>
                <w:sz w:val="24"/>
                <w:szCs w:val="24"/>
              </w:rPr>
            </w:pPr>
            <w:r>
              <w:rPr>
                <w:rFonts w:hint="eastAsia" w:ascii="仿宋_GB2312" w:hAnsi="Arial" w:eastAsia="仿宋_GB2312" w:cs="Arial"/>
                <w:b/>
                <w:bCs/>
                <w:color w:val="000000"/>
                <w:kern w:val="0"/>
                <w:sz w:val="24"/>
                <w:szCs w:val="24"/>
              </w:rPr>
              <w:t>新增建设占用耕地规模</w:t>
            </w:r>
          </w:p>
        </w:tc>
      </w:tr>
      <w:tr>
        <w:tblPrEx>
          <w:tblCellMar>
            <w:top w:w="0" w:type="dxa"/>
            <w:left w:w="108" w:type="dxa"/>
            <w:bottom w:w="0" w:type="dxa"/>
            <w:right w:w="108" w:type="dxa"/>
          </w:tblCellMar>
        </w:tblPrEx>
        <w:trPr>
          <w:trHeight w:val="303" w:hRule="atLeast"/>
          <w:jc w:val="center"/>
        </w:trPr>
        <w:tc>
          <w:tcPr>
            <w:tcW w:w="352"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仿宋_GB2312" w:hAnsi="Arial" w:eastAsia="仿宋_GB2312" w:cs="Arial"/>
                <w:color w:val="000000"/>
                <w:kern w:val="0"/>
                <w:szCs w:val="21"/>
              </w:rPr>
            </w:pPr>
            <w:r>
              <w:rPr>
                <w:rFonts w:hint="eastAsia" w:ascii="仿宋_GB2312" w:hAnsi="Arial" w:eastAsia="仿宋_GB2312" w:cs="Arial"/>
                <w:color w:val="000000"/>
                <w:kern w:val="0"/>
                <w:szCs w:val="21"/>
              </w:rPr>
              <w:t>芒市</w:t>
            </w:r>
          </w:p>
        </w:tc>
        <w:tc>
          <w:tcPr>
            <w:tcW w:w="466" w:type="pct"/>
            <w:tcBorders>
              <w:top w:val="nil"/>
              <w:left w:val="nil"/>
              <w:bottom w:val="single" w:color="000000" w:sz="8" w:space="0"/>
              <w:right w:val="single" w:color="000000" w:sz="8" w:space="0"/>
            </w:tcBorders>
            <w:shd w:val="clear" w:color="auto" w:fill="auto"/>
            <w:vAlign w:val="center"/>
          </w:tcPr>
          <w:p>
            <w:pPr>
              <w:widowControl/>
              <w:jc w:val="center"/>
              <w:rPr>
                <w:rFonts w:hint="eastAsia" w:ascii="仿宋_GB2312" w:hAnsi="Arial" w:eastAsia="仿宋_GB2312" w:cs="Arial"/>
                <w:color w:val="000000"/>
                <w:kern w:val="0"/>
                <w:szCs w:val="21"/>
              </w:rPr>
            </w:pPr>
            <w:r>
              <w:rPr>
                <w:rFonts w:hint="eastAsia" w:ascii="仿宋_GB2312" w:hAnsi="Arial" w:eastAsia="仿宋_GB2312" w:cs="Arial"/>
                <w:color w:val="000000"/>
                <w:kern w:val="0"/>
                <w:szCs w:val="21"/>
              </w:rPr>
              <w:t>修改前</w:t>
            </w:r>
          </w:p>
        </w:tc>
        <w:tc>
          <w:tcPr>
            <w:tcW w:w="551" w:type="pct"/>
            <w:tcBorders>
              <w:top w:val="nil"/>
              <w:left w:val="nil"/>
              <w:bottom w:val="single" w:color="000000" w:sz="8" w:space="0"/>
              <w:right w:val="single" w:color="000000" w:sz="8" w:space="0"/>
            </w:tcBorders>
            <w:shd w:val="clear" w:color="auto" w:fill="auto"/>
            <w:vAlign w:val="center"/>
          </w:tcPr>
          <w:p>
            <w:pPr>
              <w:widowControl/>
              <w:jc w:val="center"/>
              <w:rPr>
                <w:rFonts w:hint="eastAsia" w:ascii="Times New Roman" w:hAnsi="Times New Roman" w:eastAsia="宋体" w:cs="Times New Roman"/>
                <w:color w:val="000000"/>
                <w:kern w:val="0"/>
                <w:szCs w:val="21"/>
              </w:rPr>
            </w:pPr>
            <w:r>
              <w:rPr>
                <w:rFonts w:ascii="Times New Roman" w:hAnsi="Times New Roman" w:eastAsia="宋体" w:cs="Times New Roman"/>
                <w:color w:val="000000"/>
                <w:kern w:val="0"/>
                <w:szCs w:val="21"/>
              </w:rPr>
              <w:t>53133</w:t>
            </w:r>
          </w:p>
        </w:tc>
        <w:tc>
          <w:tcPr>
            <w:tcW w:w="44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48755</w:t>
            </w:r>
          </w:p>
        </w:tc>
        <w:tc>
          <w:tcPr>
            <w:tcW w:w="666"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12879.61</w:t>
            </w:r>
          </w:p>
        </w:tc>
        <w:tc>
          <w:tcPr>
            <w:tcW w:w="691"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10352.6</w:t>
            </w:r>
          </w:p>
        </w:tc>
        <w:tc>
          <w:tcPr>
            <w:tcW w:w="622"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1587.61</w:t>
            </w:r>
          </w:p>
        </w:tc>
        <w:tc>
          <w:tcPr>
            <w:tcW w:w="622"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1494.62</w:t>
            </w:r>
          </w:p>
        </w:tc>
        <w:tc>
          <w:tcPr>
            <w:tcW w:w="586"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950.97</w:t>
            </w:r>
          </w:p>
        </w:tc>
      </w:tr>
      <w:tr>
        <w:tblPrEx>
          <w:tblCellMar>
            <w:top w:w="0" w:type="dxa"/>
            <w:left w:w="108" w:type="dxa"/>
            <w:bottom w:w="0" w:type="dxa"/>
            <w:right w:w="108" w:type="dxa"/>
          </w:tblCellMar>
        </w:tblPrEx>
        <w:trPr>
          <w:trHeight w:val="303" w:hRule="atLeast"/>
          <w:jc w:val="center"/>
        </w:trPr>
        <w:tc>
          <w:tcPr>
            <w:tcW w:w="352" w:type="pct"/>
            <w:vMerge w:val="continue"/>
            <w:tcBorders>
              <w:top w:val="nil"/>
              <w:left w:val="single" w:color="000000" w:sz="8" w:space="0"/>
              <w:bottom w:val="single" w:color="000000" w:sz="8" w:space="0"/>
              <w:right w:val="single" w:color="000000" w:sz="8" w:space="0"/>
            </w:tcBorders>
            <w:vAlign w:val="center"/>
          </w:tcPr>
          <w:p>
            <w:pPr>
              <w:widowControl/>
              <w:jc w:val="center"/>
              <w:rPr>
                <w:rFonts w:ascii="仿宋_GB2312" w:hAnsi="Arial" w:eastAsia="仿宋_GB2312" w:cs="Arial"/>
                <w:color w:val="000000"/>
                <w:kern w:val="0"/>
                <w:szCs w:val="21"/>
              </w:rPr>
            </w:pPr>
          </w:p>
        </w:tc>
        <w:tc>
          <w:tcPr>
            <w:tcW w:w="466" w:type="pct"/>
            <w:tcBorders>
              <w:top w:val="nil"/>
              <w:left w:val="nil"/>
              <w:bottom w:val="single" w:color="000000" w:sz="8" w:space="0"/>
              <w:right w:val="single" w:color="000000" w:sz="8" w:space="0"/>
            </w:tcBorders>
            <w:shd w:val="clear" w:color="auto" w:fill="auto"/>
            <w:vAlign w:val="center"/>
          </w:tcPr>
          <w:p>
            <w:pPr>
              <w:widowControl/>
              <w:jc w:val="center"/>
              <w:rPr>
                <w:rFonts w:ascii="仿宋_GB2312" w:hAnsi="Arial" w:eastAsia="仿宋_GB2312" w:cs="Arial"/>
                <w:color w:val="000000"/>
                <w:kern w:val="0"/>
                <w:szCs w:val="21"/>
              </w:rPr>
            </w:pPr>
            <w:r>
              <w:rPr>
                <w:rFonts w:hint="eastAsia" w:ascii="仿宋_GB2312" w:hAnsi="Arial" w:eastAsia="仿宋_GB2312" w:cs="Arial"/>
                <w:color w:val="000000"/>
                <w:kern w:val="0"/>
                <w:szCs w:val="21"/>
              </w:rPr>
              <w:t>修改后</w:t>
            </w:r>
          </w:p>
        </w:tc>
        <w:tc>
          <w:tcPr>
            <w:tcW w:w="551" w:type="pct"/>
            <w:tcBorders>
              <w:top w:val="nil"/>
              <w:left w:val="nil"/>
              <w:bottom w:val="single" w:color="000000" w:sz="8" w:space="0"/>
              <w:right w:val="single" w:color="000000" w:sz="8" w:space="0"/>
            </w:tcBorders>
            <w:shd w:val="clear" w:color="auto" w:fill="auto"/>
            <w:vAlign w:val="center"/>
          </w:tcPr>
          <w:p>
            <w:pPr>
              <w:widowControl/>
              <w:jc w:val="center"/>
              <w:rPr>
                <w:rFonts w:hint="eastAsia" w:ascii="Times New Roman" w:hAnsi="Times New Roman" w:eastAsia="宋体" w:cs="Times New Roman"/>
                <w:color w:val="000000"/>
                <w:kern w:val="0"/>
                <w:szCs w:val="21"/>
              </w:rPr>
            </w:pPr>
            <w:r>
              <w:rPr>
                <w:rFonts w:ascii="Times New Roman" w:hAnsi="Times New Roman" w:eastAsia="宋体" w:cs="Times New Roman"/>
                <w:color w:val="000000"/>
                <w:kern w:val="0"/>
                <w:szCs w:val="21"/>
              </w:rPr>
              <w:t>53133</w:t>
            </w:r>
          </w:p>
        </w:tc>
        <w:tc>
          <w:tcPr>
            <w:tcW w:w="44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48755</w:t>
            </w:r>
          </w:p>
        </w:tc>
        <w:tc>
          <w:tcPr>
            <w:tcW w:w="666"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12910.5375</w:t>
            </w:r>
          </w:p>
        </w:tc>
        <w:tc>
          <w:tcPr>
            <w:tcW w:w="691"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10383.5275</w:t>
            </w:r>
          </w:p>
        </w:tc>
        <w:tc>
          <w:tcPr>
            <w:tcW w:w="622"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1618.5375</w:t>
            </w:r>
          </w:p>
        </w:tc>
        <w:tc>
          <w:tcPr>
            <w:tcW w:w="622"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1525.42</w:t>
            </w:r>
          </w:p>
        </w:tc>
        <w:tc>
          <w:tcPr>
            <w:tcW w:w="586"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976.8365</w:t>
            </w:r>
          </w:p>
        </w:tc>
      </w:tr>
      <w:tr>
        <w:tblPrEx>
          <w:tblCellMar>
            <w:top w:w="0" w:type="dxa"/>
            <w:left w:w="108" w:type="dxa"/>
            <w:bottom w:w="0" w:type="dxa"/>
            <w:right w:w="108" w:type="dxa"/>
          </w:tblCellMar>
        </w:tblPrEx>
        <w:trPr>
          <w:trHeight w:val="303" w:hRule="atLeast"/>
          <w:jc w:val="center"/>
        </w:trPr>
        <w:tc>
          <w:tcPr>
            <w:tcW w:w="352" w:type="pct"/>
            <w:vMerge w:val="continue"/>
            <w:tcBorders>
              <w:top w:val="nil"/>
              <w:left w:val="single" w:color="000000" w:sz="8" w:space="0"/>
              <w:bottom w:val="single" w:color="000000" w:sz="8" w:space="0"/>
              <w:right w:val="single" w:color="000000" w:sz="8" w:space="0"/>
            </w:tcBorders>
            <w:vAlign w:val="center"/>
          </w:tcPr>
          <w:p>
            <w:pPr>
              <w:widowControl/>
              <w:jc w:val="center"/>
              <w:rPr>
                <w:rFonts w:ascii="仿宋_GB2312" w:hAnsi="Arial" w:eastAsia="仿宋_GB2312" w:cs="Arial"/>
                <w:color w:val="000000"/>
                <w:kern w:val="0"/>
                <w:szCs w:val="21"/>
              </w:rPr>
            </w:pPr>
          </w:p>
        </w:tc>
        <w:tc>
          <w:tcPr>
            <w:tcW w:w="466" w:type="pct"/>
            <w:tcBorders>
              <w:top w:val="nil"/>
              <w:left w:val="nil"/>
              <w:bottom w:val="single" w:color="000000" w:sz="8" w:space="0"/>
              <w:right w:val="single" w:color="000000" w:sz="8" w:space="0"/>
            </w:tcBorders>
            <w:shd w:val="clear" w:color="auto" w:fill="auto"/>
            <w:vAlign w:val="center"/>
          </w:tcPr>
          <w:p>
            <w:pPr>
              <w:widowControl/>
              <w:jc w:val="center"/>
              <w:rPr>
                <w:rFonts w:ascii="仿宋_GB2312" w:hAnsi="Arial" w:eastAsia="仿宋_GB2312" w:cs="Arial"/>
                <w:color w:val="000000"/>
                <w:kern w:val="0"/>
                <w:szCs w:val="21"/>
              </w:rPr>
            </w:pPr>
            <w:r>
              <w:rPr>
                <w:rFonts w:hint="eastAsia" w:ascii="仿宋_GB2312" w:hAnsi="Arial" w:eastAsia="仿宋_GB2312" w:cs="Arial"/>
                <w:color w:val="000000"/>
                <w:kern w:val="0"/>
                <w:szCs w:val="21"/>
              </w:rPr>
              <w:t>变化量</w:t>
            </w:r>
          </w:p>
        </w:tc>
        <w:tc>
          <w:tcPr>
            <w:tcW w:w="551" w:type="pct"/>
            <w:tcBorders>
              <w:top w:val="nil"/>
              <w:left w:val="nil"/>
              <w:bottom w:val="single" w:color="000000" w:sz="8" w:space="0"/>
              <w:right w:val="single" w:color="000000" w:sz="8" w:space="0"/>
            </w:tcBorders>
            <w:shd w:val="clear" w:color="auto" w:fill="auto"/>
            <w:vAlign w:val="center"/>
          </w:tcPr>
          <w:p>
            <w:pPr>
              <w:widowControl/>
              <w:jc w:val="center"/>
              <w:rPr>
                <w:rFonts w:hint="eastAsia" w:ascii="Times New Roman" w:hAnsi="Times New Roman" w:eastAsia="宋体" w:cs="Times New Roman"/>
                <w:color w:val="000000"/>
                <w:kern w:val="0"/>
                <w:szCs w:val="21"/>
              </w:rPr>
            </w:pPr>
            <w:r>
              <w:rPr>
                <w:rFonts w:ascii="Times New Roman" w:hAnsi="Times New Roman" w:eastAsia="宋体" w:cs="Times New Roman"/>
                <w:color w:val="000000"/>
                <w:kern w:val="0"/>
                <w:szCs w:val="21"/>
              </w:rPr>
              <w:t>0</w:t>
            </w:r>
          </w:p>
        </w:tc>
        <w:tc>
          <w:tcPr>
            <w:tcW w:w="44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w:t>
            </w:r>
          </w:p>
        </w:tc>
        <w:tc>
          <w:tcPr>
            <w:tcW w:w="666"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30.9275</w:t>
            </w:r>
          </w:p>
        </w:tc>
        <w:tc>
          <w:tcPr>
            <w:tcW w:w="691"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30.9275</w:t>
            </w:r>
          </w:p>
        </w:tc>
        <w:tc>
          <w:tcPr>
            <w:tcW w:w="622"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30.9275</w:t>
            </w:r>
          </w:p>
        </w:tc>
        <w:tc>
          <w:tcPr>
            <w:tcW w:w="622"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30.8</w:t>
            </w:r>
          </w:p>
        </w:tc>
        <w:tc>
          <w:tcPr>
            <w:tcW w:w="586"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25.8665</w:t>
            </w:r>
          </w:p>
        </w:tc>
      </w:tr>
      <w:tr>
        <w:tblPrEx>
          <w:tblCellMar>
            <w:top w:w="0" w:type="dxa"/>
            <w:left w:w="108" w:type="dxa"/>
            <w:bottom w:w="0" w:type="dxa"/>
            <w:right w:w="108" w:type="dxa"/>
          </w:tblCellMar>
        </w:tblPrEx>
        <w:trPr>
          <w:trHeight w:val="303" w:hRule="atLeast"/>
          <w:jc w:val="center"/>
        </w:trPr>
        <w:tc>
          <w:tcPr>
            <w:tcW w:w="352"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仿宋_GB2312" w:hAnsi="Arial" w:eastAsia="仿宋_GB2312" w:cs="Arial"/>
                <w:color w:val="000000"/>
                <w:kern w:val="0"/>
                <w:szCs w:val="21"/>
              </w:rPr>
            </w:pPr>
            <w:r>
              <w:rPr>
                <w:rFonts w:hint="eastAsia" w:ascii="仿宋_GB2312" w:hAnsi="Arial" w:eastAsia="仿宋_GB2312" w:cs="Arial"/>
                <w:color w:val="000000"/>
                <w:kern w:val="0"/>
                <w:szCs w:val="21"/>
              </w:rPr>
              <w:t>芒市镇</w:t>
            </w:r>
          </w:p>
        </w:tc>
        <w:tc>
          <w:tcPr>
            <w:tcW w:w="466" w:type="pct"/>
            <w:tcBorders>
              <w:top w:val="nil"/>
              <w:left w:val="nil"/>
              <w:bottom w:val="single" w:color="000000" w:sz="8" w:space="0"/>
              <w:right w:val="single" w:color="000000" w:sz="8" w:space="0"/>
            </w:tcBorders>
            <w:shd w:val="clear" w:color="auto" w:fill="auto"/>
            <w:vAlign w:val="center"/>
          </w:tcPr>
          <w:p>
            <w:pPr>
              <w:widowControl/>
              <w:jc w:val="center"/>
              <w:rPr>
                <w:rFonts w:hint="eastAsia" w:ascii="仿宋_GB2312" w:hAnsi="Arial" w:eastAsia="仿宋_GB2312" w:cs="Arial"/>
                <w:color w:val="000000"/>
                <w:kern w:val="0"/>
                <w:szCs w:val="21"/>
              </w:rPr>
            </w:pPr>
            <w:r>
              <w:rPr>
                <w:rFonts w:hint="eastAsia" w:ascii="仿宋_GB2312" w:hAnsi="Arial" w:eastAsia="仿宋_GB2312" w:cs="Arial"/>
                <w:color w:val="000000"/>
                <w:kern w:val="0"/>
                <w:szCs w:val="21"/>
              </w:rPr>
              <w:t>修改前</w:t>
            </w:r>
          </w:p>
        </w:tc>
        <w:tc>
          <w:tcPr>
            <w:tcW w:w="551" w:type="pct"/>
            <w:tcBorders>
              <w:top w:val="nil"/>
              <w:left w:val="nil"/>
              <w:bottom w:val="single" w:color="000000" w:sz="8" w:space="0"/>
              <w:right w:val="single" w:color="000000" w:sz="8" w:space="0"/>
            </w:tcBorders>
            <w:shd w:val="clear" w:color="auto" w:fill="auto"/>
            <w:vAlign w:val="center"/>
          </w:tcPr>
          <w:p>
            <w:pPr>
              <w:widowControl/>
              <w:jc w:val="center"/>
              <w:rPr>
                <w:rFonts w:hint="eastAsia" w:ascii="Times New Roman" w:hAnsi="Times New Roman" w:eastAsia="宋体" w:cs="Times New Roman"/>
                <w:color w:val="000000"/>
                <w:kern w:val="0"/>
                <w:szCs w:val="21"/>
              </w:rPr>
            </w:pPr>
            <w:r>
              <w:rPr>
                <w:rFonts w:ascii="Times New Roman" w:hAnsi="Times New Roman" w:eastAsia="宋体" w:cs="Times New Roman"/>
                <w:color w:val="000000"/>
                <w:kern w:val="0"/>
                <w:szCs w:val="21"/>
              </w:rPr>
              <w:t>3763.06</w:t>
            </w:r>
          </w:p>
        </w:tc>
        <w:tc>
          <w:tcPr>
            <w:tcW w:w="44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3518</w:t>
            </w:r>
          </w:p>
        </w:tc>
        <w:tc>
          <w:tcPr>
            <w:tcW w:w="666"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2455.04</w:t>
            </w:r>
          </w:p>
        </w:tc>
        <w:tc>
          <w:tcPr>
            <w:tcW w:w="691"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1418.31</w:t>
            </w:r>
          </w:p>
        </w:tc>
        <w:tc>
          <w:tcPr>
            <w:tcW w:w="622"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594.68</w:t>
            </w:r>
          </w:p>
        </w:tc>
        <w:tc>
          <w:tcPr>
            <w:tcW w:w="622"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566.94</w:t>
            </w:r>
          </w:p>
        </w:tc>
        <w:tc>
          <w:tcPr>
            <w:tcW w:w="586"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395.04</w:t>
            </w:r>
          </w:p>
        </w:tc>
      </w:tr>
      <w:tr>
        <w:tblPrEx>
          <w:tblCellMar>
            <w:top w:w="0" w:type="dxa"/>
            <w:left w:w="108" w:type="dxa"/>
            <w:bottom w:w="0" w:type="dxa"/>
            <w:right w:w="108" w:type="dxa"/>
          </w:tblCellMar>
        </w:tblPrEx>
        <w:trPr>
          <w:trHeight w:val="303" w:hRule="atLeast"/>
          <w:jc w:val="center"/>
        </w:trPr>
        <w:tc>
          <w:tcPr>
            <w:tcW w:w="352" w:type="pct"/>
            <w:vMerge w:val="continue"/>
            <w:tcBorders>
              <w:top w:val="nil"/>
              <w:left w:val="single" w:color="000000" w:sz="8" w:space="0"/>
              <w:bottom w:val="single" w:color="000000" w:sz="8" w:space="0"/>
              <w:right w:val="single" w:color="000000" w:sz="8" w:space="0"/>
            </w:tcBorders>
            <w:vAlign w:val="center"/>
          </w:tcPr>
          <w:p>
            <w:pPr>
              <w:widowControl/>
              <w:jc w:val="center"/>
              <w:rPr>
                <w:rFonts w:ascii="仿宋_GB2312" w:hAnsi="Arial" w:eastAsia="仿宋_GB2312" w:cs="Arial"/>
                <w:color w:val="000000"/>
                <w:kern w:val="0"/>
                <w:szCs w:val="21"/>
              </w:rPr>
            </w:pPr>
          </w:p>
        </w:tc>
        <w:tc>
          <w:tcPr>
            <w:tcW w:w="466" w:type="pct"/>
            <w:tcBorders>
              <w:top w:val="nil"/>
              <w:left w:val="nil"/>
              <w:bottom w:val="single" w:color="000000" w:sz="8" w:space="0"/>
              <w:right w:val="single" w:color="000000" w:sz="8" w:space="0"/>
            </w:tcBorders>
            <w:shd w:val="clear" w:color="auto" w:fill="auto"/>
            <w:vAlign w:val="center"/>
          </w:tcPr>
          <w:p>
            <w:pPr>
              <w:widowControl/>
              <w:jc w:val="center"/>
              <w:rPr>
                <w:rFonts w:ascii="仿宋_GB2312" w:hAnsi="Arial" w:eastAsia="仿宋_GB2312" w:cs="Arial"/>
                <w:color w:val="000000"/>
                <w:kern w:val="0"/>
                <w:szCs w:val="21"/>
              </w:rPr>
            </w:pPr>
            <w:r>
              <w:rPr>
                <w:rFonts w:hint="eastAsia" w:ascii="仿宋_GB2312" w:hAnsi="Arial" w:eastAsia="仿宋_GB2312" w:cs="Arial"/>
                <w:color w:val="000000"/>
                <w:kern w:val="0"/>
                <w:szCs w:val="21"/>
              </w:rPr>
              <w:t>修改后</w:t>
            </w:r>
          </w:p>
        </w:tc>
        <w:tc>
          <w:tcPr>
            <w:tcW w:w="551" w:type="pct"/>
            <w:tcBorders>
              <w:top w:val="nil"/>
              <w:left w:val="nil"/>
              <w:bottom w:val="single" w:color="000000" w:sz="8" w:space="0"/>
              <w:right w:val="single" w:color="000000" w:sz="8" w:space="0"/>
            </w:tcBorders>
            <w:shd w:val="clear" w:color="auto" w:fill="auto"/>
            <w:vAlign w:val="center"/>
          </w:tcPr>
          <w:p>
            <w:pPr>
              <w:widowControl/>
              <w:jc w:val="center"/>
              <w:rPr>
                <w:rFonts w:hint="eastAsia" w:ascii="Times New Roman" w:hAnsi="Times New Roman" w:eastAsia="宋体" w:cs="Times New Roman"/>
                <w:color w:val="000000"/>
                <w:kern w:val="0"/>
                <w:szCs w:val="21"/>
              </w:rPr>
            </w:pPr>
            <w:r>
              <w:rPr>
                <w:rFonts w:ascii="Times New Roman" w:hAnsi="Times New Roman" w:eastAsia="宋体" w:cs="Times New Roman"/>
                <w:color w:val="000000"/>
                <w:kern w:val="0"/>
                <w:szCs w:val="21"/>
              </w:rPr>
              <w:t>3763.06</w:t>
            </w:r>
          </w:p>
        </w:tc>
        <w:tc>
          <w:tcPr>
            <w:tcW w:w="44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3534</w:t>
            </w:r>
          </w:p>
        </w:tc>
        <w:tc>
          <w:tcPr>
            <w:tcW w:w="666"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2459.6669</w:t>
            </w:r>
          </w:p>
        </w:tc>
        <w:tc>
          <w:tcPr>
            <w:tcW w:w="691"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1422.9369</w:t>
            </w:r>
          </w:p>
        </w:tc>
        <w:tc>
          <w:tcPr>
            <w:tcW w:w="622"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599.3069</w:t>
            </w:r>
          </w:p>
        </w:tc>
        <w:tc>
          <w:tcPr>
            <w:tcW w:w="622"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571.542</w:t>
            </w:r>
          </w:p>
        </w:tc>
        <w:tc>
          <w:tcPr>
            <w:tcW w:w="586"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398.4471</w:t>
            </w:r>
          </w:p>
        </w:tc>
      </w:tr>
      <w:tr>
        <w:tblPrEx>
          <w:tblCellMar>
            <w:top w:w="0" w:type="dxa"/>
            <w:left w:w="108" w:type="dxa"/>
            <w:bottom w:w="0" w:type="dxa"/>
            <w:right w:w="108" w:type="dxa"/>
          </w:tblCellMar>
        </w:tblPrEx>
        <w:trPr>
          <w:trHeight w:val="303" w:hRule="atLeast"/>
          <w:jc w:val="center"/>
        </w:trPr>
        <w:tc>
          <w:tcPr>
            <w:tcW w:w="352" w:type="pct"/>
            <w:vMerge w:val="continue"/>
            <w:tcBorders>
              <w:top w:val="nil"/>
              <w:left w:val="single" w:color="000000" w:sz="8" w:space="0"/>
              <w:bottom w:val="single" w:color="000000" w:sz="8" w:space="0"/>
              <w:right w:val="single" w:color="000000" w:sz="8" w:space="0"/>
            </w:tcBorders>
            <w:vAlign w:val="center"/>
          </w:tcPr>
          <w:p>
            <w:pPr>
              <w:widowControl/>
              <w:jc w:val="center"/>
              <w:rPr>
                <w:rFonts w:ascii="仿宋_GB2312" w:hAnsi="Arial" w:eastAsia="仿宋_GB2312" w:cs="Arial"/>
                <w:color w:val="000000"/>
                <w:kern w:val="0"/>
                <w:szCs w:val="21"/>
              </w:rPr>
            </w:pPr>
          </w:p>
        </w:tc>
        <w:tc>
          <w:tcPr>
            <w:tcW w:w="466" w:type="pct"/>
            <w:tcBorders>
              <w:top w:val="nil"/>
              <w:left w:val="nil"/>
              <w:bottom w:val="single" w:color="000000" w:sz="8" w:space="0"/>
              <w:right w:val="single" w:color="000000" w:sz="8" w:space="0"/>
            </w:tcBorders>
            <w:shd w:val="clear" w:color="auto" w:fill="auto"/>
            <w:vAlign w:val="center"/>
          </w:tcPr>
          <w:p>
            <w:pPr>
              <w:widowControl/>
              <w:jc w:val="center"/>
              <w:rPr>
                <w:rFonts w:ascii="仿宋_GB2312" w:hAnsi="Arial" w:eastAsia="仿宋_GB2312" w:cs="Arial"/>
                <w:color w:val="000000"/>
                <w:kern w:val="0"/>
                <w:szCs w:val="21"/>
              </w:rPr>
            </w:pPr>
            <w:r>
              <w:rPr>
                <w:rFonts w:hint="eastAsia" w:ascii="仿宋_GB2312" w:hAnsi="Arial" w:eastAsia="仿宋_GB2312" w:cs="Arial"/>
                <w:color w:val="000000"/>
                <w:kern w:val="0"/>
                <w:szCs w:val="21"/>
              </w:rPr>
              <w:t>变化量</w:t>
            </w:r>
          </w:p>
        </w:tc>
        <w:tc>
          <w:tcPr>
            <w:tcW w:w="551" w:type="pct"/>
            <w:tcBorders>
              <w:top w:val="nil"/>
              <w:left w:val="nil"/>
              <w:bottom w:val="single" w:color="000000" w:sz="8" w:space="0"/>
              <w:right w:val="single" w:color="000000" w:sz="8" w:space="0"/>
            </w:tcBorders>
            <w:shd w:val="clear" w:color="auto" w:fill="auto"/>
            <w:vAlign w:val="center"/>
          </w:tcPr>
          <w:p>
            <w:pPr>
              <w:widowControl/>
              <w:jc w:val="center"/>
              <w:rPr>
                <w:rFonts w:hint="eastAsia" w:ascii="Times New Roman" w:hAnsi="Times New Roman" w:eastAsia="宋体" w:cs="Times New Roman"/>
                <w:color w:val="000000"/>
                <w:kern w:val="0"/>
                <w:szCs w:val="21"/>
              </w:rPr>
            </w:pPr>
            <w:r>
              <w:rPr>
                <w:rFonts w:ascii="Times New Roman" w:hAnsi="Times New Roman" w:eastAsia="宋体" w:cs="Times New Roman"/>
                <w:color w:val="000000"/>
                <w:kern w:val="0"/>
                <w:szCs w:val="21"/>
              </w:rPr>
              <w:t>0</w:t>
            </w:r>
          </w:p>
        </w:tc>
        <w:tc>
          <w:tcPr>
            <w:tcW w:w="44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w:t>
            </w:r>
          </w:p>
        </w:tc>
        <w:tc>
          <w:tcPr>
            <w:tcW w:w="666"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4.6269</w:t>
            </w:r>
          </w:p>
        </w:tc>
        <w:tc>
          <w:tcPr>
            <w:tcW w:w="691"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4.6269</w:t>
            </w:r>
          </w:p>
        </w:tc>
        <w:tc>
          <w:tcPr>
            <w:tcW w:w="622"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4.6269</w:t>
            </w:r>
          </w:p>
        </w:tc>
        <w:tc>
          <w:tcPr>
            <w:tcW w:w="62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4.602</w:t>
            </w:r>
          </w:p>
        </w:tc>
        <w:tc>
          <w:tcPr>
            <w:tcW w:w="586"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3.4071</w:t>
            </w:r>
          </w:p>
        </w:tc>
      </w:tr>
      <w:tr>
        <w:tblPrEx>
          <w:tblCellMar>
            <w:top w:w="0" w:type="dxa"/>
            <w:left w:w="108" w:type="dxa"/>
            <w:bottom w:w="0" w:type="dxa"/>
            <w:right w:w="108" w:type="dxa"/>
          </w:tblCellMar>
        </w:tblPrEx>
        <w:trPr>
          <w:trHeight w:val="303" w:hRule="atLeast"/>
          <w:jc w:val="center"/>
        </w:trPr>
        <w:tc>
          <w:tcPr>
            <w:tcW w:w="352"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仿宋_GB2312" w:hAnsi="Arial" w:eastAsia="仿宋_GB2312" w:cs="Arial"/>
                <w:color w:val="000000"/>
                <w:kern w:val="0"/>
                <w:szCs w:val="21"/>
              </w:rPr>
            </w:pPr>
            <w:r>
              <w:rPr>
                <w:rFonts w:hint="eastAsia" w:ascii="仿宋_GB2312" w:hAnsi="Arial" w:eastAsia="仿宋_GB2312" w:cs="Arial"/>
                <w:color w:val="000000"/>
                <w:kern w:val="0"/>
                <w:szCs w:val="21"/>
              </w:rPr>
              <w:t>风平镇</w:t>
            </w:r>
          </w:p>
        </w:tc>
        <w:tc>
          <w:tcPr>
            <w:tcW w:w="466" w:type="pct"/>
            <w:tcBorders>
              <w:top w:val="nil"/>
              <w:left w:val="nil"/>
              <w:bottom w:val="single" w:color="000000" w:sz="8" w:space="0"/>
              <w:right w:val="single" w:color="000000" w:sz="8" w:space="0"/>
            </w:tcBorders>
            <w:shd w:val="clear" w:color="auto" w:fill="auto"/>
            <w:vAlign w:val="center"/>
          </w:tcPr>
          <w:p>
            <w:pPr>
              <w:widowControl/>
              <w:jc w:val="center"/>
              <w:rPr>
                <w:rFonts w:hint="eastAsia" w:ascii="仿宋_GB2312" w:hAnsi="Arial" w:eastAsia="仿宋_GB2312" w:cs="Arial"/>
                <w:color w:val="000000"/>
                <w:kern w:val="0"/>
                <w:szCs w:val="21"/>
              </w:rPr>
            </w:pPr>
            <w:r>
              <w:rPr>
                <w:rFonts w:hint="eastAsia" w:ascii="仿宋_GB2312" w:hAnsi="Arial" w:eastAsia="仿宋_GB2312" w:cs="Arial"/>
                <w:color w:val="000000"/>
                <w:kern w:val="0"/>
                <w:szCs w:val="21"/>
              </w:rPr>
              <w:t>修改前</w:t>
            </w:r>
          </w:p>
        </w:tc>
        <w:tc>
          <w:tcPr>
            <w:tcW w:w="551" w:type="pct"/>
            <w:tcBorders>
              <w:top w:val="nil"/>
              <w:left w:val="nil"/>
              <w:bottom w:val="single" w:color="000000" w:sz="8" w:space="0"/>
              <w:right w:val="single" w:color="000000" w:sz="8" w:space="0"/>
            </w:tcBorders>
            <w:shd w:val="clear" w:color="auto" w:fill="auto"/>
            <w:vAlign w:val="center"/>
          </w:tcPr>
          <w:p>
            <w:pPr>
              <w:widowControl/>
              <w:jc w:val="center"/>
              <w:rPr>
                <w:rFonts w:hint="eastAsia"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10840.72</w:t>
            </w:r>
          </w:p>
        </w:tc>
        <w:tc>
          <w:tcPr>
            <w:tcW w:w="44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8282</w:t>
            </w:r>
          </w:p>
        </w:tc>
        <w:tc>
          <w:tcPr>
            <w:tcW w:w="666"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3366.39</w:t>
            </w:r>
          </w:p>
        </w:tc>
        <w:tc>
          <w:tcPr>
            <w:tcW w:w="691"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2673.57</w:t>
            </w:r>
          </w:p>
        </w:tc>
        <w:tc>
          <w:tcPr>
            <w:tcW w:w="622"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688.95</w:t>
            </w:r>
          </w:p>
        </w:tc>
        <w:tc>
          <w:tcPr>
            <w:tcW w:w="622"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645.09</w:t>
            </w:r>
          </w:p>
        </w:tc>
        <w:tc>
          <w:tcPr>
            <w:tcW w:w="586"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456.85</w:t>
            </w:r>
          </w:p>
        </w:tc>
      </w:tr>
      <w:tr>
        <w:tblPrEx>
          <w:tblCellMar>
            <w:top w:w="0" w:type="dxa"/>
            <w:left w:w="108" w:type="dxa"/>
            <w:bottom w:w="0" w:type="dxa"/>
            <w:right w:w="108" w:type="dxa"/>
          </w:tblCellMar>
        </w:tblPrEx>
        <w:trPr>
          <w:trHeight w:val="303" w:hRule="atLeast"/>
          <w:jc w:val="center"/>
        </w:trPr>
        <w:tc>
          <w:tcPr>
            <w:tcW w:w="352" w:type="pct"/>
            <w:vMerge w:val="continue"/>
            <w:tcBorders>
              <w:top w:val="nil"/>
              <w:left w:val="single" w:color="000000" w:sz="8" w:space="0"/>
              <w:bottom w:val="single" w:color="000000" w:sz="8" w:space="0"/>
              <w:right w:val="single" w:color="000000" w:sz="8" w:space="0"/>
            </w:tcBorders>
            <w:vAlign w:val="center"/>
          </w:tcPr>
          <w:p>
            <w:pPr>
              <w:widowControl/>
              <w:jc w:val="center"/>
              <w:rPr>
                <w:rFonts w:ascii="仿宋_GB2312" w:hAnsi="Arial" w:eastAsia="仿宋_GB2312" w:cs="Arial"/>
                <w:color w:val="000000"/>
                <w:kern w:val="0"/>
                <w:szCs w:val="21"/>
              </w:rPr>
            </w:pPr>
          </w:p>
        </w:tc>
        <w:tc>
          <w:tcPr>
            <w:tcW w:w="466" w:type="pct"/>
            <w:tcBorders>
              <w:top w:val="nil"/>
              <w:left w:val="nil"/>
              <w:bottom w:val="single" w:color="000000" w:sz="8" w:space="0"/>
              <w:right w:val="single" w:color="000000" w:sz="8" w:space="0"/>
            </w:tcBorders>
            <w:shd w:val="clear" w:color="auto" w:fill="auto"/>
            <w:vAlign w:val="center"/>
          </w:tcPr>
          <w:p>
            <w:pPr>
              <w:widowControl/>
              <w:jc w:val="center"/>
              <w:rPr>
                <w:rFonts w:ascii="仿宋_GB2312" w:hAnsi="Arial" w:eastAsia="仿宋_GB2312" w:cs="Arial"/>
                <w:color w:val="000000"/>
                <w:kern w:val="0"/>
                <w:szCs w:val="21"/>
              </w:rPr>
            </w:pPr>
            <w:r>
              <w:rPr>
                <w:rFonts w:hint="eastAsia" w:ascii="仿宋_GB2312" w:hAnsi="Arial" w:eastAsia="仿宋_GB2312" w:cs="Arial"/>
                <w:color w:val="000000"/>
                <w:kern w:val="0"/>
                <w:szCs w:val="21"/>
              </w:rPr>
              <w:t>修改后</w:t>
            </w:r>
          </w:p>
        </w:tc>
        <w:tc>
          <w:tcPr>
            <w:tcW w:w="551" w:type="pct"/>
            <w:tcBorders>
              <w:top w:val="nil"/>
              <w:left w:val="nil"/>
              <w:bottom w:val="single" w:color="000000" w:sz="8" w:space="0"/>
              <w:right w:val="single" w:color="000000" w:sz="8" w:space="0"/>
            </w:tcBorders>
            <w:shd w:val="clear" w:color="auto" w:fill="auto"/>
            <w:vAlign w:val="center"/>
          </w:tcPr>
          <w:p>
            <w:pPr>
              <w:widowControl/>
              <w:jc w:val="center"/>
              <w:rPr>
                <w:rFonts w:hint="eastAsia"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10840.72</w:t>
            </w:r>
          </w:p>
        </w:tc>
        <w:tc>
          <w:tcPr>
            <w:tcW w:w="44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8266</w:t>
            </w:r>
          </w:p>
        </w:tc>
        <w:tc>
          <w:tcPr>
            <w:tcW w:w="666"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3392.6906</w:t>
            </w:r>
          </w:p>
        </w:tc>
        <w:tc>
          <w:tcPr>
            <w:tcW w:w="691"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2699.8706</w:t>
            </w:r>
          </w:p>
        </w:tc>
        <w:tc>
          <w:tcPr>
            <w:tcW w:w="622"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715.2506</w:t>
            </w:r>
          </w:p>
        </w:tc>
        <w:tc>
          <w:tcPr>
            <w:tcW w:w="622"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671.288</w:t>
            </w:r>
          </w:p>
        </w:tc>
        <w:tc>
          <w:tcPr>
            <w:tcW w:w="586"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479.3094</w:t>
            </w:r>
          </w:p>
        </w:tc>
      </w:tr>
      <w:tr>
        <w:tblPrEx>
          <w:tblCellMar>
            <w:top w:w="0" w:type="dxa"/>
            <w:left w:w="108" w:type="dxa"/>
            <w:bottom w:w="0" w:type="dxa"/>
            <w:right w:w="108" w:type="dxa"/>
          </w:tblCellMar>
        </w:tblPrEx>
        <w:trPr>
          <w:trHeight w:val="303" w:hRule="atLeast"/>
          <w:jc w:val="center"/>
        </w:trPr>
        <w:tc>
          <w:tcPr>
            <w:tcW w:w="352" w:type="pct"/>
            <w:vMerge w:val="continue"/>
            <w:tcBorders>
              <w:top w:val="nil"/>
              <w:left w:val="single" w:color="000000" w:sz="8" w:space="0"/>
              <w:bottom w:val="single" w:color="000000" w:sz="8" w:space="0"/>
              <w:right w:val="single" w:color="000000" w:sz="8" w:space="0"/>
            </w:tcBorders>
            <w:vAlign w:val="center"/>
          </w:tcPr>
          <w:p>
            <w:pPr>
              <w:widowControl/>
              <w:jc w:val="center"/>
              <w:rPr>
                <w:rFonts w:ascii="仿宋_GB2312" w:hAnsi="Arial" w:eastAsia="仿宋_GB2312" w:cs="Arial"/>
                <w:color w:val="000000"/>
                <w:kern w:val="0"/>
                <w:szCs w:val="21"/>
              </w:rPr>
            </w:pPr>
          </w:p>
        </w:tc>
        <w:tc>
          <w:tcPr>
            <w:tcW w:w="466" w:type="pct"/>
            <w:tcBorders>
              <w:top w:val="nil"/>
              <w:left w:val="nil"/>
              <w:bottom w:val="single" w:color="000000" w:sz="8" w:space="0"/>
              <w:right w:val="single" w:color="000000" w:sz="8" w:space="0"/>
            </w:tcBorders>
            <w:shd w:val="clear" w:color="auto" w:fill="auto"/>
            <w:vAlign w:val="center"/>
          </w:tcPr>
          <w:p>
            <w:pPr>
              <w:widowControl/>
              <w:jc w:val="center"/>
              <w:rPr>
                <w:rFonts w:ascii="仿宋_GB2312" w:hAnsi="Arial" w:eastAsia="仿宋_GB2312" w:cs="Arial"/>
                <w:color w:val="000000"/>
                <w:kern w:val="0"/>
                <w:szCs w:val="21"/>
              </w:rPr>
            </w:pPr>
            <w:r>
              <w:rPr>
                <w:rFonts w:hint="eastAsia" w:ascii="仿宋_GB2312" w:hAnsi="Arial" w:eastAsia="仿宋_GB2312" w:cs="Arial"/>
                <w:color w:val="000000"/>
                <w:kern w:val="0"/>
                <w:szCs w:val="21"/>
              </w:rPr>
              <w:t>变化量</w:t>
            </w:r>
          </w:p>
        </w:tc>
        <w:tc>
          <w:tcPr>
            <w:tcW w:w="551" w:type="pct"/>
            <w:tcBorders>
              <w:top w:val="nil"/>
              <w:left w:val="nil"/>
              <w:bottom w:val="single" w:color="000000" w:sz="8" w:space="0"/>
              <w:right w:val="single" w:color="000000" w:sz="8" w:space="0"/>
            </w:tcBorders>
            <w:shd w:val="clear" w:color="auto" w:fill="auto"/>
            <w:vAlign w:val="center"/>
          </w:tcPr>
          <w:p>
            <w:pPr>
              <w:widowControl/>
              <w:jc w:val="center"/>
              <w:rPr>
                <w:rFonts w:hint="eastAsia" w:ascii="Times New Roman" w:hAnsi="Times New Roman" w:eastAsia="宋体" w:cs="Times New Roman"/>
                <w:color w:val="000000"/>
                <w:kern w:val="0"/>
                <w:szCs w:val="21"/>
              </w:rPr>
            </w:pPr>
            <w:r>
              <w:rPr>
                <w:rFonts w:ascii="Times New Roman" w:hAnsi="Times New Roman" w:eastAsia="宋体" w:cs="Times New Roman"/>
                <w:color w:val="000000"/>
                <w:kern w:val="0"/>
                <w:szCs w:val="21"/>
              </w:rPr>
              <w:t>0</w:t>
            </w:r>
          </w:p>
        </w:tc>
        <w:tc>
          <w:tcPr>
            <w:tcW w:w="44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w:t>
            </w:r>
          </w:p>
        </w:tc>
        <w:tc>
          <w:tcPr>
            <w:tcW w:w="666"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26.3006</w:t>
            </w:r>
          </w:p>
        </w:tc>
        <w:tc>
          <w:tcPr>
            <w:tcW w:w="691"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26.3006</w:t>
            </w:r>
          </w:p>
        </w:tc>
        <w:tc>
          <w:tcPr>
            <w:tcW w:w="622"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26.3006</w:t>
            </w:r>
          </w:p>
        </w:tc>
        <w:tc>
          <w:tcPr>
            <w:tcW w:w="622"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26.198</w:t>
            </w:r>
          </w:p>
        </w:tc>
        <w:tc>
          <w:tcPr>
            <w:tcW w:w="586"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22.4594</w:t>
            </w:r>
          </w:p>
        </w:tc>
      </w:tr>
    </w:tbl>
    <w:p>
      <w:pPr>
        <w:widowControl/>
        <w:jc w:val="right"/>
        <w:rPr>
          <w:rFonts w:ascii="Times New Roman" w:hAnsi="Times New Roman" w:cs="Times New Roman"/>
          <w:kern w:val="0"/>
          <w:szCs w:val="21"/>
        </w:rPr>
      </w:pPr>
    </w:p>
    <w:p>
      <w:pPr>
        <w:keepNext/>
        <w:keepLines/>
        <w:adjustRightInd w:val="0"/>
        <w:spacing w:line="360" w:lineRule="auto"/>
        <w:ind w:firstLine="600" w:firstLineChars="200"/>
        <w:outlineLvl w:val="2"/>
        <w:rPr>
          <w:rFonts w:eastAsia="黑体"/>
          <w:bCs/>
          <w:color w:val="000000"/>
          <w:sz w:val="30"/>
          <w:szCs w:val="28"/>
        </w:rPr>
      </w:pPr>
      <w:bookmarkStart w:id="21" w:name="_Toc88211878"/>
      <w:r>
        <w:rPr>
          <w:rFonts w:hint="eastAsia" w:eastAsia="黑体"/>
          <w:bCs/>
          <w:color w:val="000000"/>
          <w:sz w:val="30"/>
          <w:szCs w:val="28"/>
        </w:rPr>
        <w:t xml:space="preserve">4.2 </w:t>
      </w:r>
      <w:r>
        <w:rPr>
          <w:rFonts w:eastAsia="黑体"/>
          <w:bCs/>
          <w:color w:val="000000"/>
          <w:sz w:val="30"/>
          <w:szCs w:val="28"/>
        </w:rPr>
        <w:t>项目占用土地利用现状地类情况</w:t>
      </w:r>
      <w:bookmarkEnd w:id="21"/>
    </w:p>
    <w:p>
      <w:pPr>
        <w:adjustRightInd w:val="0"/>
        <w:spacing w:line="360" w:lineRule="auto"/>
        <w:ind w:firstLine="560" w:firstLineChars="200"/>
        <w:jc w:val="left"/>
        <w:rPr>
          <w:rFonts w:ascii="Times New Roman" w:hAnsi="Times New Roman" w:cs="Times New Roman"/>
          <w:bCs/>
        </w:rPr>
      </w:pPr>
      <w:r>
        <w:rPr>
          <w:rFonts w:ascii="Times New Roman" w:hAnsi="Times New Roman" w:eastAsia="仿宋_GB2312" w:cs="Times New Roman"/>
          <w:bCs/>
          <w:color w:val="000000"/>
          <w:sz w:val="28"/>
          <w:szCs w:val="28"/>
        </w:rPr>
        <w:t>涉及芒市用地204.7036公顷，其中：农用地179.4561公顷（耕地63.0867公顷、园地20.0264公顷、林地86.1883公顷、其它农用地10.1547公顷），建设用地12.6268公顷，未利用地11.9391公顷。</w:t>
      </w:r>
      <w:r>
        <w:rPr>
          <w:rFonts w:ascii="Times New Roman" w:hAnsi="Times New Roman" w:cs="Times New Roman"/>
          <w:bCs/>
        </w:rPr>
        <w:br w:type="page"/>
      </w:r>
    </w:p>
    <w:p>
      <w:pPr>
        <w:ind w:firstLine="48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表</w:t>
      </w:r>
      <w:r>
        <w:rPr>
          <w:rFonts w:hint="eastAsia" w:ascii="Times New Roman" w:hAnsi="Times New Roman" w:eastAsia="仿宋_GB2312" w:cs="Times New Roman"/>
          <w:b/>
          <w:kern w:val="0"/>
          <w:sz w:val="28"/>
          <w:szCs w:val="28"/>
        </w:rPr>
        <w:t>4-2占用土地利用现状地类情况</w:t>
      </w:r>
    </w:p>
    <w:p>
      <w:pPr>
        <w:adjustRightInd w:val="0"/>
        <w:spacing w:line="360" w:lineRule="auto"/>
        <w:ind w:firstLine="480" w:firstLineChars="200"/>
        <w:jc w:val="right"/>
        <w:rPr>
          <w:rFonts w:eastAsia="仿宋_GB2312"/>
          <w:bCs/>
          <w:color w:val="000000"/>
          <w:sz w:val="28"/>
          <w:szCs w:val="28"/>
        </w:rPr>
      </w:pPr>
      <w:r>
        <w:rPr>
          <w:rFonts w:eastAsia="仿宋_GB2312"/>
          <w:bCs/>
          <w:color w:val="000000"/>
          <w:sz w:val="24"/>
          <w:szCs w:val="24"/>
        </w:rPr>
        <w:t>单位：公顷</w:t>
      </w:r>
    </w:p>
    <w:tbl>
      <w:tblPr>
        <w:tblStyle w:val="14"/>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65"/>
        <w:gridCol w:w="817"/>
        <w:gridCol w:w="781"/>
        <w:gridCol w:w="974"/>
        <w:gridCol w:w="974"/>
        <w:gridCol w:w="974"/>
        <w:gridCol w:w="974"/>
        <w:gridCol w:w="974"/>
        <w:gridCol w:w="9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1" w:type="pct"/>
            <w:vMerge w:val="restar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b/>
                <w:bCs/>
                <w:color w:val="000000"/>
                <w:sz w:val="24"/>
                <w:szCs w:val="24"/>
              </w:rPr>
            </w:pPr>
            <w:r>
              <w:rPr>
                <w:rFonts w:ascii="Times New Roman" w:hAnsi="Times New Roman" w:eastAsia="仿宋_GB2312" w:cs="Times New Roman"/>
                <w:b/>
                <w:bCs/>
                <w:color w:val="000000"/>
                <w:kern w:val="0"/>
                <w:sz w:val="24"/>
                <w:szCs w:val="24"/>
                <w:lang w:bidi="ar"/>
              </w:rPr>
              <w:t>地类</w:t>
            </w:r>
          </w:p>
        </w:tc>
        <w:tc>
          <w:tcPr>
            <w:tcW w:w="4179" w:type="pct"/>
            <w:gridSpan w:val="8"/>
            <w:tcBorders>
              <w:tl2br w:val="nil"/>
              <w:tr2bl w:val="nil"/>
            </w:tcBorders>
            <w:shd w:val="clear" w:color="auto" w:fill="auto"/>
            <w:tcMar>
              <w:top w:w="12" w:type="dxa"/>
              <w:left w:w="12" w:type="dxa"/>
              <w:right w:w="12" w:type="dxa"/>
            </w:tcMar>
            <w:vAlign w:val="center"/>
          </w:tcPr>
          <w:p>
            <w:pPr>
              <w:widowControl/>
              <w:jc w:val="center"/>
              <w:textAlignment w:val="center"/>
              <w:rPr>
                <w:rFonts w:ascii="Times New Roman" w:hAnsi="Times New Roman" w:eastAsia="仿宋_GB2312" w:cs="Times New Roman"/>
                <w:b/>
                <w:bCs/>
                <w:color w:val="000000"/>
                <w:sz w:val="24"/>
                <w:szCs w:val="24"/>
              </w:rPr>
            </w:pPr>
            <w:r>
              <w:rPr>
                <w:rFonts w:ascii="Times New Roman" w:hAnsi="Times New Roman" w:eastAsia="仿宋_GB2312" w:cs="Times New Roman"/>
                <w:b/>
                <w:bCs/>
                <w:color w:val="000000"/>
                <w:kern w:val="0"/>
                <w:sz w:val="24"/>
                <w:szCs w:val="24"/>
                <w:lang w:bidi="ar"/>
              </w:rPr>
              <w:t>芒市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21" w:type="pct"/>
            <w:vMerge w:val="continue"/>
            <w:tcBorders>
              <w:tl2br w:val="nil"/>
              <w:tr2bl w:val="nil"/>
            </w:tcBorders>
            <w:shd w:val="clear" w:color="auto" w:fill="auto"/>
            <w:noWrap/>
            <w:tcMar>
              <w:top w:w="12" w:type="dxa"/>
              <w:left w:w="12" w:type="dxa"/>
              <w:right w:w="12" w:type="dxa"/>
            </w:tcMar>
            <w:vAlign w:val="center"/>
          </w:tcPr>
          <w:p>
            <w:pPr>
              <w:jc w:val="center"/>
              <w:rPr>
                <w:rFonts w:ascii="Times New Roman" w:hAnsi="Times New Roman" w:eastAsia="仿宋_GB2312" w:cs="Times New Roman"/>
                <w:b/>
                <w:bCs/>
                <w:color w:val="000000"/>
                <w:sz w:val="24"/>
                <w:szCs w:val="24"/>
              </w:rPr>
            </w:pPr>
          </w:p>
        </w:tc>
        <w:tc>
          <w:tcPr>
            <w:tcW w:w="458"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b/>
                <w:bCs/>
                <w:color w:val="000000"/>
                <w:sz w:val="24"/>
                <w:szCs w:val="24"/>
              </w:rPr>
            </w:pPr>
            <w:r>
              <w:rPr>
                <w:rFonts w:ascii="Times New Roman" w:hAnsi="Times New Roman" w:eastAsia="仿宋_GB2312" w:cs="Times New Roman"/>
                <w:b/>
                <w:bCs/>
                <w:color w:val="000000"/>
                <w:kern w:val="0"/>
                <w:sz w:val="24"/>
                <w:szCs w:val="24"/>
                <w:lang w:bidi="ar"/>
              </w:rPr>
              <w:t>小计</w:t>
            </w:r>
          </w:p>
        </w:tc>
        <w:tc>
          <w:tcPr>
            <w:tcW w:w="438"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b/>
                <w:bCs/>
                <w:color w:val="000000"/>
                <w:sz w:val="24"/>
                <w:szCs w:val="24"/>
              </w:rPr>
            </w:pPr>
            <w:r>
              <w:rPr>
                <w:rFonts w:ascii="Times New Roman" w:hAnsi="Times New Roman" w:eastAsia="仿宋_GB2312" w:cs="Times New Roman"/>
                <w:b/>
                <w:bCs/>
                <w:color w:val="000000"/>
                <w:kern w:val="0"/>
                <w:sz w:val="24"/>
                <w:szCs w:val="24"/>
                <w:lang w:bidi="ar"/>
              </w:rPr>
              <w:t>比例</w:t>
            </w:r>
          </w:p>
        </w:tc>
        <w:tc>
          <w:tcPr>
            <w:tcW w:w="546" w:type="pct"/>
            <w:tcBorders>
              <w:tl2br w:val="nil"/>
              <w:tr2bl w:val="nil"/>
            </w:tcBorders>
            <w:shd w:val="clear" w:color="auto" w:fill="auto"/>
            <w:tcMar>
              <w:top w:w="12" w:type="dxa"/>
              <w:left w:w="12" w:type="dxa"/>
              <w:right w:w="12" w:type="dxa"/>
            </w:tcMar>
            <w:vAlign w:val="center"/>
          </w:tcPr>
          <w:p>
            <w:pPr>
              <w:widowControl/>
              <w:jc w:val="center"/>
              <w:textAlignment w:val="center"/>
              <w:rPr>
                <w:rFonts w:ascii="Times New Roman" w:hAnsi="Times New Roman" w:eastAsia="仿宋_GB2312" w:cs="Times New Roman"/>
                <w:b/>
                <w:bCs/>
                <w:color w:val="000000"/>
                <w:sz w:val="24"/>
                <w:szCs w:val="24"/>
              </w:rPr>
            </w:pPr>
            <w:r>
              <w:rPr>
                <w:rFonts w:ascii="Times New Roman" w:hAnsi="Times New Roman" w:eastAsia="仿宋_GB2312" w:cs="Times New Roman"/>
                <w:b/>
                <w:bCs/>
                <w:color w:val="000000"/>
                <w:kern w:val="0"/>
                <w:sz w:val="24"/>
                <w:szCs w:val="24"/>
                <w:lang w:bidi="ar"/>
              </w:rPr>
              <w:t>路基工程</w:t>
            </w:r>
          </w:p>
        </w:tc>
        <w:tc>
          <w:tcPr>
            <w:tcW w:w="546" w:type="pct"/>
            <w:tcBorders>
              <w:tl2br w:val="nil"/>
              <w:tr2bl w:val="nil"/>
            </w:tcBorders>
            <w:shd w:val="clear" w:color="auto" w:fill="auto"/>
            <w:tcMar>
              <w:top w:w="12" w:type="dxa"/>
              <w:left w:w="12" w:type="dxa"/>
              <w:right w:w="12" w:type="dxa"/>
            </w:tcMar>
            <w:vAlign w:val="center"/>
          </w:tcPr>
          <w:p>
            <w:pPr>
              <w:widowControl/>
              <w:jc w:val="center"/>
              <w:textAlignment w:val="center"/>
              <w:rPr>
                <w:rFonts w:ascii="Times New Roman" w:hAnsi="Times New Roman" w:eastAsia="仿宋_GB2312" w:cs="Times New Roman"/>
                <w:b/>
                <w:bCs/>
                <w:color w:val="000000"/>
                <w:sz w:val="24"/>
                <w:szCs w:val="24"/>
              </w:rPr>
            </w:pPr>
            <w:r>
              <w:rPr>
                <w:rFonts w:ascii="Times New Roman" w:hAnsi="Times New Roman" w:eastAsia="仿宋_GB2312" w:cs="Times New Roman"/>
                <w:b/>
                <w:bCs/>
                <w:color w:val="000000"/>
                <w:kern w:val="0"/>
                <w:sz w:val="24"/>
                <w:szCs w:val="24"/>
                <w:lang w:bidi="ar"/>
              </w:rPr>
              <w:t>桥梁工程</w:t>
            </w:r>
          </w:p>
        </w:tc>
        <w:tc>
          <w:tcPr>
            <w:tcW w:w="546" w:type="pct"/>
            <w:tcBorders>
              <w:tl2br w:val="nil"/>
              <w:tr2bl w:val="nil"/>
            </w:tcBorders>
            <w:shd w:val="clear" w:color="auto" w:fill="auto"/>
            <w:tcMar>
              <w:top w:w="12" w:type="dxa"/>
              <w:left w:w="12" w:type="dxa"/>
              <w:right w:w="12" w:type="dxa"/>
            </w:tcMar>
            <w:vAlign w:val="center"/>
          </w:tcPr>
          <w:p>
            <w:pPr>
              <w:widowControl/>
              <w:jc w:val="center"/>
              <w:textAlignment w:val="center"/>
              <w:rPr>
                <w:rFonts w:ascii="Times New Roman" w:hAnsi="Times New Roman" w:eastAsia="仿宋_GB2312" w:cs="Times New Roman"/>
                <w:b/>
                <w:bCs/>
                <w:color w:val="000000"/>
                <w:sz w:val="24"/>
                <w:szCs w:val="24"/>
              </w:rPr>
            </w:pPr>
            <w:r>
              <w:rPr>
                <w:rFonts w:ascii="Times New Roman" w:hAnsi="Times New Roman" w:eastAsia="仿宋_GB2312" w:cs="Times New Roman"/>
                <w:b/>
                <w:bCs/>
                <w:color w:val="000000"/>
                <w:kern w:val="0"/>
                <w:sz w:val="24"/>
                <w:szCs w:val="24"/>
                <w:lang w:bidi="ar"/>
              </w:rPr>
              <w:t>隧道（仰坡）工程</w:t>
            </w:r>
          </w:p>
        </w:tc>
        <w:tc>
          <w:tcPr>
            <w:tcW w:w="546" w:type="pct"/>
            <w:tcBorders>
              <w:tl2br w:val="nil"/>
              <w:tr2bl w:val="nil"/>
            </w:tcBorders>
            <w:shd w:val="clear" w:color="auto" w:fill="auto"/>
            <w:tcMar>
              <w:top w:w="12" w:type="dxa"/>
              <w:left w:w="12" w:type="dxa"/>
              <w:right w:w="12" w:type="dxa"/>
            </w:tcMar>
            <w:vAlign w:val="center"/>
          </w:tcPr>
          <w:p>
            <w:pPr>
              <w:widowControl/>
              <w:jc w:val="center"/>
              <w:textAlignment w:val="center"/>
              <w:rPr>
                <w:rFonts w:ascii="Times New Roman" w:hAnsi="Times New Roman" w:eastAsia="仿宋_GB2312" w:cs="Times New Roman"/>
                <w:b/>
                <w:bCs/>
                <w:color w:val="000000"/>
                <w:sz w:val="24"/>
                <w:szCs w:val="24"/>
              </w:rPr>
            </w:pPr>
            <w:r>
              <w:rPr>
                <w:rFonts w:ascii="Times New Roman" w:hAnsi="Times New Roman" w:eastAsia="仿宋_GB2312" w:cs="Times New Roman"/>
                <w:b/>
                <w:bCs/>
                <w:color w:val="000000"/>
                <w:kern w:val="0"/>
                <w:sz w:val="24"/>
                <w:szCs w:val="24"/>
                <w:lang w:bidi="ar"/>
              </w:rPr>
              <w:t>交叉工程</w:t>
            </w:r>
          </w:p>
        </w:tc>
        <w:tc>
          <w:tcPr>
            <w:tcW w:w="546" w:type="pct"/>
            <w:tcBorders>
              <w:tl2br w:val="nil"/>
              <w:tr2bl w:val="nil"/>
            </w:tcBorders>
            <w:shd w:val="clear" w:color="auto" w:fill="auto"/>
            <w:tcMar>
              <w:top w:w="12" w:type="dxa"/>
              <w:left w:w="12" w:type="dxa"/>
              <w:right w:w="12" w:type="dxa"/>
            </w:tcMar>
            <w:vAlign w:val="center"/>
          </w:tcPr>
          <w:p>
            <w:pPr>
              <w:widowControl/>
              <w:jc w:val="center"/>
              <w:textAlignment w:val="center"/>
              <w:rPr>
                <w:rFonts w:ascii="Times New Roman" w:hAnsi="Times New Roman" w:eastAsia="仿宋_GB2312" w:cs="Times New Roman"/>
                <w:b/>
                <w:bCs/>
                <w:color w:val="000000"/>
                <w:sz w:val="24"/>
                <w:szCs w:val="24"/>
              </w:rPr>
            </w:pPr>
            <w:r>
              <w:rPr>
                <w:rFonts w:ascii="Times New Roman" w:hAnsi="Times New Roman" w:eastAsia="仿宋_GB2312" w:cs="Times New Roman"/>
                <w:b/>
                <w:bCs/>
                <w:color w:val="000000"/>
                <w:kern w:val="0"/>
                <w:sz w:val="24"/>
                <w:szCs w:val="24"/>
                <w:lang w:bidi="ar"/>
              </w:rPr>
              <w:t>沿线设施工程</w:t>
            </w:r>
          </w:p>
        </w:tc>
        <w:tc>
          <w:tcPr>
            <w:tcW w:w="553" w:type="pct"/>
            <w:tcBorders>
              <w:tl2br w:val="nil"/>
              <w:tr2bl w:val="nil"/>
            </w:tcBorders>
            <w:shd w:val="clear" w:color="auto" w:fill="auto"/>
            <w:tcMar>
              <w:top w:w="12" w:type="dxa"/>
              <w:left w:w="12" w:type="dxa"/>
              <w:right w:w="12" w:type="dxa"/>
            </w:tcMar>
            <w:vAlign w:val="center"/>
          </w:tcPr>
          <w:p>
            <w:pPr>
              <w:widowControl/>
              <w:jc w:val="center"/>
              <w:textAlignment w:val="center"/>
              <w:rPr>
                <w:rFonts w:ascii="Times New Roman" w:hAnsi="Times New Roman" w:eastAsia="仿宋_GB2312" w:cs="Times New Roman"/>
                <w:b/>
                <w:bCs/>
                <w:color w:val="000000"/>
                <w:sz w:val="24"/>
                <w:szCs w:val="24"/>
              </w:rPr>
            </w:pPr>
            <w:r>
              <w:rPr>
                <w:rFonts w:ascii="Times New Roman" w:hAnsi="Times New Roman" w:eastAsia="仿宋_GB2312" w:cs="Times New Roman"/>
                <w:b/>
                <w:bCs/>
                <w:color w:val="000000"/>
                <w:kern w:val="0"/>
                <w:sz w:val="24"/>
                <w:szCs w:val="24"/>
                <w:lang w:bidi="ar"/>
              </w:rPr>
              <w:t>连接线工程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1"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 xml:space="preserve"> 合计</w:t>
            </w:r>
          </w:p>
        </w:tc>
        <w:tc>
          <w:tcPr>
            <w:tcW w:w="458" w:type="pct"/>
            <w:tcBorders>
              <w:tl2br w:val="nil"/>
              <w:tr2bl w:val="nil"/>
            </w:tcBorders>
            <w:shd w:val="clear" w:color="auto" w:fill="auto"/>
            <w:noWrap/>
            <w:tcMar>
              <w:top w:w="12" w:type="dxa"/>
              <w:left w:w="12" w:type="dxa"/>
              <w:right w:w="12" w:type="dxa"/>
            </w:tcMar>
            <w:vAlign w:val="center"/>
          </w:tcPr>
          <w:p>
            <w:pPr>
              <w:widowControl/>
              <w:jc w:val="right"/>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204.7036</w:t>
            </w:r>
          </w:p>
        </w:tc>
        <w:tc>
          <w:tcPr>
            <w:tcW w:w="438" w:type="pct"/>
            <w:tcBorders>
              <w:tl2br w:val="nil"/>
              <w:tr2bl w:val="nil"/>
            </w:tcBorders>
            <w:shd w:val="clear" w:color="auto" w:fill="auto"/>
            <w:noWrap/>
            <w:tcMar>
              <w:top w:w="12" w:type="dxa"/>
              <w:left w:w="12" w:type="dxa"/>
              <w:right w:w="12" w:type="dxa"/>
            </w:tcMar>
            <w:vAlign w:val="center"/>
          </w:tcPr>
          <w:p>
            <w:pPr>
              <w:widowControl/>
              <w:jc w:val="right"/>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100.00%</w:t>
            </w:r>
          </w:p>
        </w:tc>
        <w:tc>
          <w:tcPr>
            <w:tcW w:w="546" w:type="pct"/>
            <w:tcBorders>
              <w:tl2br w:val="nil"/>
              <w:tr2bl w:val="nil"/>
            </w:tcBorders>
            <w:shd w:val="clear" w:color="auto" w:fill="auto"/>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60.9107</w:t>
            </w:r>
          </w:p>
        </w:tc>
        <w:tc>
          <w:tcPr>
            <w:tcW w:w="546" w:type="pct"/>
            <w:tcBorders>
              <w:tl2br w:val="nil"/>
              <w:tr2bl w:val="nil"/>
            </w:tcBorders>
            <w:shd w:val="clear" w:color="auto" w:fill="auto"/>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13.7888</w:t>
            </w:r>
          </w:p>
        </w:tc>
        <w:tc>
          <w:tcPr>
            <w:tcW w:w="546" w:type="pct"/>
            <w:tcBorders>
              <w:tl2br w:val="nil"/>
              <w:tr2bl w:val="nil"/>
            </w:tcBorders>
            <w:shd w:val="clear" w:color="auto" w:fill="auto"/>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6.7924</w:t>
            </w:r>
          </w:p>
        </w:tc>
        <w:tc>
          <w:tcPr>
            <w:tcW w:w="546" w:type="pct"/>
            <w:tcBorders>
              <w:tl2br w:val="nil"/>
              <w:tr2bl w:val="nil"/>
            </w:tcBorders>
            <w:shd w:val="clear" w:color="auto" w:fill="auto"/>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54.176</w:t>
            </w:r>
          </w:p>
        </w:tc>
        <w:tc>
          <w:tcPr>
            <w:tcW w:w="546" w:type="pct"/>
            <w:tcBorders>
              <w:tl2br w:val="nil"/>
              <w:tr2bl w:val="nil"/>
            </w:tcBorders>
            <w:shd w:val="clear" w:color="auto" w:fill="auto"/>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13.0884</w:t>
            </w:r>
          </w:p>
        </w:tc>
        <w:tc>
          <w:tcPr>
            <w:tcW w:w="553" w:type="pct"/>
            <w:tcBorders>
              <w:tl2br w:val="nil"/>
              <w:tr2bl w:val="nil"/>
            </w:tcBorders>
            <w:shd w:val="clear" w:color="auto" w:fill="auto"/>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55.9473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1"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bookmarkStart w:id="22" w:name="_Hlk88089139"/>
            <w:r>
              <w:rPr>
                <w:rFonts w:ascii="Times New Roman" w:hAnsi="Times New Roman" w:eastAsia="仿宋_GB2312" w:cs="Times New Roman"/>
                <w:color w:val="000000"/>
                <w:kern w:val="0"/>
                <w:sz w:val="24"/>
                <w:szCs w:val="24"/>
                <w:lang w:bidi="ar"/>
              </w:rPr>
              <w:t>耕地</w:t>
            </w:r>
          </w:p>
        </w:tc>
        <w:tc>
          <w:tcPr>
            <w:tcW w:w="458" w:type="pct"/>
            <w:tcBorders>
              <w:tl2br w:val="nil"/>
              <w:tr2bl w:val="nil"/>
            </w:tcBorders>
            <w:shd w:val="clear" w:color="auto" w:fill="auto"/>
            <w:noWrap/>
            <w:tcMar>
              <w:top w:w="12" w:type="dxa"/>
              <w:left w:w="12" w:type="dxa"/>
              <w:right w:w="12" w:type="dxa"/>
            </w:tcMar>
            <w:vAlign w:val="center"/>
          </w:tcPr>
          <w:p>
            <w:pPr>
              <w:widowControl/>
              <w:jc w:val="right"/>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63.0867</w:t>
            </w:r>
          </w:p>
        </w:tc>
        <w:tc>
          <w:tcPr>
            <w:tcW w:w="438" w:type="pct"/>
            <w:tcBorders>
              <w:tl2br w:val="nil"/>
              <w:tr2bl w:val="nil"/>
            </w:tcBorders>
            <w:shd w:val="clear" w:color="auto" w:fill="auto"/>
            <w:noWrap/>
            <w:tcMar>
              <w:top w:w="12" w:type="dxa"/>
              <w:left w:w="12" w:type="dxa"/>
              <w:right w:w="12" w:type="dxa"/>
            </w:tcMar>
            <w:vAlign w:val="center"/>
          </w:tcPr>
          <w:p>
            <w:pPr>
              <w:widowControl/>
              <w:jc w:val="right"/>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30.82%</w:t>
            </w:r>
          </w:p>
        </w:tc>
        <w:tc>
          <w:tcPr>
            <w:tcW w:w="546" w:type="pct"/>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eastAsia="仿宋_GB2312" w:cs="Times New Roman"/>
                <w:color w:val="000000"/>
                <w:szCs w:val="21"/>
              </w:rPr>
            </w:pPr>
            <w:r>
              <w:rPr>
                <w:rFonts w:ascii="Times New Roman" w:hAnsi="Times New Roman" w:eastAsia="等线" w:cs="Times New Roman"/>
                <w:color w:val="000000"/>
                <w:szCs w:val="21"/>
              </w:rPr>
              <w:t>17.2100</w:t>
            </w:r>
          </w:p>
        </w:tc>
        <w:tc>
          <w:tcPr>
            <w:tcW w:w="546" w:type="pct"/>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eastAsia="仿宋_GB2312" w:cs="Times New Roman"/>
                <w:color w:val="000000"/>
                <w:szCs w:val="21"/>
              </w:rPr>
            </w:pPr>
            <w:r>
              <w:rPr>
                <w:rFonts w:ascii="Times New Roman" w:hAnsi="Times New Roman" w:eastAsia="等线" w:cs="Times New Roman"/>
                <w:color w:val="000000"/>
                <w:szCs w:val="21"/>
              </w:rPr>
              <w:t>3.1363</w:t>
            </w:r>
          </w:p>
        </w:tc>
        <w:tc>
          <w:tcPr>
            <w:tcW w:w="546" w:type="pct"/>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eastAsia="仿宋_GB2312" w:cs="Times New Roman"/>
                <w:color w:val="000000"/>
                <w:szCs w:val="21"/>
              </w:rPr>
            </w:pPr>
            <w:r>
              <w:rPr>
                <w:rFonts w:ascii="Times New Roman" w:hAnsi="Times New Roman" w:eastAsia="等线" w:cs="Times New Roman"/>
                <w:color w:val="000000"/>
                <w:szCs w:val="21"/>
              </w:rPr>
              <w:t>0.1440</w:t>
            </w:r>
          </w:p>
        </w:tc>
        <w:tc>
          <w:tcPr>
            <w:tcW w:w="546" w:type="pct"/>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eastAsia="仿宋_GB2312" w:cs="Times New Roman"/>
                <w:color w:val="000000"/>
                <w:szCs w:val="21"/>
              </w:rPr>
            </w:pPr>
            <w:r>
              <w:rPr>
                <w:rFonts w:ascii="Times New Roman" w:hAnsi="Times New Roman" w:eastAsia="等线" w:cs="Times New Roman"/>
                <w:color w:val="000000"/>
                <w:szCs w:val="21"/>
              </w:rPr>
              <w:t>15.921</w:t>
            </w:r>
          </w:p>
        </w:tc>
        <w:tc>
          <w:tcPr>
            <w:tcW w:w="546" w:type="pct"/>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eastAsia="仿宋_GB2312" w:cs="Times New Roman"/>
                <w:color w:val="000000"/>
                <w:szCs w:val="21"/>
              </w:rPr>
            </w:pPr>
            <w:r>
              <w:rPr>
                <w:rFonts w:ascii="Times New Roman" w:hAnsi="Times New Roman" w:eastAsia="等线" w:cs="Times New Roman"/>
                <w:color w:val="000000"/>
                <w:szCs w:val="21"/>
              </w:rPr>
              <w:t>2.5638</w:t>
            </w:r>
          </w:p>
        </w:tc>
        <w:tc>
          <w:tcPr>
            <w:tcW w:w="553" w:type="pct"/>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eastAsia="仿宋_GB2312" w:cs="Times New Roman"/>
                <w:color w:val="000000"/>
                <w:szCs w:val="21"/>
              </w:rPr>
            </w:pPr>
            <w:r>
              <w:rPr>
                <w:rFonts w:ascii="Times New Roman" w:hAnsi="Times New Roman" w:eastAsia="等线" w:cs="Times New Roman"/>
                <w:color w:val="000000"/>
                <w:szCs w:val="21"/>
              </w:rPr>
              <w:t>24.1116</w:t>
            </w:r>
          </w:p>
        </w:tc>
      </w:tr>
      <w:bookmarkEnd w:id="22"/>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1"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园地</w:t>
            </w:r>
          </w:p>
        </w:tc>
        <w:tc>
          <w:tcPr>
            <w:tcW w:w="458" w:type="pct"/>
            <w:tcBorders>
              <w:tl2br w:val="nil"/>
              <w:tr2bl w:val="nil"/>
            </w:tcBorders>
            <w:shd w:val="clear" w:color="auto" w:fill="auto"/>
            <w:noWrap/>
            <w:tcMar>
              <w:top w:w="12" w:type="dxa"/>
              <w:left w:w="12" w:type="dxa"/>
              <w:right w:w="12" w:type="dxa"/>
            </w:tcMar>
            <w:vAlign w:val="center"/>
          </w:tcPr>
          <w:p>
            <w:pPr>
              <w:widowControl/>
              <w:jc w:val="right"/>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20.0264</w:t>
            </w:r>
          </w:p>
        </w:tc>
        <w:tc>
          <w:tcPr>
            <w:tcW w:w="438" w:type="pct"/>
            <w:tcBorders>
              <w:tl2br w:val="nil"/>
              <w:tr2bl w:val="nil"/>
            </w:tcBorders>
            <w:shd w:val="clear" w:color="auto" w:fill="auto"/>
            <w:noWrap/>
            <w:tcMar>
              <w:top w:w="12" w:type="dxa"/>
              <w:left w:w="12" w:type="dxa"/>
              <w:right w:w="12" w:type="dxa"/>
            </w:tcMar>
            <w:vAlign w:val="center"/>
          </w:tcPr>
          <w:p>
            <w:pPr>
              <w:widowControl/>
              <w:jc w:val="right"/>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9.78%</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3.3745</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0.2055</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0</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9.7712</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0.813</w:t>
            </w:r>
          </w:p>
        </w:tc>
        <w:tc>
          <w:tcPr>
            <w:tcW w:w="553" w:type="pct"/>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eastAsia="仿宋_GB2312" w:cs="Times New Roman"/>
                <w:color w:val="000000"/>
                <w:szCs w:val="21"/>
              </w:rPr>
            </w:pPr>
            <w:r>
              <w:rPr>
                <w:rFonts w:ascii="Times New Roman" w:hAnsi="Times New Roman" w:eastAsia="等线" w:cs="Times New Roman"/>
                <w:color w:val="000000"/>
                <w:szCs w:val="21"/>
              </w:rPr>
              <w:t>5.8622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1"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林地</w:t>
            </w:r>
          </w:p>
        </w:tc>
        <w:tc>
          <w:tcPr>
            <w:tcW w:w="458" w:type="pct"/>
            <w:tcBorders>
              <w:tl2br w:val="nil"/>
              <w:tr2bl w:val="nil"/>
            </w:tcBorders>
            <w:shd w:val="clear" w:color="auto" w:fill="auto"/>
            <w:noWrap/>
            <w:tcMar>
              <w:top w:w="12" w:type="dxa"/>
              <w:left w:w="12" w:type="dxa"/>
              <w:right w:w="12" w:type="dxa"/>
            </w:tcMar>
            <w:vAlign w:val="center"/>
          </w:tcPr>
          <w:p>
            <w:pPr>
              <w:widowControl/>
              <w:jc w:val="right"/>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86.1883</w:t>
            </w:r>
          </w:p>
        </w:tc>
        <w:tc>
          <w:tcPr>
            <w:tcW w:w="438" w:type="pct"/>
            <w:tcBorders>
              <w:tl2br w:val="nil"/>
              <w:tr2bl w:val="nil"/>
            </w:tcBorders>
            <w:shd w:val="clear" w:color="auto" w:fill="auto"/>
            <w:noWrap/>
            <w:tcMar>
              <w:top w:w="12" w:type="dxa"/>
              <w:left w:w="12" w:type="dxa"/>
              <w:right w:w="12" w:type="dxa"/>
            </w:tcMar>
            <w:vAlign w:val="center"/>
          </w:tcPr>
          <w:p>
            <w:pPr>
              <w:widowControl/>
              <w:jc w:val="right"/>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42.10%</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27.2907</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8.5571</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6.1636</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24.1535</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4.9981</w:t>
            </w:r>
          </w:p>
        </w:tc>
        <w:tc>
          <w:tcPr>
            <w:tcW w:w="553" w:type="pct"/>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eastAsia="仿宋_GB2312" w:cs="Times New Roman"/>
                <w:color w:val="000000"/>
                <w:szCs w:val="21"/>
              </w:rPr>
            </w:pPr>
            <w:r>
              <w:rPr>
                <w:rFonts w:ascii="Times New Roman" w:hAnsi="Times New Roman" w:eastAsia="等线" w:cs="Times New Roman"/>
                <w:color w:val="000000"/>
                <w:szCs w:val="21"/>
              </w:rPr>
              <w:t>15.0253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1"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其它农用地</w:t>
            </w:r>
          </w:p>
        </w:tc>
        <w:tc>
          <w:tcPr>
            <w:tcW w:w="458" w:type="pct"/>
            <w:tcBorders>
              <w:tl2br w:val="nil"/>
              <w:tr2bl w:val="nil"/>
            </w:tcBorders>
            <w:shd w:val="clear" w:color="auto" w:fill="auto"/>
            <w:noWrap/>
            <w:tcMar>
              <w:top w:w="12" w:type="dxa"/>
              <w:left w:w="12" w:type="dxa"/>
              <w:right w:w="12" w:type="dxa"/>
            </w:tcMar>
            <w:vAlign w:val="center"/>
          </w:tcPr>
          <w:p>
            <w:pPr>
              <w:widowControl/>
              <w:jc w:val="right"/>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10.1547</w:t>
            </w:r>
          </w:p>
        </w:tc>
        <w:tc>
          <w:tcPr>
            <w:tcW w:w="438" w:type="pct"/>
            <w:tcBorders>
              <w:tl2br w:val="nil"/>
              <w:tr2bl w:val="nil"/>
            </w:tcBorders>
            <w:shd w:val="clear" w:color="auto" w:fill="auto"/>
            <w:noWrap/>
            <w:tcMar>
              <w:top w:w="12" w:type="dxa"/>
              <w:left w:w="12" w:type="dxa"/>
              <w:right w:w="12" w:type="dxa"/>
            </w:tcMar>
            <w:vAlign w:val="center"/>
          </w:tcPr>
          <w:p>
            <w:pPr>
              <w:widowControl/>
              <w:jc w:val="right"/>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4.96%</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3.5947</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0.7872</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0.037</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1.6444</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0.4869</w:t>
            </w:r>
          </w:p>
        </w:tc>
        <w:tc>
          <w:tcPr>
            <w:tcW w:w="553" w:type="pct"/>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eastAsia="仿宋_GB2312" w:cs="Times New Roman"/>
                <w:color w:val="000000"/>
                <w:szCs w:val="21"/>
              </w:rPr>
            </w:pPr>
            <w:r>
              <w:rPr>
                <w:rFonts w:ascii="Times New Roman" w:hAnsi="Times New Roman" w:eastAsia="等线" w:cs="Times New Roman"/>
                <w:color w:val="000000"/>
                <w:szCs w:val="21"/>
              </w:rPr>
              <w:t>3.6045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1"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小计</w:t>
            </w:r>
          </w:p>
        </w:tc>
        <w:tc>
          <w:tcPr>
            <w:tcW w:w="458" w:type="pct"/>
            <w:tcBorders>
              <w:tl2br w:val="nil"/>
              <w:tr2bl w:val="nil"/>
            </w:tcBorders>
            <w:shd w:val="clear" w:color="auto" w:fill="auto"/>
            <w:noWrap/>
            <w:tcMar>
              <w:top w:w="12" w:type="dxa"/>
              <w:left w:w="12" w:type="dxa"/>
              <w:right w:w="12" w:type="dxa"/>
            </w:tcMar>
            <w:vAlign w:val="center"/>
          </w:tcPr>
          <w:p>
            <w:pPr>
              <w:widowControl/>
              <w:jc w:val="right"/>
              <w:textAlignment w:val="center"/>
              <w:rPr>
                <w:rFonts w:ascii="Times New Roman" w:hAnsi="Times New Roman" w:eastAsia="仿宋_GB2312" w:cs="Times New Roman"/>
                <w:color w:val="000000"/>
                <w:szCs w:val="21"/>
              </w:rPr>
            </w:pPr>
            <w:bookmarkStart w:id="23" w:name="_Hlk88089127"/>
            <w:r>
              <w:rPr>
                <w:rFonts w:ascii="Times New Roman" w:hAnsi="Times New Roman" w:eastAsia="等线" w:cs="Times New Roman"/>
                <w:color w:val="000000"/>
                <w:szCs w:val="21"/>
              </w:rPr>
              <w:t>179.4561</w:t>
            </w:r>
            <w:bookmarkEnd w:id="23"/>
          </w:p>
        </w:tc>
        <w:tc>
          <w:tcPr>
            <w:tcW w:w="438" w:type="pct"/>
            <w:tcBorders>
              <w:tl2br w:val="nil"/>
              <w:tr2bl w:val="nil"/>
            </w:tcBorders>
            <w:shd w:val="clear" w:color="auto" w:fill="auto"/>
            <w:noWrap/>
            <w:tcMar>
              <w:top w:w="12" w:type="dxa"/>
              <w:left w:w="12" w:type="dxa"/>
              <w:right w:w="12" w:type="dxa"/>
            </w:tcMar>
            <w:vAlign w:val="center"/>
          </w:tcPr>
          <w:p>
            <w:pPr>
              <w:widowControl/>
              <w:jc w:val="right"/>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87.67%</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51.4699</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12.6861</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6.3446</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51.4901</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8.8618</w:t>
            </w:r>
          </w:p>
        </w:tc>
        <w:tc>
          <w:tcPr>
            <w:tcW w:w="553" w:type="pct"/>
            <w:tcBorders>
              <w:tl2br w:val="nil"/>
              <w:tr2bl w:val="nil"/>
            </w:tcBorders>
            <w:shd w:val="clear" w:color="auto" w:fill="auto"/>
            <w:noWrap/>
            <w:tcMar>
              <w:top w:w="12" w:type="dxa"/>
              <w:left w:w="12" w:type="dxa"/>
              <w:right w:w="12" w:type="dxa"/>
            </w:tcMar>
            <w:vAlign w:val="center"/>
          </w:tcPr>
          <w:p>
            <w:pPr>
              <w:widowControl/>
              <w:jc w:val="center"/>
              <w:textAlignment w:val="bottom"/>
              <w:rPr>
                <w:rFonts w:ascii="Times New Roman" w:hAnsi="Times New Roman" w:eastAsia="仿宋_GB2312" w:cs="Times New Roman"/>
                <w:color w:val="000000"/>
                <w:szCs w:val="21"/>
              </w:rPr>
            </w:pPr>
            <w:r>
              <w:rPr>
                <w:rFonts w:ascii="Times New Roman" w:hAnsi="Times New Roman" w:eastAsia="等线" w:cs="Times New Roman"/>
                <w:color w:val="000000"/>
                <w:szCs w:val="21"/>
              </w:rPr>
              <w:t>48.6036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1"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城乡建设用地</w:t>
            </w:r>
          </w:p>
        </w:tc>
        <w:tc>
          <w:tcPr>
            <w:tcW w:w="458" w:type="pct"/>
            <w:tcBorders>
              <w:tl2br w:val="nil"/>
              <w:tr2bl w:val="nil"/>
            </w:tcBorders>
            <w:shd w:val="clear" w:color="auto" w:fill="auto"/>
            <w:noWrap/>
            <w:tcMar>
              <w:top w:w="12" w:type="dxa"/>
              <w:left w:w="12" w:type="dxa"/>
              <w:right w:w="12" w:type="dxa"/>
            </w:tcMar>
            <w:vAlign w:val="center"/>
          </w:tcPr>
          <w:p>
            <w:pPr>
              <w:widowControl/>
              <w:jc w:val="right"/>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 xml:space="preserve">10.6380 </w:t>
            </w:r>
          </w:p>
        </w:tc>
        <w:tc>
          <w:tcPr>
            <w:tcW w:w="438" w:type="pct"/>
            <w:tcBorders>
              <w:tl2br w:val="nil"/>
              <w:tr2bl w:val="nil"/>
            </w:tcBorders>
            <w:shd w:val="clear" w:color="auto" w:fill="auto"/>
            <w:noWrap/>
            <w:tcMar>
              <w:top w:w="12" w:type="dxa"/>
              <w:left w:w="12" w:type="dxa"/>
              <w:right w:w="12" w:type="dxa"/>
            </w:tcMar>
            <w:vAlign w:val="center"/>
          </w:tcPr>
          <w:p>
            <w:pPr>
              <w:widowControl/>
              <w:jc w:val="right"/>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5.20%</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1.0118</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0.0684</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hint="eastAsia" w:ascii="Times New Roman" w:hAnsi="Times New Roman" w:eastAsia="仿宋_GB2312" w:cs="Times New Roman"/>
                <w:color w:val="000000"/>
                <w:szCs w:val="21"/>
              </w:rPr>
              <w:t>0</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2.4257</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2.1498</w:t>
            </w:r>
          </w:p>
        </w:tc>
        <w:tc>
          <w:tcPr>
            <w:tcW w:w="553" w:type="pct"/>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eastAsia="仿宋_GB2312" w:cs="Times New Roman"/>
                <w:color w:val="000000"/>
                <w:szCs w:val="21"/>
              </w:rPr>
            </w:pPr>
            <w:r>
              <w:rPr>
                <w:rFonts w:ascii="Times New Roman" w:hAnsi="Times New Roman" w:eastAsia="等线" w:cs="Times New Roman"/>
                <w:color w:val="000000"/>
                <w:szCs w:val="21"/>
              </w:rPr>
              <w:t>4.9823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1"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交通水利用地</w:t>
            </w:r>
          </w:p>
        </w:tc>
        <w:tc>
          <w:tcPr>
            <w:tcW w:w="458" w:type="pct"/>
            <w:tcBorders>
              <w:tl2br w:val="nil"/>
              <w:tr2bl w:val="nil"/>
            </w:tcBorders>
            <w:shd w:val="clear" w:color="auto" w:fill="auto"/>
            <w:noWrap/>
            <w:tcMar>
              <w:top w:w="12" w:type="dxa"/>
              <w:left w:w="12" w:type="dxa"/>
              <w:right w:w="12" w:type="dxa"/>
            </w:tcMar>
            <w:vAlign w:val="center"/>
          </w:tcPr>
          <w:p>
            <w:pPr>
              <w:widowControl/>
              <w:jc w:val="right"/>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1.7364</w:t>
            </w:r>
          </w:p>
        </w:tc>
        <w:tc>
          <w:tcPr>
            <w:tcW w:w="438" w:type="pct"/>
            <w:tcBorders>
              <w:tl2br w:val="nil"/>
              <w:tr2bl w:val="nil"/>
            </w:tcBorders>
            <w:shd w:val="clear" w:color="auto" w:fill="auto"/>
            <w:noWrap/>
            <w:tcMar>
              <w:top w:w="12" w:type="dxa"/>
              <w:left w:w="12" w:type="dxa"/>
              <w:right w:w="12" w:type="dxa"/>
            </w:tcMar>
            <w:vAlign w:val="center"/>
          </w:tcPr>
          <w:p>
            <w:pPr>
              <w:widowControl/>
              <w:jc w:val="right"/>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0.85%</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0.0723</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0.0153</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hint="eastAsia" w:ascii="Times New Roman" w:hAnsi="Times New Roman" w:eastAsia="仿宋_GB2312" w:cs="Times New Roman"/>
                <w:color w:val="000000"/>
                <w:szCs w:val="21"/>
              </w:rPr>
              <w:t>0</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0.1978</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hint="eastAsia" w:ascii="Times New Roman" w:hAnsi="Times New Roman" w:eastAsia="仿宋_GB2312" w:cs="Times New Roman"/>
                <w:color w:val="000000"/>
                <w:szCs w:val="21"/>
              </w:rPr>
              <w:t>0</w:t>
            </w:r>
          </w:p>
        </w:tc>
        <w:tc>
          <w:tcPr>
            <w:tcW w:w="553" w:type="pct"/>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eastAsia="仿宋_GB2312" w:cs="Times New Roman"/>
                <w:color w:val="000000"/>
                <w:szCs w:val="21"/>
              </w:rPr>
            </w:pPr>
            <w:r>
              <w:rPr>
                <w:rFonts w:ascii="Times New Roman" w:hAnsi="Times New Roman" w:eastAsia="等线" w:cs="Times New Roman"/>
                <w:color w:val="000000"/>
                <w:szCs w:val="21"/>
              </w:rPr>
              <w:t>1.451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1"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其它建设用地</w:t>
            </w:r>
          </w:p>
        </w:tc>
        <w:tc>
          <w:tcPr>
            <w:tcW w:w="458" w:type="pct"/>
            <w:tcBorders>
              <w:tl2br w:val="nil"/>
              <w:tr2bl w:val="nil"/>
            </w:tcBorders>
            <w:shd w:val="clear" w:color="auto" w:fill="auto"/>
            <w:noWrap/>
            <w:tcMar>
              <w:top w:w="12" w:type="dxa"/>
              <w:left w:w="12" w:type="dxa"/>
              <w:right w:w="12" w:type="dxa"/>
            </w:tcMar>
            <w:vAlign w:val="center"/>
          </w:tcPr>
          <w:p>
            <w:pPr>
              <w:widowControl/>
              <w:jc w:val="right"/>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0.2524</w:t>
            </w:r>
          </w:p>
        </w:tc>
        <w:tc>
          <w:tcPr>
            <w:tcW w:w="438"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0.12%</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hint="eastAsia" w:ascii="Times New Roman" w:hAnsi="Times New Roman" w:eastAsia="仿宋_GB2312" w:cs="Times New Roman"/>
                <w:color w:val="000000"/>
                <w:szCs w:val="21"/>
              </w:rPr>
              <w:t>0</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hint="eastAsia" w:ascii="Times New Roman" w:hAnsi="Times New Roman" w:eastAsia="仿宋_GB2312" w:cs="Times New Roman"/>
                <w:color w:val="000000"/>
                <w:szCs w:val="21"/>
              </w:rPr>
              <w:t>0</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hint="eastAsia" w:ascii="Times New Roman" w:hAnsi="Times New Roman" w:eastAsia="仿宋_GB2312" w:cs="Times New Roman"/>
                <w:color w:val="000000"/>
                <w:szCs w:val="21"/>
              </w:rPr>
              <w:t>0</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hint="eastAsia" w:ascii="Times New Roman" w:hAnsi="Times New Roman" w:eastAsia="仿宋_GB2312" w:cs="Times New Roman"/>
                <w:color w:val="000000"/>
                <w:szCs w:val="21"/>
              </w:rPr>
              <w:t>0</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hint="eastAsia" w:ascii="Times New Roman" w:hAnsi="Times New Roman" w:eastAsia="仿宋_GB2312" w:cs="Times New Roman"/>
                <w:color w:val="000000"/>
                <w:szCs w:val="21"/>
              </w:rPr>
              <w:t>0</w:t>
            </w:r>
          </w:p>
        </w:tc>
        <w:tc>
          <w:tcPr>
            <w:tcW w:w="553" w:type="pct"/>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eastAsia="仿宋_GB2312" w:cs="Times New Roman"/>
                <w:color w:val="000000"/>
                <w:szCs w:val="21"/>
              </w:rPr>
            </w:pPr>
            <w:r>
              <w:rPr>
                <w:rFonts w:ascii="Times New Roman" w:hAnsi="Times New Roman" w:eastAsia="等线" w:cs="Times New Roman"/>
                <w:color w:val="000000"/>
                <w:szCs w:val="21"/>
              </w:rPr>
              <w:t>0.2524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1"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小计</w:t>
            </w:r>
          </w:p>
        </w:tc>
        <w:tc>
          <w:tcPr>
            <w:tcW w:w="458" w:type="pct"/>
            <w:tcBorders>
              <w:tl2br w:val="nil"/>
              <w:tr2bl w:val="nil"/>
            </w:tcBorders>
            <w:shd w:val="clear" w:color="auto" w:fill="auto"/>
            <w:noWrap/>
            <w:tcMar>
              <w:top w:w="12" w:type="dxa"/>
              <w:left w:w="12" w:type="dxa"/>
              <w:right w:w="12" w:type="dxa"/>
            </w:tcMar>
            <w:vAlign w:val="center"/>
          </w:tcPr>
          <w:p>
            <w:pPr>
              <w:widowControl/>
              <w:jc w:val="right"/>
              <w:textAlignment w:val="center"/>
              <w:rPr>
                <w:rFonts w:ascii="Times New Roman" w:hAnsi="Times New Roman" w:eastAsia="仿宋_GB2312" w:cs="Times New Roman"/>
                <w:color w:val="000000"/>
                <w:szCs w:val="21"/>
              </w:rPr>
            </w:pPr>
            <w:bookmarkStart w:id="24" w:name="_Hlk88089186"/>
            <w:r>
              <w:rPr>
                <w:rFonts w:ascii="Times New Roman" w:hAnsi="Times New Roman" w:eastAsia="等线" w:cs="Times New Roman"/>
                <w:color w:val="000000"/>
                <w:szCs w:val="21"/>
              </w:rPr>
              <w:t>12.6268</w:t>
            </w:r>
            <w:bookmarkEnd w:id="24"/>
          </w:p>
        </w:tc>
        <w:tc>
          <w:tcPr>
            <w:tcW w:w="438" w:type="pct"/>
            <w:tcBorders>
              <w:tl2br w:val="nil"/>
              <w:tr2bl w:val="nil"/>
            </w:tcBorders>
            <w:shd w:val="clear" w:color="auto" w:fill="auto"/>
            <w:noWrap/>
            <w:tcMar>
              <w:top w:w="12" w:type="dxa"/>
              <w:left w:w="12" w:type="dxa"/>
              <w:right w:w="12" w:type="dxa"/>
            </w:tcMar>
            <w:vAlign w:val="center"/>
          </w:tcPr>
          <w:p>
            <w:pPr>
              <w:widowControl/>
              <w:jc w:val="right"/>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6.17%</w:t>
            </w:r>
          </w:p>
        </w:tc>
        <w:tc>
          <w:tcPr>
            <w:tcW w:w="546" w:type="pct"/>
            <w:tcBorders>
              <w:tl2br w:val="nil"/>
              <w:tr2bl w:val="nil"/>
            </w:tcBorders>
            <w:shd w:val="clear" w:color="auto" w:fill="auto"/>
            <w:noWrap/>
            <w:tcMar>
              <w:top w:w="12" w:type="dxa"/>
              <w:left w:w="12" w:type="dxa"/>
              <w:right w:w="12" w:type="dxa"/>
            </w:tcMar>
            <w:vAlign w:val="bottom"/>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1.0841</w:t>
            </w:r>
          </w:p>
        </w:tc>
        <w:tc>
          <w:tcPr>
            <w:tcW w:w="546" w:type="pct"/>
            <w:tcBorders>
              <w:tl2br w:val="nil"/>
              <w:tr2bl w:val="nil"/>
            </w:tcBorders>
            <w:shd w:val="clear" w:color="auto" w:fill="auto"/>
            <w:noWrap/>
            <w:tcMar>
              <w:top w:w="12" w:type="dxa"/>
              <w:left w:w="12" w:type="dxa"/>
              <w:right w:w="12" w:type="dxa"/>
            </w:tcMar>
            <w:vAlign w:val="bottom"/>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0.0837</w:t>
            </w:r>
          </w:p>
        </w:tc>
        <w:tc>
          <w:tcPr>
            <w:tcW w:w="546" w:type="pct"/>
            <w:tcBorders>
              <w:tl2br w:val="nil"/>
              <w:tr2bl w:val="nil"/>
            </w:tcBorders>
            <w:shd w:val="clear" w:color="auto" w:fill="auto"/>
            <w:noWrap/>
            <w:tcMar>
              <w:top w:w="12" w:type="dxa"/>
              <w:left w:w="12" w:type="dxa"/>
              <w:right w:w="12" w:type="dxa"/>
            </w:tcMar>
            <w:vAlign w:val="bottom"/>
          </w:tcPr>
          <w:p>
            <w:pPr>
              <w:widowControl/>
              <w:jc w:val="center"/>
              <w:textAlignment w:val="center"/>
              <w:rPr>
                <w:rFonts w:ascii="Times New Roman" w:hAnsi="Times New Roman" w:eastAsia="仿宋_GB2312" w:cs="Times New Roman"/>
                <w:color w:val="000000"/>
                <w:szCs w:val="21"/>
              </w:rPr>
            </w:pPr>
            <w:r>
              <w:rPr>
                <w:rFonts w:hint="eastAsia" w:ascii="Times New Roman" w:hAnsi="Times New Roman" w:eastAsia="仿宋_GB2312" w:cs="Times New Roman"/>
                <w:color w:val="000000"/>
                <w:szCs w:val="21"/>
              </w:rPr>
              <w:t>0</w:t>
            </w:r>
          </w:p>
        </w:tc>
        <w:tc>
          <w:tcPr>
            <w:tcW w:w="546" w:type="pct"/>
            <w:tcBorders>
              <w:tl2br w:val="nil"/>
              <w:tr2bl w:val="nil"/>
            </w:tcBorders>
            <w:shd w:val="clear" w:color="auto" w:fill="auto"/>
            <w:noWrap/>
            <w:tcMar>
              <w:top w:w="12" w:type="dxa"/>
              <w:left w:w="12" w:type="dxa"/>
              <w:right w:w="12" w:type="dxa"/>
            </w:tcMar>
            <w:vAlign w:val="bottom"/>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2.6235</w:t>
            </w:r>
          </w:p>
        </w:tc>
        <w:tc>
          <w:tcPr>
            <w:tcW w:w="546" w:type="pct"/>
            <w:tcBorders>
              <w:tl2br w:val="nil"/>
              <w:tr2bl w:val="nil"/>
            </w:tcBorders>
            <w:shd w:val="clear" w:color="auto" w:fill="auto"/>
            <w:noWrap/>
            <w:tcMar>
              <w:top w:w="12" w:type="dxa"/>
              <w:left w:w="12" w:type="dxa"/>
              <w:right w:w="12" w:type="dxa"/>
            </w:tcMar>
            <w:vAlign w:val="bottom"/>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2.1498</w:t>
            </w:r>
          </w:p>
        </w:tc>
        <w:tc>
          <w:tcPr>
            <w:tcW w:w="553" w:type="pct"/>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eastAsia="仿宋_GB2312" w:cs="Times New Roman"/>
                <w:color w:val="000000"/>
                <w:szCs w:val="21"/>
              </w:rPr>
            </w:pPr>
            <w:r>
              <w:rPr>
                <w:rFonts w:ascii="Times New Roman" w:hAnsi="Times New Roman" w:eastAsia="等线" w:cs="Times New Roman"/>
                <w:color w:val="000000"/>
                <w:szCs w:val="21"/>
              </w:rPr>
              <w:t>6.6857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1"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水域</w:t>
            </w:r>
          </w:p>
        </w:tc>
        <w:tc>
          <w:tcPr>
            <w:tcW w:w="458" w:type="pct"/>
            <w:tcBorders>
              <w:tl2br w:val="nil"/>
              <w:tr2bl w:val="nil"/>
            </w:tcBorders>
            <w:shd w:val="clear" w:color="auto" w:fill="auto"/>
            <w:noWrap/>
            <w:tcMar>
              <w:top w:w="12" w:type="dxa"/>
              <w:left w:w="12" w:type="dxa"/>
              <w:right w:w="12" w:type="dxa"/>
            </w:tcMar>
            <w:vAlign w:val="center"/>
          </w:tcPr>
          <w:p>
            <w:pPr>
              <w:widowControl/>
              <w:jc w:val="right"/>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0.6816</w:t>
            </w:r>
          </w:p>
        </w:tc>
        <w:tc>
          <w:tcPr>
            <w:tcW w:w="438" w:type="pct"/>
            <w:tcBorders>
              <w:tl2br w:val="nil"/>
              <w:tr2bl w:val="nil"/>
            </w:tcBorders>
            <w:shd w:val="clear" w:color="auto" w:fill="auto"/>
            <w:noWrap/>
            <w:tcMar>
              <w:top w:w="12" w:type="dxa"/>
              <w:left w:w="12" w:type="dxa"/>
              <w:right w:w="12" w:type="dxa"/>
            </w:tcMar>
            <w:vAlign w:val="center"/>
          </w:tcPr>
          <w:p>
            <w:pPr>
              <w:widowControl/>
              <w:jc w:val="right"/>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0.33%</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0.0896</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0.2099</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0.0064</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0.0624</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hint="eastAsia" w:ascii="Times New Roman" w:hAnsi="Times New Roman" w:eastAsia="仿宋_GB2312" w:cs="Times New Roman"/>
                <w:color w:val="000000"/>
                <w:szCs w:val="21"/>
              </w:rPr>
              <w:t>0</w:t>
            </w:r>
          </w:p>
        </w:tc>
        <w:tc>
          <w:tcPr>
            <w:tcW w:w="553" w:type="pct"/>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eastAsia="仿宋_GB2312" w:cs="Times New Roman"/>
                <w:color w:val="000000"/>
                <w:szCs w:val="21"/>
              </w:rPr>
            </w:pPr>
            <w:r>
              <w:rPr>
                <w:rFonts w:ascii="Times New Roman" w:hAnsi="Times New Roman" w:eastAsia="等线" w:cs="Times New Roman"/>
                <w:color w:val="000000"/>
                <w:szCs w:val="21"/>
              </w:rPr>
              <w:t>0.3133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1"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bookmarkStart w:id="25" w:name="_Hlk88089198"/>
            <w:r>
              <w:rPr>
                <w:rFonts w:ascii="Times New Roman" w:hAnsi="Times New Roman" w:eastAsia="仿宋_GB2312" w:cs="Times New Roman"/>
                <w:color w:val="000000"/>
                <w:kern w:val="0"/>
                <w:sz w:val="24"/>
                <w:szCs w:val="24"/>
                <w:lang w:bidi="ar"/>
              </w:rPr>
              <w:t>自然保留地</w:t>
            </w:r>
          </w:p>
        </w:tc>
        <w:tc>
          <w:tcPr>
            <w:tcW w:w="458" w:type="pct"/>
            <w:tcBorders>
              <w:tl2br w:val="nil"/>
              <w:tr2bl w:val="nil"/>
            </w:tcBorders>
            <w:shd w:val="clear" w:color="auto" w:fill="auto"/>
            <w:noWrap/>
            <w:tcMar>
              <w:top w:w="12" w:type="dxa"/>
              <w:left w:w="12" w:type="dxa"/>
              <w:right w:w="12" w:type="dxa"/>
            </w:tcMar>
            <w:vAlign w:val="center"/>
          </w:tcPr>
          <w:p>
            <w:pPr>
              <w:widowControl/>
              <w:jc w:val="right"/>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11.9391</w:t>
            </w:r>
          </w:p>
        </w:tc>
        <w:tc>
          <w:tcPr>
            <w:tcW w:w="438" w:type="pct"/>
            <w:tcBorders>
              <w:tl2br w:val="nil"/>
              <w:tr2bl w:val="nil"/>
            </w:tcBorders>
            <w:shd w:val="clear" w:color="auto" w:fill="auto"/>
            <w:noWrap/>
            <w:tcMar>
              <w:top w:w="12" w:type="dxa"/>
              <w:left w:w="12" w:type="dxa"/>
              <w:right w:w="12" w:type="dxa"/>
            </w:tcMar>
            <w:vAlign w:val="center"/>
          </w:tcPr>
          <w:p>
            <w:pPr>
              <w:widowControl/>
              <w:jc w:val="right"/>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5.83%</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8.2671</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0.8091</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0.4414</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hint="eastAsia" w:ascii="Times New Roman" w:hAnsi="Times New Roman" w:eastAsia="仿宋_GB2312" w:cs="Times New Roman"/>
                <w:color w:val="000000"/>
                <w:szCs w:val="21"/>
              </w:rPr>
              <w:t>0</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2.0768</w:t>
            </w:r>
          </w:p>
        </w:tc>
        <w:tc>
          <w:tcPr>
            <w:tcW w:w="553" w:type="pct"/>
            <w:tcBorders>
              <w:tl2br w:val="nil"/>
              <w:tr2bl w:val="nil"/>
            </w:tcBorders>
            <w:shd w:val="clear" w:color="auto" w:fill="auto"/>
            <w:noWrap/>
            <w:tcMar>
              <w:top w:w="12" w:type="dxa"/>
              <w:left w:w="12" w:type="dxa"/>
              <w:right w:w="12" w:type="dxa"/>
            </w:tcMar>
            <w:vAlign w:val="bottom"/>
          </w:tcPr>
          <w:p>
            <w:pPr>
              <w:widowControl/>
              <w:jc w:val="center"/>
              <w:textAlignment w:val="bottom"/>
              <w:rPr>
                <w:rFonts w:ascii="Times New Roman" w:hAnsi="Times New Roman" w:eastAsia="仿宋_GB2312" w:cs="Times New Roman"/>
                <w:color w:val="000000"/>
                <w:szCs w:val="21"/>
              </w:rPr>
            </w:pPr>
            <w:r>
              <w:rPr>
                <w:rFonts w:ascii="Times New Roman" w:hAnsi="Times New Roman" w:eastAsia="等线" w:cs="Times New Roman"/>
                <w:color w:val="000000"/>
                <w:szCs w:val="21"/>
              </w:rPr>
              <w:t>0.3447</w:t>
            </w:r>
          </w:p>
        </w:tc>
      </w:tr>
      <w:bookmarkEnd w:id="25"/>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1"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小计</w:t>
            </w:r>
          </w:p>
        </w:tc>
        <w:tc>
          <w:tcPr>
            <w:tcW w:w="458" w:type="pct"/>
            <w:tcBorders>
              <w:tl2br w:val="nil"/>
              <w:tr2bl w:val="nil"/>
            </w:tcBorders>
            <w:shd w:val="clear" w:color="auto" w:fill="auto"/>
            <w:noWrap/>
            <w:tcMar>
              <w:top w:w="12" w:type="dxa"/>
              <w:left w:w="12" w:type="dxa"/>
              <w:right w:w="12" w:type="dxa"/>
            </w:tcMar>
            <w:vAlign w:val="center"/>
          </w:tcPr>
          <w:p>
            <w:pPr>
              <w:widowControl/>
              <w:jc w:val="right"/>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12.6207</w:t>
            </w:r>
          </w:p>
        </w:tc>
        <w:tc>
          <w:tcPr>
            <w:tcW w:w="438" w:type="pct"/>
            <w:tcBorders>
              <w:tl2br w:val="nil"/>
              <w:tr2bl w:val="nil"/>
            </w:tcBorders>
            <w:shd w:val="clear" w:color="auto" w:fill="auto"/>
            <w:noWrap/>
            <w:tcMar>
              <w:top w:w="12" w:type="dxa"/>
              <w:left w:w="12" w:type="dxa"/>
              <w:right w:w="12" w:type="dxa"/>
            </w:tcMar>
            <w:vAlign w:val="center"/>
          </w:tcPr>
          <w:p>
            <w:pPr>
              <w:widowControl/>
              <w:jc w:val="right"/>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6.17%</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8.3567</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1.019</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0.4478</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0.0624</w:t>
            </w:r>
          </w:p>
        </w:tc>
        <w:tc>
          <w:tcPr>
            <w:tcW w:w="546" w:type="pct"/>
            <w:tcBorders>
              <w:tl2br w:val="nil"/>
              <w:tr2bl w:val="nil"/>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Cs w:val="21"/>
              </w:rPr>
            </w:pPr>
            <w:r>
              <w:rPr>
                <w:rFonts w:ascii="Times New Roman" w:hAnsi="Times New Roman" w:eastAsia="等线" w:cs="Times New Roman"/>
                <w:color w:val="000000"/>
                <w:szCs w:val="21"/>
              </w:rPr>
              <w:t>2.0768</w:t>
            </w:r>
          </w:p>
        </w:tc>
        <w:tc>
          <w:tcPr>
            <w:tcW w:w="553" w:type="pct"/>
            <w:tcBorders>
              <w:tl2br w:val="nil"/>
              <w:tr2bl w:val="nil"/>
            </w:tcBorders>
            <w:shd w:val="clear" w:color="auto" w:fill="auto"/>
            <w:noWrap/>
            <w:tcMar>
              <w:top w:w="12" w:type="dxa"/>
              <w:left w:w="12" w:type="dxa"/>
              <w:right w:w="12" w:type="dxa"/>
            </w:tcMar>
            <w:vAlign w:val="center"/>
          </w:tcPr>
          <w:p>
            <w:pPr>
              <w:widowControl/>
              <w:jc w:val="center"/>
              <w:textAlignment w:val="bottom"/>
              <w:rPr>
                <w:rFonts w:ascii="Times New Roman" w:hAnsi="Times New Roman" w:eastAsia="仿宋_GB2312" w:cs="Times New Roman"/>
                <w:color w:val="000000"/>
                <w:szCs w:val="21"/>
              </w:rPr>
            </w:pPr>
            <w:r>
              <w:rPr>
                <w:rFonts w:ascii="Times New Roman" w:hAnsi="Times New Roman" w:eastAsia="等线" w:cs="Times New Roman"/>
                <w:color w:val="000000"/>
                <w:szCs w:val="21"/>
              </w:rPr>
              <w:t>0.658</w:t>
            </w:r>
          </w:p>
        </w:tc>
      </w:tr>
    </w:tbl>
    <w:p>
      <w:pPr>
        <w:keepNext/>
        <w:keepLines/>
        <w:adjustRightInd w:val="0"/>
        <w:spacing w:line="360" w:lineRule="auto"/>
        <w:ind w:firstLine="600" w:firstLineChars="200"/>
        <w:outlineLvl w:val="2"/>
        <w:rPr>
          <w:rFonts w:eastAsia="黑体"/>
          <w:bCs/>
          <w:color w:val="000000"/>
          <w:sz w:val="30"/>
          <w:szCs w:val="28"/>
        </w:rPr>
      </w:pPr>
      <w:bookmarkStart w:id="26" w:name="_Toc88211879"/>
      <w:r>
        <w:rPr>
          <w:rFonts w:eastAsia="黑体"/>
          <w:bCs/>
          <w:color w:val="000000"/>
          <w:sz w:val="30"/>
          <w:szCs w:val="28"/>
        </w:rPr>
        <w:t>4.</w:t>
      </w:r>
      <w:r>
        <w:rPr>
          <w:rFonts w:hint="eastAsia" w:eastAsia="黑体"/>
          <w:bCs/>
          <w:color w:val="000000"/>
          <w:sz w:val="30"/>
          <w:szCs w:val="28"/>
        </w:rPr>
        <w:t>3</w:t>
      </w:r>
      <w:r>
        <w:rPr>
          <w:rFonts w:eastAsia="黑体"/>
          <w:bCs/>
          <w:color w:val="000000"/>
          <w:sz w:val="30"/>
          <w:szCs w:val="28"/>
        </w:rPr>
        <w:t xml:space="preserve"> 占用</w:t>
      </w:r>
      <w:r>
        <w:rPr>
          <w:rFonts w:hint="eastAsia" w:eastAsia="黑体"/>
          <w:bCs/>
          <w:color w:val="000000"/>
          <w:sz w:val="30"/>
          <w:szCs w:val="28"/>
        </w:rPr>
        <w:t>芒市</w:t>
      </w:r>
      <w:r>
        <w:rPr>
          <w:rFonts w:eastAsia="黑体"/>
          <w:bCs/>
          <w:color w:val="000000"/>
          <w:sz w:val="30"/>
          <w:szCs w:val="28"/>
        </w:rPr>
        <w:t>全域永久基本农田情况</w:t>
      </w:r>
      <w:bookmarkEnd w:id="26"/>
    </w:p>
    <w:p>
      <w:pPr>
        <w:adjustRightInd w:val="0"/>
        <w:spacing w:line="360" w:lineRule="auto"/>
        <w:ind w:firstLine="560" w:firstLineChars="200"/>
        <w:jc w:val="left"/>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该项目占用芒市全域永久基本农田26.5381公顷，其中占用耕地35.8665公顷（水田13.8035公顷、旱地12.0630公顷），占用可调整园地0.6716公顷；占用全域永久基本农田平均国家利用等别为7.7等；共涉及芒市镇、风平镇2个乡镇，其中占用芒市镇全域永久基本农田3.4071公顷、占用风平镇全域永久基本农田22.4594公顷。</w:t>
      </w:r>
    </w:p>
    <w:p>
      <w:pPr>
        <w:adjustRightInd w:val="0"/>
        <w:spacing w:line="360" w:lineRule="auto"/>
        <w:ind w:firstLine="560" w:firstLineChars="200"/>
        <w:jc w:val="left"/>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项目占用全域永久基本农田从功能分区来看</w:t>
      </w:r>
      <w:r>
        <w:rPr>
          <w:rFonts w:ascii="Times New Roman" w:hAnsi="Times New Roman" w:eastAsia="仿宋_GB2312" w:cs="Times New Roman"/>
          <w:bCs/>
          <w:color w:val="000000"/>
          <w:sz w:val="28"/>
          <w:szCs w:val="28"/>
          <w:lang w:val="zh-CN"/>
        </w:rPr>
        <w:t>路基工程占用9.0660公顷，桥梁工程占用2.4953公顷，隧道工程占用0.1420公顷，交叉工程占用7.2044公顷，沿线设施工程</w:t>
      </w:r>
      <w:r>
        <w:rPr>
          <w:rFonts w:hint="eastAsia" w:ascii="Times New Roman" w:hAnsi="Times New Roman" w:eastAsia="仿宋_GB2312" w:cs="Times New Roman"/>
          <w:bCs/>
          <w:color w:val="000000"/>
          <w:sz w:val="28"/>
          <w:szCs w:val="28"/>
          <w:lang w:val="zh-CN"/>
        </w:rPr>
        <w:t>没有占用基本农田，</w:t>
      </w:r>
      <w:r>
        <w:rPr>
          <w:rFonts w:ascii="Times New Roman" w:hAnsi="Times New Roman" w:eastAsia="仿宋_GB2312" w:cs="Times New Roman"/>
          <w:bCs/>
          <w:color w:val="000000"/>
          <w:sz w:val="28"/>
          <w:szCs w:val="28"/>
          <w:lang w:val="zh-CN"/>
        </w:rPr>
        <w:t>连接线工程占用6.9588公顷，详见下表。</w:t>
      </w:r>
    </w:p>
    <w:p>
      <w:pPr>
        <w:adjustRightInd w:val="0"/>
        <w:spacing w:line="360" w:lineRule="auto"/>
        <w:ind w:firstLine="560" w:firstLineChars="200"/>
        <w:jc w:val="left"/>
        <w:rPr>
          <w:rFonts w:ascii="Times New Roman" w:hAnsi="Times New Roman" w:eastAsia="仿宋_GB2312" w:cs="Times New Roman"/>
          <w:bCs/>
          <w:color w:val="000000"/>
          <w:sz w:val="28"/>
          <w:szCs w:val="28"/>
        </w:rPr>
        <w:sectPr>
          <w:headerReference r:id="rId5" w:type="default"/>
          <w:footerReference r:id="rId6" w:type="default"/>
          <w:pgSz w:w="11906" w:h="16838"/>
          <w:pgMar w:top="1418" w:right="1418" w:bottom="1418" w:left="1588" w:header="851" w:footer="992" w:gutter="0"/>
          <w:pgNumType w:start="1"/>
          <w:cols w:space="720" w:num="1"/>
          <w:docGrid w:type="linesAndChars" w:linePitch="381" w:charSpace="0"/>
        </w:sectPr>
      </w:pPr>
    </w:p>
    <w:p>
      <w:pPr>
        <w:pStyle w:val="26"/>
        <w:spacing w:line="240" w:lineRule="atLeast"/>
        <w:ind w:firstLine="561"/>
        <w:rPr>
          <w:b/>
          <w:bCs/>
          <w:sz w:val="28"/>
          <w:szCs w:val="28"/>
        </w:rPr>
      </w:pPr>
      <w:r>
        <w:rPr>
          <w:b/>
          <w:bCs/>
          <w:sz w:val="28"/>
          <w:szCs w:val="28"/>
        </w:rPr>
        <w:t>表</w:t>
      </w:r>
      <w:r>
        <w:rPr>
          <w:rFonts w:hint="eastAsia"/>
          <w:b/>
          <w:bCs/>
          <w:sz w:val="28"/>
          <w:szCs w:val="28"/>
        </w:rPr>
        <w:t>4-3项目</w:t>
      </w:r>
      <w:r>
        <w:rPr>
          <w:b/>
          <w:bCs/>
          <w:sz w:val="28"/>
          <w:szCs w:val="28"/>
        </w:rPr>
        <w:t>占用</w:t>
      </w:r>
      <w:r>
        <w:rPr>
          <w:rFonts w:hint="eastAsia"/>
          <w:b/>
          <w:bCs/>
          <w:sz w:val="28"/>
          <w:szCs w:val="28"/>
        </w:rPr>
        <w:t>芒市全域</w:t>
      </w:r>
      <w:r>
        <w:rPr>
          <w:b/>
          <w:bCs/>
          <w:sz w:val="28"/>
          <w:szCs w:val="28"/>
        </w:rPr>
        <w:t>永久基本农田情况表</w:t>
      </w:r>
    </w:p>
    <w:p>
      <w:pPr>
        <w:pStyle w:val="26"/>
        <w:spacing w:line="240" w:lineRule="atLeast"/>
        <w:ind w:firstLine="561"/>
        <w:jc w:val="right"/>
      </w:pPr>
      <w:r>
        <w:rPr>
          <w:rFonts w:hint="eastAsia"/>
        </w:rPr>
        <w:t>单位：公顷</w:t>
      </w:r>
    </w:p>
    <w:tbl>
      <w:tblPr>
        <w:tblStyle w:val="14"/>
        <w:tblW w:w="5000" w:type="pct"/>
        <w:tblInd w:w="0" w:type="dxa"/>
        <w:tblLayout w:type="fixed"/>
        <w:tblCellMar>
          <w:top w:w="0" w:type="dxa"/>
          <w:left w:w="108" w:type="dxa"/>
          <w:bottom w:w="0" w:type="dxa"/>
          <w:right w:w="108" w:type="dxa"/>
        </w:tblCellMar>
      </w:tblPr>
      <w:tblGrid>
        <w:gridCol w:w="535"/>
        <w:gridCol w:w="1274"/>
        <w:gridCol w:w="1561"/>
        <w:gridCol w:w="995"/>
        <w:gridCol w:w="850"/>
        <w:gridCol w:w="992"/>
        <w:gridCol w:w="992"/>
        <w:gridCol w:w="1271"/>
        <w:gridCol w:w="1189"/>
        <w:gridCol w:w="1220"/>
        <w:gridCol w:w="1189"/>
        <w:gridCol w:w="887"/>
        <w:gridCol w:w="1263"/>
      </w:tblGrid>
      <w:tr>
        <w:tblPrEx>
          <w:tblCellMar>
            <w:top w:w="0" w:type="dxa"/>
            <w:left w:w="108" w:type="dxa"/>
            <w:bottom w:w="0" w:type="dxa"/>
            <w:right w:w="108" w:type="dxa"/>
          </w:tblCellMar>
        </w:tblPrEx>
        <w:trPr>
          <w:trHeight w:val="227" w:hRule="atLeast"/>
        </w:trPr>
        <w:tc>
          <w:tcPr>
            <w:tcW w:w="1185" w:type="pct"/>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分类</w:t>
            </w:r>
          </w:p>
        </w:tc>
        <w:tc>
          <w:tcPr>
            <w:tcW w:w="99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行政区</w:t>
            </w:r>
          </w:p>
        </w:tc>
        <w:tc>
          <w:tcPr>
            <w:tcW w:w="281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功能分区</w:t>
            </w:r>
          </w:p>
        </w:tc>
      </w:tr>
      <w:tr>
        <w:tblPrEx>
          <w:tblCellMar>
            <w:top w:w="0" w:type="dxa"/>
            <w:left w:w="108" w:type="dxa"/>
            <w:bottom w:w="0" w:type="dxa"/>
            <w:right w:w="108" w:type="dxa"/>
          </w:tblCellMar>
        </w:tblPrEx>
        <w:trPr>
          <w:trHeight w:val="227" w:hRule="atLeast"/>
        </w:trPr>
        <w:tc>
          <w:tcPr>
            <w:tcW w:w="1185" w:type="pct"/>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b/>
                <w:bCs/>
                <w:color w:val="000000"/>
                <w:kern w:val="0"/>
                <w:szCs w:val="21"/>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小计</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芒市镇</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风平镇</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小计</w:t>
            </w:r>
          </w:p>
        </w:tc>
        <w:tc>
          <w:tcPr>
            <w:tcW w:w="44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路基工程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桥梁工程</w:t>
            </w:r>
          </w:p>
        </w:tc>
        <w:tc>
          <w:tcPr>
            <w:tcW w:w="4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隧道（仰坡）工程</w:t>
            </w:r>
          </w:p>
        </w:tc>
        <w:tc>
          <w:tcPr>
            <w:tcW w:w="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交叉工程</w:t>
            </w:r>
          </w:p>
        </w:tc>
        <w:tc>
          <w:tcPr>
            <w:tcW w:w="31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沿线设施工程</w:t>
            </w:r>
          </w:p>
        </w:tc>
        <w:tc>
          <w:tcPr>
            <w:tcW w:w="44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连接线工程</w:t>
            </w:r>
          </w:p>
        </w:tc>
      </w:tr>
      <w:tr>
        <w:tblPrEx>
          <w:tblCellMar>
            <w:top w:w="0" w:type="dxa"/>
            <w:left w:w="108" w:type="dxa"/>
            <w:bottom w:w="0" w:type="dxa"/>
            <w:right w:w="108" w:type="dxa"/>
          </w:tblCellMar>
        </w:tblPrEx>
        <w:trPr>
          <w:trHeight w:val="227" w:hRule="atLeast"/>
        </w:trPr>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地类构成</w:t>
            </w:r>
          </w:p>
        </w:tc>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耕地</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小计</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25.8665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3.4071</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22.4594</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25.8665</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9.066</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2.4953</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0.1420</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7.2044</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6.9588</w:t>
            </w:r>
          </w:p>
        </w:tc>
      </w:tr>
      <w:tr>
        <w:tblPrEx>
          <w:tblCellMar>
            <w:top w:w="0" w:type="dxa"/>
            <w:left w:w="108" w:type="dxa"/>
            <w:bottom w:w="0" w:type="dxa"/>
            <w:right w:w="108" w:type="dxa"/>
          </w:tblCellMar>
        </w:tblPrEx>
        <w:trPr>
          <w:trHeight w:val="227" w:hRule="atLeast"/>
        </w:trPr>
        <w:tc>
          <w:tcPr>
            <w:tcW w:w="18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44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水田</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13.8035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2.1650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11.6385</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13.8035</w:t>
            </w:r>
          </w:p>
        </w:tc>
        <w:tc>
          <w:tcPr>
            <w:tcW w:w="4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6.0985</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1.2192</w:t>
            </w:r>
          </w:p>
        </w:tc>
        <w:tc>
          <w:tcPr>
            <w:tcW w:w="4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1.4234</w:t>
            </w:r>
          </w:p>
        </w:tc>
        <w:tc>
          <w:tcPr>
            <w:tcW w:w="31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5.0624</w:t>
            </w:r>
          </w:p>
        </w:tc>
      </w:tr>
      <w:tr>
        <w:tblPrEx>
          <w:tblCellMar>
            <w:top w:w="0" w:type="dxa"/>
            <w:left w:w="108" w:type="dxa"/>
            <w:bottom w:w="0" w:type="dxa"/>
            <w:right w:w="108" w:type="dxa"/>
          </w:tblCellMar>
        </w:tblPrEx>
        <w:trPr>
          <w:trHeight w:val="227" w:hRule="atLeast"/>
        </w:trPr>
        <w:tc>
          <w:tcPr>
            <w:tcW w:w="18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44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旱地</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12.063</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1.2421</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10.8209</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12.063</w:t>
            </w:r>
          </w:p>
        </w:tc>
        <w:tc>
          <w:tcPr>
            <w:tcW w:w="4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2.9675</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1.2761</w:t>
            </w:r>
          </w:p>
        </w:tc>
        <w:tc>
          <w:tcPr>
            <w:tcW w:w="4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0.1420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5.7810</w:t>
            </w:r>
          </w:p>
        </w:tc>
        <w:tc>
          <w:tcPr>
            <w:tcW w:w="31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1.8964</w:t>
            </w:r>
          </w:p>
        </w:tc>
      </w:tr>
      <w:tr>
        <w:tblPrEx>
          <w:tblCellMar>
            <w:top w:w="0" w:type="dxa"/>
            <w:left w:w="108" w:type="dxa"/>
            <w:bottom w:w="0" w:type="dxa"/>
            <w:right w:w="108" w:type="dxa"/>
          </w:tblCellMar>
        </w:tblPrEx>
        <w:trPr>
          <w:trHeight w:val="227" w:hRule="atLeast"/>
        </w:trPr>
        <w:tc>
          <w:tcPr>
            <w:tcW w:w="18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可调整地类</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小计</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0.6716</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0.6716</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0.6716</w:t>
            </w:r>
          </w:p>
        </w:tc>
        <w:tc>
          <w:tcPr>
            <w:tcW w:w="4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0.6716</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1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r>
      <w:tr>
        <w:tblPrEx>
          <w:tblCellMar>
            <w:top w:w="0" w:type="dxa"/>
            <w:left w:w="108" w:type="dxa"/>
            <w:bottom w:w="0" w:type="dxa"/>
            <w:right w:w="108" w:type="dxa"/>
          </w:tblCellMar>
        </w:tblPrEx>
        <w:trPr>
          <w:trHeight w:val="227" w:hRule="atLeast"/>
        </w:trPr>
        <w:tc>
          <w:tcPr>
            <w:tcW w:w="18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99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合计</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26.5381</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3.4071</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23.131</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26.5381</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9.7376</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2.4953</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0.142</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7.2044</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6.9588</w:t>
            </w:r>
          </w:p>
        </w:tc>
      </w:tr>
      <w:tr>
        <w:tblPrEx>
          <w:tblCellMar>
            <w:top w:w="0" w:type="dxa"/>
            <w:left w:w="108" w:type="dxa"/>
            <w:bottom w:w="0" w:type="dxa"/>
            <w:right w:w="108" w:type="dxa"/>
          </w:tblCellMar>
        </w:tblPrEx>
        <w:trPr>
          <w:trHeight w:val="227" w:hRule="atLeast"/>
        </w:trPr>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质量等别</w:t>
            </w:r>
          </w:p>
        </w:tc>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等别</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13.2201</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1.5816</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11.6385</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13.2201</w:t>
            </w:r>
          </w:p>
        </w:tc>
        <w:tc>
          <w:tcPr>
            <w:tcW w:w="4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6.0985</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1.2192</w:t>
            </w:r>
          </w:p>
        </w:tc>
        <w:tc>
          <w:tcPr>
            <w:tcW w:w="4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1.4234</w:t>
            </w:r>
          </w:p>
        </w:tc>
        <w:tc>
          <w:tcPr>
            <w:tcW w:w="31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4.4790</w:t>
            </w:r>
          </w:p>
        </w:tc>
      </w:tr>
      <w:tr>
        <w:tblPrEx>
          <w:tblCellMar>
            <w:top w:w="0" w:type="dxa"/>
            <w:left w:w="108" w:type="dxa"/>
            <w:bottom w:w="0" w:type="dxa"/>
            <w:right w:w="108" w:type="dxa"/>
          </w:tblCellMar>
        </w:tblPrEx>
        <w:trPr>
          <w:trHeight w:val="227" w:hRule="atLeast"/>
        </w:trPr>
        <w:tc>
          <w:tcPr>
            <w:tcW w:w="18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44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9</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8.96</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0.5834</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8.3766</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8.96</w:t>
            </w:r>
          </w:p>
        </w:tc>
        <w:tc>
          <w:tcPr>
            <w:tcW w:w="4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2.0001</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0.1420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5.5802</w:t>
            </w:r>
          </w:p>
        </w:tc>
        <w:tc>
          <w:tcPr>
            <w:tcW w:w="31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1.2377</w:t>
            </w:r>
          </w:p>
        </w:tc>
      </w:tr>
      <w:tr>
        <w:tblPrEx>
          <w:tblCellMar>
            <w:top w:w="0" w:type="dxa"/>
            <w:left w:w="108" w:type="dxa"/>
            <w:bottom w:w="0" w:type="dxa"/>
            <w:right w:w="108" w:type="dxa"/>
          </w:tblCellMar>
        </w:tblPrEx>
        <w:trPr>
          <w:trHeight w:val="227" w:hRule="atLeast"/>
        </w:trPr>
        <w:tc>
          <w:tcPr>
            <w:tcW w:w="18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44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10</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1.5533</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0.5631</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0.9902</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1.5533</w:t>
            </w:r>
          </w:p>
        </w:tc>
        <w:tc>
          <w:tcPr>
            <w:tcW w:w="4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0.7269</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0.0855</w:t>
            </w:r>
          </w:p>
        </w:tc>
        <w:tc>
          <w:tcPr>
            <w:tcW w:w="4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0.1778</w:t>
            </w:r>
          </w:p>
        </w:tc>
        <w:tc>
          <w:tcPr>
            <w:tcW w:w="31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0.5631</w:t>
            </w:r>
          </w:p>
        </w:tc>
      </w:tr>
      <w:tr>
        <w:tblPrEx>
          <w:tblCellMar>
            <w:top w:w="0" w:type="dxa"/>
            <w:left w:w="108" w:type="dxa"/>
            <w:bottom w:w="0" w:type="dxa"/>
            <w:right w:w="108" w:type="dxa"/>
          </w:tblCellMar>
        </w:tblPrEx>
        <w:trPr>
          <w:trHeight w:val="227" w:hRule="atLeast"/>
        </w:trPr>
        <w:tc>
          <w:tcPr>
            <w:tcW w:w="18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44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11</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0.9571</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0.6790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0.2781</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0.9571</w:t>
            </w:r>
          </w:p>
        </w:tc>
        <w:tc>
          <w:tcPr>
            <w:tcW w:w="4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0.2551</w:t>
            </w:r>
          </w:p>
        </w:tc>
        <w:tc>
          <w:tcPr>
            <w:tcW w:w="4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0.0230</w:t>
            </w:r>
          </w:p>
        </w:tc>
        <w:tc>
          <w:tcPr>
            <w:tcW w:w="31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0.6790</w:t>
            </w:r>
          </w:p>
        </w:tc>
      </w:tr>
      <w:tr>
        <w:tblPrEx>
          <w:tblCellMar>
            <w:top w:w="0" w:type="dxa"/>
            <w:left w:w="108" w:type="dxa"/>
            <w:bottom w:w="0" w:type="dxa"/>
            <w:right w:w="108" w:type="dxa"/>
          </w:tblCellMar>
        </w:tblPrEx>
        <w:trPr>
          <w:trHeight w:val="227" w:hRule="atLeast"/>
        </w:trPr>
        <w:tc>
          <w:tcPr>
            <w:tcW w:w="18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44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12</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1.176</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1.1760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1.176</w:t>
            </w:r>
          </w:p>
        </w:tc>
        <w:tc>
          <w:tcPr>
            <w:tcW w:w="4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0.2405</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0.9355</w:t>
            </w:r>
          </w:p>
        </w:tc>
        <w:tc>
          <w:tcPr>
            <w:tcW w:w="4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1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r>
      <w:tr>
        <w:tblPrEx>
          <w:tblCellMar>
            <w:top w:w="0" w:type="dxa"/>
            <w:left w:w="108" w:type="dxa"/>
            <w:bottom w:w="0" w:type="dxa"/>
            <w:right w:w="108" w:type="dxa"/>
          </w:tblCellMar>
        </w:tblPrEx>
        <w:trPr>
          <w:trHeight w:val="227" w:hRule="atLeast"/>
        </w:trPr>
        <w:tc>
          <w:tcPr>
            <w:tcW w:w="18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44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无质量等别</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0.6716</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0.6716</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0.6716</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0.6716</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r>
      <w:tr>
        <w:tblPrEx>
          <w:tblCellMar>
            <w:top w:w="0" w:type="dxa"/>
            <w:left w:w="108" w:type="dxa"/>
            <w:bottom w:w="0" w:type="dxa"/>
            <w:right w:w="108" w:type="dxa"/>
          </w:tblCellMar>
        </w:tblPrEx>
        <w:trPr>
          <w:trHeight w:val="297" w:hRule="atLeast"/>
        </w:trPr>
        <w:tc>
          <w:tcPr>
            <w:tcW w:w="18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44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平均质量等别</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7.7</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8.2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7.7</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7.7</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7.1</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8.9</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9.0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8.4</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7.3</w:t>
            </w:r>
          </w:p>
        </w:tc>
      </w:tr>
      <w:tr>
        <w:tblPrEx>
          <w:tblCellMar>
            <w:top w:w="0" w:type="dxa"/>
            <w:left w:w="108" w:type="dxa"/>
            <w:bottom w:w="0" w:type="dxa"/>
            <w:right w:w="108" w:type="dxa"/>
          </w:tblCellMar>
        </w:tblPrEx>
        <w:trPr>
          <w:trHeight w:val="227" w:hRule="atLeast"/>
        </w:trPr>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坡度等级</w:t>
            </w:r>
          </w:p>
        </w:tc>
        <w:tc>
          <w:tcPr>
            <w:tcW w:w="4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等级</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（0-2°］</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5.6313</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5.6313</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5.6313</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1.1586</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1.0221</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3.4506</w:t>
            </w:r>
          </w:p>
        </w:tc>
      </w:tr>
      <w:tr>
        <w:tblPrEx>
          <w:tblCellMar>
            <w:top w:w="0" w:type="dxa"/>
            <w:left w:w="108" w:type="dxa"/>
            <w:bottom w:w="0" w:type="dxa"/>
            <w:right w:w="108" w:type="dxa"/>
          </w:tblCellMar>
        </w:tblPrEx>
        <w:trPr>
          <w:trHeight w:val="227" w:hRule="atLeast"/>
        </w:trPr>
        <w:tc>
          <w:tcPr>
            <w:tcW w:w="18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44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（2-6°］</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11.6848</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0.5834</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11.1014</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11.6848</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4.6745</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0.7661</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0.142</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5.4356</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0.6666</w:t>
            </w:r>
          </w:p>
        </w:tc>
      </w:tr>
      <w:tr>
        <w:tblPrEx>
          <w:tblCellMar>
            <w:top w:w="0" w:type="dxa"/>
            <w:left w:w="108" w:type="dxa"/>
            <w:bottom w:w="0" w:type="dxa"/>
            <w:right w:w="108" w:type="dxa"/>
          </w:tblCellMar>
        </w:tblPrEx>
        <w:trPr>
          <w:trHeight w:val="227" w:hRule="atLeast"/>
        </w:trPr>
        <w:tc>
          <w:tcPr>
            <w:tcW w:w="18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44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（6-15°］</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6.6453</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1.8323</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4.8130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6.6453</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2.7807</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1.2677</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0.7359</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1.861</w:t>
            </w:r>
          </w:p>
        </w:tc>
      </w:tr>
      <w:tr>
        <w:tblPrEx>
          <w:tblCellMar>
            <w:top w:w="0" w:type="dxa"/>
            <w:left w:w="108" w:type="dxa"/>
            <w:bottom w:w="0" w:type="dxa"/>
            <w:right w:w="108" w:type="dxa"/>
          </w:tblCellMar>
        </w:tblPrEx>
        <w:trPr>
          <w:trHeight w:val="227" w:hRule="atLeast"/>
        </w:trPr>
        <w:tc>
          <w:tcPr>
            <w:tcW w:w="18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44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（15-25°］</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1.342</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0.4283</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0.9137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1.342</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0.4522</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0.4615</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0.0108</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0.4175</w:t>
            </w:r>
          </w:p>
        </w:tc>
      </w:tr>
      <w:tr>
        <w:tblPrEx>
          <w:tblCellMar>
            <w:top w:w="0" w:type="dxa"/>
            <w:left w:w="108" w:type="dxa"/>
            <w:bottom w:w="0" w:type="dxa"/>
            <w:right w:w="108" w:type="dxa"/>
          </w:tblCellMar>
        </w:tblPrEx>
        <w:trPr>
          <w:trHeight w:val="227" w:hRule="atLeast"/>
        </w:trPr>
        <w:tc>
          <w:tcPr>
            <w:tcW w:w="18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44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＞25°</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0.5631</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0.5631</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0.5631</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0.5631</w:t>
            </w:r>
          </w:p>
        </w:tc>
      </w:tr>
      <w:tr>
        <w:tblPrEx>
          <w:tblCellMar>
            <w:top w:w="0" w:type="dxa"/>
            <w:left w:w="108" w:type="dxa"/>
            <w:bottom w:w="0" w:type="dxa"/>
            <w:right w:w="108" w:type="dxa"/>
          </w:tblCellMar>
        </w:tblPrEx>
        <w:trPr>
          <w:trHeight w:val="227" w:hRule="atLeast"/>
        </w:trPr>
        <w:tc>
          <w:tcPr>
            <w:tcW w:w="18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44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无坡度等级</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0.6716</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0.6716</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0.6716</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0.6716</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r>
    </w:tbl>
    <w:p>
      <w:pPr>
        <w:pStyle w:val="27"/>
        <w:ind w:firstLine="560"/>
        <w:sectPr>
          <w:pgSz w:w="16838" w:h="11906" w:orient="landscape"/>
          <w:pgMar w:top="1588" w:right="1418" w:bottom="1418" w:left="1418" w:header="851" w:footer="992" w:gutter="0"/>
          <w:cols w:space="720" w:num="1"/>
          <w:docGrid w:type="linesAndChars" w:linePitch="381" w:charSpace="0"/>
        </w:sectPr>
      </w:pPr>
    </w:p>
    <w:p>
      <w:pPr>
        <w:keepNext/>
        <w:keepLines/>
        <w:adjustRightInd w:val="0"/>
        <w:spacing w:line="360" w:lineRule="auto"/>
        <w:ind w:firstLine="600" w:firstLineChars="200"/>
        <w:outlineLvl w:val="2"/>
        <w:rPr>
          <w:rFonts w:eastAsia="黑体"/>
          <w:bCs/>
          <w:color w:val="000000"/>
          <w:sz w:val="30"/>
          <w:szCs w:val="28"/>
        </w:rPr>
      </w:pPr>
      <w:bookmarkStart w:id="27" w:name="_Toc88211880"/>
      <w:r>
        <w:rPr>
          <w:rFonts w:eastAsia="黑体"/>
          <w:bCs/>
          <w:color w:val="000000"/>
          <w:sz w:val="30"/>
          <w:szCs w:val="28"/>
        </w:rPr>
        <w:t>4.4 占用</w:t>
      </w:r>
      <w:r>
        <w:rPr>
          <w:rFonts w:hint="eastAsia" w:eastAsia="黑体"/>
          <w:bCs/>
          <w:color w:val="000000"/>
          <w:sz w:val="30"/>
          <w:szCs w:val="28"/>
        </w:rPr>
        <w:t>芒市</w:t>
      </w:r>
      <w:r>
        <w:rPr>
          <w:rFonts w:eastAsia="黑体"/>
          <w:bCs/>
          <w:color w:val="000000"/>
          <w:sz w:val="30"/>
          <w:szCs w:val="28"/>
        </w:rPr>
        <w:t>坝区永久基本农田情况</w:t>
      </w:r>
      <w:bookmarkEnd w:id="27"/>
    </w:p>
    <w:p>
      <w:pPr>
        <w:adjustRightInd w:val="0"/>
        <w:spacing w:line="360" w:lineRule="auto"/>
        <w:ind w:firstLine="560" w:firstLineChars="200"/>
        <w:jc w:val="left"/>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该项目占用芒市坝区永久基本农田14.0111公顷，其中占用耕地13.3395公顷（水田9.5644公顷、旱地4.0442公顷），占用可调整园地0.6716公顷；占用永久基本农田平均国家利用等别为6.9等；共涉及芒市镇及风平镇2个乡镇，其中占用芒市镇0.2322公顷、占用风平镇13.1073公顷。</w:t>
      </w:r>
    </w:p>
    <w:p>
      <w:pPr>
        <w:adjustRightInd w:val="0"/>
        <w:spacing w:line="360" w:lineRule="auto"/>
        <w:ind w:firstLine="560" w:firstLineChars="200"/>
        <w:jc w:val="left"/>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项目占用坝区永久基本农田从功能分区来看</w:t>
      </w:r>
      <w:r>
        <w:rPr>
          <w:rFonts w:ascii="Times New Roman" w:hAnsi="Times New Roman" w:eastAsia="仿宋_GB2312" w:cs="Times New Roman"/>
          <w:bCs/>
          <w:color w:val="000000"/>
          <w:sz w:val="28"/>
          <w:szCs w:val="28"/>
          <w:lang w:val="zh-CN"/>
        </w:rPr>
        <w:t>路基工程占用6.0307公顷，桥梁工程占用0.6328公顷，隧道工程不涉及占用坝区永久基本农田，交叉工程占用2.9565公顷，沿线设施工程</w:t>
      </w:r>
      <w:r>
        <w:rPr>
          <w:rFonts w:hint="eastAsia" w:ascii="Times New Roman" w:hAnsi="Times New Roman" w:eastAsia="仿宋_GB2312" w:cs="Times New Roman"/>
          <w:bCs/>
          <w:color w:val="000000"/>
          <w:sz w:val="28"/>
          <w:szCs w:val="28"/>
          <w:lang w:val="zh-CN"/>
        </w:rPr>
        <w:t>没有占有基本农田，</w:t>
      </w:r>
      <w:r>
        <w:rPr>
          <w:rFonts w:ascii="Times New Roman" w:hAnsi="Times New Roman" w:eastAsia="仿宋_GB2312" w:cs="Times New Roman"/>
          <w:bCs/>
          <w:color w:val="000000"/>
          <w:sz w:val="28"/>
          <w:szCs w:val="28"/>
          <w:lang w:val="zh-CN"/>
        </w:rPr>
        <w:t>连接线工程占用3.7195公顷，详见下表</w:t>
      </w:r>
      <w:r>
        <w:rPr>
          <w:rFonts w:hint="eastAsia" w:ascii="Times New Roman" w:hAnsi="Times New Roman" w:eastAsia="仿宋_GB2312" w:cs="Times New Roman"/>
          <w:bCs/>
          <w:color w:val="000000"/>
          <w:sz w:val="28"/>
          <w:szCs w:val="28"/>
        </w:rPr>
        <w:t>项目</w:t>
      </w:r>
      <w:r>
        <w:rPr>
          <w:rFonts w:ascii="Times New Roman" w:hAnsi="Times New Roman" w:eastAsia="仿宋_GB2312" w:cs="Times New Roman"/>
          <w:bCs/>
          <w:color w:val="000000"/>
          <w:sz w:val="28"/>
          <w:szCs w:val="28"/>
        </w:rPr>
        <w:t>占用</w:t>
      </w:r>
      <w:r>
        <w:rPr>
          <w:rFonts w:hint="eastAsia" w:ascii="Times New Roman" w:hAnsi="Times New Roman" w:eastAsia="仿宋_GB2312" w:cs="Times New Roman"/>
          <w:bCs/>
          <w:color w:val="000000"/>
          <w:sz w:val="28"/>
          <w:szCs w:val="28"/>
        </w:rPr>
        <w:t>芒市坝区</w:t>
      </w:r>
      <w:r>
        <w:rPr>
          <w:rFonts w:ascii="Times New Roman" w:hAnsi="Times New Roman" w:eastAsia="仿宋_GB2312" w:cs="Times New Roman"/>
          <w:bCs/>
          <w:color w:val="000000"/>
          <w:sz w:val="28"/>
          <w:szCs w:val="28"/>
        </w:rPr>
        <w:t>永久基本农田情况表</w:t>
      </w:r>
      <w:r>
        <w:rPr>
          <w:rFonts w:ascii="Times New Roman" w:hAnsi="Times New Roman" w:eastAsia="仿宋_GB2312" w:cs="Times New Roman"/>
          <w:bCs/>
          <w:color w:val="000000"/>
          <w:sz w:val="28"/>
          <w:szCs w:val="28"/>
          <w:lang w:val="zh-CN"/>
        </w:rPr>
        <w:t>。</w:t>
      </w:r>
    </w:p>
    <w:p>
      <w:pPr>
        <w:keepNext/>
        <w:keepLines/>
        <w:adjustRightInd w:val="0"/>
        <w:spacing w:line="360" w:lineRule="auto"/>
        <w:ind w:firstLine="600" w:firstLineChars="200"/>
        <w:outlineLvl w:val="2"/>
        <w:rPr>
          <w:rFonts w:eastAsia="黑体"/>
          <w:bCs/>
          <w:color w:val="000000"/>
          <w:sz w:val="30"/>
          <w:szCs w:val="28"/>
        </w:rPr>
      </w:pPr>
      <w:bookmarkStart w:id="28" w:name="_Toc88211881"/>
      <w:r>
        <w:rPr>
          <w:rFonts w:eastAsia="黑体"/>
          <w:bCs/>
          <w:color w:val="000000"/>
          <w:sz w:val="30"/>
          <w:szCs w:val="28"/>
        </w:rPr>
        <w:t>4.</w:t>
      </w:r>
      <w:r>
        <w:rPr>
          <w:rFonts w:hint="eastAsia" w:eastAsia="黑体"/>
          <w:bCs/>
          <w:color w:val="000000"/>
          <w:sz w:val="30"/>
          <w:szCs w:val="28"/>
        </w:rPr>
        <w:t>5</w:t>
      </w:r>
      <w:r>
        <w:rPr>
          <w:rFonts w:eastAsia="黑体"/>
          <w:bCs/>
          <w:color w:val="000000"/>
          <w:sz w:val="30"/>
          <w:szCs w:val="28"/>
        </w:rPr>
        <w:t xml:space="preserve"> 占用</w:t>
      </w:r>
      <w:r>
        <w:rPr>
          <w:rFonts w:hint="eastAsia" w:eastAsia="黑体"/>
          <w:bCs/>
          <w:color w:val="000000"/>
          <w:sz w:val="30"/>
          <w:szCs w:val="28"/>
        </w:rPr>
        <w:t>芒市城镇周边</w:t>
      </w:r>
      <w:r>
        <w:rPr>
          <w:rFonts w:eastAsia="黑体"/>
          <w:bCs/>
          <w:color w:val="000000"/>
          <w:sz w:val="30"/>
          <w:szCs w:val="28"/>
        </w:rPr>
        <w:t>永久基本农田情况</w:t>
      </w:r>
      <w:bookmarkEnd w:id="28"/>
    </w:p>
    <w:p>
      <w:pPr>
        <w:adjustRightInd w:val="0"/>
        <w:spacing w:line="360" w:lineRule="auto"/>
        <w:ind w:firstLine="560" w:firstLineChars="200"/>
        <w:jc w:val="left"/>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该项目占用芒市全域永久基本农田26.5381公顷，其中占用耕地35.8665公顷（水田13.8035公顷、旱地12.0630公顷），占用可调整园地0.6716公顷；占用全域永久基本农田平均国家利用等别为7.7等；共涉及芒市镇、风平镇2个乡镇，其中占用芒市镇全域永久基本农田3.4071公顷、占用风平镇全域永久基本农田</w:t>
      </w:r>
      <w:r>
        <w:rPr>
          <w:rFonts w:ascii="Times New Roman" w:hAnsi="Times New Roman" w:eastAsia="仿宋_GB2312" w:cs="Times New Roman"/>
          <w:bCs/>
          <w:color w:val="000000"/>
          <w:sz w:val="28"/>
          <w:szCs w:val="28"/>
          <w:lang w:val="zh-CN"/>
        </w:rPr>
        <w:t>3.7195</w:t>
      </w:r>
      <w:r>
        <w:rPr>
          <w:rFonts w:ascii="Times New Roman" w:hAnsi="Times New Roman" w:eastAsia="仿宋_GB2312" w:cs="Times New Roman"/>
          <w:bCs/>
          <w:color w:val="000000"/>
          <w:sz w:val="28"/>
          <w:szCs w:val="28"/>
        </w:rPr>
        <w:t>公顷。</w:t>
      </w:r>
    </w:p>
    <w:p>
      <w:pPr>
        <w:adjustRightInd w:val="0"/>
        <w:spacing w:line="360" w:lineRule="auto"/>
        <w:ind w:firstLine="560" w:firstLineChars="200"/>
        <w:jc w:val="left"/>
        <w:rPr>
          <w:rFonts w:ascii="Times New Roman" w:hAnsi="Times New Roman" w:eastAsia="仿宋_GB2312" w:cs="Times New Roman"/>
          <w:bCs/>
          <w:color w:val="000000"/>
          <w:sz w:val="28"/>
          <w:szCs w:val="28"/>
          <w:lang w:val="zh-CN"/>
        </w:rPr>
      </w:pPr>
      <w:r>
        <w:rPr>
          <w:rFonts w:ascii="Times New Roman" w:hAnsi="Times New Roman" w:eastAsia="仿宋_GB2312" w:cs="Times New Roman"/>
          <w:bCs/>
          <w:color w:val="000000"/>
          <w:sz w:val="28"/>
          <w:szCs w:val="28"/>
        </w:rPr>
        <w:t>项目占用全域永久基本农田从功能分区来看</w:t>
      </w:r>
      <w:r>
        <w:rPr>
          <w:rFonts w:ascii="Times New Roman" w:hAnsi="Times New Roman" w:eastAsia="仿宋_GB2312" w:cs="Times New Roman"/>
          <w:bCs/>
          <w:color w:val="000000"/>
          <w:sz w:val="28"/>
          <w:szCs w:val="28"/>
          <w:lang w:val="zh-CN"/>
        </w:rPr>
        <w:t>路基工程占用9.0660公顷，桥梁工程占用2.4953公顷，隧道工程占用0.1420公顷，交叉工程占用7.2044公顷，沿线设施工程</w:t>
      </w:r>
      <w:r>
        <w:rPr>
          <w:rFonts w:hint="eastAsia" w:ascii="Times New Roman" w:hAnsi="Times New Roman" w:eastAsia="仿宋_GB2312" w:cs="Times New Roman"/>
          <w:bCs/>
          <w:color w:val="000000"/>
          <w:sz w:val="28"/>
          <w:szCs w:val="28"/>
          <w:lang w:val="zh-CN"/>
        </w:rPr>
        <w:t>没有占有基本农田，</w:t>
      </w:r>
      <w:r>
        <w:rPr>
          <w:rFonts w:ascii="Times New Roman" w:hAnsi="Times New Roman" w:eastAsia="仿宋_GB2312" w:cs="Times New Roman"/>
          <w:bCs/>
          <w:color w:val="000000"/>
          <w:sz w:val="28"/>
          <w:szCs w:val="28"/>
          <w:lang w:val="zh-CN"/>
        </w:rPr>
        <w:t>连接线工程占用6.9588公顷，</w:t>
      </w:r>
      <w:r>
        <w:rPr>
          <w:rFonts w:hint="eastAsia" w:ascii="Times New Roman" w:hAnsi="Times New Roman" w:eastAsia="仿宋_GB2312" w:cs="Times New Roman"/>
          <w:bCs/>
          <w:color w:val="000000"/>
          <w:sz w:val="28"/>
          <w:szCs w:val="28"/>
        </w:rPr>
        <w:t>详见上表项目</w:t>
      </w:r>
      <w:r>
        <w:rPr>
          <w:rFonts w:ascii="Times New Roman" w:hAnsi="Times New Roman" w:eastAsia="仿宋_GB2312" w:cs="Times New Roman"/>
          <w:bCs/>
          <w:color w:val="000000"/>
          <w:sz w:val="28"/>
          <w:szCs w:val="28"/>
        </w:rPr>
        <w:t>占用</w:t>
      </w:r>
      <w:r>
        <w:rPr>
          <w:rFonts w:hint="eastAsia" w:ascii="Times New Roman" w:hAnsi="Times New Roman" w:eastAsia="仿宋_GB2312" w:cs="Times New Roman"/>
          <w:bCs/>
          <w:color w:val="000000"/>
          <w:sz w:val="28"/>
          <w:szCs w:val="28"/>
        </w:rPr>
        <w:t>芒市全域</w:t>
      </w:r>
      <w:r>
        <w:rPr>
          <w:rFonts w:ascii="Times New Roman" w:hAnsi="Times New Roman" w:eastAsia="仿宋_GB2312" w:cs="Times New Roman"/>
          <w:bCs/>
          <w:color w:val="000000"/>
          <w:sz w:val="28"/>
          <w:szCs w:val="28"/>
        </w:rPr>
        <w:t>永久基本农田情况表</w:t>
      </w:r>
      <w:r>
        <w:rPr>
          <w:rFonts w:hint="eastAsia" w:ascii="Times New Roman" w:hAnsi="Times New Roman" w:eastAsia="仿宋_GB2312" w:cs="Times New Roman"/>
          <w:bCs/>
          <w:color w:val="000000"/>
          <w:sz w:val="28"/>
          <w:szCs w:val="28"/>
          <w:lang w:val="zh-CN"/>
        </w:rPr>
        <w:t>。</w:t>
      </w:r>
    </w:p>
    <w:p>
      <w:pPr>
        <w:adjustRightInd w:val="0"/>
        <w:spacing w:line="360" w:lineRule="auto"/>
        <w:ind w:firstLine="560" w:firstLineChars="200"/>
        <w:jc w:val="left"/>
        <w:rPr>
          <w:rFonts w:ascii="Times New Roman" w:hAnsi="Times New Roman" w:eastAsia="仿宋_GB2312" w:cs="Times New Roman"/>
          <w:bCs/>
          <w:color w:val="000000"/>
          <w:sz w:val="28"/>
          <w:szCs w:val="28"/>
        </w:rPr>
        <w:sectPr>
          <w:pgSz w:w="11906" w:h="16838"/>
          <w:pgMar w:top="1418" w:right="1418" w:bottom="1418" w:left="1588" w:header="851" w:footer="992" w:gutter="0"/>
          <w:cols w:space="720" w:num="1"/>
          <w:docGrid w:type="linesAndChars" w:linePitch="381" w:charSpace="0"/>
        </w:sectPr>
      </w:pPr>
    </w:p>
    <w:p>
      <w:pPr>
        <w:pStyle w:val="26"/>
        <w:ind w:firstLine="560"/>
        <w:rPr>
          <w:b/>
          <w:bCs/>
          <w:sz w:val="28"/>
          <w:szCs w:val="28"/>
        </w:rPr>
      </w:pPr>
      <w:r>
        <w:rPr>
          <w:b/>
          <w:bCs/>
          <w:sz w:val="28"/>
          <w:szCs w:val="28"/>
        </w:rPr>
        <w:t>表</w:t>
      </w:r>
      <w:r>
        <w:rPr>
          <w:rFonts w:hint="eastAsia"/>
          <w:b/>
          <w:bCs/>
          <w:sz w:val="28"/>
          <w:szCs w:val="28"/>
        </w:rPr>
        <w:t>4-4</w:t>
      </w:r>
      <w:r>
        <w:rPr>
          <w:b/>
          <w:bCs/>
          <w:sz w:val="28"/>
          <w:szCs w:val="28"/>
        </w:rPr>
        <w:t xml:space="preserve"> </w:t>
      </w:r>
      <w:r>
        <w:rPr>
          <w:rFonts w:hint="eastAsia"/>
          <w:b/>
          <w:bCs/>
          <w:sz w:val="28"/>
          <w:szCs w:val="28"/>
        </w:rPr>
        <w:t>项目</w:t>
      </w:r>
      <w:r>
        <w:rPr>
          <w:b/>
          <w:bCs/>
          <w:sz w:val="28"/>
          <w:szCs w:val="28"/>
        </w:rPr>
        <w:t>占用</w:t>
      </w:r>
      <w:r>
        <w:rPr>
          <w:rFonts w:hint="eastAsia"/>
          <w:b/>
          <w:bCs/>
          <w:sz w:val="28"/>
          <w:szCs w:val="28"/>
        </w:rPr>
        <w:t>芒市坝区</w:t>
      </w:r>
      <w:r>
        <w:rPr>
          <w:b/>
          <w:bCs/>
          <w:sz w:val="28"/>
          <w:szCs w:val="28"/>
        </w:rPr>
        <w:t>永久基本农田情况表</w:t>
      </w:r>
    </w:p>
    <w:p>
      <w:pPr>
        <w:pStyle w:val="26"/>
        <w:ind w:firstLine="560"/>
        <w:jc w:val="right"/>
      </w:pPr>
      <w:r>
        <w:rPr>
          <w:rFonts w:hint="eastAsia"/>
        </w:rPr>
        <w:t>单位：公顷</w:t>
      </w:r>
    </w:p>
    <w:tbl>
      <w:tblPr>
        <w:tblStyle w:val="14"/>
        <w:tblW w:w="5000" w:type="pct"/>
        <w:tblInd w:w="0" w:type="dxa"/>
        <w:tblLayout w:type="autofit"/>
        <w:tblCellMar>
          <w:top w:w="0" w:type="dxa"/>
          <w:left w:w="108" w:type="dxa"/>
          <w:bottom w:w="0" w:type="dxa"/>
          <w:right w:w="108" w:type="dxa"/>
        </w:tblCellMar>
      </w:tblPr>
      <w:tblGrid>
        <w:gridCol w:w="891"/>
        <w:gridCol w:w="871"/>
        <w:gridCol w:w="1476"/>
        <w:gridCol w:w="919"/>
        <w:gridCol w:w="879"/>
        <w:gridCol w:w="959"/>
        <w:gridCol w:w="1262"/>
        <w:gridCol w:w="1256"/>
        <w:gridCol w:w="1256"/>
        <w:gridCol w:w="1125"/>
        <w:gridCol w:w="1256"/>
        <w:gridCol w:w="871"/>
        <w:gridCol w:w="1254"/>
      </w:tblGrid>
      <w:tr>
        <w:tblPrEx>
          <w:tblCellMar>
            <w:top w:w="0" w:type="dxa"/>
            <w:left w:w="108" w:type="dxa"/>
            <w:bottom w:w="0" w:type="dxa"/>
            <w:right w:w="108" w:type="dxa"/>
          </w:tblCellMar>
        </w:tblPrEx>
        <w:trPr>
          <w:trHeight w:val="285" w:hRule="atLeast"/>
        </w:trPr>
        <w:tc>
          <w:tcPr>
            <w:tcW w:w="1134" w:type="pct"/>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分类</w:t>
            </w:r>
          </w:p>
        </w:tc>
        <w:tc>
          <w:tcPr>
            <w:tcW w:w="96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行政区</w:t>
            </w:r>
          </w:p>
        </w:tc>
        <w:tc>
          <w:tcPr>
            <w:tcW w:w="2901"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功能分区</w:t>
            </w:r>
          </w:p>
        </w:tc>
      </w:tr>
      <w:tr>
        <w:tblPrEx>
          <w:tblCellMar>
            <w:top w:w="0" w:type="dxa"/>
            <w:left w:w="108" w:type="dxa"/>
            <w:bottom w:w="0" w:type="dxa"/>
            <w:right w:w="108" w:type="dxa"/>
          </w:tblCellMar>
        </w:tblPrEx>
        <w:trPr>
          <w:trHeight w:val="570" w:hRule="atLeast"/>
        </w:trPr>
        <w:tc>
          <w:tcPr>
            <w:tcW w:w="1134" w:type="pct"/>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小计</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芒市镇</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风平镇</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小计</w:t>
            </w:r>
          </w:p>
        </w:tc>
        <w:tc>
          <w:tcPr>
            <w:tcW w:w="44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路基工程</w:t>
            </w:r>
          </w:p>
        </w:tc>
        <w:tc>
          <w:tcPr>
            <w:tcW w:w="44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桥梁工程</w:t>
            </w:r>
          </w:p>
        </w:tc>
        <w:tc>
          <w:tcPr>
            <w:tcW w:w="3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隧道（仰坡）工程</w:t>
            </w:r>
          </w:p>
        </w:tc>
        <w:tc>
          <w:tcPr>
            <w:tcW w:w="44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交叉工程</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沿线设施工程</w:t>
            </w:r>
          </w:p>
        </w:tc>
        <w:tc>
          <w:tcPr>
            <w:tcW w:w="4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连接线工程</w:t>
            </w:r>
          </w:p>
        </w:tc>
      </w:tr>
      <w:tr>
        <w:tblPrEx>
          <w:tblCellMar>
            <w:top w:w="0" w:type="dxa"/>
            <w:left w:w="108" w:type="dxa"/>
            <w:bottom w:w="0" w:type="dxa"/>
            <w:right w:w="108" w:type="dxa"/>
          </w:tblCellMar>
        </w:tblPrEx>
        <w:trPr>
          <w:trHeight w:val="570" w:hRule="atLeast"/>
        </w:trPr>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地类构成</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耕地</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小计</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bookmarkStart w:id="29" w:name="_Hlk88169623"/>
            <w:r>
              <w:rPr>
                <w:rFonts w:ascii="Times New Roman" w:hAnsi="Times New Roman" w:eastAsia="仿宋_GB2312" w:cs="Times New Roman"/>
                <w:color w:val="000000"/>
                <w:kern w:val="0"/>
                <w:szCs w:val="21"/>
              </w:rPr>
              <w:t>13.3395</w:t>
            </w:r>
            <w:bookmarkEnd w:id="29"/>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0.2322</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13.1073</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13.3395</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6.0307</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bookmarkStart w:id="30" w:name="_Hlk88169901"/>
            <w:r>
              <w:rPr>
                <w:rFonts w:ascii="Times New Roman" w:hAnsi="Times New Roman" w:eastAsia="仿宋_GB2312" w:cs="Times New Roman"/>
                <w:color w:val="000000"/>
                <w:kern w:val="0"/>
                <w:szCs w:val="21"/>
              </w:rPr>
              <w:t>0.6328</w:t>
            </w:r>
            <w:bookmarkEnd w:id="30"/>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2.9565</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3.7195</w:t>
            </w:r>
          </w:p>
        </w:tc>
      </w:tr>
      <w:tr>
        <w:tblPrEx>
          <w:tblCellMar>
            <w:top w:w="0" w:type="dxa"/>
            <w:left w:w="108" w:type="dxa"/>
            <w:bottom w:w="0" w:type="dxa"/>
            <w:right w:w="108" w:type="dxa"/>
          </w:tblCellMar>
        </w:tblPrEx>
        <w:trPr>
          <w:trHeight w:val="288" w:hRule="atLeast"/>
        </w:trPr>
        <w:tc>
          <w:tcPr>
            <w:tcW w:w="312"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30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水田</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9.5644</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0.0404</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9.524</w:t>
            </w:r>
          </w:p>
        </w:tc>
        <w:tc>
          <w:tcPr>
            <w:tcW w:w="44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9.5644</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4.6562</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0.6279</w:t>
            </w:r>
          </w:p>
        </w:tc>
        <w:tc>
          <w:tcPr>
            <w:tcW w:w="3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1.2970</w:t>
            </w:r>
          </w:p>
        </w:tc>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2.9833</w:t>
            </w:r>
          </w:p>
        </w:tc>
      </w:tr>
      <w:tr>
        <w:tblPrEx>
          <w:tblCellMar>
            <w:top w:w="0" w:type="dxa"/>
            <w:left w:w="108" w:type="dxa"/>
            <w:bottom w:w="0" w:type="dxa"/>
            <w:right w:w="108" w:type="dxa"/>
          </w:tblCellMar>
        </w:tblPrEx>
        <w:trPr>
          <w:trHeight w:val="288" w:hRule="atLeast"/>
        </w:trPr>
        <w:tc>
          <w:tcPr>
            <w:tcW w:w="312"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30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旱地</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3.7751</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0.1918</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3.5833</w:t>
            </w:r>
          </w:p>
        </w:tc>
        <w:tc>
          <w:tcPr>
            <w:tcW w:w="44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3.7751</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1.3745</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0.0049</w:t>
            </w:r>
          </w:p>
        </w:tc>
        <w:tc>
          <w:tcPr>
            <w:tcW w:w="3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1.6595</w:t>
            </w:r>
          </w:p>
        </w:tc>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0.7362</w:t>
            </w:r>
          </w:p>
        </w:tc>
      </w:tr>
      <w:tr>
        <w:tblPrEx>
          <w:tblCellMar>
            <w:top w:w="0" w:type="dxa"/>
            <w:left w:w="108" w:type="dxa"/>
            <w:bottom w:w="0" w:type="dxa"/>
            <w:right w:w="108" w:type="dxa"/>
          </w:tblCellMar>
        </w:tblPrEx>
        <w:trPr>
          <w:trHeight w:val="270" w:hRule="atLeast"/>
        </w:trPr>
        <w:tc>
          <w:tcPr>
            <w:tcW w:w="312"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可调整地类</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小计</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0.6716</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0.6716</w:t>
            </w:r>
          </w:p>
        </w:tc>
        <w:tc>
          <w:tcPr>
            <w:tcW w:w="44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0.6716</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0.6716</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r>
      <w:tr>
        <w:tblPrEx>
          <w:tblCellMar>
            <w:top w:w="0" w:type="dxa"/>
            <w:left w:w="108" w:type="dxa"/>
            <w:bottom w:w="0" w:type="dxa"/>
            <w:right w:w="108" w:type="dxa"/>
          </w:tblCellMar>
        </w:tblPrEx>
        <w:trPr>
          <w:trHeight w:val="288" w:hRule="atLeast"/>
        </w:trPr>
        <w:tc>
          <w:tcPr>
            <w:tcW w:w="312"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8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合计</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14.0111</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0.2322</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13.7789</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14.0111</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6.7023</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0.6328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2.9565</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3.7195</w:t>
            </w:r>
          </w:p>
        </w:tc>
      </w:tr>
      <w:tr>
        <w:tblPrEx>
          <w:tblCellMar>
            <w:top w:w="0" w:type="dxa"/>
            <w:left w:w="108" w:type="dxa"/>
            <w:bottom w:w="0" w:type="dxa"/>
            <w:right w:w="108" w:type="dxa"/>
          </w:tblCellMar>
        </w:tblPrEx>
        <w:trPr>
          <w:trHeight w:val="300" w:hRule="atLeast"/>
        </w:trPr>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质量等别</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等别</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9.5644</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0.0404</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9.5240</w:t>
            </w:r>
          </w:p>
        </w:tc>
        <w:tc>
          <w:tcPr>
            <w:tcW w:w="44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9.5644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4.6562</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0.6279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1.297</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2.9833</w:t>
            </w:r>
          </w:p>
        </w:tc>
      </w:tr>
      <w:tr>
        <w:tblPrEx>
          <w:tblCellMar>
            <w:top w:w="0" w:type="dxa"/>
            <w:left w:w="108" w:type="dxa"/>
            <w:bottom w:w="0" w:type="dxa"/>
            <w:right w:w="108" w:type="dxa"/>
          </w:tblCellMar>
        </w:tblPrEx>
        <w:trPr>
          <w:trHeight w:val="288" w:hRule="atLeast"/>
        </w:trPr>
        <w:tc>
          <w:tcPr>
            <w:tcW w:w="312"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30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9</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3.3901</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3.3901</w:t>
            </w:r>
          </w:p>
        </w:tc>
        <w:tc>
          <w:tcPr>
            <w:tcW w:w="44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3.3900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1.1861</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1.6595</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0.5444</w:t>
            </w:r>
          </w:p>
        </w:tc>
      </w:tr>
      <w:tr>
        <w:tblPrEx>
          <w:tblCellMar>
            <w:top w:w="0" w:type="dxa"/>
            <w:left w:w="108" w:type="dxa"/>
            <w:bottom w:w="0" w:type="dxa"/>
            <w:right w:w="108" w:type="dxa"/>
          </w:tblCellMar>
        </w:tblPrEx>
        <w:trPr>
          <w:trHeight w:val="288" w:hRule="atLeast"/>
        </w:trPr>
        <w:tc>
          <w:tcPr>
            <w:tcW w:w="312"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30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10</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0.1883</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0.1883</w:t>
            </w:r>
          </w:p>
        </w:tc>
        <w:tc>
          <w:tcPr>
            <w:tcW w:w="44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0.1884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0.1884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r>
      <w:tr>
        <w:tblPrEx>
          <w:tblCellMar>
            <w:top w:w="0" w:type="dxa"/>
            <w:left w:w="108" w:type="dxa"/>
            <w:bottom w:w="0" w:type="dxa"/>
            <w:right w:w="108" w:type="dxa"/>
          </w:tblCellMar>
        </w:tblPrEx>
        <w:trPr>
          <w:trHeight w:val="288" w:hRule="atLeast"/>
        </w:trPr>
        <w:tc>
          <w:tcPr>
            <w:tcW w:w="312"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30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11</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0.1967</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0.1918</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0.0049</w:t>
            </w:r>
          </w:p>
        </w:tc>
        <w:tc>
          <w:tcPr>
            <w:tcW w:w="44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0.1967</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0.0049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0.1918</w:t>
            </w:r>
          </w:p>
        </w:tc>
      </w:tr>
      <w:tr>
        <w:tblPrEx>
          <w:tblCellMar>
            <w:top w:w="0" w:type="dxa"/>
            <w:left w:w="108" w:type="dxa"/>
            <w:bottom w:w="0" w:type="dxa"/>
            <w:right w:w="108" w:type="dxa"/>
          </w:tblCellMar>
        </w:tblPrEx>
        <w:trPr>
          <w:trHeight w:val="288" w:hRule="atLeast"/>
        </w:trPr>
        <w:tc>
          <w:tcPr>
            <w:tcW w:w="312"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30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无质量等别</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0.6716</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0.6716</w:t>
            </w:r>
          </w:p>
        </w:tc>
        <w:tc>
          <w:tcPr>
            <w:tcW w:w="44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0.6716</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0.6716</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r>
      <w:tr>
        <w:tblPrEx>
          <w:tblCellMar>
            <w:top w:w="0" w:type="dxa"/>
            <w:left w:w="108" w:type="dxa"/>
            <w:bottom w:w="0" w:type="dxa"/>
            <w:right w:w="108" w:type="dxa"/>
          </w:tblCellMar>
        </w:tblPrEx>
        <w:trPr>
          <w:trHeight w:val="288" w:hRule="atLeast"/>
        </w:trPr>
        <w:tc>
          <w:tcPr>
            <w:tcW w:w="312"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30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平均质量等别</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6.9</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10.1</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6.8</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6.9</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6.7</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6.0</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7.7</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6.7</w:t>
            </w:r>
          </w:p>
        </w:tc>
      </w:tr>
      <w:tr>
        <w:tblPrEx>
          <w:tblCellMar>
            <w:top w:w="0" w:type="dxa"/>
            <w:left w:w="108" w:type="dxa"/>
            <w:bottom w:w="0" w:type="dxa"/>
            <w:right w:w="108" w:type="dxa"/>
          </w:tblCellMar>
        </w:tblPrEx>
        <w:trPr>
          <w:trHeight w:val="300" w:hRule="atLeast"/>
        </w:trPr>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坡度等级</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等级</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（0-2°］</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5.3848</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5.3848</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1.0409</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0.9399</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3.4041</w:t>
            </w:r>
          </w:p>
        </w:tc>
      </w:tr>
      <w:tr>
        <w:tblPrEx>
          <w:tblCellMar>
            <w:top w:w="0" w:type="dxa"/>
            <w:left w:w="108" w:type="dxa"/>
            <w:bottom w:w="0" w:type="dxa"/>
            <w:right w:w="108" w:type="dxa"/>
          </w:tblCellMar>
        </w:tblPrEx>
        <w:trPr>
          <w:trHeight w:val="288" w:hRule="atLeast"/>
        </w:trPr>
        <w:tc>
          <w:tcPr>
            <w:tcW w:w="312"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30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（2-6°］</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6.1454</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6.1454</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3.8377</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0.2079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2.0166</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0.0832</w:t>
            </w:r>
          </w:p>
        </w:tc>
      </w:tr>
      <w:tr>
        <w:tblPrEx>
          <w:tblCellMar>
            <w:top w:w="0" w:type="dxa"/>
            <w:left w:w="108" w:type="dxa"/>
            <w:bottom w:w="0" w:type="dxa"/>
            <w:right w:w="108" w:type="dxa"/>
          </w:tblCellMar>
        </w:tblPrEx>
        <w:trPr>
          <w:trHeight w:val="288" w:hRule="atLeast"/>
        </w:trPr>
        <w:tc>
          <w:tcPr>
            <w:tcW w:w="312"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30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（6-15°］</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1.8093</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0.2322</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1.5771</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1.1521</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0.2322</w:t>
            </w:r>
          </w:p>
        </w:tc>
      </w:tr>
      <w:tr>
        <w:tblPrEx>
          <w:tblCellMar>
            <w:top w:w="0" w:type="dxa"/>
            <w:left w:w="108" w:type="dxa"/>
            <w:bottom w:w="0" w:type="dxa"/>
            <w:right w:w="108" w:type="dxa"/>
          </w:tblCellMar>
        </w:tblPrEx>
        <w:trPr>
          <w:trHeight w:val="288" w:hRule="atLeast"/>
        </w:trPr>
        <w:tc>
          <w:tcPr>
            <w:tcW w:w="312"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30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（15-25°］</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0.0049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r>
      <w:tr>
        <w:tblPrEx>
          <w:tblCellMar>
            <w:top w:w="0" w:type="dxa"/>
            <w:left w:w="108" w:type="dxa"/>
            <w:bottom w:w="0" w:type="dxa"/>
            <w:right w:w="108" w:type="dxa"/>
          </w:tblCellMar>
        </w:tblPrEx>
        <w:trPr>
          <w:trHeight w:val="288" w:hRule="atLeast"/>
        </w:trPr>
        <w:tc>
          <w:tcPr>
            <w:tcW w:w="312"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30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＞25°</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r>
      <w:tr>
        <w:tblPrEx>
          <w:tblCellMar>
            <w:top w:w="0" w:type="dxa"/>
            <w:left w:w="108" w:type="dxa"/>
            <w:bottom w:w="0" w:type="dxa"/>
            <w:right w:w="108" w:type="dxa"/>
          </w:tblCellMar>
        </w:tblPrEx>
        <w:trPr>
          <w:trHeight w:val="288" w:hRule="atLeast"/>
        </w:trPr>
        <w:tc>
          <w:tcPr>
            <w:tcW w:w="312"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30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color w:val="000000"/>
                <w:kern w:val="0"/>
                <w:szCs w:val="21"/>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无坡度等级</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0.6716</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0.6716</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0.6716</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w:t>
            </w:r>
          </w:p>
        </w:tc>
      </w:tr>
    </w:tbl>
    <w:p>
      <w:pPr>
        <w:pStyle w:val="2"/>
        <w:rPr>
          <w:rFonts w:ascii="Times New Roman" w:hAnsi="Times New Roman" w:cs="Times New Roman"/>
        </w:rPr>
        <w:sectPr>
          <w:footerReference r:id="rId7" w:type="default"/>
          <w:pgSz w:w="16838" w:h="11906" w:orient="landscape"/>
          <w:pgMar w:top="1588" w:right="1418" w:bottom="1418" w:left="1361" w:header="851" w:footer="992" w:gutter="0"/>
          <w:cols w:space="425" w:num="1"/>
          <w:docGrid w:type="lines" w:linePitch="312" w:charSpace="0"/>
        </w:sectPr>
      </w:pPr>
    </w:p>
    <w:p>
      <w:pPr>
        <w:keepNext/>
        <w:keepLines/>
        <w:adjustRightInd w:val="0"/>
        <w:spacing w:line="360" w:lineRule="auto"/>
        <w:ind w:firstLine="600" w:firstLineChars="200"/>
        <w:outlineLvl w:val="2"/>
        <w:rPr>
          <w:rFonts w:eastAsia="黑体"/>
          <w:bCs/>
          <w:color w:val="000000"/>
          <w:sz w:val="30"/>
          <w:szCs w:val="28"/>
        </w:rPr>
      </w:pPr>
      <w:bookmarkStart w:id="31" w:name="_Toc88211882"/>
      <w:r>
        <w:rPr>
          <w:rFonts w:hint="eastAsia" w:eastAsia="黑体"/>
          <w:bCs/>
          <w:color w:val="000000"/>
          <w:sz w:val="30"/>
          <w:szCs w:val="28"/>
        </w:rPr>
        <w:t>4.6项目不符合土地用途部分的用地情况</w:t>
      </w:r>
      <w:bookmarkEnd w:id="31"/>
    </w:p>
    <w:p>
      <w:pPr>
        <w:adjustRightInd w:val="0"/>
        <w:spacing w:line="360" w:lineRule="auto"/>
        <w:ind w:firstLine="560" w:firstLineChars="200"/>
        <w:jc w:val="left"/>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项目选址不可避免占用了</w:t>
      </w:r>
      <w:r>
        <w:rPr>
          <w:rFonts w:hint="eastAsia" w:ascii="Times New Roman" w:hAnsi="Times New Roman" w:eastAsia="仿宋_GB2312" w:cs="Times New Roman"/>
          <w:bCs/>
          <w:color w:val="000000"/>
          <w:sz w:val="28"/>
          <w:szCs w:val="28"/>
        </w:rPr>
        <w:t>芒市</w:t>
      </w:r>
      <w:r>
        <w:rPr>
          <w:rFonts w:ascii="Times New Roman" w:hAnsi="Times New Roman" w:eastAsia="仿宋_GB2312" w:cs="Times New Roman"/>
          <w:bCs/>
          <w:color w:val="000000"/>
          <w:sz w:val="28"/>
          <w:szCs w:val="28"/>
        </w:rPr>
        <w:t>永久基本农田26.5381公顷，不符合土地用途管制。</w:t>
      </w:r>
    </w:p>
    <w:p>
      <w:pPr>
        <w:adjustRightInd w:val="0"/>
        <w:spacing w:line="360" w:lineRule="auto"/>
        <w:ind w:firstLine="560" w:firstLineChars="200"/>
        <w:jc w:val="left"/>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本项目不符合用途区部分用地面积为30.9275公顷，其中农用地30.800公顷（耕地25.8665公顷，可调整园地0.6676公顷，其他农用地</w:t>
      </w:r>
    </w:p>
    <w:p>
      <w:pPr>
        <w:adjustRightInd w:val="0"/>
        <w:spacing w:line="360" w:lineRule="auto"/>
        <w:jc w:val="left"/>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4.2659公顷），其他土地0.1275公顷（均为</w:t>
      </w:r>
      <w:r>
        <w:rPr>
          <w:rFonts w:hint="eastAsia" w:ascii="Times New Roman" w:hAnsi="Times New Roman" w:eastAsia="仿宋_GB2312" w:cs="Times New Roman"/>
          <w:bCs/>
          <w:color w:val="000000"/>
          <w:sz w:val="28"/>
          <w:szCs w:val="28"/>
        </w:rPr>
        <w:t>水域</w:t>
      </w:r>
      <w:r>
        <w:rPr>
          <w:rFonts w:ascii="Times New Roman" w:hAnsi="Times New Roman" w:eastAsia="仿宋_GB2312" w:cs="Times New Roman"/>
          <w:bCs/>
          <w:color w:val="000000"/>
          <w:sz w:val="28"/>
          <w:szCs w:val="28"/>
        </w:rPr>
        <w:t>）。需对</w:t>
      </w:r>
      <w:r>
        <w:rPr>
          <w:rFonts w:hint="eastAsia" w:ascii="Times New Roman" w:hAnsi="Times New Roman" w:eastAsia="仿宋_GB2312" w:cs="Times New Roman"/>
          <w:bCs/>
          <w:color w:val="000000"/>
          <w:sz w:val="28"/>
          <w:szCs w:val="28"/>
        </w:rPr>
        <w:t>芒市</w:t>
      </w:r>
      <w:r>
        <w:rPr>
          <w:rFonts w:ascii="Times New Roman" w:hAnsi="Times New Roman" w:eastAsia="仿宋_GB2312" w:cs="Times New Roman"/>
          <w:bCs/>
          <w:color w:val="000000"/>
          <w:sz w:val="28"/>
          <w:szCs w:val="28"/>
        </w:rPr>
        <w:t>土地用途进行局部调整，使项目用地符合土地用途，满足项目用地报批的需求。</w:t>
      </w:r>
    </w:p>
    <w:p>
      <w:pPr>
        <w:ind w:firstLine="482"/>
        <w:jc w:val="center"/>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表</w:t>
      </w:r>
      <w:r>
        <w:rPr>
          <w:rFonts w:hint="eastAsia" w:ascii="Times New Roman" w:hAnsi="Times New Roman" w:eastAsia="仿宋_GB2312" w:cs="Times New Roman"/>
          <w:b/>
          <w:bCs/>
          <w:sz w:val="28"/>
          <w:szCs w:val="28"/>
        </w:rPr>
        <w:t>4-5</w:t>
      </w:r>
      <w:r>
        <w:rPr>
          <w:rFonts w:ascii="Times New Roman" w:hAnsi="Times New Roman" w:eastAsia="仿宋_GB2312" w:cs="Times New Roman"/>
          <w:b/>
          <w:bCs/>
          <w:sz w:val="28"/>
          <w:szCs w:val="28"/>
        </w:rPr>
        <w:t xml:space="preserve"> 项目不符合土地用途的部分用地情况</w:t>
      </w:r>
    </w:p>
    <w:p>
      <w:pPr>
        <w:ind w:firstLine="480"/>
        <w:jc w:val="right"/>
        <w:rPr>
          <w:sz w:val="24"/>
        </w:rPr>
      </w:pPr>
      <w:r>
        <w:rPr>
          <w:sz w:val="24"/>
        </w:rPr>
        <w:t>单位：公顷</w:t>
      </w:r>
    </w:p>
    <w:tbl>
      <w:tblPr>
        <w:tblStyle w:val="14"/>
        <w:tblW w:w="4998" w:type="pct"/>
        <w:jc w:val="center"/>
        <w:tblLayout w:type="autofit"/>
        <w:tblCellMar>
          <w:top w:w="0" w:type="dxa"/>
          <w:left w:w="0" w:type="dxa"/>
          <w:bottom w:w="0" w:type="dxa"/>
          <w:right w:w="0" w:type="dxa"/>
        </w:tblCellMar>
      </w:tblPr>
      <w:tblGrid>
        <w:gridCol w:w="1071"/>
        <w:gridCol w:w="2498"/>
        <w:gridCol w:w="1850"/>
        <w:gridCol w:w="1645"/>
        <w:gridCol w:w="1856"/>
      </w:tblGrid>
      <w:tr>
        <w:tblPrEx>
          <w:tblCellMar>
            <w:top w:w="0" w:type="dxa"/>
            <w:left w:w="0" w:type="dxa"/>
            <w:bottom w:w="0" w:type="dxa"/>
            <w:right w:w="0" w:type="dxa"/>
          </w:tblCellMar>
        </w:tblPrEx>
        <w:trPr>
          <w:trHeight w:val="278" w:hRule="atLeast"/>
          <w:jc w:val="center"/>
        </w:trPr>
        <w:tc>
          <w:tcPr>
            <w:tcW w:w="2000"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地类</w:t>
            </w:r>
          </w:p>
        </w:tc>
        <w:tc>
          <w:tcPr>
            <w:tcW w:w="2999"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芒市</w:t>
            </w:r>
          </w:p>
        </w:tc>
      </w:tr>
      <w:tr>
        <w:tblPrEx>
          <w:tblCellMar>
            <w:top w:w="0" w:type="dxa"/>
            <w:left w:w="0" w:type="dxa"/>
            <w:bottom w:w="0" w:type="dxa"/>
            <w:right w:w="0" w:type="dxa"/>
          </w:tblCellMar>
        </w:tblPrEx>
        <w:trPr>
          <w:trHeight w:val="278" w:hRule="atLeast"/>
          <w:jc w:val="center"/>
        </w:trPr>
        <w:tc>
          <w:tcPr>
            <w:tcW w:w="200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Times New Roman" w:hAnsi="Times New Roman" w:eastAsia="仿宋_GB2312" w:cs="Times New Roman"/>
                <w:color w:val="000000"/>
                <w:sz w:val="24"/>
                <w:szCs w:val="24"/>
              </w:rPr>
            </w:pPr>
          </w:p>
        </w:tc>
        <w:tc>
          <w:tcPr>
            <w:tcW w:w="1037"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小计</w:t>
            </w:r>
          </w:p>
        </w:tc>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芒市镇</w:t>
            </w:r>
          </w:p>
        </w:tc>
        <w:tc>
          <w:tcPr>
            <w:tcW w:w="103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风平镇</w:t>
            </w:r>
          </w:p>
        </w:tc>
      </w:tr>
      <w:tr>
        <w:tblPrEx>
          <w:tblCellMar>
            <w:top w:w="0" w:type="dxa"/>
            <w:left w:w="0" w:type="dxa"/>
            <w:bottom w:w="0" w:type="dxa"/>
            <w:right w:w="0" w:type="dxa"/>
          </w:tblCellMar>
        </w:tblPrEx>
        <w:trPr>
          <w:trHeight w:val="278" w:hRule="atLeast"/>
          <w:jc w:val="center"/>
        </w:trPr>
        <w:tc>
          <w:tcPr>
            <w:tcW w:w="200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Times New Roman" w:hAnsi="Times New Roman" w:eastAsia="仿宋_GB2312" w:cs="Times New Roman"/>
                <w:color w:val="000000"/>
                <w:sz w:val="24"/>
                <w:szCs w:val="24"/>
              </w:rPr>
            </w:pPr>
          </w:p>
        </w:tc>
        <w:tc>
          <w:tcPr>
            <w:tcW w:w="103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Times New Roman" w:hAnsi="Times New Roman" w:eastAsia="仿宋_GB2312" w:cs="Times New Roman"/>
                <w:color w:val="000000"/>
                <w:sz w:val="24"/>
                <w:szCs w:val="24"/>
              </w:rPr>
            </w:pPr>
          </w:p>
        </w:tc>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面积</w:t>
            </w:r>
          </w:p>
        </w:tc>
        <w:tc>
          <w:tcPr>
            <w:tcW w:w="103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面积</w:t>
            </w:r>
          </w:p>
        </w:tc>
      </w:tr>
      <w:tr>
        <w:tblPrEx>
          <w:tblCellMar>
            <w:top w:w="0" w:type="dxa"/>
            <w:left w:w="0" w:type="dxa"/>
            <w:bottom w:w="0" w:type="dxa"/>
            <w:right w:w="0" w:type="dxa"/>
          </w:tblCellMar>
        </w:tblPrEx>
        <w:trPr>
          <w:trHeight w:val="278" w:hRule="atLeast"/>
          <w:jc w:val="center"/>
        </w:trPr>
        <w:tc>
          <w:tcPr>
            <w:tcW w:w="200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bottom"/>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合计</w:t>
            </w:r>
          </w:p>
        </w:tc>
        <w:tc>
          <w:tcPr>
            <w:tcW w:w="10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30.9275</w:t>
            </w:r>
          </w:p>
        </w:tc>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4.6269</w:t>
            </w:r>
          </w:p>
        </w:tc>
        <w:tc>
          <w:tcPr>
            <w:tcW w:w="103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26.3006</w:t>
            </w:r>
          </w:p>
        </w:tc>
      </w:tr>
      <w:tr>
        <w:tblPrEx>
          <w:tblCellMar>
            <w:top w:w="0" w:type="dxa"/>
            <w:left w:w="0" w:type="dxa"/>
            <w:bottom w:w="0" w:type="dxa"/>
            <w:right w:w="0" w:type="dxa"/>
          </w:tblCellMar>
        </w:tblPrEx>
        <w:trPr>
          <w:trHeight w:val="278" w:hRule="atLeast"/>
          <w:jc w:val="center"/>
        </w:trPr>
        <w:tc>
          <w:tcPr>
            <w:tcW w:w="600"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农用地</w:t>
            </w:r>
          </w:p>
        </w:tc>
        <w:tc>
          <w:tcPr>
            <w:tcW w:w="14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耕地</w:t>
            </w:r>
          </w:p>
        </w:tc>
        <w:tc>
          <w:tcPr>
            <w:tcW w:w="10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25.8665</w:t>
            </w:r>
          </w:p>
        </w:tc>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3.4071</w:t>
            </w:r>
          </w:p>
        </w:tc>
        <w:tc>
          <w:tcPr>
            <w:tcW w:w="103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22.4594</w:t>
            </w:r>
          </w:p>
        </w:tc>
      </w:tr>
      <w:tr>
        <w:tblPrEx>
          <w:tblCellMar>
            <w:top w:w="0" w:type="dxa"/>
            <w:left w:w="0" w:type="dxa"/>
            <w:bottom w:w="0" w:type="dxa"/>
            <w:right w:w="0" w:type="dxa"/>
          </w:tblCellMar>
        </w:tblPrEx>
        <w:trPr>
          <w:trHeight w:val="278" w:hRule="atLeast"/>
          <w:jc w:val="center"/>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Times New Roman" w:hAnsi="Times New Roman" w:eastAsia="仿宋_GB2312" w:cs="Times New Roman"/>
                <w:color w:val="000000"/>
                <w:sz w:val="24"/>
                <w:szCs w:val="24"/>
              </w:rPr>
            </w:pPr>
          </w:p>
        </w:tc>
        <w:tc>
          <w:tcPr>
            <w:tcW w:w="14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园地</w:t>
            </w:r>
          </w:p>
        </w:tc>
        <w:tc>
          <w:tcPr>
            <w:tcW w:w="10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0.6676</w:t>
            </w:r>
          </w:p>
        </w:tc>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0.6676</w:t>
            </w:r>
          </w:p>
        </w:tc>
        <w:tc>
          <w:tcPr>
            <w:tcW w:w="103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r>
      <w:tr>
        <w:tblPrEx>
          <w:tblCellMar>
            <w:top w:w="0" w:type="dxa"/>
            <w:left w:w="0" w:type="dxa"/>
            <w:bottom w:w="0" w:type="dxa"/>
            <w:right w:w="0" w:type="dxa"/>
          </w:tblCellMar>
        </w:tblPrEx>
        <w:trPr>
          <w:trHeight w:val="278" w:hRule="atLeast"/>
          <w:jc w:val="center"/>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Times New Roman" w:hAnsi="Times New Roman" w:eastAsia="仿宋_GB2312" w:cs="Times New Roman"/>
                <w:color w:val="000000"/>
                <w:sz w:val="24"/>
                <w:szCs w:val="24"/>
              </w:rPr>
            </w:pPr>
          </w:p>
        </w:tc>
        <w:tc>
          <w:tcPr>
            <w:tcW w:w="14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林地</w:t>
            </w:r>
          </w:p>
        </w:tc>
        <w:tc>
          <w:tcPr>
            <w:tcW w:w="10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0</w:t>
            </w:r>
          </w:p>
        </w:tc>
        <w:tc>
          <w:tcPr>
            <w:tcW w:w="103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0</w:t>
            </w:r>
          </w:p>
        </w:tc>
      </w:tr>
      <w:tr>
        <w:tblPrEx>
          <w:tblCellMar>
            <w:top w:w="0" w:type="dxa"/>
            <w:left w:w="0" w:type="dxa"/>
            <w:bottom w:w="0" w:type="dxa"/>
            <w:right w:w="0" w:type="dxa"/>
          </w:tblCellMar>
        </w:tblPrEx>
        <w:trPr>
          <w:trHeight w:val="278" w:hRule="atLeast"/>
          <w:jc w:val="center"/>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Times New Roman" w:hAnsi="Times New Roman" w:eastAsia="仿宋_GB2312" w:cs="Times New Roman"/>
                <w:color w:val="000000"/>
                <w:sz w:val="24"/>
                <w:szCs w:val="24"/>
              </w:rPr>
            </w:pPr>
          </w:p>
        </w:tc>
        <w:tc>
          <w:tcPr>
            <w:tcW w:w="14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牧草地</w:t>
            </w:r>
          </w:p>
        </w:tc>
        <w:tc>
          <w:tcPr>
            <w:tcW w:w="10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c>
          <w:tcPr>
            <w:tcW w:w="103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r>
      <w:tr>
        <w:tblPrEx>
          <w:tblCellMar>
            <w:top w:w="0" w:type="dxa"/>
            <w:left w:w="0" w:type="dxa"/>
            <w:bottom w:w="0" w:type="dxa"/>
            <w:right w:w="0" w:type="dxa"/>
          </w:tblCellMar>
        </w:tblPrEx>
        <w:trPr>
          <w:trHeight w:val="278" w:hRule="atLeast"/>
          <w:jc w:val="center"/>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Times New Roman" w:hAnsi="Times New Roman" w:eastAsia="仿宋_GB2312" w:cs="Times New Roman"/>
                <w:color w:val="000000"/>
                <w:sz w:val="24"/>
                <w:szCs w:val="24"/>
              </w:rPr>
            </w:pPr>
          </w:p>
        </w:tc>
        <w:tc>
          <w:tcPr>
            <w:tcW w:w="14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其他农用地</w:t>
            </w:r>
          </w:p>
        </w:tc>
        <w:tc>
          <w:tcPr>
            <w:tcW w:w="10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4.2659</w:t>
            </w:r>
          </w:p>
        </w:tc>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0.5273</w:t>
            </w:r>
          </w:p>
        </w:tc>
        <w:tc>
          <w:tcPr>
            <w:tcW w:w="103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3.7386</w:t>
            </w:r>
          </w:p>
        </w:tc>
      </w:tr>
      <w:tr>
        <w:tblPrEx>
          <w:tblCellMar>
            <w:top w:w="0" w:type="dxa"/>
            <w:left w:w="0" w:type="dxa"/>
            <w:bottom w:w="0" w:type="dxa"/>
            <w:right w:w="0" w:type="dxa"/>
          </w:tblCellMar>
        </w:tblPrEx>
        <w:trPr>
          <w:trHeight w:val="278" w:hRule="atLeast"/>
          <w:jc w:val="center"/>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Times New Roman" w:hAnsi="Times New Roman" w:eastAsia="仿宋_GB2312" w:cs="Times New Roman"/>
                <w:color w:val="000000"/>
                <w:sz w:val="24"/>
                <w:szCs w:val="24"/>
              </w:rPr>
            </w:pPr>
          </w:p>
        </w:tc>
        <w:tc>
          <w:tcPr>
            <w:tcW w:w="14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小计</w:t>
            </w:r>
          </w:p>
        </w:tc>
        <w:tc>
          <w:tcPr>
            <w:tcW w:w="10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30.800</w:t>
            </w:r>
          </w:p>
        </w:tc>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4.6020</w:t>
            </w:r>
          </w:p>
        </w:tc>
        <w:tc>
          <w:tcPr>
            <w:tcW w:w="103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26.1980</w:t>
            </w:r>
          </w:p>
        </w:tc>
      </w:tr>
      <w:tr>
        <w:tblPrEx>
          <w:tblCellMar>
            <w:top w:w="0" w:type="dxa"/>
            <w:left w:w="0" w:type="dxa"/>
            <w:bottom w:w="0" w:type="dxa"/>
            <w:right w:w="0" w:type="dxa"/>
          </w:tblCellMar>
        </w:tblPrEx>
        <w:trPr>
          <w:trHeight w:val="278" w:hRule="atLeast"/>
          <w:jc w:val="center"/>
        </w:trPr>
        <w:tc>
          <w:tcPr>
            <w:tcW w:w="600"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其他土地</w:t>
            </w:r>
          </w:p>
        </w:tc>
        <w:tc>
          <w:tcPr>
            <w:tcW w:w="14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水域</w:t>
            </w:r>
          </w:p>
        </w:tc>
        <w:tc>
          <w:tcPr>
            <w:tcW w:w="10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bookmarkStart w:id="32" w:name="_Hlk88212972"/>
            <w:r>
              <w:rPr>
                <w:rFonts w:ascii="Times New Roman" w:hAnsi="Times New Roman" w:eastAsia="仿宋_GB2312" w:cs="Times New Roman"/>
                <w:color w:val="000000"/>
                <w:kern w:val="0"/>
                <w:sz w:val="24"/>
                <w:szCs w:val="24"/>
                <w:lang w:bidi="ar"/>
              </w:rPr>
              <w:t>0.1275</w:t>
            </w:r>
            <w:bookmarkEnd w:id="32"/>
          </w:p>
        </w:tc>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0.0249</w:t>
            </w:r>
          </w:p>
        </w:tc>
        <w:tc>
          <w:tcPr>
            <w:tcW w:w="103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0.1026</w:t>
            </w:r>
          </w:p>
        </w:tc>
      </w:tr>
      <w:tr>
        <w:tblPrEx>
          <w:tblCellMar>
            <w:top w:w="0" w:type="dxa"/>
            <w:left w:w="0" w:type="dxa"/>
            <w:bottom w:w="0" w:type="dxa"/>
            <w:right w:w="0" w:type="dxa"/>
          </w:tblCellMar>
        </w:tblPrEx>
        <w:trPr>
          <w:trHeight w:val="278" w:hRule="atLeast"/>
          <w:jc w:val="center"/>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Times New Roman" w:hAnsi="Times New Roman" w:eastAsia="仿宋_GB2312" w:cs="Times New Roman"/>
                <w:color w:val="000000"/>
                <w:sz w:val="24"/>
                <w:szCs w:val="24"/>
              </w:rPr>
            </w:pPr>
          </w:p>
        </w:tc>
        <w:tc>
          <w:tcPr>
            <w:tcW w:w="14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自然保留地</w:t>
            </w:r>
          </w:p>
        </w:tc>
        <w:tc>
          <w:tcPr>
            <w:tcW w:w="10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c>
          <w:tcPr>
            <w:tcW w:w="103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r>
      <w:tr>
        <w:tblPrEx>
          <w:tblCellMar>
            <w:top w:w="0" w:type="dxa"/>
            <w:left w:w="0" w:type="dxa"/>
            <w:bottom w:w="0" w:type="dxa"/>
            <w:right w:w="0" w:type="dxa"/>
          </w:tblCellMar>
        </w:tblPrEx>
        <w:trPr>
          <w:trHeight w:val="278" w:hRule="atLeast"/>
          <w:jc w:val="center"/>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Times New Roman" w:hAnsi="Times New Roman" w:eastAsia="仿宋_GB2312" w:cs="Times New Roman"/>
                <w:color w:val="000000"/>
                <w:sz w:val="24"/>
                <w:szCs w:val="24"/>
              </w:rPr>
            </w:pPr>
          </w:p>
        </w:tc>
        <w:tc>
          <w:tcPr>
            <w:tcW w:w="14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lang w:bidi="ar"/>
              </w:rPr>
              <w:t>小计</w:t>
            </w:r>
          </w:p>
        </w:tc>
        <w:tc>
          <w:tcPr>
            <w:tcW w:w="10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0.1275</w:t>
            </w:r>
          </w:p>
        </w:tc>
        <w:tc>
          <w:tcPr>
            <w:tcW w:w="92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0.0249</w:t>
            </w:r>
          </w:p>
        </w:tc>
        <w:tc>
          <w:tcPr>
            <w:tcW w:w="103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0.1026</w:t>
            </w:r>
          </w:p>
        </w:tc>
      </w:tr>
    </w:tbl>
    <w:p>
      <w:pPr>
        <w:pStyle w:val="13"/>
        <w:spacing w:line="360" w:lineRule="auto"/>
        <w:ind w:left="0"/>
        <w:jc w:val="center"/>
        <w:outlineLvl w:val="0"/>
        <w:rPr>
          <w:rFonts w:eastAsia="黑体"/>
          <w:bCs/>
          <w:color w:val="000000"/>
          <w:kern w:val="44"/>
          <w:sz w:val="36"/>
          <w:szCs w:val="44"/>
        </w:rPr>
      </w:pPr>
      <w:bookmarkStart w:id="33" w:name="_Toc88211883"/>
      <w:r>
        <w:rPr>
          <w:rFonts w:hint="eastAsia" w:eastAsia="黑体"/>
          <w:bCs/>
          <w:color w:val="000000"/>
          <w:kern w:val="44"/>
          <w:sz w:val="36"/>
          <w:szCs w:val="44"/>
        </w:rPr>
        <w:t>五、项目涉及芒市基本农田补划情况</w:t>
      </w:r>
      <w:bookmarkEnd w:id="33"/>
    </w:p>
    <w:p>
      <w:pPr>
        <w:keepNext/>
        <w:keepLines/>
        <w:adjustRightInd w:val="0"/>
        <w:spacing w:line="360" w:lineRule="auto"/>
        <w:ind w:firstLine="600" w:firstLineChars="200"/>
        <w:outlineLvl w:val="2"/>
        <w:rPr>
          <w:rFonts w:eastAsia="黑体"/>
          <w:bCs/>
          <w:color w:val="000000"/>
          <w:sz w:val="30"/>
          <w:szCs w:val="28"/>
        </w:rPr>
      </w:pPr>
      <w:bookmarkStart w:id="34" w:name="_Toc88211884"/>
      <w:r>
        <w:rPr>
          <w:rFonts w:hint="eastAsia" w:eastAsia="黑体"/>
          <w:bCs/>
          <w:color w:val="000000"/>
          <w:sz w:val="30"/>
          <w:szCs w:val="28"/>
        </w:rPr>
        <w:t xml:space="preserve">5.1 </w:t>
      </w:r>
      <w:r>
        <w:rPr>
          <w:rFonts w:eastAsia="黑体"/>
          <w:bCs/>
          <w:color w:val="000000"/>
          <w:sz w:val="30"/>
          <w:szCs w:val="28"/>
        </w:rPr>
        <w:t>补划永久基本农田分布</w:t>
      </w:r>
      <w:bookmarkEnd w:id="34"/>
    </w:p>
    <w:p>
      <w:pPr>
        <w:spacing w:line="360" w:lineRule="auto"/>
        <w:ind w:firstLine="560" w:firstLineChars="200"/>
        <w:rPr>
          <w:rFonts w:eastAsia="仿宋_GB2312"/>
          <w:color w:val="000000"/>
          <w:sz w:val="28"/>
          <w:szCs w:val="28"/>
        </w:rPr>
      </w:pPr>
      <w:r>
        <w:rPr>
          <w:rFonts w:eastAsia="仿宋_GB2312"/>
          <w:color w:val="000000"/>
          <w:sz w:val="28"/>
          <w:szCs w:val="28"/>
        </w:rPr>
        <w:t>结合</w:t>
      </w:r>
      <w:r>
        <w:rPr>
          <w:rFonts w:hint="eastAsia" w:eastAsia="仿宋_GB2312"/>
          <w:color w:val="000000"/>
          <w:sz w:val="28"/>
          <w:szCs w:val="28"/>
        </w:rPr>
        <w:t>瑞丽至孟连</w:t>
      </w:r>
      <w:r>
        <w:rPr>
          <w:rFonts w:eastAsia="仿宋_GB2312"/>
          <w:color w:val="000000"/>
          <w:sz w:val="28"/>
          <w:szCs w:val="28"/>
        </w:rPr>
        <w:t>高速公路建设项目用地实际占用</w:t>
      </w:r>
      <w:r>
        <w:rPr>
          <w:rFonts w:hint="eastAsia" w:eastAsia="仿宋_GB2312"/>
          <w:color w:val="000000"/>
          <w:sz w:val="28"/>
          <w:szCs w:val="28"/>
        </w:rPr>
        <w:t>芒市</w:t>
      </w:r>
      <w:r>
        <w:rPr>
          <w:rFonts w:eastAsia="仿宋_GB2312"/>
          <w:color w:val="000000"/>
          <w:sz w:val="28"/>
          <w:szCs w:val="28"/>
        </w:rPr>
        <w:t>永久基本农田的数量和地类，</w:t>
      </w:r>
      <w:r>
        <w:rPr>
          <w:rFonts w:hint="eastAsia" w:eastAsia="仿宋_GB2312"/>
          <w:color w:val="000000"/>
          <w:sz w:val="28"/>
          <w:szCs w:val="28"/>
        </w:rPr>
        <w:t>按照自然资规〔2019〕1号文件要求，重大建设项目占用永久基本农田的，需按照“数量不减、质量不降、布局稳定”的要求进行补划，并按照法定程序修改相应的土地利用总体规划。补划的永久基本农田必须是坡度小于25度的耕地，原则上与现有永久基本农田集中连片。占用城市周边永久基本农田的，原则上在城市周边范围内补划，经实地踏勘论证确实难以在城市周边补划的，按照空间由近及远、质量由高到低的要求进行补划。</w:t>
      </w:r>
      <w:r>
        <w:rPr>
          <w:rFonts w:eastAsia="仿宋_GB2312"/>
          <w:color w:val="000000"/>
          <w:sz w:val="28"/>
          <w:szCs w:val="28"/>
        </w:rPr>
        <w:t>保证补划后</w:t>
      </w:r>
      <w:r>
        <w:rPr>
          <w:rFonts w:hint="eastAsia" w:eastAsia="仿宋_GB2312"/>
          <w:color w:val="000000"/>
          <w:sz w:val="28"/>
          <w:szCs w:val="28"/>
        </w:rPr>
        <w:t>芒市</w:t>
      </w:r>
      <w:r>
        <w:rPr>
          <w:rFonts w:eastAsia="仿宋_GB2312"/>
          <w:color w:val="000000"/>
          <w:sz w:val="28"/>
          <w:szCs w:val="28"/>
        </w:rPr>
        <w:t>全域永久基本农田、</w:t>
      </w:r>
      <w:r>
        <w:rPr>
          <w:rFonts w:hint="eastAsia" w:eastAsia="仿宋_GB2312"/>
          <w:color w:val="000000"/>
          <w:sz w:val="28"/>
          <w:szCs w:val="28"/>
        </w:rPr>
        <w:t>坝区</w:t>
      </w:r>
      <w:r>
        <w:rPr>
          <w:rFonts w:eastAsia="仿宋_GB2312"/>
          <w:color w:val="000000"/>
          <w:sz w:val="28"/>
          <w:szCs w:val="28"/>
        </w:rPr>
        <w:t>永久基本农田数量不减少、质量有提高，并与现有永久基本农田形成集中连片的布局。</w:t>
      </w:r>
    </w:p>
    <w:p>
      <w:pPr>
        <w:spacing w:line="360" w:lineRule="auto"/>
        <w:ind w:firstLine="560" w:firstLineChars="200"/>
        <w:rPr>
          <w:rFonts w:ascii="Times New Roman" w:hAnsi="Times New Roman" w:eastAsia="仿宋_GB2312" w:cs="Times New Roman"/>
          <w:color w:val="000000"/>
          <w:sz w:val="28"/>
          <w:szCs w:val="28"/>
          <w:highlight w:val="yellow"/>
        </w:rPr>
      </w:pPr>
      <w:r>
        <w:rPr>
          <w:rFonts w:hint="eastAsia" w:eastAsia="仿宋_GB2312"/>
          <w:color w:val="000000"/>
          <w:sz w:val="28"/>
          <w:szCs w:val="28"/>
        </w:rPr>
        <w:t>瑞丽至孟连</w:t>
      </w:r>
      <w:r>
        <w:rPr>
          <w:rFonts w:eastAsia="仿宋_GB2312"/>
          <w:color w:val="000000"/>
          <w:sz w:val="28"/>
          <w:szCs w:val="28"/>
        </w:rPr>
        <w:t>高速公路建设项目用地占用永久基本农田涉及</w:t>
      </w:r>
      <w:r>
        <w:rPr>
          <w:rFonts w:hint="eastAsia" w:eastAsia="仿宋_GB2312"/>
          <w:color w:val="000000"/>
          <w:sz w:val="28"/>
          <w:szCs w:val="28"/>
        </w:rPr>
        <w:t>芒市芒市</w:t>
      </w:r>
      <w:r>
        <w:rPr>
          <w:rFonts w:ascii="Times New Roman" w:hAnsi="Times New Roman" w:eastAsia="仿宋_GB2312" w:cs="Times New Roman"/>
          <w:color w:val="000000"/>
          <w:sz w:val="28"/>
          <w:szCs w:val="28"/>
        </w:rPr>
        <w:t>镇、风平镇，由于项目涉及城镇周边、坝区和水田基本农田数量较大。</w:t>
      </w:r>
    </w:p>
    <w:p>
      <w:pPr>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经多方充分协商，补划地块选取主要考虑坝区、水田、国家利用等相当的耕地，并在实地调查的基础上，进行了适当微调。芒市共选取补划地块18块，补划永久基本农田</w:t>
      </w:r>
      <w:r>
        <w:rPr>
          <w:rFonts w:ascii="Times New Roman" w:hAnsi="Times New Roman" w:eastAsia="仿宋_GB2312" w:cs="Times New Roman"/>
          <w:color w:val="000000"/>
          <w:sz w:val="28"/>
          <w:szCs w:val="28"/>
          <w:lang w:val="zh-CN"/>
        </w:rPr>
        <w:t>28.2092</w:t>
      </w:r>
      <w:r>
        <w:rPr>
          <w:rFonts w:ascii="Times New Roman" w:hAnsi="Times New Roman" w:eastAsia="仿宋_GB2312" w:cs="Times New Roman"/>
          <w:color w:val="000000"/>
          <w:sz w:val="28"/>
          <w:szCs w:val="28"/>
        </w:rPr>
        <w:t>公顷。</w:t>
      </w:r>
    </w:p>
    <w:p>
      <w:pPr>
        <w:keepNext/>
        <w:keepLines/>
        <w:adjustRightInd w:val="0"/>
        <w:spacing w:line="360" w:lineRule="auto"/>
        <w:ind w:firstLine="600" w:firstLineChars="200"/>
        <w:outlineLvl w:val="2"/>
        <w:rPr>
          <w:rFonts w:eastAsia="黑体"/>
          <w:bCs/>
          <w:color w:val="000000"/>
          <w:sz w:val="30"/>
          <w:szCs w:val="28"/>
        </w:rPr>
      </w:pPr>
      <w:bookmarkStart w:id="35" w:name="_Toc88211885"/>
      <w:r>
        <w:rPr>
          <w:rFonts w:hint="eastAsia" w:eastAsia="黑体"/>
          <w:bCs/>
          <w:color w:val="000000"/>
          <w:sz w:val="30"/>
          <w:szCs w:val="28"/>
        </w:rPr>
        <w:t xml:space="preserve">5.2 </w:t>
      </w:r>
      <w:r>
        <w:rPr>
          <w:rFonts w:eastAsia="黑体"/>
          <w:bCs/>
          <w:color w:val="000000"/>
          <w:sz w:val="30"/>
          <w:szCs w:val="28"/>
        </w:rPr>
        <w:t>补划永久基本农田地块与相关规划衔接</w:t>
      </w:r>
      <w:bookmarkEnd w:id="35"/>
    </w:p>
    <w:p>
      <w:pPr>
        <w:spacing w:line="360" w:lineRule="auto"/>
        <w:ind w:firstLine="560" w:firstLineChars="200"/>
        <w:rPr>
          <w:rFonts w:eastAsia="仿宋_GB2312"/>
          <w:color w:val="000000"/>
          <w:sz w:val="28"/>
          <w:szCs w:val="28"/>
          <w:lang w:val="zh-CN"/>
        </w:rPr>
      </w:pPr>
      <w:r>
        <w:rPr>
          <w:rFonts w:eastAsia="仿宋_GB2312"/>
          <w:color w:val="000000"/>
          <w:sz w:val="28"/>
          <w:szCs w:val="28"/>
          <w:lang w:val="zh-CN"/>
        </w:rPr>
        <w:t>1、经补划地块与已有项目范围及已补划永久基本农田地块空间叠加分析，补划地块无重叠，无重复补划情况。</w:t>
      </w:r>
    </w:p>
    <w:p>
      <w:pPr>
        <w:spacing w:line="360" w:lineRule="auto"/>
        <w:ind w:firstLine="560" w:firstLineChars="200"/>
        <w:rPr>
          <w:rFonts w:eastAsia="仿宋_GB2312"/>
          <w:color w:val="000000"/>
          <w:sz w:val="28"/>
          <w:szCs w:val="28"/>
        </w:rPr>
      </w:pPr>
      <w:r>
        <w:rPr>
          <w:rFonts w:eastAsia="仿宋_GB2312"/>
          <w:color w:val="000000"/>
          <w:sz w:val="28"/>
          <w:szCs w:val="28"/>
        </w:rPr>
        <w:t>2、通过与</w:t>
      </w:r>
      <w:r>
        <w:rPr>
          <w:rFonts w:hint="eastAsia" w:eastAsia="仿宋_GB2312"/>
          <w:color w:val="000000"/>
          <w:sz w:val="28"/>
          <w:szCs w:val="28"/>
        </w:rPr>
        <w:t>芒市国土空间</w:t>
      </w:r>
      <w:r>
        <w:rPr>
          <w:rFonts w:eastAsia="仿宋_GB2312"/>
          <w:color w:val="000000"/>
          <w:sz w:val="28"/>
          <w:szCs w:val="28"/>
        </w:rPr>
        <w:t>规划的建设项目进行衔接，补划地块不占用</w:t>
      </w:r>
      <w:r>
        <w:rPr>
          <w:rFonts w:hint="eastAsia" w:eastAsia="仿宋_GB2312"/>
          <w:color w:val="000000"/>
          <w:sz w:val="28"/>
          <w:szCs w:val="28"/>
        </w:rPr>
        <w:t>芒市</w:t>
      </w:r>
      <w:r>
        <w:rPr>
          <w:rFonts w:eastAsia="仿宋_GB2312"/>
          <w:color w:val="000000"/>
          <w:sz w:val="28"/>
          <w:szCs w:val="28"/>
        </w:rPr>
        <w:t>的</w:t>
      </w:r>
      <w:r>
        <w:rPr>
          <w:rFonts w:hint="eastAsia" w:eastAsia="仿宋_GB2312"/>
          <w:color w:val="000000"/>
          <w:sz w:val="28"/>
          <w:szCs w:val="28"/>
        </w:rPr>
        <w:t>国土空间</w:t>
      </w:r>
      <w:r>
        <w:rPr>
          <w:rFonts w:eastAsia="仿宋_GB2312"/>
          <w:color w:val="000000"/>
          <w:sz w:val="28"/>
          <w:szCs w:val="28"/>
        </w:rPr>
        <w:t>规划项目用地。</w:t>
      </w:r>
    </w:p>
    <w:p>
      <w:pPr>
        <w:spacing w:line="360" w:lineRule="auto"/>
        <w:ind w:firstLine="560" w:firstLineChars="200"/>
        <w:rPr>
          <w:rFonts w:eastAsia="仿宋_GB2312"/>
          <w:color w:val="000000"/>
          <w:sz w:val="28"/>
          <w:szCs w:val="28"/>
        </w:rPr>
      </w:pPr>
      <w:r>
        <w:rPr>
          <w:rFonts w:hint="eastAsia" w:eastAsia="仿宋_GB2312"/>
          <w:color w:val="000000"/>
          <w:sz w:val="28"/>
          <w:szCs w:val="28"/>
        </w:rPr>
        <w:t>3</w:t>
      </w:r>
      <w:r>
        <w:rPr>
          <w:rFonts w:eastAsia="仿宋_GB2312"/>
          <w:color w:val="000000"/>
          <w:sz w:val="28"/>
          <w:szCs w:val="28"/>
        </w:rPr>
        <w:t>、通过与</w:t>
      </w:r>
      <w:r>
        <w:rPr>
          <w:rFonts w:hint="eastAsia" w:eastAsia="仿宋_GB2312"/>
          <w:color w:val="000000"/>
          <w:sz w:val="28"/>
          <w:szCs w:val="28"/>
        </w:rPr>
        <w:t>芒市城镇开发边界试划成果和村庄建设边界试划成果</w:t>
      </w:r>
      <w:r>
        <w:rPr>
          <w:rFonts w:eastAsia="仿宋_GB2312"/>
          <w:color w:val="000000"/>
          <w:sz w:val="28"/>
          <w:szCs w:val="28"/>
        </w:rPr>
        <w:t>进行衔接，补划地块不占用</w:t>
      </w:r>
      <w:r>
        <w:rPr>
          <w:rFonts w:hint="eastAsia" w:eastAsia="仿宋_GB2312"/>
          <w:color w:val="000000"/>
          <w:sz w:val="28"/>
          <w:szCs w:val="28"/>
        </w:rPr>
        <w:t>芒市</w:t>
      </w:r>
      <w:r>
        <w:rPr>
          <w:rFonts w:eastAsia="仿宋_GB2312"/>
          <w:color w:val="000000"/>
          <w:sz w:val="28"/>
          <w:szCs w:val="28"/>
        </w:rPr>
        <w:t>的</w:t>
      </w:r>
      <w:r>
        <w:rPr>
          <w:rFonts w:hint="eastAsia" w:eastAsia="仿宋_GB2312"/>
          <w:color w:val="000000"/>
          <w:sz w:val="28"/>
          <w:szCs w:val="28"/>
        </w:rPr>
        <w:t>城镇开发试划边界和村庄建设试划边界</w:t>
      </w:r>
      <w:r>
        <w:rPr>
          <w:rFonts w:eastAsia="仿宋_GB2312"/>
          <w:color w:val="000000"/>
          <w:sz w:val="28"/>
          <w:szCs w:val="28"/>
        </w:rPr>
        <w:t>。</w:t>
      </w:r>
    </w:p>
    <w:p>
      <w:pPr>
        <w:spacing w:line="360" w:lineRule="auto"/>
        <w:ind w:firstLine="560" w:firstLineChars="200"/>
        <w:rPr>
          <w:rFonts w:eastAsia="仿宋_GB2312"/>
          <w:color w:val="000000"/>
          <w:sz w:val="28"/>
          <w:szCs w:val="28"/>
        </w:rPr>
      </w:pPr>
      <w:r>
        <w:rPr>
          <w:rFonts w:hint="eastAsia" w:eastAsia="仿宋_GB2312"/>
          <w:color w:val="000000"/>
          <w:sz w:val="28"/>
          <w:szCs w:val="28"/>
        </w:rPr>
        <w:t>4</w:t>
      </w:r>
      <w:r>
        <w:rPr>
          <w:rFonts w:eastAsia="仿宋_GB2312"/>
          <w:color w:val="000000"/>
          <w:sz w:val="28"/>
          <w:szCs w:val="28"/>
        </w:rPr>
        <w:t>、通过与</w:t>
      </w:r>
      <w:r>
        <w:rPr>
          <w:rFonts w:hint="eastAsia" w:eastAsia="仿宋_GB2312"/>
          <w:color w:val="000000"/>
          <w:sz w:val="28"/>
          <w:szCs w:val="28"/>
        </w:rPr>
        <w:t>芒市</w:t>
      </w:r>
      <w:r>
        <w:rPr>
          <w:rFonts w:eastAsia="仿宋_GB2312"/>
          <w:color w:val="000000"/>
          <w:sz w:val="28"/>
          <w:szCs w:val="28"/>
        </w:rPr>
        <w:t>“十</w:t>
      </w:r>
      <w:r>
        <w:rPr>
          <w:rFonts w:hint="eastAsia" w:eastAsia="仿宋_GB2312"/>
          <w:color w:val="000000"/>
          <w:sz w:val="28"/>
          <w:szCs w:val="28"/>
        </w:rPr>
        <w:t>四</w:t>
      </w:r>
      <w:r>
        <w:rPr>
          <w:rFonts w:eastAsia="仿宋_GB2312"/>
          <w:color w:val="000000"/>
          <w:sz w:val="28"/>
          <w:szCs w:val="28"/>
        </w:rPr>
        <w:t>五”规划的建设项目进行衔接，补划地块不占用</w:t>
      </w:r>
      <w:r>
        <w:rPr>
          <w:rFonts w:hint="eastAsia" w:eastAsia="仿宋_GB2312"/>
          <w:color w:val="000000"/>
          <w:sz w:val="28"/>
          <w:szCs w:val="28"/>
        </w:rPr>
        <w:t>芒市</w:t>
      </w:r>
      <w:r>
        <w:rPr>
          <w:rFonts w:eastAsia="仿宋_GB2312"/>
          <w:color w:val="000000"/>
          <w:sz w:val="28"/>
          <w:szCs w:val="28"/>
        </w:rPr>
        <w:t>的“十</w:t>
      </w:r>
      <w:r>
        <w:rPr>
          <w:rFonts w:hint="eastAsia" w:eastAsia="仿宋_GB2312"/>
          <w:color w:val="000000"/>
          <w:sz w:val="28"/>
          <w:szCs w:val="28"/>
        </w:rPr>
        <w:t>四</w:t>
      </w:r>
      <w:r>
        <w:rPr>
          <w:rFonts w:eastAsia="仿宋_GB2312"/>
          <w:color w:val="000000"/>
          <w:sz w:val="28"/>
          <w:szCs w:val="28"/>
        </w:rPr>
        <w:t>五”规划项目用地。</w:t>
      </w:r>
    </w:p>
    <w:p>
      <w:pPr>
        <w:spacing w:line="360" w:lineRule="auto"/>
        <w:ind w:firstLine="560" w:firstLineChars="200"/>
        <w:rPr>
          <w:rFonts w:eastAsia="仿宋_GB2312"/>
          <w:color w:val="000000"/>
          <w:sz w:val="28"/>
          <w:szCs w:val="28"/>
        </w:rPr>
      </w:pPr>
      <w:r>
        <w:rPr>
          <w:rFonts w:hint="eastAsia" w:eastAsia="仿宋_GB2312"/>
          <w:color w:val="000000"/>
          <w:sz w:val="28"/>
          <w:szCs w:val="28"/>
        </w:rPr>
        <w:t>5</w:t>
      </w:r>
      <w:r>
        <w:rPr>
          <w:rFonts w:eastAsia="仿宋_GB2312"/>
          <w:color w:val="000000"/>
          <w:sz w:val="28"/>
          <w:szCs w:val="28"/>
        </w:rPr>
        <w:t>、通过与</w:t>
      </w:r>
      <w:r>
        <w:rPr>
          <w:rFonts w:hint="eastAsia" w:eastAsia="仿宋_GB2312"/>
          <w:color w:val="000000"/>
          <w:sz w:val="28"/>
          <w:szCs w:val="28"/>
        </w:rPr>
        <w:t>芒市</w:t>
      </w:r>
      <w:r>
        <w:rPr>
          <w:rFonts w:eastAsia="仿宋_GB2312"/>
          <w:color w:val="000000"/>
          <w:sz w:val="28"/>
          <w:szCs w:val="28"/>
        </w:rPr>
        <w:t>城市规划进行衔接，补划地块不占用</w:t>
      </w:r>
      <w:r>
        <w:rPr>
          <w:rFonts w:hint="eastAsia" w:eastAsia="仿宋_GB2312"/>
          <w:color w:val="000000"/>
          <w:sz w:val="28"/>
          <w:szCs w:val="28"/>
        </w:rPr>
        <w:t>芒市</w:t>
      </w:r>
      <w:r>
        <w:rPr>
          <w:rFonts w:eastAsia="仿宋_GB2312"/>
          <w:color w:val="000000"/>
          <w:sz w:val="28"/>
          <w:szCs w:val="28"/>
        </w:rPr>
        <w:t>的城市规划项目用地范围。</w:t>
      </w:r>
    </w:p>
    <w:p>
      <w:pPr>
        <w:spacing w:line="360" w:lineRule="auto"/>
        <w:ind w:firstLine="560" w:firstLineChars="200"/>
        <w:rPr>
          <w:rFonts w:eastAsia="仿宋_GB2312"/>
          <w:color w:val="000000"/>
          <w:sz w:val="28"/>
          <w:szCs w:val="28"/>
        </w:rPr>
      </w:pPr>
      <w:r>
        <w:rPr>
          <w:rFonts w:hint="eastAsia" w:eastAsia="仿宋_GB2312"/>
          <w:color w:val="000000"/>
          <w:sz w:val="28"/>
          <w:szCs w:val="28"/>
        </w:rPr>
        <w:t>6</w:t>
      </w:r>
      <w:r>
        <w:rPr>
          <w:rFonts w:eastAsia="仿宋_GB2312"/>
          <w:color w:val="000000"/>
          <w:sz w:val="28"/>
          <w:szCs w:val="28"/>
        </w:rPr>
        <w:t>、通过与</w:t>
      </w:r>
      <w:r>
        <w:rPr>
          <w:rFonts w:hint="eastAsia" w:eastAsia="仿宋_GB2312"/>
          <w:color w:val="000000"/>
          <w:sz w:val="28"/>
          <w:szCs w:val="28"/>
        </w:rPr>
        <w:t>芒市</w:t>
      </w:r>
      <w:r>
        <w:rPr>
          <w:rFonts w:eastAsia="仿宋_GB2312"/>
          <w:color w:val="000000"/>
          <w:sz w:val="28"/>
          <w:szCs w:val="28"/>
        </w:rPr>
        <w:t>易地扶贫搬迁项目衔接，补划地块不占用</w:t>
      </w:r>
      <w:r>
        <w:rPr>
          <w:rFonts w:hint="eastAsia" w:eastAsia="仿宋_GB2312"/>
          <w:color w:val="000000"/>
          <w:sz w:val="28"/>
          <w:szCs w:val="28"/>
        </w:rPr>
        <w:t>芒市</w:t>
      </w:r>
      <w:r>
        <w:rPr>
          <w:rFonts w:eastAsia="仿宋_GB2312"/>
          <w:color w:val="000000"/>
          <w:sz w:val="28"/>
          <w:szCs w:val="28"/>
        </w:rPr>
        <w:t>的易地扶贫搬迁项目用地，并且不在预留建设用地范围内。</w:t>
      </w:r>
    </w:p>
    <w:p>
      <w:pPr>
        <w:spacing w:line="360" w:lineRule="auto"/>
        <w:ind w:firstLine="560" w:firstLineChars="200"/>
        <w:rPr>
          <w:rFonts w:eastAsia="仿宋_GB2312"/>
          <w:color w:val="000000"/>
          <w:sz w:val="28"/>
          <w:szCs w:val="28"/>
        </w:rPr>
      </w:pPr>
      <w:r>
        <w:rPr>
          <w:rFonts w:hint="eastAsia" w:eastAsia="仿宋_GB2312"/>
          <w:color w:val="000000"/>
          <w:sz w:val="28"/>
          <w:szCs w:val="28"/>
        </w:rPr>
        <w:t>7</w:t>
      </w:r>
      <w:r>
        <w:rPr>
          <w:rFonts w:eastAsia="仿宋_GB2312"/>
          <w:color w:val="000000"/>
          <w:sz w:val="28"/>
          <w:szCs w:val="28"/>
        </w:rPr>
        <w:t>、通过与</w:t>
      </w:r>
      <w:r>
        <w:rPr>
          <w:rFonts w:hint="eastAsia" w:eastAsia="仿宋_GB2312"/>
          <w:color w:val="000000"/>
          <w:sz w:val="28"/>
          <w:szCs w:val="28"/>
        </w:rPr>
        <w:t>芒市</w:t>
      </w:r>
      <w:r>
        <w:rPr>
          <w:rFonts w:eastAsia="仿宋_GB2312"/>
          <w:color w:val="000000"/>
          <w:sz w:val="28"/>
          <w:szCs w:val="28"/>
        </w:rPr>
        <w:t>最新矿产资源规划衔接，补划地块不占用县内的矿权。</w:t>
      </w:r>
    </w:p>
    <w:p>
      <w:pPr>
        <w:spacing w:line="360" w:lineRule="auto"/>
        <w:ind w:firstLine="560" w:firstLineChars="200"/>
        <w:rPr>
          <w:rFonts w:eastAsia="仿宋_GB2312"/>
          <w:color w:val="000000"/>
          <w:sz w:val="28"/>
          <w:szCs w:val="28"/>
        </w:rPr>
      </w:pPr>
      <w:r>
        <w:rPr>
          <w:rFonts w:hint="eastAsia" w:eastAsia="仿宋_GB2312"/>
          <w:color w:val="000000"/>
          <w:sz w:val="28"/>
          <w:szCs w:val="28"/>
        </w:rPr>
        <w:t>8</w:t>
      </w:r>
      <w:r>
        <w:rPr>
          <w:rFonts w:eastAsia="仿宋_GB2312"/>
          <w:color w:val="000000"/>
          <w:sz w:val="28"/>
          <w:szCs w:val="28"/>
        </w:rPr>
        <w:t>、通过与</w:t>
      </w:r>
      <w:r>
        <w:rPr>
          <w:rFonts w:hint="eastAsia" w:eastAsia="仿宋_GB2312"/>
          <w:color w:val="000000"/>
          <w:sz w:val="28"/>
          <w:szCs w:val="28"/>
        </w:rPr>
        <w:t>芒市</w:t>
      </w:r>
      <w:r>
        <w:rPr>
          <w:rFonts w:eastAsia="仿宋_GB2312"/>
          <w:color w:val="000000"/>
          <w:sz w:val="28"/>
          <w:szCs w:val="28"/>
        </w:rPr>
        <w:t>交通、水务、环保等规划进行衔接，补划地块不占用</w:t>
      </w:r>
      <w:r>
        <w:rPr>
          <w:rFonts w:hint="eastAsia" w:eastAsia="仿宋_GB2312"/>
          <w:color w:val="000000"/>
          <w:sz w:val="28"/>
          <w:szCs w:val="28"/>
        </w:rPr>
        <w:t>芒市</w:t>
      </w:r>
      <w:r>
        <w:rPr>
          <w:rFonts w:eastAsia="仿宋_GB2312"/>
          <w:color w:val="000000"/>
          <w:sz w:val="28"/>
          <w:szCs w:val="28"/>
        </w:rPr>
        <w:t>的交通、水务、生态红线范围。</w:t>
      </w:r>
    </w:p>
    <w:p>
      <w:pPr>
        <w:keepNext/>
        <w:keepLines/>
        <w:adjustRightInd w:val="0"/>
        <w:spacing w:line="360" w:lineRule="auto"/>
        <w:ind w:firstLine="600" w:firstLineChars="200"/>
        <w:outlineLvl w:val="2"/>
        <w:rPr>
          <w:rFonts w:eastAsia="黑体"/>
          <w:bCs/>
          <w:color w:val="000000"/>
          <w:sz w:val="30"/>
          <w:szCs w:val="28"/>
        </w:rPr>
      </w:pPr>
      <w:bookmarkStart w:id="36" w:name="_Toc88211886"/>
      <w:r>
        <w:rPr>
          <w:rFonts w:hint="eastAsia" w:eastAsia="黑体"/>
          <w:bCs/>
          <w:color w:val="000000"/>
          <w:sz w:val="30"/>
          <w:szCs w:val="28"/>
        </w:rPr>
        <w:t>5.3芒市</w:t>
      </w:r>
      <w:r>
        <w:rPr>
          <w:rFonts w:eastAsia="黑体"/>
          <w:bCs/>
          <w:color w:val="000000"/>
          <w:sz w:val="30"/>
          <w:szCs w:val="28"/>
        </w:rPr>
        <w:t>全域永久基本农田补划情况</w:t>
      </w:r>
      <w:bookmarkEnd w:id="36"/>
    </w:p>
    <w:p>
      <w:pPr>
        <w:spacing w:line="360" w:lineRule="auto"/>
        <w:ind w:firstLine="560" w:firstLineChars="200"/>
        <w:rPr>
          <w:rFonts w:ascii="Times New Roman" w:hAnsi="Times New Roman" w:eastAsia="仿宋_GB2312" w:cs="Times New Roman"/>
          <w:color w:val="000000"/>
          <w:sz w:val="28"/>
          <w:szCs w:val="28"/>
          <w:lang w:val="zh-CN"/>
        </w:rPr>
      </w:pPr>
      <w:r>
        <w:rPr>
          <w:rFonts w:ascii="Times New Roman" w:hAnsi="Times New Roman" w:eastAsia="仿宋_GB2312" w:cs="Times New Roman"/>
          <w:color w:val="000000"/>
          <w:sz w:val="28"/>
          <w:szCs w:val="28"/>
          <w:lang w:val="zh-CN"/>
        </w:rPr>
        <w:t>补划芒市全域永久基本农田28.2092公顷，共涉及18个图斑，补划地类全部为水田，平均质量等别为6等；其中芒市镇补划全域永久基本农田20.1422公顷，涉及12个图斑，平均质量等别为6.0等；风平镇补划全域永久基本农田</w:t>
      </w:r>
      <w:r>
        <w:rPr>
          <w:rFonts w:ascii="Times New Roman" w:hAnsi="Times New Roman" w:eastAsia="仿宋_GB2312" w:cs="Times New Roman"/>
          <w:color w:val="000000"/>
          <w:sz w:val="28"/>
          <w:szCs w:val="28"/>
        </w:rPr>
        <w:t>8.0670</w:t>
      </w:r>
      <w:r>
        <w:rPr>
          <w:rFonts w:ascii="Times New Roman" w:hAnsi="Times New Roman" w:eastAsia="仿宋_GB2312" w:cs="Times New Roman"/>
          <w:color w:val="000000"/>
          <w:sz w:val="28"/>
          <w:szCs w:val="28"/>
          <w:lang w:val="zh-CN"/>
        </w:rPr>
        <w:t>公顷，涉及</w:t>
      </w:r>
      <w:r>
        <w:rPr>
          <w:rFonts w:ascii="Times New Roman" w:hAnsi="Times New Roman" w:eastAsia="仿宋_GB2312" w:cs="Times New Roman"/>
          <w:color w:val="000000"/>
          <w:sz w:val="28"/>
          <w:szCs w:val="28"/>
        </w:rPr>
        <w:t>6</w:t>
      </w:r>
      <w:r>
        <w:rPr>
          <w:rFonts w:ascii="Times New Roman" w:hAnsi="Times New Roman" w:eastAsia="仿宋_GB2312" w:cs="Times New Roman"/>
          <w:color w:val="000000"/>
          <w:sz w:val="28"/>
          <w:szCs w:val="28"/>
          <w:lang w:val="zh-CN"/>
        </w:rPr>
        <w:t>个图斑，平均质量等别为6.0等；详见下表。</w:t>
      </w:r>
    </w:p>
    <w:p>
      <w:pPr>
        <w:spacing w:line="240" w:lineRule="atLeast"/>
        <w:jc w:val="center"/>
        <w:rPr>
          <w:rFonts w:ascii="Times New Roman" w:hAnsi="Times New Roman" w:eastAsia="仿宋_GB2312" w:cs="Times New Roman"/>
          <w:b/>
          <w:bCs/>
          <w:sz w:val="28"/>
          <w:szCs w:val="28"/>
          <w:lang w:val="zh-CN"/>
        </w:rPr>
      </w:pPr>
      <w:r>
        <w:rPr>
          <w:rFonts w:ascii="Times New Roman" w:hAnsi="Times New Roman" w:eastAsia="仿宋_GB2312" w:cs="Times New Roman"/>
          <w:b/>
          <w:bCs/>
          <w:sz w:val="28"/>
          <w:szCs w:val="28"/>
          <w:lang w:val="zh-CN"/>
        </w:rPr>
        <w:t>表</w:t>
      </w:r>
      <w:r>
        <w:rPr>
          <w:rFonts w:hint="eastAsia" w:ascii="Times New Roman" w:hAnsi="Times New Roman" w:eastAsia="仿宋_GB2312" w:cs="Times New Roman"/>
          <w:b/>
          <w:bCs/>
          <w:sz w:val="28"/>
          <w:szCs w:val="28"/>
        </w:rPr>
        <w:t>5-1</w:t>
      </w:r>
      <w:r>
        <w:rPr>
          <w:rFonts w:hint="eastAsia" w:ascii="Times New Roman" w:hAnsi="Times New Roman" w:eastAsia="仿宋_GB2312" w:cs="Times New Roman"/>
          <w:b/>
          <w:bCs/>
          <w:sz w:val="28"/>
          <w:szCs w:val="28"/>
          <w:lang w:val="zh-CN"/>
        </w:rPr>
        <w:t>芒市</w:t>
      </w:r>
      <w:r>
        <w:rPr>
          <w:rFonts w:ascii="Times New Roman" w:hAnsi="Times New Roman" w:eastAsia="仿宋_GB2312" w:cs="Times New Roman"/>
          <w:b/>
          <w:bCs/>
          <w:sz w:val="28"/>
          <w:szCs w:val="28"/>
          <w:lang w:val="zh-CN"/>
        </w:rPr>
        <w:t>全域永久基本农田补划情况表</w:t>
      </w:r>
    </w:p>
    <w:p>
      <w:pPr>
        <w:spacing w:line="560" w:lineRule="exact"/>
        <w:ind w:firstLine="480"/>
        <w:jc w:val="right"/>
        <w:rPr>
          <w:sz w:val="24"/>
          <w:lang w:val="zh-CN"/>
        </w:rPr>
      </w:pPr>
      <w:r>
        <w:rPr>
          <w:sz w:val="24"/>
          <w:lang w:val="zh-CN"/>
        </w:rPr>
        <w:t>单位：公顷</w:t>
      </w:r>
    </w:p>
    <w:tbl>
      <w:tblPr>
        <w:tblStyle w:val="14"/>
        <w:tblW w:w="5000" w:type="pct"/>
        <w:jc w:val="center"/>
        <w:tblLayout w:type="autofit"/>
        <w:tblCellMar>
          <w:top w:w="0" w:type="dxa"/>
          <w:left w:w="108" w:type="dxa"/>
          <w:bottom w:w="0" w:type="dxa"/>
          <w:right w:w="108" w:type="dxa"/>
        </w:tblCellMar>
      </w:tblPr>
      <w:tblGrid>
        <w:gridCol w:w="1518"/>
        <w:gridCol w:w="1519"/>
        <w:gridCol w:w="1522"/>
        <w:gridCol w:w="1519"/>
        <w:gridCol w:w="1519"/>
        <w:gridCol w:w="1519"/>
      </w:tblGrid>
      <w:tr>
        <w:tblPrEx>
          <w:tblCellMar>
            <w:top w:w="0" w:type="dxa"/>
            <w:left w:w="108" w:type="dxa"/>
            <w:bottom w:w="0" w:type="dxa"/>
            <w:right w:w="108" w:type="dxa"/>
          </w:tblCellMar>
        </w:tblPrEx>
        <w:trPr>
          <w:trHeight w:val="276" w:hRule="atLeast"/>
          <w:jc w:val="center"/>
        </w:trPr>
        <w:tc>
          <w:tcPr>
            <w:tcW w:w="250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_GB2312" w:cs="Times New Roman"/>
                <w:b/>
                <w:bCs/>
                <w:color w:val="000000"/>
                <w:kern w:val="0"/>
                <w:sz w:val="24"/>
                <w:szCs w:val="24"/>
                <w:lang w:bidi="ar"/>
              </w:rPr>
            </w:pPr>
            <w:r>
              <w:rPr>
                <w:rFonts w:ascii="Times New Roman" w:hAnsi="Times New Roman" w:eastAsia="仿宋_GB2312" w:cs="Times New Roman"/>
                <w:b/>
                <w:bCs/>
                <w:color w:val="000000"/>
                <w:kern w:val="0"/>
                <w:sz w:val="24"/>
                <w:szCs w:val="24"/>
                <w:lang w:bidi="ar"/>
              </w:rPr>
              <w:t>补划全域基本农田</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_GB2312" w:cs="Times New Roman"/>
                <w:b/>
                <w:bCs/>
                <w:color w:val="000000"/>
                <w:kern w:val="0"/>
                <w:sz w:val="24"/>
                <w:szCs w:val="24"/>
                <w:lang w:bidi="ar"/>
              </w:rPr>
            </w:pPr>
            <w:r>
              <w:rPr>
                <w:rFonts w:ascii="Times New Roman" w:hAnsi="Times New Roman" w:eastAsia="仿宋_GB2312" w:cs="Times New Roman"/>
                <w:b/>
                <w:bCs/>
                <w:color w:val="000000"/>
                <w:kern w:val="0"/>
                <w:sz w:val="24"/>
                <w:szCs w:val="24"/>
                <w:lang w:bidi="ar"/>
              </w:rPr>
              <w:t>芒市</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_GB2312" w:cs="Times New Roman"/>
                <w:b/>
                <w:bCs/>
                <w:color w:val="000000"/>
                <w:kern w:val="0"/>
                <w:sz w:val="24"/>
                <w:szCs w:val="24"/>
                <w:lang w:bidi="ar"/>
              </w:rPr>
            </w:pPr>
            <w:r>
              <w:rPr>
                <w:rFonts w:ascii="Times New Roman" w:hAnsi="Times New Roman" w:eastAsia="仿宋_GB2312" w:cs="Times New Roman"/>
                <w:b/>
                <w:bCs/>
                <w:color w:val="000000"/>
                <w:kern w:val="0"/>
                <w:sz w:val="24"/>
                <w:szCs w:val="24"/>
                <w:lang w:bidi="ar"/>
              </w:rPr>
              <w:t>芒市镇</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_GB2312" w:cs="Times New Roman"/>
                <w:b/>
                <w:bCs/>
                <w:color w:val="000000"/>
                <w:kern w:val="0"/>
                <w:sz w:val="24"/>
                <w:szCs w:val="24"/>
                <w:lang w:bidi="ar"/>
              </w:rPr>
            </w:pPr>
            <w:r>
              <w:rPr>
                <w:rFonts w:ascii="Times New Roman" w:hAnsi="Times New Roman" w:eastAsia="仿宋_GB2312" w:cs="Times New Roman"/>
                <w:b/>
                <w:bCs/>
                <w:color w:val="000000"/>
                <w:kern w:val="0"/>
                <w:sz w:val="24"/>
                <w:szCs w:val="24"/>
                <w:lang w:bidi="ar"/>
              </w:rPr>
              <w:t>风平镇</w:t>
            </w:r>
          </w:p>
        </w:tc>
      </w:tr>
      <w:tr>
        <w:tblPrEx>
          <w:tblCellMar>
            <w:top w:w="0" w:type="dxa"/>
            <w:left w:w="108" w:type="dxa"/>
            <w:bottom w:w="0" w:type="dxa"/>
            <w:right w:w="108" w:type="dxa"/>
          </w:tblCellMar>
        </w:tblPrEx>
        <w:trPr>
          <w:trHeight w:val="276" w:hRule="atLeast"/>
          <w:jc w:val="center"/>
        </w:trPr>
        <w:tc>
          <w:tcPr>
            <w:tcW w:w="25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图斑数</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cs="Times New Roman"/>
                <w:color w:val="000000"/>
                <w:sz w:val="20"/>
                <w:szCs w:val="20"/>
              </w:rPr>
              <w:t>18</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cs="Times New Roman"/>
                <w:color w:val="000000"/>
                <w:sz w:val="20"/>
                <w:szCs w:val="20"/>
              </w:rPr>
              <w:t>12</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cs="Times New Roman"/>
                <w:color w:val="000000"/>
                <w:sz w:val="20"/>
                <w:szCs w:val="20"/>
              </w:rPr>
              <w:t>6</w:t>
            </w:r>
          </w:p>
        </w:tc>
      </w:tr>
      <w:tr>
        <w:tblPrEx>
          <w:tblCellMar>
            <w:top w:w="0" w:type="dxa"/>
            <w:left w:w="108" w:type="dxa"/>
            <w:bottom w:w="0" w:type="dxa"/>
            <w:right w:w="108" w:type="dxa"/>
          </w:tblCellMar>
        </w:tblPrEx>
        <w:trPr>
          <w:trHeight w:val="276" w:hRule="atLeast"/>
          <w:jc w:val="center"/>
        </w:trPr>
        <w:tc>
          <w:tcPr>
            <w:tcW w:w="8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地类</w:t>
            </w:r>
          </w:p>
        </w:tc>
        <w:tc>
          <w:tcPr>
            <w:tcW w:w="8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耕地</w:t>
            </w:r>
          </w:p>
        </w:tc>
        <w:tc>
          <w:tcPr>
            <w:tcW w:w="8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小计</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bookmarkStart w:id="37" w:name="_Hlk88205533"/>
            <w:r>
              <w:rPr>
                <w:rFonts w:ascii="Times New Roman" w:hAnsi="Times New Roman" w:cs="Times New Roman"/>
                <w:color w:val="000000"/>
                <w:sz w:val="22"/>
              </w:rPr>
              <w:t>28.2092</w:t>
            </w:r>
            <w:bookmarkEnd w:id="37"/>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cs="Times New Roman"/>
                <w:color w:val="000000"/>
                <w:sz w:val="20"/>
                <w:szCs w:val="20"/>
              </w:rPr>
              <w:t>20.1422</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center"/>
              <w:rPr>
                <w:rFonts w:ascii="Times New Roman" w:hAnsi="Times New Roman" w:eastAsia="仿宋_GB2312" w:cs="Times New Roman"/>
                <w:color w:val="000000"/>
                <w:kern w:val="0"/>
                <w:sz w:val="24"/>
                <w:szCs w:val="24"/>
                <w:lang w:bidi="ar"/>
              </w:rPr>
            </w:pPr>
            <w:bookmarkStart w:id="38" w:name="_Hlk88205573"/>
            <w:r>
              <w:rPr>
                <w:rFonts w:ascii="Times New Roman" w:hAnsi="Times New Roman" w:cs="Times New Roman"/>
                <w:color w:val="000000"/>
                <w:sz w:val="20"/>
                <w:szCs w:val="20"/>
              </w:rPr>
              <w:t>8.0670</w:t>
            </w:r>
            <w:bookmarkEnd w:id="38"/>
          </w:p>
        </w:tc>
      </w:tr>
      <w:tr>
        <w:tblPrEx>
          <w:tblCellMar>
            <w:top w:w="0" w:type="dxa"/>
            <w:left w:w="108" w:type="dxa"/>
            <w:bottom w:w="0" w:type="dxa"/>
            <w:right w:w="108" w:type="dxa"/>
          </w:tblCellMar>
        </w:tblPrEx>
        <w:trPr>
          <w:trHeight w:val="276" w:hRule="atLeast"/>
          <w:jc w:val="center"/>
        </w:trPr>
        <w:tc>
          <w:tcPr>
            <w:tcW w:w="83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Times New Roman"/>
                <w:color w:val="000000"/>
                <w:kern w:val="0"/>
                <w:sz w:val="24"/>
                <w:szCs w:val="24"/>
                <w:lang w:bidi="ar"/>
              </w:rPr>
            </w:pPr>
          </w:p>
        </w:tc>
        <w:tc>
          <w:tcPr>
            <w:tcW w:w="83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Times New Roman"/>
                <w:color w:val="000000"/>
                <w:kern w:val="0"/>
                <w:sz w:val="24"/>
                <w:szCs w:val="24"/>
                <w:lang w:bidi="ar"/>
              </w:rPr>
            </w:pPr>
          </w:p>
        </w:tc>
        <w:tc>
          <w:tcPr>
            <w:tcW w:w="8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水田</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cs="Times New Roman"/>
                <w:color w:val="000000"/>
                <w:sz w:val="22"/>
              </w:rPr>
              <w:t>28.2092</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cs="Times New Roman"/>
                <w:color w:val="000000"/>
                <w:sz w:val="20"/>
                <w:szCs w:val="20"/>
              </w:rPr>
              <w:t>20.1422</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cs="Times New Roman"/>
                <w:color w:val="000000"/>
                <w:sz w:val="20"/>
                <w:szCs w:val="20"/>
              </w:rPr>
              <w:t>8.0670</w:t>
            </w:r>
          </w:p>
        </w:tc>
      </w:tr>
      <w:tr>
        <w:tblPrEx>
          <w:tblCellMar>
            <w:top w:w="0" w:type="dxa"/>
            <w:left w:w="108" w:type="dxa"/>
            <w:bottom w:w="0" w:type="dxa"/>
            <w:right w:w="108" w:type="dxa"/>
          </w:tblCellMar>
        </w:tblPrEx>
        <w:trPr>
          <w:trHeight w:val="276" w:hRule="atLeast"/>
          <w:jc w:val="center"/>
        </w:trPr>
        <w:tc>
          <w:tcPr>
            <w:tcW w:w="83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Times New Roman"/>
                <w:color w:val="000000"/>
                <w:kern w:val="0"/>
                <w:sz w:val="24"/>
                <w:szCs w:val="24"/>
                <w:lang w:bidi="ar"/>
              </w:rPr>
            </w:pPr>
          </w:p>
        </w:tc>
        <w:tc>
          <w:tcPr>
            <w:tcW w:w="83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Times New Roman"/>
                <w:color w:val="000000"/>
                <w:kern w:val="0"/>
                <w:sz w:val="24"/>
                <w:szCs w:val="24"/>
                <w:lang w:bidi="ar"/>
              </w:rPr>
            </w:pPr>
          </w:p>
        </w:tc>
        <w:tc>
          <w:tcPr>
            <w:tcW w:w="8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水浇地</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r>
      <w:tr>
        <w:tblPrEx>
          <w:tblCellMar>
            <w:top w:w="0" w:type="dxa"/>
            <w:left w:w="108" w:type="dxa"/>
            <w:bottom w:w="0" w:type="dxa"/>
            <w:right w:w="108" w:type="dxa"/>
          </w:tblCellMar>
        </w:tblPrEx>
        <w:trPr>
          <w:trHeight w:val="276" w:hRule="atLeast"/>
          <w:jc w:val="center"/>
        </w:trPr>
        <w:tc>
          <w:tcPr>
            <w:tcW w:w="83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Times New Roman"/>
                <w:color w:val="000000"/>
                <w:kern w:val="0"/>
                <w:sz w:val="24"/>
                <w:szCs w:val="24"/>
                <w:lang w:bidi="ar"/>
              </w:rPr>
            </w:pPr>
          </w:p>
        </w:tc>
        <w:tc>
          <w:tcPr>
            <w:tcW w:w="83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Times New Roman"/>
                <w:color w:val="000000"/>
                <w:kern w:val="0"/>
                <w:sz w:val="24"/>
                <w:szCs w:val="24"/>
                <w:lang w:bidi="ar"/>
              </w:rPr>
            </w:pPr>
          </w:p>
        </w:tc>
        <w:tc>
          <w:tcPr>
            <w:tcW w:w="8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旱地</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r>
      <w:tr>
        <w:tblPrEx>
          <w:tblCellMar>
            <w:top w:w="0" w:type="dxa"/>
            <w:left w:w="108" w:type="dxa"/>
            <w:bottom w:w="0" w:type="dxa"/>
            <w:right w:w="108" w:type="dxa"/>
          </w:tblCellMar>
        </w:tblPrEx>
        <w:trPr>
          <w:trHeight w:val="276" w:hRule="atLeast"/>
          <w:jc w:val="center"/>
        </w:trPr>
        <w:tc>
          <w:tcPr>
            <w:tcW w:w="8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质量等别</w:t>
            </w:r>
          </w:p>
        </w:tc>
        <w:tc>
          <w:tcPr>
            <w:tcW w:w="16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6</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cs="Times New Roman"/>
                <w:color w:val="000000"/>
                <w:sz w:val="22"/>
              </w:rPr>
              <w:t>28.2092</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cs="Times New Roman"/>
                <w:color w:val="000000"/>
                <w:sz w:val="20"/>
                <w:szCs w:val="20"/>
              </w:rPr>
              <w:t>20.1422</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cs="Times New Roman"/>
                <w:color w:val="000000"/>
                <w:sz w:val="20"/>
                <w:szCs w:val="20"/>
              </w:rPr>
              <w:t>8.0670</w:t>
            </w:r>
          </w:p>
        </w:tc>
      </w:tr>
      <w:tr>
        <w:tblPrEx>
          <w:tblCellMar>
            <w:top w:w="0" w:type="dxa"/>
            <w:left w:w="108" w:type="dxa"/>
            <w:bottom w:w="0" w:type="dxa"/>
            <w:right w:w="108" w:type="dxa"/>
          </w:tblCellMar>
        </w:tblPrEx>
        <w:trPr>
          <w:trHeight w:val="276" w:hRule="atLeast"/>
          <w:jc w:val="center"/>
        </w:trPr>
        <w:tc>
          <w:tcPr>
            <w:tcW w:w="83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Times New Roman"/>
                <w:color w:val="000000"/>
                <w:kern w:val="0"/>
                <w:sz w:val="24"/>
                <w:szCs w:val="24"/>
                <w:lang w:bidi="ar"/>
              </w:rPr>
            </w:pPr>
          </w:p>
        </w:tc>
        <w:tc>
          <w:tcPr>
            <w:tcW w:w="16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7</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r>
      <w:tr>
        <w:tblPrEx>
          <w:tblCellMar>
            <w:top w:w="0" w:type="dxa"/>
            <w:left w:w="108" w:type="dxa"/>
            <w:bottom w:w="0" w:type="dxa"/>
            <w:right w:w="108" w:type="dxa"/>
          </w:tblCellMar>
        </w:tblPrEx>
        <w:trPr>
          <w:trHeight w:val="276" w:hRule="atLeast"/>
          <w:jc w:val="center"/>
        </w:trPr>
        <w:tc>
          <w:tcPr>
            <w:tcW w:w="83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Times New Roman"/>
                <w:color w:val="000000"/>
                <w:kern w:val="0"/>
                <w:sz w:val="24"/>
                <w:szCs w:val="24"/>
                <w:lang w:bidi="ar"/>
              </w:rPr>
            </w:pPr>
          </w:p>
        </w:tc>
        <w:tc>
          <w:tcPr>
            <w:tcW w:w="16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8</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r>
      <w:tr>
        <w:tblPrEx>
          <w:tblCellMar>
            <w:top w:w="0" w:type="dxa"/>
            <w:left w:w="108" w:type="dxa"/>
            <w:bottom w:w="0" w:type="dxa"/>
            <w:right w:w="108" w:type="dxa"/>
          </w:tblCellMar>
        </w:tblPrEx>
        <w:trPr>
          <w:trHeight w:val="276" w:hRule="atLeast"/>
          <w:jc w:val="center"/>
        </w:trPr>
        <w:tc>
          <w:tcPr>
            <w:tcW w:w="83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Times New Roman"/>
                <w:color w:val="000000"/>
                <w:kern w:val="0"/>
                <w:sz w:val="24"/>
                <w:szCs w:val="24"/>
                <w:lang w:bidi="ar"/>
              </w:rPr>
            </w:pPr>
          </w:p>
        </w:tc>
        <w:tc>
          <w:tcPr>
            <w:tcW w:w="16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9</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r>
      <w:tr>
        <w:tblPrEx>
          <w:tblCellMar>
            <w:top w:w="0" w:type="dxa"/>
            <w:left w:w="108" w:type="dxa"/>
            <w:bottom w:w="0" w:type="dxa"/>
            <w:right w:w="108" w:type="dxa"/>
          </w:tblCellMar>
        </w:tblPrEx>
        <w:trPr>
          <w:trHeight w:val="276" w:hRule="atLeast"/>
          <w:jc w:val="center"/>
        </w:trPr>
        <w:tc>
          <w:tcPr>
            <w:tcW w:w="83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Times New Roman"/>
                <w:color w:val="000000"/>
                <w:kern w:val="0"/>
                <w:sz w:val="24"/>
                <w:szCs w:val="24"/>
                <w:lang w:bidi="ar"/>
              </w:rPr>
            </w:pPr>
          </w:p>
        </w:tc>
        <w:tc>
          <w:tcPr>
            <w:tcW w:w="16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10</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r>
      <w:tr>
        <w:tblPrEx>
          <w:tblCellMar>
            <w:top w:w="0" w:type="dxa"/>
            <w:left w:w="108" w:type="dxa"/>
            <w:bottom w:w="0" w:type="dxa"/>
            <w:right w:w="108" w:type="dxa"/>
          </w:tblCellMar>
        </w:tblPrEx>
        <w:trPr>
          <w:trHeight w:val="276" w:hRule="atLeast"/>
          <w:jc w:val="center"/>
        </w:trPr>
        <w:tc>
          <w:tcPr>
            <w:tcW w:w="83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Times New Roman"/>
                <w:color w:val="000000"/>
                <w:kern w:val="0"/>
                <w:sz w:val="24"/>
                <w:szCs w:val="24"/>
                <w:lang w:bidi="ar"/>
              </w:rPr>
            </w:pPr>
          </w:p>
        </w:tc>
        <w:tc>
          <w:tcPr>
            <w:tcW w:w="16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11</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r>
      <w:tr>
        <w:tblPrEx>
          <w:tblCellMar>
            <w:top w:w="0" w:type="dxa"/>
            <w:left w:w="108" w:type="dxa"/>
            <w:bottom w:w="0" w:type="dxa"/>
            <w:right w:w="108" w:type="dxa"/>
          </w:tblCellMar>
        </w:tblPrEx>
        <w:trPr>
          <w:trHeight w:val="276" w:hRule="atLeast"/>
          <w:jc w:val="center"/>
        </w:trPr>
        <w:tc>
          <w:tcPr>
            <w:tcW w:w="83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Times New Roman"/>
                <w:color w:val="000000"/>
                <w:kern w:val="0"/>
                <w:sz w:val="24"/>
                <w:szCs w:val="24"/>
                <w:lang w:bidi="ar"/>
              </w:rPr>
            </w:pPr>
          </w:p>
        </w:tc>
        <w:tc>
          <w:tcPr>
            <w:tcW w:w="16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12</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r>
      <w:tr>
        <w:tblPrEx>
          <w:tblCellMar>
            <w:top w:w="0" w:type="dxa"/>
            <w:left w:w="108" w:type="dxa"/>
            <w:bottom w:w="0" w:type="dxa"/>
            <w:right w:w="108" w:type="dxa"/>
          </w:tblCellMar>
        </w:tblPrEx>
        <w:trPr>
          <w:trHeight w:val="276" w:hRule="atLeast"/>
          <w:jc w:val="center"/>
        </w:trPr>
        <w:tc>
          <w:tcPr>
            <w:tcW w:w="83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Times New Roman"/>
                <w:color w:val="000000"/>
                <w:kern w:val="0"/>
                <w:sz w:val="24"/>
                <w:szCs w:val="24"/>
                <w:lang w:bidi="ar"/>
              </w:rPr>
            </w:pPr>
          </w:p>
        </w:tc>
        <w:tc>
          <w:tcPr>
            <w:tcW w:w="16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平均质量等</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6</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6</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6</w:t>
            </w:r>
          </w:p>
        </w:tc>
      </w:tr>
      <w:tr>
        <w:tblPrEx>
          <w:tblCellMar>
            <w:top w:w="0" w:type="dxa"/>
            <w:left w:w="108" w:type="dxa"/>
            <w:bottom w:w="0" w:type="dxa"/>
            <w:right w:w="108" w:type="dxa"/>
          </w:tblCellMar>
        </w:tblPrEx>
        <w:trPr>
          <w:trHeight w:val="276" w:hRule="atLeast"/>
          <w:jc w:val="center"/>
        </w:trPr>
        <w:tc>
          <w:tcPr>
            <w:tcW w:w="8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坡度级别</w:t>
            </w:r>
          </w:p>
        </w:tc>
        <w:tc>
          <w:tcPr>
            <w:tcW w:w="16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（0-2°）</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cs="Times New Roman"/>
                <w:color w:val="000000"/>
                <w:sz w:val="22"/>
              </w:rPr>
              <w:t>7.8137</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cs="Times New Roman"/>
                <w:color w:val="000000"/>
                <w:sz w:val="22"/>
              </w:rPr>
              <w:t>3.1026</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cs="Times New Roman"/>
                <w:color w:val="000000"/>
                <w:sz w:val="22"/>
              </w:rPr>
              <w:t>4.7111</w:t>
            </w:r>
          </w:p>
        </w:tc>
      </w:tr>
      <w:tr>
        <w:tblPrEx>
          <w:tblCellMar>
            <w:top w:w="0" w:type="dxa"/>
            <w:left w:w="108" w:type="dxa"/>
            <w:bottom w:w="0" w:type="dxa"/>
            <w:right w:w="108" w:type="dxa"/>
          </w:tblCellMar>
        </w:tblPrEx>
        <w:trPr>
          <w:trHeight w:val="276" w:hRule="atLeast"/>
          <w:jc w:val="center"/>
        </w:trPr>
        <w:tc>
          <w:tcPr>
            <w:tcW w:w="83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Times New Roman"/>
                <w:color w:val="000000"/>
                <w:kern w:val="0"/>
                <w:sz w:val="24"/>
                <w:szCs w:val="24"/>
                <w:lang w:bidi="ar"/>
              </w:rPr>
            </w:pPr>
          </w:p>
        </w:tc>
        <w:tc>
          <w:tcPr>
            <w:tcW w:w="16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（2-6°）</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cs="Times New Roman"/>
                <w:color w:val="000000"/>
                <w:sz w:val="22"/>
              </w:rPr>
              <w:t>20.3955</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cs="Times New Roman"/>
                <w:color w:val="000000"/>
                <w:sz w:val="22"/>
              </w:rPr>
              <w:t>17.0396</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cs="Times New Roman"/>
                <w:color w:val="000000"/>
                <w:sz w:val="22"/>
              </w:rPr>
              <w:t>3.3559</w:t>
            </w:r>
          </w:p>
        </w:tc>
      </w:tr>
      <w:tr>
        <w:tblPrEx>
          <w:tblCellMar>
            <w:top w:w="0" w:type="dxa"/>
            <w:left w:w="108" w:type="dxa"/>
            <w:bottom w:w="0" w:type="dxa"/>
            <w:right w:w="108" w:type="dxa"/>
          </w:tblCellMar>
        </w:tblPrEx>
        <w:trPr>
          <w:trHeight w:val="276" w:hRule="atLeast"/>
          <w:jc w:val="center"/>
        </w:trPr>
        <w:tc>
          <w:tcPr>
            <w:tcW w:w="83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Times New Roman"/>
                <w:color w:val="000000"/>
                <w:kern w:val="0"/>
                <w:sz w:val="24"/>
                <w:szCs w:val="24"/>
                <w:lang w:bidi="ar"/>
              </w:rPr>
            </w:pPr>
          </w:p>
        </w:tc>
        <w:tc>
          <w:tcPr>
            <w:tcW w:w="16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（6-15°）</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r>
      <w:tr>
        <w:tblPrEx>
          <w:tblCellMar>
            <w:top w:w="0" w:type="dxa"/>
            <w:left w:w="108" w:type="dxa"/>
            <w:bottom w:w="0" w:type="dxa"/>
            <w:right w:w="108" w:type="dxa"/>
          </w:tblCellMar>
        </w:tblPrEx>
        <w:trPr>
          <w:trHeight w:val="276" w:hRule="atLeast"/>
          <w:jc w:val="center"/>
        </w:trPr>
        <w:tc>
          <w:tcPr>
            <w:tcW w:w="83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Times New Roman"/>
                <w:color w:val="000000"/>
                <w:kern w:val="0"/>
                <w:sz w:val="24"/>
                <w:szCs w:val="24"/>
                <w:lang w:bidi="ar"/>
              </w:rPr>
            </w:pPr>
          </w:p>
        </w:tc>
        <w:tc>
          <w:tcPr>
            <w:tcW w:w="16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 w:val="24"/>
                <w:szCs w:val="24"/>
                <w:lang w:bidi="ar"/>
              </w:rPr>
            </w:pPr>
            <w:r>
              <w:rPr>
                <w:rFonts w:ascii="Times New Roman" w:hAnsi="Times New Roman" w:eastAsia="仿宋_GB2312" w:cs="Times New Roman"/>
                <w:color w:val="000000"/>
                <w:kern w:val="0"/>
                <w:sz w:val="24"/>
                <w:szCs w:val="24"/>
                <w:lang w:bidi="ar"/>
              </w:rPr>
              <w:t>（15-25°）</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center"/>
              <w:rPr>
                <w:rFonts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0</w:t>
            </w:r>
          </w:p>
        </w:tc>
      </w:tr>
    </w:tbl>
    <w:p>
      <w:pPr>
        <w:keepNext/>
        <w:keepLines/>
        <w:adjustRightInd w:val="0"/>
        <w:spacing w:line="360" w:lineRule="auto"/>
        <w:ind w:firstLine="600" w:firstLineChars="200"/>
        <w:outlineLvl w:val="2"/>
        <w:rPr>
          <w:rFonts w:eastAsia="黑体"/>
          <w:bCs/>
          <w:color w:val="000000"/>
          <w:sz w:val="30"/>
          <w:szCs w:val="28"/>
        </w:rPr>
      </w:pPr>
      <w:bookmarkStart w:id="39" w:name="_Toc40087873"/>
      <w:bookmarkStart w:id="40" w:name="_Toc88211887"/>
      <w:r>
        <w:rPr>
          <w:rFonts w:hint="eastAsia" w:eastAsia="黑体"/>
          <w:bCs/>
          <w:color w:val="000000"/>
          <w:sz w:val="30"/>
          <w:szCs w:val="28"/>
        </w:rPr>
        <w:t>5.4 坝区永久基本农田补划情况</w:t>
      </w:r>
      <w:bookmarkEnd w:id="39"/>
      <w:bookmarkEnd w:id="40"/>
    </w:p>
    <w:p>
      <w:pPr>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瑞丽至孟连高速公路建设项目用地拟补划坝区永久基本农田面积</w:t>
      </w:r>
      <w:r>
        <w:rPr>
          <w:rFonts w:ascii="Times New Roman" w:hAnsi="Times New Roman" w:eastAsia="仿宋_GB2312" w:cs="Times New Roman"/>
          <w:color w:val="000000"/>
          <w:kern w:val="0"/>
          <w:sz w:val="28"/>
          <w:szCs w:val="28"/>
          <w:lang w:bidi="ar"/>
        </w:rPr>
        <w:t>23.1751</w:t>
      </w:r>
      <w:r>
        <w:rPr>
          <w:rFonts w:ascii="Times New Roman" w:hAnsi="Times New Roman" w:eastAsia="仿宋_GB2312" w:cs="Times New Roman"/>
          <w:color w:val="000000"/>
          <w:sz w:val="28"/>
          <w:szCs w:val="28"/>
        </w:rPr>
        <w:t>公顷，涉及镇芒市镇、风平镇等</w:t>
      </w:r>
      <w:r>
        <w:rPr>
          <w:rFonts w:hint="eastAsia" w:ascii="Times New Roman" w:hAnsi="Times New Roman" w:eastAsia="仿宋_GB2312" w:cs="Times New Roman"/>
          <w:color w:val="000000"/>
          <w:sz w:val="28"/>
          <w:szCs w:val="28"/>
        </w:rPr>
        <w:t>两</w:t>
      </w:r>
      <w:r>
        <w:rPr>
          <w:rFonts w:ascii="Times New Roman" w:hAnsi="Times New Roman" w:eastAsia="仿宋_GB2312" w:cs="Times New Roman"/>
          <w:color w:val="000000"/>
          <w:sz w:val="28"/>
          <w:szCs w:val="28"/>
        </w:rPr>
        <w:t>个乡镇。</w:t>
      </w:r>
    </w:p>
    <w:p>
      <w:pPr>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从地类构成情况看，补划水田面积</w:t>
      </w:r>
      <w:r>
        <w:rPr>
          <w:rFonts w:ascii="Times New Roman" w:hAnsi="Times New Roman" w:eastAsia="仿宋_GB2312" w:cs="Times New Roman"/>
          <w:color w:val="000000"/>
          <w:kern w:val="0"/>
          <w:sz w:val="28"/>
          <w:szCs w:val="28"/>
          <w:lang w:bidi="ar"/>
        </w:rPr>
        <w:t>23.1751</w:t>
      </w:r>
      <w:r>
        <w:rPr>
          <w:rFonts w:ascii="Times New Roman" w:hAnsi="Times New Roman" w:eastAsia="仿宋_GB2312" w:cs="Times New Roman"/>
          <w:color w:val="000000"/>
          <w:sz w:val="28"/>
          <w:szCs w:val="28"/>
        </w:rPr>
        <w:t>公顷，旱地面积0公顷。</w:t>
      </w:r>
    </w:p>
    <w:p>
      <w:pPr>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从质量等别情况来看，补划坝区永久基本农田等别为6.0等。</w:t>
      </w:r>
    </w:p>
    <w:p>
      <w:pPr>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从坡度构成情况来看，补划坝区永久基本农田坡度主要集中为0-15°，具体情况见下表：</w:t>
      </w:r>
    </w:p>
    <w:p>
      <w:pPr>
        <w:adjustRightInd w:val="0"/>
        <w:spacing w:line="360" w:lineRule="auto"/>
        <w:jc w:val="center"/>
        <w:rPr>
          <w:rFonts w:eastAsia="仿宋_GB2312"/>
          <w:b/>
          <w:bCs/>
          <w:color w:val="000000"/>
          <w:sz w:val="28"/>
          <w:szCs w:val="28"/>
        </w:rPr>
      </w:pPr>
      <w:r>
        <w:rPr>
          <w:rFonts w:hint="eastAsia" w:eastAsia="仿宋_GB2312"/>
          <w:b/>
          <w:bCs/>
          <w:color w:val="000000"/>
          <w:sz w:val="28"/>
          <w:szCs w:val="28"/>
        </w:rPr>
        <w:t>5-2</w:t>
      </w:r>
      <w:r>
        <w:rPr>
          <w:rFonts w:eastAsia="仿宋_GB2312"/>
          <w:b/>
          <w:bCs/>
          <w:color w:val="000000"/>
          <w:sz w:val="28"/>
          <w:szCs w:val="28"/>
        </w:rPr>
        <w:t>坝区永久基本农田补划情况表</w:t>
      </w:r>
    </w:p>
    <w:p>
      <w:pPr>
        <w:widowControl/>
        <w:jc w:val="righ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单位：公顷</w:t>
      </w:r>
    </w:p>
    <w:tbl>
      <w:tblPr>
        <w:tblStyle w:val="14"/>
        <w:tblW w:w="5000" w:type="pct"/>
        <w:tblInd w:w="0" w:type="dxa"/>
        <w:tblLayout w:type="autofit"/>
        <w:tblCellMar>
          <w:top w:w="0" w:type="dxa"/>
          <w:left w:w="108" w:type="dxa"/>
          <w:bottom w:w="0" w:type="dxa"/>
          <w:right w:w="108" w:type="dxa"/>
        </w:tblCellMar>
      </w:tblPr>
      <w:tblGrid>
        <w:gridCol w:w="1615"/>
        <w:gridCol w:w="1500"/>
        <w:gridCol w:w="1500"/>
        <w:gridCol w:w="1500"/>
        <w:gridCol w:w="1501"/>
        <w:gridCol w:w="1500"/>
      </w:tblGrid>
      <w:tr>
        <w:tblPrEx>
          <w:tblCellMar>
            <w:top w:w="0" w:type="dxa"/>
            <w:left w:w="108" w:type="dxa"/>
            <w:bottom w:w="0" w:type="dxa"/>
            <w:right w:w="108" w:type="dxa"/>
          </w:tblCellMar>
        </w:tblPrEx>
        <w:trPr>
          <w:trHeight w:val="276" w:hRule="atLeast"/>
        </w:trPr>
        <w:tc>
          <w:tcPr>
            <w:tcW w:w="2532" w:type="pct"/>
            <w:gridSpan w:val="3"/>
            <w:vMerge w:val="restart"/>
            <w:tcBorders>
              <w:top w:val="single" w:color="000000" w:sz="4" w:space="0"/>
              <w:left w:val="single" w:color="000000" w:sz="4" w:space="0"/>
              <w:right w:val="single" w:color="000000" w:sz="4" w:space="0"/>
            </w:tcBorders>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补划坝区基本农田</w:t>
            </w:r>
          </w:p>
        </w:tc>
        <w:tc>
          <w:tcPr>
            <w:tcW w:w="2468" w:type="pct"/>
            <w:gridSpan w:val="3"/>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芒市</w:t>
            </w:r>
          </w:p>
        </w:tc>
      </w:tr>
      <w:tr>
        <w:tblPrEx>
          <w:tblCellMar>
            <w:top w:w="0" w:type="dxa"/>
            <w:left w:w="108" w:type="dxa"/>
            <w:bottom w:w="0" w:type="dxa"/>
            <w:right w:w="108" w:type="dxa"/>
          </w:tblCellMar>
        </w:tblPrEx>
        <w:trPr>
          <w:trHeight w:val="114" w:hRule="atLeast"/>
        </w:trPr>
        <w:tc>
          <w:tcPr>
            <w:tcW w:w="2532" w:type="pct"/>
            <w:gridSpan w:val="3"/>
            <w:vMerge w:val="continue"/>
            <w:tcBorders>
              <w:left w:val="single" w:color="000000" w:sz="4" w:space="0"/>
              <w:bottom w:val="single" w:color="auto" w:sz="4" w:space="0"/>
              <w:right w:val="single" w:color="000000" w:sz="4" w:space="0"/>
            </w:tcBorders>
            <w:shd w:val="clear" w:color="auto" w:fill="auto"/>
            <w:vAlign w:val="center"/>
          </w:tcPr>
          <w:p>
            <w:pPr>
              <w:widowControl/>
              <w:jc w:val="center"/>
              <w:rPr>
                <w:rFonts w:ascii="Times New Roman" w:hAnsi="Times New Roman" w:eastAsia="仿宋_GB2312" w:cs="Times New Roman"/>
                <w:b/>
                <w:bCs/>
                <w:color w:val="000000"/>
                <w:kern w:val="0"/>
                <w:sz w:val="24"/>
                <w:szCs w:val="24"/>
              </w:rPr>
            </w:pPr>
          </w:p>
        </w:tc>
        <w:tc>
          <w:tcPr>
            <w:tcW w:w="823"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小计</w:t>
            </w:r>
          </w:p>
        </w:tc>
        <w:tc>
          <w:tcPr>
            <w:tcW w:w="823"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芒市镇</w:t>
            </w:r>
          </w:p>
        </w:tc>
        <w:tc>
          <w:tcPr>
            <w:tcW w:w="822"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风平镇</w:t>
            </w:r>
          </w:p>
        </w:tc>
      </w:tr>
      <w:tr>
        <w:tblPrEx>
          <w:tblCellMar>
            <w:top w:w="0" w:type="dxa"/>
            <w:left w:w="108" w:type="dxa"/>
            <w:bottom w:w="0" w:type="dxa"/>
            <w:right w:w="108" w:type="dxa"/>
          </w:tblCellMar>
        </w:tblPrEx>
        <w:trPr>
          <w:trHeight w:val="186" w:hRule="atLeast"/>
        </w:trPr>
        <w:tc>
          <w:tcPr>
            <w:tcW w:w="2532" w:type="pct"/>
            <w:gridSpan w:val="3"/>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图斑数</w:t>
            </w:r>
          </w:p>
        </w:tc>
        <w:tc>
          <w:tcPr>
            <w:tcW w:w="823" w:type="pct"/>
            <w:tcBorders>
              <w:top w:val="single" w:color="auto" w:sz="4" w:space="0"/>
              <w:left w:val="single" w:color="000000" w:sz="4" w:space="0"/>
              <w:bottom w:val="nil"/>
              <w:right w:val="single" w:color="000000" w:sz="4" w:space="0"/>
            </w:tcBorders>
            <w:shd w:val="clear" w:color="auto" w:fill="auto"/>
            <w:vAlign w:val="bottom"/>
          </w:tcPr>
          <w:p>
            <w:pPr>
              <w:jc w:val="center"/>
              <w:rPr>
                <w:rFonts w:ascii="Times New Roman" w:hAnsi="Times New Roman" w:eastAsia="仿宋_GB2312" w:cs="Times New Roman"/>
                <w:color w:val="000000"/>
                <w:kern w:val="0"/>
                <w:sz w:val="24"/>
                <w:szCs w:val="24"/>
              </w:rPr>
            </w:pPr>
            <w:r>
              <w:rPr>
                <w:rFonts w:ascii="Arial" w:hAnsi="Arial" w:cs="Arial"/>
                <w:color w:val="000000"/>
                <w:sz w:val="20"/>
                <w:szCs w:val="20"/>
              </w:rPr>
              <w:t>15</w:t>
            </w:r>
          </w:p>
        </w:tc>
        <w:tc>
          <w:tcPr>
            <w:tcW w:w="823" w:type="pct"/>
            <w:tcBorders>
              <w:top w:val="single" w:color="auto" w:sz="4" w:space="0"/>
              <w:left w:val="single" w:color="000000" w:sz="4" w:space="0"/>
              <w:bottom w:val="nil"/>
              <w:right w:val="single" w:color="000000" w:sz="4" w:space="0"/>
            </w:tcBorders>
            <w:shd w:val="clear" w:color="auto" w:fill="auto"/>
            <w:vAlign w:val="bottom"/>
          </w:tcPr>
          <w:p>
            <w:pPr>
              <w:jc w:val="center"/>
              <w:rPr>
                <w:rFonts w:ascii="Times New Roman" w:hAnsi="Times New Roman" w:eastAsia="仿宋_GB2312" w:cs="Times New Roman"/>
                <w:color w:val="000000"/>
                <w:kern w:val="0"/>
                <w:sz w:val="24"/>
                <w:szCs w:val="24"/>
              </w:rPr>
            </w:pPr>
            <w:r>
              <w:rPr>
                <w:rFonts w:ascii="Arial" w:hAnsi="Arial" w:cs="Arial"/>
                <w:color w:val="000000"/>
                <w:sz w:val="20"/>
                <w:szCs w:val="20"/>
              </w:rPr>
              <w:t>12</w:t>
            </w:r>
          </w:p>
        </w:tc>
        <w:tc>
          <w:tcPr>
            <w:tcW w:w="822" w:type="pct"/>
            <w:tcBorders>
              <w:top w:val="single" w:color="auto" w:sz="4" w:space="0"/>
              <w:left w:val="single" w:color="000000" w:sz="4" w:space="0"/>
              <w:bottom w:val="nil"/>
              <w:right w:val="single" w:color="000000" w:sz="4" w:space="0"/>
            </w:tcBorders>
            <w:shd w:val="clear" w:color="auto" w:fill="auto"/>
            <w:vAlign w:val="bottom"/>
          </w:tcPr>
          <w:p>
            <w:pPr>
              <w:jc w:val="center"/>
              <w:rPr>
                <w:rFonts w:ascii="Times New Roman" w:hAnsi="Times New Roman" w:eastAsia="仿宋_GB2312" w:cs="Times New Roman"/>
                <w:color w:val="000000"/>
                <w:kern w:val="0"/>
                <w:sz w:val="24"/>
                <w:szCs w:val="24"/>
              </w:rPr>
            </w:pPr>
            <w:r>
              <w:rPr>
                <w:rFonts w:ascii="Arial" w:hAnsi="Arial" w:cs="Arial"/>
                <w:color w:val="000000"/>
                <w:sz w:val="20"/>
                <w:szCs w:val="20"/>
              </w:rPr>
              <w:t>3</w:t>
            </w:r>
          </w:p>
        </w:tc>
      </w:tr>
      <w:tr>
        <w:tblPrEx>
          <w:tblCellMar>
            <w:top w:w="0" w:type="dxa"/>
            <w:left w:w="108" w:type="dxa"/>
            <w:bottom w:w="0" w:type="dxa"/>
            <w:right w:w="108" w:type="dxa"/>
          </w:tblCellMar>
        </w:tblPrEx>
        <w:trPr>
          <w:trHeight w:val="276" w:hRule="atLeast"/>
        </w:trPr>
        <w:tc>
          <w:tcPr>
            <w:tcW w:w="8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地类</w:t>
            </w:r>
          </w:p>
        </w:tc>
        <w:tc>
          <w:tcPr>
            <w:tcW w:w="8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耕地</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小计</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cs="Times New Roman"/>
                <w:color w:val="000000"/>
                <w:sz w:val="22"/>
              </w:rPr>
              <w:t>23.1751</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仿宋_GB2312" w:cs="Times New Roman"/>
                <w:color w:val="000000"/>
                <w:kern w:val="0"/>
                <w:sz w:val="24"/>
                <w:szCs w:val="24"/>
              </w:rPr>
            </w:pPr>
            <w:r>
              <w:rPr>
                <w:rFonts w:ascii="Arial" w:hAnsi="Arial" w:cs="Arial"/>
                <w:color w:val="000000"/>
                <w:sz w:val="20"/>
                <w:szCs w:val="20"/>
              </w:rPr>
              <w:t>20.1422</w:t>
            </w:r>
          </w:p>
        </w:tc>
        <w:tc>
          <w:tcPr>
            <w:tcW w:w="822"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仿宋_GB2312" w:cs="Times New Roman"/>
                <w:color w:val="000000"/>
                <w:kern w:val="0"/>
                <w:sz w:val="24"/>
                <w:szCs w:val="24"/>
              </w:rPr>
            </w:pPr>
            <w:r>
              <w:rPr>
                <w:rFonts w:ascii="Arial" w:hAnsi="Arial" w:cs="Arial"/>
                <w:color w:val="000000"/>
                <w:sz w:val="20"/>
                <w:szCs w:val="20"/>
              </w:rPr>
              <w:t>3.0329</w:t>
            </w:r>
          </w:p>
        </w:tc>
      </w:tr>
      <w:tr>
        <w:tblPrEx>
          <w:tblCellMar>
            <w:top w:w="0" w:type="dxa"/>
            <w:left w:w="108" w:type="dxa"/>
            <w:bottom w:w="0" w:type="dxa"/>
            <w:right w:w="108" w:type="dxa"/>
          </w:tblCellMar>
        </w:tblPrEx>
        <w:trPr>
          <w:trHeight w:val="276" w:hRule="atLeast"/>
        </w:trPr>
        <w:tc>
          <w:tcPr>
            <w:tcW w:w="886"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仿宋_GB2312" w:cs="Times New Roman"/>
                <w:color w:val="000000"/>
                <w:kern w:val="0"/>
                <w:sz w:val="24"/>
                <w:szCs w:val="24"/>
              </w:rPr>
            </w:pPr>
          </w:p>
        </w:tc>
        <w:tc>
          <w:tcPr>
            <w:tcW w:w="82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仿宋_GB2312" w:cs="Times New Roman"/>
                <w:color w:val="000000"/>
                <w:kern w:val="0"/>
                <w:sz w:val="24"/>
                <w:szCs w:val="24"/>
              </w:rPr>
            </w:pP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水田</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cs="Times New Roman"/>
                <w:color w:val="000000"/>
                <w:sz w:val="22"/>
              </w:rPr>
              <w:t>23.1751</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仿宋_GB2312" w:cs="Times New Roman"/>
                <w:color w:val="000000"/>
                <w:kern w:val="0"/>
                <w:sz w:val="24"/>
                <w:szCs w:val="24"/>
              </w:rPr>
            </w:pPr>
            <w:r>
              <w:rPr>
                <w:rFonts w:ascii="Arial" w:hAnsi="Arial" w:cs="Arial"/>
                <w:color w:val="000000"/>
                <w:sz w:val="20"/>
                <w:szCs w:val="20"/>
              </w:rPr>
              <w:t>20.1422</w:t>
            </w:r>
          </w:p>
        </w:tc>
        <w:tc>
          <w:tcPr>
            <w:tcW w:w="822"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仿宋_GB2312" w:cs="Times New Roman"/>
                <w:color w:val="000000"/>
                <w:kern w:val="0"/>
                <w:sz w:val="24"/>
                <w:szCs w:val="24"/>
              </w:rPr>
            </w:pPr>
            <w:r>
              <w:rPr>
                <w:rFonts w:ascii="Arial" w:hAnsi="Arial" w:cs="Arial"/>
                <w:color w:val="000000"/>
                <w:sz w:val="20"/>
                <w:szCs w:val="20"/>
              </w:rPr>
              <w:t>3.0329</w:t>
            </w:r>
          </w:p>
        </w:tc>
      </w:tr>
      <w:tr>
        <w:tblPrEx>
          <w:tblCellMar>
            <w:top w:w="0" w:type="dxa"/>
            <w:left w:w="108" w:type="dxa"/>
            <w:bottom w:w="0" w:type="dxa"/>
            <w:right w:w="108" w:type="dxa"/>
          </w:tblCellMar>
        </w:tblPrEx>
        <w:trPr>
          <w:trHeight w:val="276" w:hRule="atLeast"/>
        </w:trPr>
        <w:tc>
          <w:tcPr>
            <w:tcW w:w="886"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仿宋_GB2312" w:cs="Times New Roman"/>
                <w:color w:val="000000"/>
                <w:kern w:val="0"/>
                <w:sz w:val="24"/>
                <w:szCs w:val="24"/>
              </w:rPr>
            </w:pPr>
          </w:p>
        </w:tc>
        <w:tc>
          <w:tcPr>
            <w:tcW w:w="82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仿宋_GB2312" w:cs="Times New Roman"/>
                <w:color w:val="000000"/>
                <w:kern w:val="0"/>
                <w:sz w:val="24"/>
                <w:szCs w:val="24"/>
              </w:rPr>
            </w:pP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水浇地</w:t>
            </w:r>
          </w:p>
        </w:tc>
        <w:tc>
          <w:tcPr>
            <w:tcW w:w="82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82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color w:val="000000"/>
                <w:kern w:val="0"/>
                <w:sz w:val="24"/>
                <w:szCs w:val="24"/>
              </w:rPr>
              <w:t>0</w:t>
            </w:r>
          </w:p>
        </w:tc>
        <w:tc>
          <w:tcPr>
            <w:tcW w:w="822"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color w:val="000000"/>
                <w:kern w:val="0"/>
                <w:sz w:val="24"/>
                <w:szCs w:val="24"/>
              </w:rPr>
              <w:t>0</w:t>
            </w:r>
          </w:p>
        </w:tc>
      </w:tr>
      <w:tr>
        <w:tblPrEx>
          <w:tblCellMar>
            <w:top w:w="0" w:type="dxa"/>
            <w:left w:w="108" w:type="dxa"/>
            <w:bottom w:w="0" w:type="dxa"/>
            <w:right w:w="108" w:type="dxa"/>
          </w:tblCellMar>
        </w:tblPrEx>
        <w:trPr>
          <w:trHeight w:val="276" w:hRule="atLeast"/>
        </w:trPr>
        <w:tc>
          <w:tcPr>
            <w:tcW w:w="886"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仿宋_GB2312" w:cs="Times New Roman"/>
                <w:color w:val="000000"/>
                <w:kern w:val="0"/>
                <w:sz w:val="24"/>
                <w:szCs w:val="24"/>
              </w:rPr>
            </w:pPr>
          </w:p>
        </w:tc>
        <w:tc>
          <w:tcPr>
            <w:tcW w:w="82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仿宋_GB2312" w:cs="Times New Roman"/>
                <w:color w:val="000000"/>
                <w:kern w:val="0"/>
                <w:sz w:val="24"/>
                <w:szCs w:val="24"/>
              </w:rPr>
            </w:pP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旱地</w:t>
            </w:r>
          </w:p>
        </w:tc>
        <w:tc>
          <w:tcPr>
            <w:tcW w:w="82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82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822"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color w:val="000000"/>
                <w:kern w:val="0"/>
                <w:sz w:val="24"/>
                <w:szCs w:val="24"/>
              </w:rPr>
              <w:t>0</w:t>
            </w:r>
          </w:p>
        </w:tc>
      </w:tr>
      <w:tr>
        <w:tblPrEx>
          <w:tblCellMar>
            <w:top w:w="0" w:type="dxa"/>
            <w:left w:w="108" w:type="dxa"/>
            <w:bottom w:w="0" w:type="dxa"/>
            <w:right w:w="108" w:type="dxa"/>
          </w:tblCellMar>
        </w:tblPrEx>
        <w:trPr>
          <w:trHeight w:val="276" w:hRule="atLeast"/>
        </w:trPr>
        <w:tc>
          <w:tcPr>
            <w:tcW w:w="8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质量等别</w:t>
            </w:r>
          </w:p>
        </w:tc>
        <w:tc>
          <w:tcPr>
            <w:tcW w:w="16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cs="Times New Roman"/>
                <w:color w:val="000000"/>
                <w:sz w:val="22"/>
              </w:rPr>
              <w:t>23.1751</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仿宋_GB2312" w:cs="Times New Roman"/>
                <w:color w:val="000000"/>
                <w:kern w:val="0"/>
                <w:sz w:val="24"/>
                <w:szCs w:val="24"/>
              </w:rPr>
            </w:pPr>
            <w:r>
              <w:rPr>
                <w:rFonts w:ascii="Arial" w:hAnsi="Arial" w:cs="Arial"/>
                <w:color w:val="000000"/>
                <w:sz w:val="20"/>
                <w:szCs w:val="20"/>
              </w:rPr>
              <w:t>20.1422</w:t>
            </w:r>
          </w:p>
        </w:tc>
        <w:tc>
          <w:tcPr>
            <w:tcW w:w="822"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仿宋_GB2312" w:cs="Times New Roman"/>
                <w:color w:val="000000"/>
                <w:kern w:val="0"/>
                <w:sz w:val="24"/>
                <w:szCs w:val="24"/>
              </w:rPr>
            </w:pPr>
            <w:r>
              <w:rPr>
                <w:rFonts w:ascii="Arial" w:hAnsi="Arial" w:cs="Arial"/>
                <w:color w:val="000000"/>
                <w:sz w:val="20"/>
                <w:szCs w:val="20"/>
              </w:rPr>
              <w:t>3.0329</w:t>
            </w:r>
          </w:p>
        </w:tc>
      </w:tr>
      <w:tr>
        <w:tblPrEx>
          <w:tblCellMar>
            <w:top w:w="0" w:type="dxa"/>
            <w:left w:w="108" w:type="dxa"/>
            <w:bottom w:w="0" w:type="dxa"/>
            <w:right w:w="108" w:type="dxa"/>
          </w:tblCellMar>
        </w:tblPrEx>
        <w:trPr>
          <w:trHeight w:val="276" w:hRule="atLeast"/>
        </w:trPr>
        <w:tc>
          <w:tcPr>
            <w:tcW w:w="886"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仿宋_GB2312" w:cs="Times New Roman"/>
                <w:color w:val="000000"/>
                <w:kern w:val="0"/>
                <w:sz w:val="24"/>
                <w:szCs w:val="24"/>
              </w:rPr>
            </w:pPr>
          </w:p>
        </w:tc>
        <w:tc>
          <w:tcPr>
            <w:tcW w:w="16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w:t>
            </w:r>
          </w:p>
        </w:tc>
        <w:tc>
          <w:tcPr>
            <w:tcW w:w="82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82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color w:val="000000"/>
                <w:kern w:val="0"/>
                <w:sz w:val="24"/>
                <w:szCs w:val="24"/>
              </w:rPr>
              <w:t>0</w:t>
            </w:r>
          </w:p>
        </w:tc>
        <w:tc>
          <w:tcPr>
            <w:tcW w:w="822"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color w:val="000000"/>
                <w:kern w:val="0"/>
                <w:sz w:val="24"/>
                <w:szCs w:val="24"/>
              </w:rPr>
              <w:t>0</w:t>
            </w:r>
          </w:p>
        </w:tc>
      </w:tr>
      <w:tr>
        <w:tblPrEx>
          <w:tblCellMar>
            <w:top w:w="0" w:type="dxa"/>
            <w:left w:w="108" w:type="dxa"/>
            <w:bottom w:w="0" w:type="dxa"/>
            <w:right w:w="108" w:type="dxa"/>
          </w:tblCellMar>
        </w:tblPrEx>
        <w:trPr>
          <w:trHeight w:val="276" w:hRule="atLeast"/>
        </w:trPr>
        <w:tc>
          <w:tcPr>
            <w:tcW w:w="886"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仿宋_GB2312" w:cs="Times New Roman"/>
                <w:color w:val="000000"/>
                <w:kern w:val="0"/>
                <w:sz w:val="24"/>
                <w:szCs w:val="24"/>
              </w:rPr>
            </w:pPr>
          </w:p>
        </w:tc>
        <w:tc>
          <w:tcPr>
            <w:tcW w:w="16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82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82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822"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color w:val="000000"/>
                <w:kern w:val="0"/>
                <w:sz w:val="24"/>
                <w:szCs w:val="24"/>
              </w:rPr>
              <w:t>0</w:t>
            </w:r>
          </w:p>
        </w:tc>
      </w:tr>
      <w:tr>
        <w:tblPrEx>
          <w:tblCellMar>
            <w:top w:w="0" w:type="dxa"/>
            <w:left w:w="108" w:type="dxa"/>
            <w:bottom w:w="0" w:type="dxa"/>
            <w:right w:w="108" w:type="dxa"/>
          </w:tblCellMar>
        </w:tblPrEx>
        <w:trPr>
          <w:trHeight w:val="276" w:hRule="atLeast"/>
        </w:trPr>
        <w:tc>
          <w:tcPr>
            <w:tcW w:w="886"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仿宋_GB2312" w:cs="Times New Roman"/>
                <w:color w:val="000000"/>
                <w:kern w:val="0"/>
                <w:sz w:val="24"/>
                <w:szCs w:val="24"/>
              </w:rPr>
            </w:pPr>
          </w:p>
        </w:tc>
        <w:tc>
          <w:tcPr>
            <w:tcW w:w="16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w:t>
            </w:r>
          </w:p>
        </w:tc>
        <w:tc>
          <w:tcPr>
            <w:tcW w:w="82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82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822"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color w:val="000000"/>
                <w:kern w:val="0"/>
                <w:sz w:val="24"/>
                <w:szCs w:val="24"/>
              </w:rPr>
              <w:t>0</w:t>
            </w:r>
          </w:p>
        </w:tc>
      </w:tr>
      <w:tr>
        <w:tblPrEx>
          <w:tblCellMar>
            <w:top w:w="0" w:type="dxa"/>
            <w:left w:w="108" w:type="dxa"/>
            <w:bottom w:w="0" w:type="dxa"/>
            <w:right w:w="108" w:type="dxa"/>
          </w:tblCellMar>
        </w:tblPrEx>
        <w:trPr>
          <w:trHeight w:val="276" w:hRule="atLeast"/>
        </w:trPr>
        <w:tc>
          <w:tcPr>
            <w:tcW w:w="886"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仿宋_GB2312" w:cs="Times New Roman"/>
                <w:color w:val="000000"/>
                <w:kern w:val="0"/>
                <w:sz w:val="24"/>
                <w:szCs w:val="24"/>
              </w:rPr>
            </w:pPr>
          </w:p>
        </w:tc>
        <w:tc>
          <w:tcPr>
            <w:tcW w:w="16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82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82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822"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color w:val="000000"/>
                <w:kern w:val="0"/>
                <w:sz w:val="24"/>
                <w:szCs w:val="24"/>
              </w:rPr>
              <w:t>0</w:t>
            </w:r>
          </w:p>
        </w:tc>
      </w:tr>
      <w:tr>
        <w:tblPrEx>
          <w:tblCellMar>
            <w:top w:w="0" w:type="dxa"/>
            <w:left w:w="108" w:type="dxa"/>
            <w:bottom w:w="0" w:type="dxa"/>
            <w:right w:w="108" w:type="dxa"/>
          </w:tblCellMar>
        </w:tblPrEx>
        <w:trPr>
          <w:trHeight w:val="276" w:hRule="atLeast"/>
        </w:trPr>
        <w:tc>
          <w:tcPr>
            <w:tcW w:w="886"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仿宋_GB2312" w:cs="Times New Roman"/>
                <w:color w:val="000000"/>
                <w:kern w:val="0"/>
                <w:sz w:val="24"/>
                <w:szCs w:val="24"/>
              </w:rPr>
            </w:pPr>
          </w:p>
        </w:tc>
        <w:tc>
          <w:tcPr>
            <w:tcW w:w="16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w:t>
            </w:r>
          </w:p>
        </w:tc>
        <w:tc>
          <w:tcPr>
            <w:tcW w:w="82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82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822"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color w:val="000000"/>
                <w:kern w:val="0"/>
                <w:sz w:val="24"/>
                <w:szCs w:val="24"/>
              </w:rPr>
              <w:t>0</w:t>
            </w:r>
          </w:p>
        </w:tc>
      </w:tr>
      <w:tr>
        <w:tblPrEx>
          <w:tblCellMar>
            <w:top w:w="0" w:type="dxa"/>
            <w:left w:w="108" w:type="dxa"/>
            <w:bottom w:w="0" w:type="dxa"/>
            <w:right w:w="108" w:type="dxa"/>
          </w:tblCellMar>
        </w:tblPrEx>
        <w:trPr>
          <w:trHeight w:val="276" w:hRule="atLeast"/>
        </w:trPr>
        <w:tc>
          <w:tcPr>
            <w:tcW w:w="886"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仿宋_GB2312" w:cs="Times New Roman"/>
                <w:color w:val="000000"/>
                <w:kern w:val="0"/>
                <w:sz w:val="24"/>
                <w:szCs w:val="24"/>
              </w:rPr>
            </w:pPr>
          </w:p>
        </w:tc>
        <w:tc>
          <w:tcPr>
            <w:tcW w:w="16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82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82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822"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color w:val="000000"/>
                <w:kern w:val="0"/>
                <w:sz w:val="24"/>
                <w:szCs w:val="24"/>
              </w:rPr>
              <w:t>0</w:t>
            </w:r>
          </w:p>
        </w:tc>
      </w:tr>
      <w:tr>
        <w:tblPrEx>
          <w:tblCellMar>
            <w:top w:w="0" w:type="dxa"/>
            <w:left w:w="108" w:type="dxa"/>
            <w:bottom w:w="0" w:type="dxa"/>
            <w:right w:w="108" w:type="dxa"/>
          </w:tblCellMar>
        </w:tblPrEx>
        <w:trPr>
          <w:trHeight w:val="276" w:hRule="atLeast"/>
        </w:trPr>
        <w:tc>
          <w:tcPr>
            <w:tcW w:w="886"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仿宋_GB2312" w:cs="Times New Roman"/>
                <w:color w:val="000000"/>
                <w:kern w:val="0"/>
                <w:sz w:val="24"/>
                <w:szCs w:val="24"/>
              </w:rPr>
            </w:pPr>
          </w:p>
        </w:tc>
        <w:tc>
          <w:tcPr>
            <w:tcW w:w="16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平均质量等</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6</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6</w:t>
            </w:r>
          </w:p>
        </w:tc>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6</w:t>
            </w:r>
          </w:p>
        </w:tc>
      </w:tr>
      <w:tr>
        <w:tblPrEx>
          <w:tblCellMar>
            <w:top w:w="0" w:type="dxa"/>
            <w:left w:w="108" w:type="dxa"/>
            <w:bottom w:w="0" w:type="dxa"/>
            <w:right w:w="108" w:type="dxa"/>
          </w:tblCellMar>
        </w:tblPrEx>
        <w:trPr>
          <w:trHeight w:val="276" w:hRule="atLeast"/>
        </w:trPr>
        <w:tc>
          <w:tcPr>
            <w:tcW w:w="8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坡度级别</w:t>
            </w:r>
          </w:p>
        </w:tc>
        <w:tc>
          <w:tcPr>
            <w:tcW w:w="16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（0-2°）</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cs="Times New Roman"/>
                <w:color w:val="000000"/>
                <w:sz w:val="22"/>
              </w:rPr>
              <w:t>3.1026</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cs="Times New Roman"/>
                <w:color w:val="000000"/>
                <w:sz w:val="22"/>
              </w:rPr>
              <w:t>3.1026</w:t>
            </w:r>
          </w:p>
        </w:tc>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cs="Times New Roman"/>
                <w:color w:val="000000"/>
                <w:sz w:val="22"/>
              </w:rPr>
              <w:t>0</w:t>
            </w:r>
          </w:p>
        </w:tc>
      </w:tr>
      <w:tr>
        <w:tblPrEx>
          <w:tblCellMar>
            <w:top w:w="0" w:type="dxa"/>
            <w:left w:w="108" w:type="dxa"/>
            <w:bottom w:w="0" w:type="dxa"/>
            <w:right w:w="108" w:type="dxa"/>
          </w:tblCellMar>
        </w:tblPrEx>
        <w:trPr>
          <w:trHeight w:val="58" w:hRule="atLeast"/>
        </w:trPr>
        <w:tc>
          <w:tcPr>
            <w:tcW w:w="886"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仿宋_GB2312" w:cs="Times New Roman"/>
                <w:color w:val="000000"/>
                <w:kern w:val="0"/>
                <w:sz w:val="24"/>
                <w:szCs w:val="24"/>
              </w:rPr>
            </w:pPr>
          </w:p>
        </w:tc>
        <w:tc>
          <w:tcPr>
            <w:tcW w:w="16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（2-6°）</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cs="Times New Roman"/>
                <w:color w:val="000000"/>
                <w:sz w:val="22"/>
              </w:rPr>
              <w:t>20.0725</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cs="Times New Roman"/>
                <w:color w:val="000000"/>
                <w:sz w:val="22"/>
              </w:rPr>
              <w:t>17.0396</w:t>
            </w:r>
          </w:p>
        </w:tc>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cs="Times New Roman"/>
                <w:color w:val="000000"/>
                <w:sz w:val="22"/>
              </w:rPr>
              <w:t>3.0329</w:t>
            </w:r>
          </w:p>
        </w:tc>
      </w:tr>
      <w:tr>
        <w:tblPrEx>
          <w:tblCellMar>
            <w:top w:w="0" w:type="dxa"/>
            <w:left w:w="108" w:type="dxa"/>
            <w:bottom w:w="0" w:type="dxa"/>
            <w:right w:w="108" w:type="dxa"/>
          </w:tblCellMar>
        </w:tblPrEx>
        <w:trPr>
          <w:trHeight w:val="276" w:hRule="atLeast"/>
        </w:trPr>
        <w:tc>
          <w:tcPr>
            <w:tcW w:w="886"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仿宋_GB2312" w:cs="Times New Roman"/>
                <w:color w:val="000000"/>
                <w:kern w:val="0"/>
                <w:sz w:val="24"/>
                <w:szCs w:val="24"/>
              </w:rPr>
            </w:pPr>
          </w:p>
        </w:tc>
        <w:tc>
          <w:tcPr>
            <w:tcW w:w="16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（6-15°）</w:t>
            </w:r>
          </w:p>
        </w:tc>
        <w:tc>
          <w:tcPr>
            <w:tcW w:w="82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823"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822" w:type="pct"/>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r>
      <w:tr>
        <w:tblPrEx>
          <w:tblCellMar>
            <w:top w:w="0" w:type="dxa"/>
            <w:left w:w="108" w:type="dxa"/>
            <w:bottom w:w="0" w:type="dxa"/>
            <w:right w:w="108" w:type="dxa"/>
          </w:tblCellMar>
        </w:tblPrEx>
        <w:trPr>
          <w:trHeight w:val="276" w:hRule="atLeast"/>
        </w:trPr>
        <w:tc>
          <w:tcPr>
            <w:tcW w:w="886"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仿宋_GB2312" w:cs="Times New Roman"/>
                <w:color w:val="000000"/>
                <w:kern w:val="0"/>
                <w:sz w:val="24"/>
                <w:szCs w:val="24"/>
              </w:rPr>
            </w:pPr>
          </w:p>
        </w:tc>
        <w:tc>
          <w:tcPr>
            <w:tcW w:w="16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（15-25°）</w:t>
            </w:r>
          </w:p>
        </w:tc>
        <w:tc>
          <w:tcPr>
            <w:tcW w:w="823" w:type="pct"/>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823" w:type="pct"/>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822" w:type="pct"/>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r>
    </w:tbl>
    <w:p>
      <w:pPr>
        <w:keepNext/>
        <w:keepLines/>
        <w:adjustRightInd w:val="0"/>
        <w:spacing w:line="360" w:lineRule="auto"/>
        <w:ind w:firstLine="600" w:firstLineChars="200"/>
        <w:outlineLvl w:val="2"/>
        <w:rPr>
          <w:rFonts w:eastAsia="黑体"/>
          <w:bCs/>
          <w:color w:val="000000"/>
          <w:sz w:val="30"/>
          <w:szCs w:val="28"/>
        </w:rPr>
      </w:pPr>
      <w:bookmarkStart w:id="41" w:name="_Toc88211888"/>
      <w:bookmarkStart w:id="42" w:name="_Toc37838279"/>
      <w:r>
        <w:rPr>
          <w:rFonts w:hint="eastAsia" w:eastAsia="黑体"/>
          <w:bCs/>
          <w:color w:val="000000"/>
          <w:sz w:val="30"/>
          <w:szCs w:val="28"/>
        </w:rPr>
        <w:t>5.</w:t>
      </w:r>
      <w:r>
        <w:rPr>
          <w:rFonts w:eastAsia="黑体"/>
          <w:bCs/>
          <w:color w:val="000000"/>
          <w:sz w:val="30"/>
          <w:szCs w:val="28"/>
        </w:rPr>
        <w:t>5</w:t>
      </w:r>
      <w:r>
        <w:rPr>
          <w:rFonts w:hint="eastAsia" w:eastAsia="黑体"/>
          <w:bCs/>
          <w:color w:val="000000"/>
          <w:sz w:val="30"/>
          <w:szCs w:val="28"/>
        </w:rPr>
        <w:t>城镇周边</w:t>
      </w:r>
      <w:r>
        <w:rPr>
          <w:rFonts w:eastAsia="黑体"/>
          <w:bCs/>
          <w:color w:val="000000"/>
          <w:sz w:val="30"/>
          <w:szCs w:val="28"/>
        </w:rPr>
        <w:t>永久基本农田补划情况</w:t>
      </w:r>
      <w:bookmarkEnd w:id="41"/>
    </w:p>
    <w:p>
      <w:pPr>
        <w:spacing w:line="360" w:lineRule="auto"/>
        <w:ind w:firstLine="560" w:firstLineChars="200"/>
        <w:rPr>
          <w:rFonts w:ascii="Times New Roman" w:hAnsi="Times New Roman" w:eastAsia="仿宋_GB2312" w:cs="Times New Roman"/>
          <w:color w:val="000000"/>
          <w:sz w:val="28"/>
          <w:szCs w:val="28"/>
          <w:lang w:val="zh-CN"/>
        </w:rPr>
      </w:pPr>
      <w:r>
        <w:rPr>
          <w:rFonts w:ascii="Times New Roman" w:hAnsi="Times New Roman" w:eastAsia="仿宋_GB2312" w:cs="Times New Roman"/>
          <w:color w:val="000000"/>
          <w:sz w:val="28"/>
          <w:szCs w:val="28"/>
          <w:lang w:val="zh-CN"/>
        </w:rPr>
        <w:t>补划芒市全域永久基本农田28.2092公顷，共涉及18个图斑，补划地类全部为水田，平均质量等别为6等；其中芒市镇补划全域永久基本农田20.1422公顷，涉及12个图斑，平均质量等别为6.0等；风平镇补划全域永久基本农田</w:t>
      </w:r>
      <w:r>
        <w:rPr>
          <w:rFonts w:ascii="Times New Roman" w:hAnsi="Times New Roman" w:eastAsia="仿宋_GB2312" w:cs="Times New Roman"/>
          <w:color w:val="000000"/>
          <w:sz w:val="28"/>
          <w:szCs w:val="28"/>
        </w:rPr>
        <w:t>8.0670</w:t>
      </w:r>
      <w:r>
        <w:rPr>
          <w:rFonts w:ascii="Times New Roman" w:hAnsi="Times New Roman" w:eastAsia="仿宋_GB2312" w:cs="Times New Roman"/>
          <w:color w:val="000000"/>
          <w:sz w:val="28"/>
          <w:szCs w:val="28"/>
          <w:lang w:val="zh-CN"/>
        </w:rPr>
        <w:t>公顷，涉及</w:t>
      </w:r>
      <w:r>
        <w:rPr>
          <w:rFonts w:ascii="Times New Roman" w:hAnsi="Times New Roman" w:eastAsia="仿宋_GB2312" w:cs="Times New Roman"/>
          <w:color w:val="000000"/>
          <w:sz w:val="28"/>
          <w:szCs w:val="28"/>
        </w:rPr>
        <w:t>6</w:t>
      </w:r>
      <w:r>
        <w:rPr>
          <w:rFonts w:ascii="Times New Roman" w:hAnsi="Times New Roman" w:eastAsia="仿宋_GB2312" w:cs="Times New Roman"/>
          <w:color w:val="000000"/>
          <w:sz w:val="28"/>
          <w:szCs w:val="28"/>
          <w:lang w:val="zh-CN"/>
        </w:rPr>
        <w:t>个图斑，平均质量等别为6.0等；</w:t>
      </w:r>
      <w:r>
        <w:rPr>
          <w:rFonts w:ascii="Times New Roman" w:hAnsi="Times New Roman" w:eastAsia="仿宋_GB2312" w:cs="Times New Roman"/>
          <w:bCs/>
          <w:color w:val="000000"/>
          <w:sz w:val="28"/>
          <w:szCs w:val="28"/>
        </w:rPr>
        <w:t>详见上表芒市全域永久基本农田补划情况表</w:t>
      </w:r>
      <w:r>
        <w:rPr>
          <w:rFonts w:ascii="Times New Roman" w:hAnsi="Times New Roman" w:eastAsia="仿宋_GB2312" w:cs="Times New Roman"/>
          <w:color w:val="000000"/>
          <w:sz w:val="28"/>
          <w:szCs w:val="28"/>
          <w:lang w:val="zh-CN"/>
        </w:rPr>
        <w:t>。</w:t>
      </w:r>
    </w:p>
    <w:p>
      <w:pPr>
        <w:keepNext/>
        <w:keepLines/>
        <w:adjustRightInd w:val="0"/>
        <w:spacing w:line="360" w:lineRule="auto"/>
        <w:ind w:firstLine="600" w:firstLineChars="200"/>
        <w:outlineLvl w:val="2"/>
        <w:rPr>
          <w:rFonts w:eastAsia="黑体"/>
          <w:bCs/>
          <w:color w:val="000000"/>
          <w:sz w:val="30"/>
          <w:szCs w:val="28"/>
        </w:rPr>
      </w:pPr>
      <w:bookmarkStart w:id="43" w:name="_Toc88211889"/>
      <w:r>
        <w:rPr>
          <w:rFonts w:hint="eastAsia" w:eastAsia="黑体"/>
          <w:bCs/>
          <w:color w:val="000000"/>
          <w:sz w:val="30"/>
          <w:szCs w:val="28"/>
        </w:rPr>
        <w:t>5.</w:t>
      </w:r>
      <w:r>
        <w:rPr>
          <w:rFonts w:eastAsia="黑体"/>
          <w:bCs/>
          <w:color w:val="000000"/>
          <w:sz w:val="30"/>
          <w:szCs w:val="28"/>
        </w:rPr>
        <w:t xml:space="preserve">6 </w:t>
      </w:r>
      <w:r>
        <w:rPr>
          <w:rFonts w:hint="eastAsia" w:eastAsia="黑体"/>
          <w:bCs/>
          <w:color w:val="000000"/>
          <w:sz w:val="30"/>
          <w:szCs w:val="28"/>
        </w:rPr>
        <w:t>永久基本农田占补分析</w:t>
      </w:r>
      <w:bookmarkEnd w:id="43"/>
    </w:p>
    <w:p>
      <w:pPr>
        <w:keepNext/>
        <w:keepLines/>
        <w:adjustRightInd w:val="0"/>
        <w:spacing w:line="360" w:lineRule="auto"/>
        <w:ind w:firstLine="562" w:firstLineChars="200"/>
        <w:rPr>
          <w:rFonts w:eastAsia="仿宋_GB2312"/>
          <w:b/>
          <w:bCs/>
          <w:color w:val="000000"/>
          <w:sz w:val="28"/>
          <w:szCs w:val="28"/>
        </w:rPr>
      </w:pPr>
      <w:bookmarkStart w:id="44" w:name="_Toc520855161"/>
      <w:bookmarkStart w:id="45" w:name="_Toc511603857"/>
      <w:r>
        <w:rPr>
          <w:rFonts w:hint="eastAsia" w:eastAsia="仿宋_GB2312"/>
          <w:b/>
          <w:bCs/>
          <w:color w:val="000000"/>
          <w:sz w:val="28"/>
          <w:szCs w:val="28"/>
        </w:rPr>
        <w:t>1.</w:t>
      </w:r>
      <w:r>
        <w:rPr>
          <w:rFonts w:eastAsia="仿宋_GB2312"/>
          <w:b/>
          <w:bCs/>
          <w:color w:val="000000"/>
          <w:sz w:val="28"/>
          <w:szCs w:val="28"/>
        </w:rPr>
        <w:t>全域永久基本农田占用补划对比分析</w:t>
      </w:r>
      <w:bookmarkEnd w:id="44"/>
      <w:bookmarkEnd w:id="45"/>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瑞丽至孟连高速公路建设项目用地占用芒市全域永久基本农田26.5381公顷，补划全域永久基本农田28.2092公顷，多补划了1.6711公顷，能满足补划要求。</w:t>
      </w:r>
    </w:p>
    <w:p>
      <w:pPr>
        <w:adjustRightInd w:val="0"/>
        <w:spacing w:line="360" w:lineRule="auto"/>
        <w:jc w:val="center"/>
        <w:rPr>
          <w:rFonts w:eastAsia="仿宋_GB2312"/>
          <w:b/>
          <w:bCs/>
          <w:color w:val="000000"/>
          <w:sz w:val="28"/>
          <w:szCs w:val="28"/>
        </w:rPr>
      </w:pPr>
      <w:r>
        <w:rPr>
          <w:rFonts w:hint="eastAsia" w:eastAsia="仿宋_GB2312"/>
          <w:b/>
          <w:bCs/>
          <w:color w:val="000000"/>
          <w:sz w:val="28"/>
          <w:szCs w:val="28"/>
        </w:rPr>
        <w:t>表5-3芒市</w:t>
      </w:r>
      <w:r>
        <w:rPr>
          <w:rFonts w:eastAsia="仿宋_GB2312"/>
          <w:b/>
          <w:bCs/>
          <w:color w:val="000000"/>
          <w:sz w:val="28"/>
          <w:szCs w:val="28"/>
        </w:rPr>
        <w:t>永久基本农田占用补划情况对比表</w:t>
      </w:r>
    </w:p>
    <w:p>
      <w:pPr>
        <w:adjustRightInd w:val="0"/>
        <w:ind w:firstLine="480" w:firstLineChars="200"/>
        <w:jc w:val="right"/>
        <w:rPr>
          <w:rFonts w:eastAsia="仿宋_GB2312"/>
          <w:color w:val="000000"/>
          <w:sz w:val="24"/>
        </w:rPr>
      </w:pPr>
      <w:r>
        <w:rPr>
          <w:rFonts w:eastAsia="仿宋_GB2312"/>
          <w:color w:val="000000"/>
          <w:sz w:val="24"/>
        </w:rPr>
        <w:t>单位：公顷</w:t>
      </w:r>
    </w:p>
    <w:tbl>
      <w:tblPr>
        <w:tblStyle w:val="14"/>
        <w:tblW w:w="5000" w:type="pct"/>
        <w:tblInd w:w="0" w:type="dxa"/>
        <w:tblLayout w:type="autofit"/>
        <w:tblCellMar>
          <w:top w:w="0" w:type="dxa"/>
          <w:left w:w="108" w:type="dxa"/>
          <w:bottom w:w="0" w:type="dxa"/>
          <w:right w:w="108" w:type="dxa"/>
        </w:tblCellMar>
      </w:tblPr>
      <w:tblGrid>
        <w:gridCol w:w="1304"/>
        <w:gridCol w:w="1623"/>
        <w:gridCol w:w="1927"/>
        <w:gridCol w:w="1803"/>
        <w:gridCol w:w="1161"/>
        <w:gridCol w:w="1298"/>
      </w:tblGrid>
      <w:tr>
        <w:tblPrEx>
          <w:tblCellMar>
            <w:top w:w="0" w:type="dxa"/>
            <w:left w:w="108" w:type="dxa"/>
            <w:bottom w:w="0" w:type="dxa"/>
            <w:right w:w="108" w:type="dxa"/>
          </w:tblCellMar>
        </w:tblPrEx>
        <w:trPr>
          <w:trHeight w:val="342" w:hRule="atLeast"/>
        </w:trPr>
        <w:tc>
          <w:tcPr>
            <w:tcW w:w="1605" w:type="pct"/>
            <w:gridSpan w:val="2"/>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全域永久基本农田</w:t>
            </w:r>
          </w:p>
        </w:tc>
        <w:tc>
          <w:tcPr>
            <w:tcW w:w="1057" w:type="pct"/>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地类</w:t>
            </w:r>
          </w:p>
        </w:tc>
        <w:tc>
          <w:tcPr>
            <w:tcW w:w="989" w:type="pct"/>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占用</w:t>
            </w:r>
          </w:p>
        </w:tc>
        <w:tc>
          <w:tcPr>
            <w:tcW w:w="637" w:type="pct"/>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补划</w:t>
            </w:r>
          </w:p>
        </w:tc>
        <w:tc>
          <w:tcPr>
            <w:tcW w:w="712" w:type="pct"/>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变化量</w:t>
            </w:r>
          </w:p>
        </w:tc>
      </w:tr>
      <w:tr>
        <w:tblPrEx>
          <w:tblCellMar>
            <w:top w:w="0" w:type="dxa"/>
            <w:left w:w="108" w:type="dxa"/>
            <w:bottom w:w="0" w:type="dxa"/>
            <w:right w:w="108" w:type="dxa"/>
          </w:tblCellMar>
        </w:tblPrEx>
        <w:trPr>
          <w:trHeight w:val="327" w:hRule="atLeast"/>
        </w:trPr>
        <w:tc>
          <w:tcPr>
            <w:tcW w:w="1605" w:type="pct"/>
            <w:gridSpan w:val="2"/>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b/>
                <w:bCs/>
                <w:color w:val="000000"/>
                <w:kern w:val="0"/>
                <w:sz w:val="24"/>
                <w:szCs w:val="24"/>
              </w:rPr>
            </w:pPr>
          </w:p>
        </w:tc>
        <w:tc>
          <w:tcPr>
            <w:tcW w:w="1057" w:type="pct"/>
            <w:vMerge w:val="continue"/>
            <w:tcBorders>
              <w:top w:val="single" w:color="000000" w:sz="8" w:space="0"/>
              <w:left w:val="nil"/>
              <w:bottom w:val="single" w:color="000000" w:sz="8" w:space="0"/>
              <w:right w:val="single" w:color="000000" w:sz="8" w:space="0"/>
            </w:tcBorders>
            <w:vAlign w:val="center"/>
          </w:tcPr>
          <w:p>
            <w:pPr>
              <w:widowControl/>
              <w:jc w:val="left"/>
              <w:rPr>
                <w:rFonts w:ascii="Times New Roman" w:hAnsi="Times New Roman" w:eastAsia="仿宋_GB2312" w:cs="Times New Roman"/>
                <w:b/>
                <w:bCs/>
                <w:color w:val="000000"/>
                <w:kern w:val="0"/>
                <w:sz w:val="24"/>
                <w:szCs w:val="24"/>
              </w:rPr>
            </w:pPr>
          </w:p>
        </w:tc>
        <w:tc>
          <w:tcPr>
            <w:tcW w:w="989" w:type="pct"/>
            <w:vMerge w:val="continue"/>
            <w:tcBorders>
              <w:top w:val="single" w:color="000000" w:sz="8" w:space="0"/>
              <w:left w:val="nil"/>
              <w:bottom w:val="single" w:color="000000" w:sz="8" w:space="0"/>
              <w:right w:val="single" w:color="000000" w:sz="8" w:space="0"/>
            </w:tcBorders>
            <w:vAlign w:val="center"/>
          </w:tcPr>
          <w:p>
            <w:pPr>
              <w:widowControl/>
              <w:jc w:val="left"/>
              <w:rPr>
                <w:rFonts w:ascii="Times New Roman" w:hAnsi="Times New Roman" w:eastAsia="仿宋_GB2312" w:cs="Times New Roman"/>
                <w:b/>
                <w:bCs/>
                <w:color w:val="000000"/>
                <w:kern w:val="0"/>
                <w:sz w:val="24"/>
                <w:szCs w:val="24"/>
              </w:rPr>
            </w:pPr>
          </w:p>
        </w:tc>
        <w:tc>
          <w:tcPr>
            <w:tcW w:w="637" w:type="pct"/>
            <w:vMerge w:val="continue"/>
            <w:tcBorders>
              <w:top w:val="single" w:color="000000" w:sz="8" w:space="0"/>
              <w:left w:val="nil"/>
              <w:bottom w:val="single" w:color="000000" w:sz="8" w:space="0"/>
              <w:right w:val="single" w:color="000000" w:sz="8" w:space="0"/>
            </w:tcBorders>
            <w:vAlign w:val="center"/>
          </w:tcPr>
          <w:p>
            <w:pPr>
              <w:widowControl/>
              <w:jc w:val="left"/>
              <w:rPr>
                <w:rFonts w:ascii="Times New Roman" w:hAnsi="Times New Roman" w:eastAsia="仿宋_GB2312" w:cs="Times New Roman"/>
                <w:b/>
                <w:bCs/>
                <w:color w:val="000000"/>
                <w:kern w:val="0"/>
                <w:sz w:val="24"/>
                <w:szCs w:val="24"/>
              </w:rPr>
            </w:pPr>
          </w:p>
        </w:tc>
        <w:tc>
          <w:tcPr>
            <w:tcW w:w="71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补划-占用</w:t>
            </w:r>
          </w:p>
        </w:tc>
      </w:tr>
      <w:tr>
        <w:tblPrEx>
          <w:tblCellMar>
            <w:top w:w="0" w:type="dxa"/>
            <w:left w:w="108" w:type="dxa"/>
            <w:bottom w:w="0" w:type="dxa"/>
            <w:right w:w="108" w:type="dxa"/>
          </w:tblCellMar>
        </w:tblPrEx>
        <w:trPr>
          <w:trHeight w:val="342" w:hRule="atLeast"/>
        </w:trPr>
        <w:tc>
          <w:tcPr>
            <w:tcW w:w="715" w:type="pct"/>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地类构成</w:t>
            </w:r>
          </w:p>
        </w:tc>
        <w:tc>
          <w:tcPr>
            <w:tcW w:w="1947" w:type="pct"/>
            <w:gridSpan w:val="2"/>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合计</w:t>
            </w:r>
          </w:p>
        </w:tc>
        <w:tc>
          <w:tcPr>
            <w:tcW w:w="989"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26.5381</w:t>
            </w:r>
          </w:p>
        </w:tc>
        <w:tc>
          <w:tcPr>
            <w:tcW w:w="63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28.2092</w:t>
            </w:r>
          </w:p>
        </w:tc>
        <w:tc>
          <w:tcPr>
            <w:tcW w:w="71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bookmarkStart w:id="46" w:name="_Hlk88206388"/>
            <w:r>
              <w:rPr>
                <w:rFonts w:ascii="Times New Roman" w:hAnsi="Times New Roman" w:eastAsia="仿宋_GB2312" w:cs="Times New Roman"/>
                <w:color w:val="000000"/>
                <w:kern w:val="0"/>
                <w:sz w:val="24"/>
                <w:szCs w:val="24"/>
              </w:rPr>
              <w:t>1.6711</w:t>
            </w:r>
            <w:bookmarkEnd w:id="46"/>
          </w:p>
        </w:tc>
      </w:tr>
      <w:tr>
        <w:tblPrEx>
          <w:tblCellMar>
            <w:top w:w="0" w:type="dxa"/>
            <w:left w:w="108" w:type="dxa"/>
            <w:bottom w:w="0" w:type="dxa"/>
            <w:right w:w="108" w:type="dxa"/>
          </w:tblCellMar>
        </w:tblPrEx>
        <w:trPr>
          <w:trHeight w:val="342" w:hRule="atLeast"/>
        </w:trPr>
        <w:tc>
          <w:tcPr>
            <w:tcW w:w="715" w:type="pct"/>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890" w:type="pct"/>
            <w:vMerge w:val="restar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耕地</w:t>
            </w:r>
          </w:p>
        </w:tc>
        <w:tc>
          <w:tcPr>
            <w:tcW w:w="105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水田</w:t>
            </w:r>
          </w:p>
        </w:tc>
        <w:tc>
          <w:tcPr>
            <w:tcW w:w="989"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13.8035</w:t>
            </w:r>
          </w:p>
        </w:tc>
        <w:tc>
          <w:tcPr>
            <w:tcW w:w="63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28.2092</w:t>
            </w:r>
          </w:p>
        </w:tc>
        <w:tc>
          <w:tcPr>
            <w:tcW w:w="71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14.4057</w:t>
            </w:r>
          </w:p>
        </w:tc>
      </w:tr>
      <w:tr>
        <w:tblPrEx>
          <w:tblCellMar>
            <w:top w:w="0" w:type="dxa"/>
            <w:left w:w="108" w:type="dxa"/>
            <w:bottom w:w="0" w:type="dxa"/>
            <w:right w:w="108" w:type="dxa"/>
          </w:tblCellMar>
        </w:tblPrEx>
        <w:trPr>
          <w:trHeight w:val="327" w:hRule="atLeast"/>
        </w:trPr>
        <w:tc>
          <w:tcPr>
            <w:tcW w:w="715" w:type="pct"/>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890" w:type="pct"/>
            <w:vMerge w:val="continue"/>
            <w:tcBorders>
              <w:top w:val="nil"/>
              <w:left w:val="nil"/>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05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旱地</w:t>
            </w:r>
          </w:p>
        </w:tc>
        <w:tc>
          <w:tcPr>
            <w:tcW w:w="989"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12.063</w:t>
            </w:r>
          </w:p>
        </w:tc>
        <w:tc>
          <w:tcPr>
            <w:tcW w:w="63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71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-12.063</w:t>
            </w:r>
          </w:p>
        </w:tc>
      </w:tr>
      <w:tr>
        <w:tblPrEx>
          <w:tblCellMar>
            <w:top w:w="0" w:type="dxa"/>
            <w:left w:w="108" w:type="dxa"/>
            <w:bottom w:w="0" w:type="dxa"/>
            <w:right w:w="108" w:type="dxa"/>
          </w:tblCellMar>
        </w:tblPrEx>
        <w:trPr>
          <w:trHeight w:val="327" w:hRule="atLeast"/>
        </w:trPr>
        <w:tc>
          <w:tcPr>
            <w:tcW w:w="715" w:type="pct"/>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890" w:type="pct"/>
            <w:vMerge w:val="continue"/>
            <w:tcBorders>
              <w:top w:val="nil"/>
              <w:left w:val="nil"/>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05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小计</w:t>
            </w:r>
          </w:p>
        </w:tc>
        <w:tc>
          <w:tcPr>
            <w:tcW w:w="989"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25.8665</w:t>
            </w:r>
          </w:p>
        </w:tc>
        <w:tc>
          <w:tcPr>
            <w:tcW w:w="63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71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-25.8665</w:t>
            </w:r>
          </w:p>
        </w:tc>
      </w:tr>
      <w:tr>
        <w:tblPrEx>
          <w:tblCellMar>
            <w:top w:w="0" w:type="dxa"/>
            <w:left w:w="108" w:type="dxa"/>
            <w:bottom w:w="0" w:type="dxa"/>
            <w:right w:w="108" w:type="dxa"/>
          </w:tblCellMar>
        </w:tblPrEx>
        <w:trPr>
          <w:trHeight w:val="342" w:hRule="atLeast"/>
        </w:trPr>
        <w:tc>
          <w:tcPr>
            <w:tcW w:w="715" w:type="pct"/>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890" w:type="pct"/>
            <w:vMerge w:val="restar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可调整园地</w:t>
            </w:r>
          </w:p>
        </w:tc>
        <w:tc>
          <w:tcPr>
            <w:tcW w:w="105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茶园</w:t>
            </w:r>
          </w:p>
        </w:tc>
        <w:tc>
          <w:tcPr>
            <w:tcW w:w="989"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63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71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r>
      <w:tr>
        <w:tblPrEx>
          <w:tblCellMar>
            <w:top w:w="0" w:type="dxa"/>
            <w:left w:w="108" w:type="dxa"/>
            <w:bottom w:w="0" w:type="dxa"/>
            <w:right w:w="108" w:type="dxa"/>
          </w:tblCellMar>
        </w:tblPrEx>
        <w:trPr>
          <w:trHeight w:val="327" w:hRule="atLeast"/>
        </w:trPr>
        <w:tc>
          <w:tcPr>
            <w:tcW w:w="715" w:type="pct"/>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890" w:type="pct"/>
            <w:vMerge w:val="continue"/>
            <w:tcBorders>
              <w:top w:val="nil"/>
              <w:left w:val="nil"/>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05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果园</w:t>
            </w:r>
          </w:p>
        </w:tc>
        <w:tc>
          <w:tcPr>
            <w:tcW w:w="989"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0.6716</w:t>
            </w:r>
          </w:p>
        </w:tc>
        <w:tc>
          <w:tcPr>
            <w:tcW w:w="63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71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-0.6716</w:t>
            </w:r>
          </w:p>
        </w:tc>
      </w:tr>
      <w:tr>
        <w:tblPrEx>
          <w:tblCellMar>
            <w:top w:w="0" w:type="dxa"/>
            <w:left w:w="108" w:type="dxa"/>
            <w:bottom w:w="0" w:type="dxa"/>
            <w:right w:w="108" w:type="dxa"/>
          </w:tblCellMar>
        </w:tblPrEx>
        <w:trPr>
          <w:trHeight w:val="327" w:hRule="atLeast"/>
        </w:trPr>
        <w:tc>
          <w:tcPr>
            <w:tcW w:w="715" w:type="pct"/>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890" w:type="pct"/>
            <w:vMerge w:val="continue"/>
            <w:tcBorders>
              <w:top w:val="nil"/>
              <w:left w:val="nil"/>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05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其他园地</w:t>
            </w:r>
          </w:p>
        </w:tc>
        <w:tc>
          <w:tcPr>
            <w:tcW w:w="989"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63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71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r>
      <w:tr>
        <w:tblPrEx>
          <w:tblCellMar>
            <w:top w:w="0" w:type="dxa"/>
            <w:left w:w="108" w:type="dxa"/>
            <w:bottom w:w="0" w:type="dxa"/>
            <w:right w:w="108" w:type="dxa"/>
          </w:tblCellMar>
        </w:tblPrEx>
        <w:trPr>
          <w:trHeight w:val="327" w:hRule="atLeast"/>
        </w:trPr>
        <w:tc>
          <w:tcPr>
            <w:tcW w:w="715" w:type="pct"/>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890" w:type="pct"/>
            <w:vMerge w:val="continue"/>
            <w:tcBorders>
              <w:top w:val="nil"/>
              <w:left w:val="nil"/>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05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小计</w:t>
            </w:r>
          </w:p>
        </w:tc>
        <w:tc>
          <w:tcPr>
            <w:tcW w:w="989"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0.6716</w:t>
            </w:r>
          </w:p>
        </w:tc>
        <w:tc>
          <w:tcPr>
            <w:tcW w:w="63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71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-0.6716</w:t>
            </w:r>
          </w:p>
        </w:tc>
      </w:tr>
      <w:tr>
        <w:tblPrEx>
          <w:tblCellMar>
            <w:top w:w="0" w:type="dxa"/>
            <w:left w:w="108" w:type="dxa"/>
            <w:bottom w:w="0" w:type="dxa"/>
            <w:right w:w="108" w:type="dxa"/>
          </w:tblCellMar>
        </w:tblPrEx>
        <w:trPr>
          <w:trHeight w:val="342" w:hRule="atLeast"/>
        </w:trPr>
        <w:tc>
          <w:tcPr>
            <w:tcW w:w="1605" w:type="pct"/>
            <w:gridSpan w:val="2"/>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坡度等级</w:t>
            </w:r>
          </w:p>
        </w:tc>
        <w:tc>
          <w:tcPr>
            <w:tcW w:w="105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（0-2°］</w:t>
            </w:r>
          </w:p>
        </w:tc>
        <w:tc>
          <w:tcPr>
            <w:tcW w:w="989"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5.6313</w:t>
            </w:r>
          </w:p>
        </w:tc>
        <w:tc>
          <w:tcPr>
            <w:tcW w:w="63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7.8137</w:t>
            </w:r>
          </w:p>
        </w:tc>
        <w:tc>
          <w:tcPr>
            <w:tcW w:w="71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2.1824</w:t>
            </w:r>
          </w:p>
        </w:tc>
      </w:tr>
      <w:tr>
        <w:tblPrEx>
          <w:tblCellMar>
            <w:top w:w="0" w:type="dxa"/>
            <w:left w:w="108" w:type="dxa"/>
            <w:bottom w:w="0" w:type="dxa"/>
            <w:right w:w="108" w:type="dxa"/>
          </w:tblCellMar>
        </w:tblPrEx>
        <w:trPr>
          <w:trHeight w:val="327" w:hRule="atLeast"/>
        </w:trPr>
        <w:tc>
          <w:tcPr>
            <w:tcW w:w="1605" w:type="pct"/>
            <w:gridSpan w:val="2"/>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05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（2-6°］</w:t>
            </w:r>
          </w:p>
        </w:tc>
        <w:tc>
          <w:tcPr>
            <w:tcW w:w="989"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11.6848</w:t>
            </w:r>
          </w:p>
        </w:tc>
        <w:tc>
          <w:tcPr>
            <w:tcW w:w="63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20.3955</w:t>
            </w:r>
          </w:p>
        </w:tc>
        <w:tc>
          <w:tcPr>
            <w:tcW w:w="71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8.7107</w:t>
            </w:r>
          </w:p>
        </w:tc>
      </w:tr>
      <w:tr>
        <w:tblPrEx>
          <w:tblCellMar>
            <w:top w:w="0" w:type="dxa"/>
            <w:left w:w="108" w:type="dxa"/>
            <w:bottom w:w="0" w:type="dxa"/>
            <w:right w:w="108" w:type="dxa"/>
          </w:tblCellMar>
        </w:tblPrEx>
        <w:trPr>
          <w:trHeight w:val="327" w:hRule="atLeast"/>
        </w:trPr>
        <w:tc>
          <w:tcPr>
            <w:tcW w:w="1605" w:type="pct"/>
            <w:gridSpan w:val="2"/>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05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（6-15°］</w:t>
            </w:r>
          </w:p>
        </w:tc>
        <w:tc>
          <w:tcPr>
            <w:tcW w:w="989"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6.6453</w:t>
            </w:r>
          </w:p>
        </w:tc>
        <w:tc>
          <w:tcPr>
            <w:tcW w:w="63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71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-6.6453</w:t>
            </w:r>
          </w:p>
        </w:tc>
      </w:tr>
      <w:tr>
        <w:tblPrEx>
          <w:tblCellMar>
            <w:top w:w="0" w:type="dxa"/>
            <w:left w:w="108" w:type="dxa"/>
            <w:bottom w:w="0" w:type="dxa"/>
            <w:right w:w="108" w:type="dxa"/>
          </w:tblCellMar>
        </w:tblPrEx>
        <w:trPr>
          <w:trHeight w:val="327" w:hRule="atLeast"/>
        </w:trPr>
        <w:tc>
          <w:tcPr>
            <w:tcW w:w="1605" w:type="pct"/>
            <w:gridSpan w:val="2"/>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05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（15-25°］</w:t>
            </w:r>
          </w:p>
        </w:tc>
        <w:tc>
          <w:tcPr>
            <w:tcW w:w="989"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1.342</w:t>
            </w:r>
          </w:p>
        </w:tc>
        <w:tc>
          <w:tcPr>
            <w:tcW w:w="63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71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-1.342</w:t>
            </w:r>
          </w:p>
        </w:tc>
      </w:tr>
      <w:tr>
        <w:tblPrEx>
          <w:tblCellMar>
            <w:top w:w="0" w:type="dxa"/>
            <w:left w:w="108" w:type="dxa"/>
            <w:bottom w:w="0" w:type="dxa"/>
            <w:right w:w="108" w:type="dxa"/>
          </w:tblCellMar>
        </w:tblPrEx>
        <w:trPr>
          <w:trHeight w:val="327" w:hRule="atLeast"/>
        </w:trPr>
        <w:tc>
          <w:tcPr>
            <w:tcW w:w="1605" w:type="pct"/>
            <w:gridSpan w:val="2"/>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05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989"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0.5631</w:t>
            </w:r>
          </w:p>
        </w:tc>
        <w:tc>
          <w:tcPr>
            <w:tcW w:w="63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71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-0.5631</w:t>
            </w:r>
          </w:p>
        </w:tc>
      </w:tr>
      <w:tr>
        <w:tblPrEx>
          <w:tblCellMar>
            <w:top w:w="0" w:type="dxa"/>
            <w:left w:w="108" w:type="dxa"/>
            <w:bottom w:w="0" w:type="dxa"/>
            <w:right w:w="108" w:type="dxa"/>
          </w:tblCellMar>
        </w:tblPrEx>
        <w:trPr>
          <w:trHeight w:val="327" w:hRule="atLeast"/>
        </w:trPr>
        <w:tc>
          <w:tcPr>
            <w:tcW w:w="1605" w:type="pct"/>
            <w:gridSpan w:val="2"/>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05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无坡度等级</w:t>
            </w:r>
          </w:p>
        </w:tc>
        <w:tc>
          <w:tcPr>
            <w:tcW w:w="989"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0.6716</w:t>
            </w:r>
          </w:p>
        </w:tc>
        <w:tc>
          <w:tcPr>
            <w:tcW w:w="63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71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-0.6716</w:t>
            </w:r>
          </w:p>
        </w:tc>
      </w:tr>
      <w:tr>
        <w:tblPrEx>
          <w:tblCellMar>
            <w:top w:w="0" w:type="dxa"/>
            <w:left w:w="108" w:type="dxa"/>
            <w:bottom w:w="0" w:type="dxa"/>
            <w:right w:w="108" w:type="dxa"/>
          </w:tblCellMar>
        </w:tblPrEx>
        <w:trPr>
          <w:trHeight w:val="327" w:hRule="atLeast"/>
        </w:trPr>
        <w:tc>
          <w:tcPr>
            <w:tcW w:w="1605" w:type="pct"/>
            <w:gridSpan w:val="2"/>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05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合计</w:t>
            </w:r>
          </w:p>
        </w:tc>
        <w:tc>
          <w:tcPr>
            <w:tcW w:w="989"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26.5381</w:t>
            </w:r>
          </w:p>
        </w:tc>
        <w:tc>
          <w:tcPr>
            <w:tcW w:w="63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28.2092</w:t>
            </w:r>
          </w:p>
        </w:tc>
        <w:tc>
          <w:tcPr>
            <w:tcW w:w="71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1.6711</w:t>
            </w:r>
          </w:p>
        </w:tc>
      </w:tr>
      <w:tr>
        <w:tblPrEx>
          <w:tblCellMar>
            <w:top w:w="0" w:type="dxa"/>
            <w:left w:w="108" w:type="dxa"/>
            <w:bottom w:w="0" w:type="dxa"/>
            <w:right w:w="108" w:type="dxa"/>
          </w:tblCellMar>
        </w:tblPrEx>
        <w:trPr>
          <w:trHeight w:val="342" w:hRule="atLeast"/>
        </w:trPr>
        <w:tc>
          <w:tcPr>
            <w:tcW w:w="1605" w:type="pct"/>
            <w:gridSpan w:val="2"/>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质量等别</w:t>
            </w:r>
          </w:p>
        </w:tc>
        <w:tc>
          <w:tcPr>
            <w:tcW w:w="105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989"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13.2201</w:t>
            </w:r>
          </w:p>
        </w:tc>
        <w:tc>
          <w:tcPr>
            <w:tcW w:w="63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28.2092</w:t>
            </w:r>
          </w:p>
        </w:tc>
        <w:tc>
          <w:tcPr>
            <w:tcW w:w="71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14.9891</w:t>
            </w:r>
          </w:p>
        </w:tc>
      </w:tr>
      <w:tr>
        <w:tblPrEx>
          <w:tblCellMar>
            <w:top w:w="0" w:type="dxa"/>
            <w:left w:w="108" w:type="dxa"/>
            <w:bottom w:w="0" w:type="dxa"/>
            <w:right w:w="108" w:type="dxa"/>
          </w:tblCellMar>
        </w:tblPrEx>
        <w:trPr>
          <w:trHeight w:val="327" w:hRule="atLeast"/>
        </w:trPr>
        <w:tc>
          <w:tcPr>
            <w:tcW w:w="1605" w:type="pct"/>
            <w:gridSpan w:val="2"/>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05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w:t>
            </w:r>
          </w:p>
        </w:tc>
        <w:tc>
          <w:tcPr>
            <w:tcW w:w="989"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8.96</w:t>
            </w:r>
          </w:p>
        </w:tc>
        <w:tc>
          <w:tcPr>
            <w:tcW w:w="63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71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-8.96</w:t>
            </w:r>
          </w:p>
        </w:tc>
      </w:tr>
      <w:tr>
        <w:tblPrEx>
          <w:tblCellMar>
            <w:top w:w="0" w:type="dxa"/>
            <w:left w:w="108" w:type="dxa"/>
            <w:bottom w:w="0" w:type="dxa"/>
            <w:right w:w="108" w:type="dxa"/>
          </w:tblCellMar>
        </w:tblPrEx>
        <w:trPr>
          <w:trHeight w:val="327" w:hRule="atLeast"/>
        </w:trPr>
        <w:tc>
          <w:tcPr>
            <w:tcW w:w="1605" w:type="pct"/>
            <w:gridSpan w:val="2"/>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05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989"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1.5533</w:t>
            </w:r>
          </w:p>
        </w:tc>
        <w:tc>
          <w:tcPr>
            <w:tcW w:w="63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71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-1.5533</w:t>
            </w:r>
          </w:p>
        </w:tc>
      </w:tr>
      <w:tr>
        <w:tblPrEx>
          <w:tblCellMar>
            <w:top w:w="0" w:type="dxa"/>
            <w:left w:w="108" w:type="dxa"/>
            <w:bottom w:w="0" w:type="dxa"/>
            <w:right w:w="108" w:type="dxa"/>
          </w:tblCellMar>
        </w:tblPrEx>
        <w:trPr>
          <w:trHeight w:val="327" w:hRule="atLeast"/>
        </w:trPr>
        <w:tc>
          <w:tcPr>
            <w:tcW w:w="1605" w:type="pct"/>
            <w:gridSpan w:val="2"/>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05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w:t>
            </w:r>
          </w:p>
        </w:tc>
        <w:tc>
          <w:tcPr>
            <w:tcW w:w="989"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0.9571</w:t>
            </w:r>
          </w:p>
        </w:tc>
        <w:tc>
          <w:tcPr>
            <w:tcW w:w="63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71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-0.9571</w:t>
            </w:r>
          </w:p>
        </w:tc>
      </w:tr>
      <w:tr>
        <w:tblPrEx>
          <w:tblCellMar>
            <w:top w:w="0" w:type="dxa"/>
            <w:left w:w="108" w:type="dxa"/>
            <w:bottom w:w="0" w:type="dxa"/>
            <w:right w:w="108" w:type="dxa"/>
          </w:tblCellMar>
        </w:tblPrEx>
        <w:trPr>
          <w:trHeight w:val="327" w:hRule="atLeast"/>
        </w:trPr>
        <w:tc>
          <w:tcPr>
            <w:tcW w:w="1605" w:type="pct"/>
            <w:gridSpan w:val="2"/>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05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989"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1.176</w:t>
            </w:r>
          </w:p>
        </w:tc>
        <w:tc>
          <w:tcPr>
            <w:tcW w:w="63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71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-1.176</w:t>
            </w:r>
          </w:p>
        </w:tc>
      </w:tr>
      <w:tr>
        <w:tblPrEx>
          <w:tblCellMar>
            <w:top w:w="0" w:type="dxa"/>
            <w:left w:w="108" w:type="dxa"/>
            <w:bottom w:w="0" w:type="dxa"/>
            <w:right w:w="108" w:type="dxa"/>
          </w:tblCellMar>
        </w:tblPrEx>
        <w:trPr>
          <w:trHeight w:val="327" w:hRule="atLeast"/>
        </w:trPr>
        <w:tc>
          <w:tcPr>
            <w:tcW w:w="1605" w:type="pct"/>
            <w:gridSpan w:val="2"/>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05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无质量等别</w:t>
            </w:r>
          </w:p>
        </w:tc>
        <w:tc>
          <w:tcPr>
            <w:tcW w:w="989"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0.6716</w:t>
            </w:r>
          </w:p>
        </w:tc>
        <w:tc>
          <w:tcPr>
            <w:tcW w:w="63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71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-0.6716</w:t>
            </w:r>
          </w:p>
        </w:tc>
      </w:tr>
      <w:tr>
        <w:tblPrEx>
          <w:tblCellMar>
            <w:top w:w="0" w:type="dxa"/>
            <w:left w:w="108" w:type="dxa"/>
            <w:bottom w:w="0" w:type="dxa"/>
            <w:right w:w="108" w:type="dxa"/>
          </w:tblCellMar>
        </w:tblPrEx>
        <w:trPr>
          <w:trHeight w:val="327" w:hRule="atLeast"/>
        </w:trPr>
        <w:tc>
          <w:tcPr>
            <w:tcW w:w="1605" w:type="pct"/>
            <w:gridSpan w:val="2"/>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05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平均质量等别</w:t>
            </w:r>
          </w:p>
        </w:tc>
        <w:tc>
          <w:tcPr>
            <w:tcW w:w="989"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7.7 </w:t>
            </w:r>
          </w:p>
        </w:tc>
        <w:tc>
          <w:tcPr>
            <w:tcW w:w="637"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6.0 </w:t>
            </w:r>
          </w:p>
        </w:tc>
        <w:tc>
          <w:tcPr>
            <w:tcW w:w="71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-1.7 </w:t>
            </w:r>
          </w:p>
        </w:tc>
      </w:tr>
    </w:tbl>
    <w:p>
      <w:pPr>
        <w:adjustRightInd w:val="0"/>
        <w:ind w:firstLine="480" w:firstLineChars="200"/>
        <w:jc w:val="right"/>
        <w:rPr>
          <w:rFonts w:eastAsia="仿宋_GB2312"/>
          <w:color w:val="000000"/>
          <w:sz w:val="24"/>
        </w:rPr>
      </w:pPr>
    </w:p>
    <w:p>
      <w:pPr>
        <w:keepNext/>
        <w:keepLines/>
        <w:adjustRightInd w:val="0"/>
        <w:spacing w:line="360" w:lineRule="auto"/>
        <w:ind w:firstLine="562" w:firstLineChars="200"/>
        <w:rPr>
          <w:rFonts w:eastAsia="仿宋_GB2312"/>
          <w:b/>
          <w:bCs/>
          <w:color w:val="000000"/>
          <w:sz w:val="28"/>
          <w:szCs w:val="28"/>
        </w:rPr>
      </w:pPr>
      <w:r>
        <w:rPr>
          <w:rFonts w:hint="eastAsia" w:eastAsia="仿宋_GB2312"/>
          <w:b/>
          <w:bCs/>
          <w:color w:val="000000"/>
          <w:sz w:val="28"/>
          <w:szCs w:val="28"/>
        </w:rPr>
        <w:t>2</w:t>
      </w:r>
      <w:r>
        <w:rPr>
          <w:rFonts w:eastAsia="仿宋_GB2312"/>
          <w:b/>
          <w:bCs/>
          <w:color w:val="000000"/>
          <w:sz w:val="28"/>
          <w:szCs w:val="28"/>
        </w:rPr>
        <w:t>、坝区永久基本农田占用补划对比分析</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瑞丽至孟连高速公路建设项目用地占用芒市坝区永久基本农田14.0111公顷，补划坝区永久基本农田23.1751公顷，多补划了9.1640公顷，满足补划要求。</w:t>
      </w:r>
    </w:p>
    <w:p>
      <w:pPr>
        <w:widowControl/>
        <w:adjustRightInd w:val="0"/>
        <w:spacing w:line="360" w:lineRule="auto"/>
        <w:ind w:firstLine="562" w:firstLineChars="200"/>
        <w:jc w:val="center"/>
        <w:rPr>
          <w:rFonts w:eastAsia="黑体"/>
          <w:b/>
          <w:bCs/>
          <w:color w:val="000000"/>
          <w:sz w:val="28"/>
          <w:szCs w:val="28"/>
        </w:rPr>
      </w:pPr>
      <w:r>
        <w:rPr>
          <w:rFonts w:hint="eastAsia" w:eastAsia="仿宋_GB2312"/>
          <w:b/>
          <w:bCs/>
          <w:color w:val="000000"/>
          <w:sz w:val="28"/>
          <w:szCs w:val="28"/>
        </w:rPr>
        <w:t>表5-4芒市</w:t>
      </w:r>
      <w:r>
        <w:rPr>
          <w:rFonts w:eastAsia="仿宋_GB2312"/>
          <w:b/>
          <w:bCs/>
          <w:color w:val="000000"/>
          <w:sz w:val="28"/>
          <w:szCs w:val="28"/>
        </w:rPr>
        <w:t>坝区永久基本农田补划前后对表</w:t>
      </w:r>
    </w:p>
    <w:p>
      <w:pPr>
        <w:adjustRightInd w:val="0"/>
        <w:ind w:firstLine="480" w:firstLineChars="200"/>
        <w:jc w:val="right"/>
        <w:rPr>
          <w:rFonts w:eastAsia="仿宋_GB2312"/>
          <w:color w:val="000000"/>
          <w:sz w:val="24"/>
        </w:rPr>
      </w:pPr>
      <w:r>
        <w:rPr>
          <w:rFonts w:eastAsia="仿宋_GB2312"/>
          <w:color w:val="000000"/>
          <w:sz w:val="24"/>
        </w:rPr>
        <w:t>单位：公顷</w:t>
      </w:r>
    </w:p>
    <w:tbl>
      <w:tblPr>
        <w:tblStyle w:val="14"/>
        <w:tblW w:w="5000" w:type="pct"/>
        <w:jc w:val="center"/>
        <w:tblLayout w:type="autofit"/>
        <w:tblCellMar>
          <w:top w:w="0" w:type="dxa"/>
          <w:left w:w="108" w:type="dxa"/>
          <w:bottom w:w="0" w:type="dxa"/>
          <w:right w:w="108" w:type="dxa"/>
        </w:tblCellMar>
      </w:tblPr>
      <w:tblGrid>
        <w:gridCol w:w="1263"/>
        <w:gridCol w:w="1572"/>
        <w:gridCol w:w="2160"/>
        <w:gridCol w:w="1302"/>
        <w:gridCol w:w="1302"/>
        <w:gridCol w:w="1517"/>
      </w:tblGrid>
      <w:tr>
        <w:tblPrEx>
          <w:tblCellMar>
            <w:top w:w="0" w:type="dxa"/>
            <w:left w:w="108" w:type="dxa"/>
            <w:bottom w:w="0" w:type="dxa"/>
            <w:right w:w="108" w:type="dxa"/>
          </w:tblCellMar>
        </w:tblPrEx>
        <w:trPr>
          <w:trHeight w:val="357" w:hRule="atLeast"/>
          <w:jc w:val="center"/>
        </w:trPr>
        <w:tc>
          <w:tcPr>
            <w:tcW w:w="1555" w:type="pct"/>
            <w:gridSpan w:val="2"/>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坝区永久基本农田</w:t>
            </w:r>
          </w:p>
        </w:tc>
        <w:tc>
          <w:tcPr>
            <w:tcW w:w="1185" w:type="pct"/>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地类</w:t>
            </w:r>
          </w:p>
        </w:tc>
        <w:tc>
          <w:tcPr>
            <w:tcW w:w="714" w:type="pct"/>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占用</w:t>
            </w:r>
          </w:p>
        </w:tc>
        <w:tc>
          <w:tcPr>
            <w:tcW w:w="714" w:type="pct"/>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补划</w:t>
            </w:r>
          </w:p>
        </w:tc>
        <w:tc>
          <w:tcPr>
            <w:tcW w:w="832" w:type="pct"/>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变化量</w:t>
            </w:r>
          </w:p>
        </w:tc>
      </w:tr>
      <w:tr>
        <w:tblPrEx>
          <w:tblCellMar>
            <w:top w:w="0" w:type="dxa"/>
            <w:left w:w="108" w:type="dxa"/>
            <w:bottom w:w="0" w:type="dxa"/>
            <w:right w:w="108" w:type="dxa"/>
          </w:tblCellMar>
        </w:tblPrEx>
        <w:trPr>
          <w:trHeight w:val="327" w:hRule="atLeast"/>
          <w:jc w:val="center"/>
        </w:trPr>
        <w:tc>
          <w:tcPr>
            <w:tcW w:w="1555" w:type="pct"/>
            <w:gridSpan w:val="2"/>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b/>
                <w:bCs/>
                <w:color w:val="000000"/>
                <w:kern w:val="0"/>
                <w:sz w:val="24"/>
                <w:szCs w:val="24"/>
              </w:rPr>
            </w:pPr>
          </w:p>
        </w:tc>
        <w:tc>
          <w:tcPr>
            <w:tcW w:w="1185" w:type="pct"/>
            <w:vMerge w:val="continue"/>
            <w:tcBorders>
              <w:top w:val="single" w:color="000000" w:sz="8" w:space="0"/>
              <w:left w:val="nil"/>
              <w:bottom w:val="single" w:color="000000" w:sz="8" w:space="0"/>
              <w:right w:val="single" w:color="000000" w:sz="8" w:space="0"/>
            </w:tcBorders>
            <w:vAlign w:val="center"/>
          </w:tcPr>
          <w:p>
            <w:pPr>
              <w:widowControl/>
              <w:jc w:val="left"/>
              <w:rPr>
                <w:rFonts w:ascii="Times New Roman" w:hAnsi="Times New Roman" w:eastAsia="仿宋_GB2312" w:cs="Times New Roman"/>
                <w:b/>
                <w:bCs/>
                <w:color w:val="000000"/>
                <w:kern w:val="0"/>
                <w:sz w:val="24"/>
                <w:szCs w:val="24"/>
              </w:rPr>
            </w:pPr>
          </w:p>
        </w:tc>
        <w:tc>
          <w:tcPr>
            <w:tcW w:w="714" w:type="pct"/>
            <w:vMerge w:val="continue"/>
            <w:tcBorders>
              <w:top w:val="single" w:color="000000" w:sz="8" w:space="0"/>
              <w:left w:val="nil"/>
              <w:bottom w:val="single" w:color="000000" w:sz="8" w:space="0"/>
              <w:right w:val="single" w:color="000000" w:sz="8" w:space="0"/>
            </w:tcBorders>
            <w:vAlign w:val="center"/>
          </w:tcPr>
          <w:p>
            <w:pPr>
              <w:widowControl/>
              <w:jc w:val="left"/>
              <w:rPr>
                <w:rFonts w:ascii="Times New Roman" w:hAnsi="Times New Roman" w:eastAsia="仿宋_GB2312" w:cs="Times New Roman"/>
                <w:b/>
                <w:bCs/>
                <w:color w:val="000000"/>
                <w:kern w:val="0"/>
                <w:sz w:val="24"/>
                <w:szCs w:val="24"/>
              </w:rPr>
            </w:pPr>
          </w:p>
        </w:tc>
        <w:tc>
          <w:tcPr>
            <w:tcW w:w="714" w:type="pct"/>
            <w:vMerge w:val="continue"/>
            <w:tcBorders>
              <w:top w:val="single" w:color="000000" w:sz="8" w:space="0"/>
              <w:left w:val="nil"/>
              <w:bottom w:val="single" w:color="000000" w:sz="8" w:space="0"/>
              <w:right w:val="single" w:color="000000" w:sz="8" w:space="0"/>
            </w:tcBorders>
            <w:vAlign w:val="center"/>
          </w:tcPr>
          <w:p>
            <w:pPr>
              <w:widowControl/>
              <w:jc w:val="left"/>
              <w:rPr>
                <w:rFonts w:ascii="Times New Roman" w:hAnsi="Times New Roman" w:eastAsia="仿宋_GB2312" w:cs="Times New Roman"/>
                <w:b/>
                <w:bCs/>
                <w:color w:val="000000"/>
                <w:kern w:val="0"/>
                <w:sz w:val="24"/>
                <w:szCs w:val="24"/>
              </w:rPr>
            </w:pPr>
          </w:p>
        </w:tc>
        <w:tc>
          <w:tcPr>
            <w:tcW w:w="83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补划-占用</w:t>
            </w:r>
          </w:p>
        </w:tc>
      </w:tr>
      <w:tr>
        <w:tblPrEx>
          <w:tblCellMar>
            <w:top w:w="0" w:type="dxa"/>
            <w:left w:w="108" w:type="dxa"/>
            <w:bottom w:w="0" w:type="dxa"/>
            <w:right w:w="108" w:type="dxa"/>
          </w:tblCellMar>
        </w:tblPrEx>
        <w:trPr>
          <w:trHeight w:val="357" w:hRule="atLeast"/>
          <w:jc w:val="center"/>
        </w:trPr>
        <w:tc>
          <w:tcPr>
            <w:tcW w:w="693" w:type="pct"/>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地类构成</w:t>
            </w:r>
          </w:p>
        </w:tc>
        <w:tc>
          <w:tcPr>
            <w:tcW w:w="2047" w:type="pct"/>
            <w:gridSpan w:val="2"/>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合计</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14.0111</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23.1751</w:t>
            </w:r>
          </w:p>
        </w:tc>
        <w:tc>
          <w:tcPr>
            <w:tcW w:w="83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9.1640</w:t>
            </w:r>
          </w:p>
        </w:tc>
      </w:tr>
      <w:tr>
        <w:tblPrEx>
          <w:tblCellMar>
            <w:top w:w="0" w:type="dxa"/>
            <w:left w:w="108" w:type="dxa"/>
            <w:bottom w:w="0" w:type="dxa"/>
            <w:right w:w="108" w:type="dxa"/>
          </w:tblCellMar>
        </w:tblPrEx>
        <w:trPr>
          <w:trHeight w:val="357" w:hRule="atLeast"/>
          <w:jc w:val="center"/>
        </w:trPr>
        <w:tc>
          <w:tcPr>
            <w:tcW w:w="693" w:type="pct"/>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862" w:type="pct"/>
            <w:vMerge w:val="restar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耕地</w:t>
            </w:r>
          </w:p>
        </w:tc>
        <w:tc>
          <w:tcPr>
            <w:tcW w:w="1185"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水田</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9.5644</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23.1751</w:t>
            </w:r>
          </w:p>
        </w:tc>
        <w:tc>
          <w:tcPr>
            <w:tcW w:w="83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13.6107</w:t>
            </w:r>
          </w:p>
        </w:tc>
      </w:tr>
      <w:tr>
        <w:tblPrEx>
          <w:tblCellMar>
            <w:top w:w="0" w:type="dxa"/>
            <w:left w:w="108" w:type="dxa"/>
            <w:bottom w:w="0" w:type="dxa"/>
            <w:right w:w="108" w:type="dxa"/>
          </w:tblCellMar>
        </w:tblPrEx>
        <w:trPr>
          <w:trHeight w:val="327" w:hRule="atLeast"/>
          <w:jc w:val="center"/>
        </w:trPr>
        <w:tc>
          <w:tcPr>
            <w:tcW w:w="693" w:type="pct"/>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862" w:type="pct"/>
            <w:vMerge w:val="continue"/>
            <w:tcBorders>
              <w:top w:val="nil"/>
              <w:left w:val="nil"/>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185"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旱地</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3.7751</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83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-3.7751</w:t>
            </w:r>
          </w:p>
        </w:tc>
      </w:tr>
      <w:tr>
        <w:tblPrEx>
          <w:tblCellMar>
            <w:top w:w="0" w:type="dxa"/>
            <w:left w:w="108" w:type="dxa"/>
            <w:bottom w:w="0" w:type="dxa"/>
            <w:right w:w="108" w:type="dxa"/>
          </w:tblCellMar>
        </w:tblPrEx>
        <w:trPr>
          <w:trHeight w:val="327" w:hRule="atLeast"/>
          <w:jc w:val="center"/>
        </w:trPr>
        <w:tc>
          <w:tcPr>
            <w:tcW w:w="693" w:type="pct"/>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862" w:type="pct"/>
            <w:vMerge w:val="continue"/>
            <w:tcBorders>
              <w:top w:val="nil"/>
              <w:left w:val="nil"/>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185"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小计</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13.3395</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23.1751</w:t>
            </w:r>
          </w:p>
        </w:tc>
        <w:tc>
          <w:tcPr>
            <w:tcW w:w="83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9.8356</w:t>
            </w:r>
          </w:p>
        </w:tc>
      </w:tr>
      <w:tr>
        <w:tblPrEx>
          <w:tblCellMar>
            <w:top w:w="0" w:type="dxa"/>
            <w:left w:w="108" w:type="dxa"/>
            <w:bottom w:w="0" w:type="dxa"/>
            <w:right w:w="108" w:type="dxa"/>
          </w:tblCellMar>
        </w:tblPrEx>
        <w:trPr>
          <w:trHeight w:val="357" w:hRule="atLeast"/>
          <w:jc w:val="center"/>
        </w:trPr>
        <w:tc>
          <w:tcPr>
            <w:tcW w:w="693" w:type="pct"/>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862" w:type="pct"/>
            <w:vMerge w:val="restar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可调整园地</w:t>
            </w:r>
          </w:p>
        </w:tc>
        <w:tc>
          <w:tcPr>
            <w:tcW w:w="1185"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茶园</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83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r>
      <w:tr>
        <w:tblPrEx>
          <w:tblCellMar>
            <w:top w:w="0" w:type="dxa"/>
            <w:left w:w="108" w:type="dxa"/>
            <w:bottom w:w="0" w:type="dxa"/>
            <w:right w:w="108" w:type="dxa"/>
          </w:tblCellMar>
        </w:tblPrEx>
        <w:trPr>
          <w:trHeight w:val="327" w:hRule="atLeast"/>
          <w:jc w:val="center"/>
        </w:trPr>
        <w:tc>
          <w:tcPr>
            <w:tcW w:w="693" w:type="pct"/>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862" w:type="pct"/>
            <w:vMerge w:val="continue"/>
            <w:tcBorders>
              <w:top w:val="nil"/>
              <w:left w:val="nil"/>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185"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果园</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0.6716</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83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-0.6716</w:t>
            </w:r>
          </w:p>
        </w:tc>
      </w:tr>
      <w:tr>
        <w:tblPrEx>
          <w:tblCellMar>
            <w:top w:w="0" w:type="dxa"/>
            <w:left w:w="108" w:type="dxa"/>
            <w:bottom w:w="0" w:type="dxa"/>
            <w:right w:w="108" w:type="dxa"/>
          </w:tblCellMar>
        </w:tblPrEx>
        <w:trPr>
          <w:trHeight w:val="327" w:hRule="atLeast"/>
          <w:jc w:val="center"/>
        </w:trPr>
        <w:tc>
          <w:tcPr>
            <w:tcW w:w="693" w:type="pct"/>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862" w:type="pct"/>
            <w:vMerge w:val="continue"/>
            <w:tcBorders>
              <w:top w:val="nil"/>
              <w:left w:val="nil"/>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185"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其他园地</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83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r>
      <w:tr>
        <w:tblPrEx>
          <w:tblCellMar>
            <w:top w:w="0" w:type="dxa"/>
            <w:left w:w="108" w:type="dxa"/>
            <w:bottom w:w="0" w:type="dxa"/>
            <w:right w:w="108" w:type="dxa"/>
          </w:tblCellMar>
        </w:tblPrEx>
        <w:trPr>
          <w:trHeight w:val="327" w:hRule="atLeast"/>
          <w:jc w:val="center"/>
        </w:trPr>
        <w:tc>
          <w:tcPr>
            <w:tcW w:w="693" w:type="pct"/>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862" w:type="pct"/>
            <w:vMerge w:val="continue"/>
            <w:tcBorders>
              <w:top w:val="nil"/>
              <w:left w:val="nil"/>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185"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小计</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0.6716</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83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-0.6716</w:t>
            </w:r>
          </w:p>
        </w:tc>
      </w:tr>
      <w:tr>
        <w:tblPrEx>
          <w:tblCellMar>
            <w:top w:w="0" w:type="dxa"/>
            <w:left w:w="108" w:type="dxa"/>
            <w:bottom w:w="0" w:type="dxa"/>
            <w:right w:w="108" w:type="dxa"/>
          </w:tblCellMar>
        </w:tblPrEx>
        <w:trPr>
          <w:trHeight w:val="357" w:hRule="atLeast"/>
          <w:jc w:val="center"/>
        </w:trPr>
        <w:tc>
          <w:tcPr>
            <w:tcW w:w="1555" w:type="pct"/>
            <w:gridSpan w:val="2"/>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坡度等级</w:t>
            </w:r>
          </w:p>
        </w:tc>
        <w:tc>
          <w:tcPr>
            <w:tcW w:w="1185"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（0-2°］</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5.3848</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3.1026</w:t>
            </w:r>
          </w:p>
        </w:tc>
        <w:tc>
          <w:tcPr>
            <w:tcW w:w="83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-2.2822</w:t>
            </w:r>
          </w:p>
        </w:tc>
      </w:tr>
      <w:tr>
        <w:tblPrEx>
          <w:tblCellMar>
            <w:top w:w="0" w:type="dxa"/>
            <w:left w:w="108" w:type="dxa"/>
            <w:bottom w:w="0" w:type="dxa"/>
            <w:right w:w="108" w:type="dxa"/>
          </w:tblCellMar>
        </w:tblPrEx>
        <w:trPr>
          <w:trHeight w:val="327" w:hRule="atLeast"/>
          <w:jc w:val="center"/>
        </w:trPr>
        <w:tc>
          <w:tcPr>
            <w:tcW w:w="1555" w:type="pct"/>
            <w:gridSpan w:val="2"/>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185"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（2-6°］</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6.1454</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20.0725</w:t>
            </w:r>
          </w:p>
        </w:tc>
        <w:tc>
          <w:tcPr>
            <w:tcW w:w="83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13.9271</w:t>
            </w:r>
          </w:p>
        </w:tc>
      </w:tr>
      <w:tr>
        <w:tblPrEx>
          <w:tblCellMar>
            <w:top w:w="0" w:type="dxa"/>
            <w:left w:w="108" w:type="dxa"/>
            <w:bottom w:w="0" w:type="dxa"/>
            <w:right w:w="108" w:type="dxa"/>
          </w:tblCellMar>
        </w:tblPrEx>
        <w:trPr>
          <w:trHeight w:val="327" w:hRule="atLeast"/>
          <w:jc w:val="center"/>
        </w:trPr>
        <w:tc>
          <w:tcPr>
            <w:tcW w:w="1555" w:type="pct"/>
            <w:gridSpan w:val="2"/>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185"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（6-15°］</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1.8093</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83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-1.8093</w:t>
            </w:r>
          </w:p>
        </w:tc>
      </w:tr>
      <w:tr>
        <w:tblPrEx>
          <w:tblCellMar>
            <w:top w:w="0" w:type="dxa"/>
            <w:left w:w="108" w:type="dxa"/>
            <w:bottom w:w="0" w:type="dxa"/>
            <w:right w:w="108" w:type="dxa"/>
          </w:tblCellMar>
        </w:tblPrEx>
        <w:trPr>
          <w:trHeight w:val="327" w:hRule="atLeast"/>
          <w:jc w:val="center"/>
        </w:trPr>
        <w:tc>
          <w:tcPr>
            <w:tcW w:w="1555" w:type="pct"/>
            <w:gridSpan w:val="2"/>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185"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（15-25°］</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83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r>
      <w:tr>
        <w:tblPrEx>
          <w:tblCellMar>
            <w:top w:w="0" w:type="dxa"/>
            <w:left w:w="108" w:type="dxa"/>
            <w:bottom w:w="0" w:type="dxa"/>
            <w:right w:w="108" w:type="dxa"/>
          </w:tblCellMar>
        </w:tblPrEx>
        <w:trPr>
          <w:trHeight w:val="327" w:hRule="atLeast"/>
          <w:jc w:val="center"/>
        </w:trPr>
        <w:tc>
          <w:tcPr>
            <w:tcW w:w="1555" w:type="pct"/>
            <w:gridSpan w:val="2"/>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185"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83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r>
      <w:tr>
        <w:tblPrEx>
          <w:tblCellMar>
            <w:top w:w="0" w:type="dxa"/>
            <w:left w:w="108" w:type="dxa"/>
            <w:bottom w:w="0" w:type="dxa"/>
            <w:right w:w="108" w:type="dxa"/>
          </w:tblCellMar>
        </w:tblPrEx>
        <w:trPr>
          <w:trHeight w:val="327" w:hRule="atLeast"/>
          <w:jc w:val="center"/>
        </w:trPr>
        <w:tc>
          <w:tcPr>
            <w:tcW w:w="1555" w:type="pct"/>
            <w:gridSpan w:val="2"/>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185"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无坡度等级</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0.6716</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83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-0.6716</w:t>
            </w:r>
          </w:p>
        </w:tc>
      </w:tr>
      <w:tr>
        <w:tblPrEx>
          <w:tblCellMar>
            <w:top w:w="0" w:type="dxa"/>
            <w:left w:w="108" w:type="dxa"/>
            <w:bottom w:w="0" w:type="dxa"/>
            <w:right w:w="108" w:type="dxa"/>
          </w:tblCellMar>
        </w:tblPrEx>
        <w:trPr>
          <w:trHeight w:val="327" w:hRule="atLeast"/>
          <w:jc w:val="center"/>
        </w:trPr>
        <w:tc>
          <w:tcPr>
            <w:tcW w:w="1555" w:type="pct"/>
            <w:gridSpan w:val="2"/>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185"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合计</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14.0111</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23.1751</w:t>
            </w:r>
          </w:p>
        </w:tc>
        <w:tc>
          <w:tcPr>
            <w:tcW w:w="83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9.164</w:t>
            </w:r>
          </w:p>
        </w:tc>
      </w:tr>
      <w:tr>
        <w:tblPrEx>
          <w:tblCellMar>
            <w:top w:w="0" w:type="dxa"/>
            <w:left w:w="108" w:type="dxa"/>
            <w:bottom w:w="0" w:type="dxa"/>
            <w:right w:w="108" w:type="dxa"/>
          </w:tblCellMar>
        </w:tblPrEx>
        <w:trPr>
          <w:trHeight w:val="357" w:hRule="atLeast"/>
          <w:jc w:val="center"/>
        </w:trPr>
        <w:tc>
          <w:tcPr>
            <w:tcW w:w="1555" w:type="pct"/>
            <w:gridSpan w:val="2"/>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质量等别</w:t>
            </w:r>
          </w:p>
        </w:tc>
        <w:tc>
          <w:tcPr>
            <w:tcW w:w="1185"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9.5644</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23.1751</w:t>
            </w:r>
          </w:p>
        </w:tc>
        <w:tc>
          <w:tcPr>
            <w:tcW w:w="83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13.6107</w:t>
            </w:r>
          </w:p>
        </w:tc>
      </w:tr>
      <w:tr>
        <w:tblPrEx>
          <w:tblCellMar>
            <w:top w:w="0" w:type="dxa"/>
            <w:left w:w="108" w:type="dxa"/>
            <w:bottom w:w="0" w:type="dxa"/>
            <w:right w:w="108" w:type="dxa"/>
          </w:tblCellMar>
        </w:tblPrEx>
        <w:trPr>
          <w:trHeight w:val="327" w:hRule="atLeast"/>
          <w:jc w:val="center"/>
        </w:trPr>
        <w:tc>
          <w:tcPr>
            <w:tcW w:w="1555" w:type="pct"/>
            <w:gridSpan w:val="2"/>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185"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3.3901</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83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-3.3901</w:t>
            </w:r>
          </w:p>
        </w:tc>
      </w:tr>
      <w:tr>
        <w:tblPrEx>
          <w:tblCellMar>
            <w:top w:w="0" w:type="dxa"/>
            <w:left w:w="108" w:type="dxa"/>
            <w:bottom w:w="0" w:type="dxa"/>
            <w:right w:w="108" w:type="dxa"/>
          </w:tblCellMar>
        </w:tblPrEx>
        <w:trPr>
          <w:trHeight w:val="327" w:hRule="atLeast"/>
          <w:jc w:val="center"/>
        </w:trPr>
        <w:tc>
          <w:tcPr>
            <w:tcW w:w="1555" w:type="pct"/>
            <w:gridSpan w:val="2"/>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185"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0.1883</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83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-0.1883</w:t>
            </w:r>
          </w:p>
        </w:tc>
      </w:tr>
      <w:tr>
        <w:tblPrEx>
          <w:tblCellMar>
            <w:top w:w="0" w:type="dxa"/>
            <w:left w:w="108" w:type="dxa"/>
            <w:bottom w:w="0" w:type="dxa"/>
            <w:right w:w="108" w:type="dxa"/>
          </w:tblCellMar>
        </w:tblPrEx>
        <w:trPr>
          <w:trHeight w:val="327" w:hRule="atLeast"/>
          <w:jc w:val="center"/>
        </w:trPr>
        <w:tc>
          <w:tcPr>
            <w:tcW w:w="1555" w:type="pct"/>
            <w:gridSpan w:val="2"/>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185"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0.1967</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83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-0.1967</w:t>
            </w:r>
          </w:p>
        </w:tc>
      </w:tr>
      <w:tr>
        <w:tblPrEx>
          <w:tblCellMar>
            <w:top w:w="0" w:type="dxa"/>
            <w:left w:w="108" w:type="dxa"/>
            <w:bottom w:w="0" w:type="dxa"/>
            <w:right w:w="108" w:type="dxa"/>
          </w:tblCellMar>
        </w:tblPrEx>
        <w:trPr>
          <w:trHeight w:val="327" w:hRule="atLeast"/>
          <w:jc w:val="center"/>
        </w:trPr>
        <w:tc>
          <w:tcPr>
            <w:tcW w:w="1555" w:type="pct"/>
            <w:gridSpan w:val="2"/>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185"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83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r>
      <w:tr>
        <w:tblPrEx>
          <w:tblCellMar>
            <w:top w:w="0" w:type="dxa"/>
            <w:left w:w="108" w:type="dxa"/>
            <w:bottom w:w="0" w:type="dxa"/>
            <w:right w:w="108" w:type="dxa"/>
          </w:tblCellMar>
        </w:tblPrEx>
        <w:trPr>
          <w:trHeight w:val="327" w:hRule="atLeast"/>
          <w:jc w:val="center"/>
        </w:trPr>
        <w:tc>
          <w:tcPr>
            <w:tcW w:w="1555" w:type="pct"/>
            <w:gridSpan w:val="2"/>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185"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无质量等别</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0.6716</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83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-0.6716</w:t>
            </w:r>
          </w:p>
        </w:tc>
      </w:tr>
      <w:tr>
        <w:tblPrEx>
          <w:tblCellMar>
            <w:top w:w="0" w:type="dxa"/>
            <w:left w:w="108" w:type="dxa"/>
            <w:bottom w:w="0" w:type="dxa"/>
            <w:right w:w="108" w:type="dxa"/>
          </w:tblCellMar>
        </w:tblPrEx>
        <w:trPr>
          <w:trHeight w:val="327" w:hRule="atLeast"/>
          <w:jc w:val="center"/>
        </w:trPr>
        <w:tc>
          <w:tcPr>
            <w:tcW w:w="1555" w:type="pct"/>
            <w:gridSpan w:val="2"/>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 w:val="24"/>
                <w:szCs w:val="24"/>
              </w:rPr>
            </w:pPr>
          </w:p>
        </w:tc>
        <w:tc>
          <w:tcPr>
            <w:tcW w:w="1185"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平均质量等别</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w:t>
            </w:r>
          </w:p>
        </w:tc>
        <w:tc>
          <w:tcPr>
            <w:tcW w:w="714"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832" w:type="pct"/>
            <w:tcBorders>
              <w:top w:val="nil"/>
              <w:left w:val="nil"/>
              <w:bottom w:val="single" w:color="000000" w:sz="8" w:space="0"/>
              <w:right w:val="single" w:color="000000" w:sz="8" w:space="0"/>
            </w:tcBorders>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-0.9</w:t>
            </w:r>
          </w:p>
        </w:tc>
      </w:tr>
    </w:tbl>
    <w:p>
      <w:pPr>
        <w:adjustRightInd w:val="0"/>
        <w:ind w:firstLine="480" w:firstLineChars="200"/>
        <w:jc w:val="right"/>
        <w:rPr>
          <w:rFonts w:eastAsia="仿宋_GB2312"/>
          <w:color w:val="000000"/>
          <w:sz w:val="24"/>
        </w:rPr>
      </w:pPr>
    </w:p>
    <w:p>
      <w:pPr>
        <w:keepNext/>
        <w:keepLines/>
        <w:adjustRightInd w:val="0"/>
        <w:spacing w:line="360" w:lineRule="auto"/>
        <w:ind w:firstLine="562" w:firstLineChars="200"/>
        <w:rPr>
          <w:rFonts w:eastAsia="仿宋_GB2312"/>
          <w:b/>
          <w:bCs/>
          <w:color w:val="000000"/>
          <w:sz w:val="28"/>
          <w:szCs w:val="28"/>
        </w:rPr>
      </w:pPr>
      <w:r>
        <w:rPr>
          <w:rFonts w:eastAsia="仿宋_GB2312"/>
          <w:b/>
          <w:bCs/>
          <w:color w:val="000000"/>
          <w:sz w:val="28"/>
          <w:szCs w:val="28"/>
        </w:rPr>
        <w:t>3</w:t>
      </w:r>
      <w:r>
        <w:rPr>
          <w:rFonts w:hint="eastAsia" w:eastAsia="仿宋_GB2312"/>
          <w:b/>
          <w:bCs/>
          <w:color w:val="000000"/>
          <w:sz w:val="28"/>
          <w:szCs w:val="28"/>
        </w:rPr>
        <w:t>.城镇</w:t>
      </w:r>
      <w:r>
        <w:rPr>
          <w:rFonts w:eastAsia="仿宋_GB2312"/>
          <w:b/>
          <w:bCs/>
          <w:color w:val="000000"/>
          <w:sz w:val="28"/>
          <w:szCs w:val="28"/>
        </w:rPr>
        <w:t>周边永久基本农田占用补划对比分析</w:t>
      </w:r>
    </w:p>
    <w:p>
      <w:pPr>
        <w:widowControl/>
        <w:adjustRightInd w:val="0"/>
        <w:spacing w:line="360" w:lineRule="auto"/>
        <w:ind w:firstLine="560" w:firstLineChars="200"/>
        <w:rPr>
          <w:rFonts w:eastAsia="仿宋_GB2312"/>
          <w:color w:val="000000"/>
          <w:sz w:val="24"/>
        </w:rPr>
      </w:pPr>
      <w:r>
        <w:rPr>
          <w:rFonts w:ascii="Times New Roman" w:hAnsi="Times New Roman" w:eastAsia="仿宋_GB2312" w:cs="Times New Roman"/>
          <w:bCs/>
          <w:color w:val="000000"/>
          <w:sz w:val="28"/>
          <w:szCs w:val="28"/>
        </w:rPr>
        <w:t>瑞丽至孟连高速公路建设项目用地占用芒市永久基本农田均位于芒市城镇周边，该项目占用城市周边永久基本农田26.5381公顷，补划城市周边永久基本农田28.2092公顷，多补划了1.6711公顷，能满足补划要求。详见上表-芒市永久基本农田占用补划情况对比表</w:t>
      </w:r>
      <w:r>
        <w:rPr>
          <w:rFonts w:hint="eastAsia" w:eastAsia="仿宋_GB2312"/>
          <w:bCs/>
          <w:color w:val="000000"/>
          <w:sz w:val="28"/>
          <w:szCs w:val="28"/>
        </w:rPr>
        <w:t>。</w:t>
      </w:r>
    </w:p>
    <w:p>
      <w:pPr>
        <w:keepNext/>
        <w:keepLines/>
        <w:adjustRightInd w:val="0"/>
        <w:spacing w:line="360" w:lineRule="auto"/>
        <w:ind w:firstLine="600" w:firstLineChars="200"/>
        <w:outlineLvl w:val="2"/>
        <w:rPr>
          <w:rFonts w:eastAsia="黑体"/>
          <w:bCs/>
          <w:color w:val="000000"/>
          <w:sz w:val="30"/>
          <w:szCs w:val="28"/>
        </w:rPr>
      </w:pPr>
      <w:bookmarkStart w:id="47" w:name="_Toc88211890"/>
      <w:r>
        <w:rPr>
          <w:rFonts w:hint="eastAsia" w:eastAsia="黑体"/>
          <w:bCs/>
          <w:color w:val="000000"/>
          <w:sz w:val="30"/>
          <w:szCs w:val="28"/>
        </w:rPr>
        <w:t>5.</w:t>
      </w:r>
      <w:r>
        <w:rPr>
          <w:rFonts w:eastAsia="黑体"/>
          <w:bCs/>
          <w:color w:val="000000"/>
          <w:sz w:val="30"/>
          <w:szCs w:val="28"/>
        </w:rPr>
        <w:t>7</w:t>
      </w:r>
      <w:r>
        <w:rPr>
          <w:rFonts w:hint="eastAsia" w:eastAsia="黑体"/>
          <w:bCs/>
          <w:color w:val="000000"/>
          <w:sz w:val="30"/>
          <w:szCs w:val="28"/>
        </w:rPr>
        <w:t>调整区域地类变化情况</w:t>
      </w:r>
      <w:bookmarkEnd w:id="47"/>
    </w:p>
    <w:p>
      <w:pPr>
        <w:keepNext/>
        <w:keepLines/>
        <w:adjustRightInd w:val="0"/>
        <w:spacing w:line="360" w:lineRule="auto"/>
        <w:ind w:firstLine="562" w:firstLineChars="200"/>
        <w:rPr>
          <w:rFonts w:eastAsia="仿宋_GB2312"/>
          <w:b/>
          <w:bCs/>
          <w:color w:val="000000"/>
          <w:sz w:val="28"/>
          <w:szCs w:val="28"/>
        </w:rPr>
      </w:pPr>
      <w:r>
        <w:rPr>
          <w:rFonts w:hint="eastAsia" w:eastAsia="仿宋_GB2312"/>
          <w:b/>
          <w:bCs/>
          <w:color w:val="000000"/>
          <w:sz w:val="28"/>
          <w:szCs w:val="28"/>
        </w:rPr>
        <w:t>1、调整区域地类流向情况</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本次土地用途调整，芒市将调入地块耕地25.8665公顷、园地0.6676公顷、其他农用地4.2659公顷、水域（线状河流）0.1275公顷调整为交通水利用地，涉及芒市镇和风平镇。具体详见下表。</w:t>
      </w:r>
    </w:p>
    <w:p>
      <w:pPr>
        <w:widowControl/>
        <w:adjustRightInd w:val="0"/>
        <w:spacing w:line="360" w:lineRule="auto"/>
        <w:ind w:firstLine="562" w:firstLineChars="200"/>
        <w:jc w:val="center"/>
        <w:rPr>
          <w:rFonts w:eastAsia="仿宋_GB2312"/>
          <w:b/>
          <w:color w:val="000000"/>
          <w:sz w:val="28"/>
          <w:szCs w:val="28"/>
        </w:rPr>
      </w:pPr>
      <w:r>
        <w:rPr>
          <w:rFonts w:eastAsia="仿宋_GB2312"/>
          <w:b/>
          <w:color w:val="000000"/>
          <w:sz w:val="28"/>
          <w:szCs w:val="28"/>
        </w:rPr>
        <w:t>表</w:t>
      </w:r>
      <w:r>
        <w:rPr>
          <w:rFonts w:hint="eastAsia" w:eastAsia="仿宋_GB2312"/>
          <w:b/>
          <w:color w:val="000000"/>
          <w:sz w:val="28"/>
          <w:szCs w:val="28"/>
        </w:rPr>
        <w:t>5</w:t>
      </w:r>
      <w:r>
        <w:rPr>
          <w:rFonts w:eastAsia="仿宋_GB2312"/>
          <w:b/>
          <w:color w:val="000000"/>
          <w:sz w:val="28"/>
          <w:szCs w:val="28"/>
        </w:rPr>
        <w:t>-5 调入地块地类调整流向表</w:t>
      </w:r>
    </w:p>
    <w:p>
      <w:pPr>
        <w:jc w:val="righ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单位：公顷</w:t>
      </w:r>
    </w:p>
    <w:tbl>
      <w:tblPr>
        <w:tblStyle w:val="14"/>
        <w:tblW w:w="4880" w:type="pct"/>
        <w:tblInd w:w="0" w:type="dxa"/>
        <w:tblLayout w:type="autofit"/>
        <w:tblCellMar>
          <w:top w:w="0" w:type="dxa"/>
          <w:left w:w="108" w:type="dxa"/>
          <w:bottom w:w="0" w:type="dxa"/>
          <w:right w:w="108" w:type="dxa"/>
        </w:tblCellMar>
      </w:tblPr>
      <w:tblGrid>
        <w:gridCol w:w="1356"/>
        <w:gridCol w:w="1219"/>
        <w:gridCol w:w="1217"/>
        <w:gridCol w:w="1032"/>
        <w:gridCol w:w="1861"/>
        <w:gridCol w:w="1035"/>
        <w:gridCol w:w="1177"/>
      </w:tblGrid>
      <w:tr>
        <w:tblPrEx>
          <w:tblCellMar>
            <w:top w:w="0" w:type="dxa"/>
            <w:left w:w="108" w:type="dxa"/>
            <w:bottom w:w="0" w:type="dxa"/>
            <w:right w:w="108" w:type="dxa"/>
          </w:tblCellMar>
        </w:tblPrEx>
        <w:trPr>
          <w:trHeight w:val="397" w:hRule="exact"/>
        </w:trPr>
        <w:tc>
          <w:tcPr>
            <w:tcW w:w="72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420"/>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行政区</w:t>
            </w:r>
          </w:p>
        </w:tc>
        <w:tc>
          <w:tcPr>
            <w:tcW w:w="3616" w:type="pct"/>
            <w:gridSpan w:val="5"/>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调整前规划地类</w:t>
            </w:r>
          </w:p>
        </w:tc>
        <w:tc>
          <w:tcPr>
            <w:tcW w:w="66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调整后规划地类</w:t>
            </w:r>
          </w:p>
        </w:tc>
      </w:tr>
      <w:tr>
        <w:tblPrEx>
          <w:tblCellMar>
            <w:top w:w="0" w:type="dxa"/>
            <w:left w:w="108" w:type="dxa"/>
            <w:bottom w:w="0" w:type="dxa"/>
            <w:right w:w="108" w:type="dxa"/>
          </w:tblCellMar>
        </w:tblPrEx>
        <w:trPr>
          <w:trHeight w:val="397" w:hRule="exact"/>
        </w:trPr>
        <w:tc>
          <w:tcPr>
            <w:tcW w:w="723"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000000"/>
                <w:kern w:val="0"/>
                <w:sz w:val="24"/>
                <w:szCs w:val="24"/>
              </w:rPr>
            </w:pPr>
          </w:p>
        </w:tc>
        <w:tc>
          <w:tcPr>
            <w:tcW w:w="69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小计</w:t>
            </w:r>
          </w:p>
        </w:tc>
        <w:tc>
          <w:tcPr>
            <w:tcW w:w="69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耕地</w:t>
            </w:r>
          </w:p>
        </w:tc>
        <w:tc>
          <w:tcPr>
            <w:tcW w:w="588"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园地</w:t>
            </w:r>
          </w:p>
        </w:tc>
        <w:tc>
          <w:tcPr>
            <w:tcW w:w="1054"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其他农用地</w:t>
            </w:r>
          </w:p>
        </w:tc>
        <w:tc>
          <w:tcPr>
            <w:tcW w:w="588"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水域</w:t>
            </w:r>
          </w:p>
        </w:tc>
        <w:tc>
          <w:tcPr>
            <w:tcW w:w="661"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000000"/>
                <w:kern w:val="0"/>
                <w:sz w:val="24"/>
                <w:szCs w:val="24"/>
              </w:rPr>
            </w:pPr>
          </w:p>
        </w:tc>
      </w:tr>
      <w:tr>
        <w:tblPrEx>
          <w:tblCellMar>
            <w:top w:w="0" w:type="dxa"/>
            <w:left w:w="108" w:type="dxa"/>
            <w:bottom w:w="0" w:type="dxa"/>
            <w:right w:w="108" w:type="dxa"/>
          </w:tblCellMar>
        </w:tblPrEx>
        <w:trPr>
          <w:trHeight w:val="397" w:hRule="exact"/>
        </w:trPr>
        <w:tc>
          <w:tcPr>
            <w:tcW w:w="72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芒市</w:t>
            </w:r>
          </w:p>
        </w:tc>
        <w:tc>
          <w:tcPr>
            <w:tcW w:w="69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30.9275</w:t>
            </w:r>
          </w:p>
        </w:tc>
        <w:tc>
          <w:tcPr>
            <w:tcW w:w="69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25.8665</w:t>
            </w:r>
          </w:p>
        </w:tc>
        <w:tc>
          <w:tcPr>
            <w:tcW w:w="588"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0.6676</w:t>
            </w:r>
          </w:p>
        </w:tc>
        <w:tc>
          <w:tcPr>
            <w:tcW w:w="1054"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4.2659</w:t>
            </w:r>
          </w:p>
        </w:tc>
        <w:tc>
          <w:tcPr>
            <w:tcW w:w="588"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0.1275</w:t>
            </w:r>
          </w:p>
        </w:tc>
        <w:tc>
          <w:tcPr>
            <w:tcW w:w="661" w:type="pct"/>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公路用地</w:t>
            </w:r>
          </w:p>
        </w:tc>
      </w:tr>
      <w:tr>
        <w:tblPrEx>
          <w:tblCellMar>
            <w:top w:w="0" w:type="dxa"/>
            <w:left w:w="108" w:type="dxa"/>
            <w:bottom w:w="0" w:type="dxa"/>
            <w:right w:w="108" w:type="dxa"/>
          </w:tblCellMar>
        </w:tblPrEx>
        <w:trPr>
          <w:trHeight w:val="397" w:hRule="exact"/>
        </w:trPr>
        <w:tc>
          <w:tcPr>
            <w:tcW w:w="72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芒市镇</w:t>
            </w:r>
          </w:p>
        </w:tc>
        <w:tc>
          <w:tcPr>
            <w:tcW w:w="69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4.6269</w:t>
            </w:r>
          </w:p>
        </w:tc>
        <w:tc>
          <w:tcPr>
            <w:tcW w:w="69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3.4071</w:t>
            </w:r>
          </w:p>
        </w:tc>
        <w:tc>
          <w:tcPr>
            <w:tcW w:w="588"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0.6676</w:t>
            </w:r>
          </w:p>
        </w:tc>
        <w:tc>
          <w:tcPr>
            <w:tcW w:w="1054"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0.5273</w:t>
            </w:r>
          </w:p>
        </w:tc>
        <w:tc>
          <w:tcPr>
            <w:tcW w:w="588"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0.0249</w:t>
            </w:r>
          </w:p>
        </w:tc>
        <w:tc>
          <w:tcPr>
            <w:tcW w:w="661"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000000"/>
                <w:kern w:val="0"/>
                <w:sz w:val="24"/>
                <w:szCs w:val="24"/>
              </w:rPr>
            </w:pPr>
          </w:p>
        </w:tc>
      </w:tr>
      <w:tr>
        <w:tblPrEx>
          <w:tblCellMar>
            <w:top w:w="0" w:type="dxa"/>
            <w:left w:w="108" w:type="dxa"/>
            <w:bottom w:w="0" w:type="dxa"/>
            <w:right w:w="108" w:type="dxa"/>
          </w:tblCellMar>
        </w:tblPrEx>
        <w:trPr>
          <w:trHeight w:val="397" w:hRule="exact"/>
        </w:trPr>
        <w:tc>
          <w:tcPr>
            <w:tcW w:w="72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风平镇</w:t>
            </w:r>
          </w:p>
        </w:tc>
        <w:tc>
          <w:tcPr>
            <w:tcW w:w="69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26.3006</w:t>
            </w:r>
          </w:p>
        </w:tc>
        <w:tc>
          <w:tcPr>
            <w:tcW w:w="69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22.4594</w:t>
            </w:r>
          </w:p>
        </w:tc>
        <w:tc>
          <w:tcPr>
            <w:tcW w:w="588"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1054"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3.7386</w:t>
            </w:r>
          </w:p>
        </w:tc>
        <w:tc>
          <w:tcPr>
            <w:tcW w:w="588"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0.1026</w:t>
            </w:r>
          </w:p>
        </w:tc>
        <w:tc>
          <w:tcPr>
            <w:tcW w:w="661"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000000"/>
                <w:kern w:val="0"/>
                <w:sz w:val="24"/>
                <w:szCs w:val="24"/>
              </w:rPr>
            </w:pPr>
          </w:p>
        </w:tc>
      </w:tr>
    </w:tbl>
    <w:p>
      <w:pPr>
        <w:keepNext/>
        <w:keepLines/>
        <w:adjustRightInd w:val="0"/>
        <w:spacing w:line="360" w:lineRule="auto"/>
        <w:ind w:firstLine="562" w:firstLineChars="200"/>
        <w:rPr>
          <w:rFonts w:eastAsia="仿宋_GB2312"/>
          <w:b/>
          <w:bCs/>
          <w:color w:val="000000"/>
          <w:sz w:val="28"/>
          <w:szCs w:val="28"/>
        </w:rPr>
      </w:pPr>
      <w:r>
        <w:rPr>
          <w:rFonts w:eastAsia="仿宋_GB2312"/>
          <w:b/>
          <w:bCs/>
          <w:color w:val="000000"/>
          <w:sz w:val="28"/>
          <w:szCs w:val="28"/>
        </w:rPr>
        <w:t>2</w:t>
      </w:r>
      <w:r>
        <w:rPr>
          <w:rFonts w:hint="eastAsia" w:eastAsia="仿宋_GB2312"/>
          <w:b/>
          <w:bCs/>
          <w:color w:val="000000"/>
          <w:sz w:val="28"/>
          <w:szCs w:val="28"/>
        </w:rPr>
        <w:t>、调整区域土地利用结构变化情况</w:t>
      </w:r>
    </w:p>
    <w:p>
      <w:pPr>
        <w:widowControl/>
        <w:adjustRightInd w:val="0"/>
        <w:spacing w:line="360" w:lineRule="auto"/>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调整区域内地类修改后，农用地面积减少30.8000公顷，其他土地面积减少0.1275公顷，建设用地面积增加30.9275公顷。具体详见下表：</w:t>
      </w:r>
    </w:p>
    <w:p>
      <w:pPr>
        <w:widowControl/>
        <w:jc w:val="left"/>
        <w:rPr>
          <w:rFonts w:eastAsia="仿宋_GB2312"/>
          <w:b/>
          <w:bCs/>
          <w:color w:val="000000"/>
          <w:sz w:val="28"/>
          <w:szCs w:val="28"/>
        </w:rPr>
      </w:pPr>
      <w:r>
        <w:rPr>
          <w:rFonts w:eastAsia="仿宋_GB2312"/>
          <w:b/>
          <w:bCs/>
          <w:color w:val="000000"/>
          <w:sz w:val="28"/>
          <w:szCs w:val="28"/>
        </w:rPr>
        <w:br w:type="page"/>
      </w:r>
    </w:p>
    <w:p>
      <w:pPr>
        <w:widowControl/>
        <w:adjustRightInd w:val="0"/>
        <w:spacing w:line="360" w:lineRule="auto"/>
        <w:ind w:firstLine="562" w:firstLineChars="200"/>
        <w:jc w:val="center"/>
        <w:rPr>
          <w:rFonts w:eastAsia="仿宋_GB2312"/>
          <w:b/>
          <w:bCs/>
          <w:color w:val="000000"/>
          <w:sz w:val="28"/>
          <w:szCs w:val="28"/>
        </w:rPr>
      </w:pPr>
      <w:r>
        <w:rPr>
          <w:rFonts w:eastAsia="仿宋_GB2312"/>
          <w:b/>
          <w:bCs/>
          <w:color w:val="000000"/>
          <w:sz w:val="28"/>
          <w:szCs w:val="28"/>
        </w:rPr>
        <w:t>表5-6 芒市调整区域土地利用地类变化情况表</w:t>
      </w:r>
    </w:p>
    <w:p>
      <w:pPr>
        <w:jc w:val="righ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单位：公顷</w:t>
      </w:r>
    </w:p>
    <w:tbl>
      <w:tblPr>
        <w:tblStyle w:val="14"/>
        <w:tblW w:w="5000" w:type="pct"/>
        <w:tblInd w:w="0" w:type="dxa"/>
        <w:tblLayout w:type="autofit"/>
        <w:tblCellMar>
          <w:top w:w="0" w:type="dxa"/>
          <w:left w:w="108" w:type="dxa"/>
          <w:bottom w:w="0" w:type="dxa"/>
          <w:right w:w="108" w:type="dxa"/>
        </w:tblCellMar>
      </w:tblPr>
      <w:tblGrid>
        <w:gridCol w:w="818"/>
        <w:gridCol w:w="1700"/>
        <w:gridCol w:w="1272"/>
        <w:gridCol w:w="996"/>
        <w:gridCol w:w="1047"/>
        <w:gridCol w:w="1289"/>
        <w:gridCol w:w="997"/>
        <w:gridCol w:w="997"/>
      </w:tblGrid>
      <w:tr>
        <w:tblPrEx>
          <w:tblCellMar>
            <w:top w:w="0" w:type="dxa"/>
            <w:left w:w="108" w:type="dxa"/>
            <w:bottom w:w="0" w:type="dxa"/>
            <w:right w:w="108" w:type="dxa"/>
          </w:tblCellMar>
        </w:tblPrEx>
        <w:trPr>
          <w:trHeight w:val="397" w:hRule="exact"/>
        </w:trPr>
        <w:tc>
          <w:tcPr>
            <w:tcW w:w="1382" w:type="pct"/>
            <w:gridSpan w:val="2"/>
            <w:vMerge w:val="restart"/>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地类</w:t>
            </w:r>
          </w:p>
        </w:tc>
        <w:tc>
          <w:tcPr>
            <w:tcW w:w="3618" w:type="pct"/>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行政区</w:t>
            </w:r>
          </w:p>
        </w:tc>
      </w:tr>
      <w:tr>
        <w:tblPrEx>
          <w:tblCellMar>
            <w:top w:w="0" w:type="dxa"/>
            <w:left w:w="108" w:type="dxa"/>
            <w:bottom w:w="0" w:type="dxa"/>
            <w:right w:w="108" w:type="dxa"/>
          </w:tblCellMar>
        </w:tblPrEx>
        <w:trPr>
          <w:trHeight w:val="397" w:hRule="exact"/>
        </w:trPr>
        <w:tc>
          <w:tcPr>
            <w:tcW w:w="1382" w:type="pct"/>
            <w:gridSpan w:val="2"/>
            <w:vMerge w:val="continue"/>
            <w:tcBorders>
              <w:left w:val="single" w:color="auto" w:sz="4" w:space="0"/>
              <w:right w:val="single" w:color="auto" w:sz="4" w:space="0"/>
            </w:tcBorders>
            <w:vAlign w:val="center"/>
          </w:tcPr>
          <w:p>
            <w:pPr>
              <w:jc w:val="center"/>
              <w:rPr>
                <w:rFonts w:ascii="Times New Roman" w:hAnsi="Times New Roman" w:eastAsia="仿宋_GB2312" w:cs="Times New Roman"/>
                <w:color w:val="000000"/>
                <w:kern w:val="0"/>
                <w:sz w:val="24"/>
                <w:szCs w:val="24"/>
              </w:rPr>
            </w:pPr>
          </w:p>
        </w:tc>
        <w:tc>
          <w:tcPr>
            <w:tcW w:w="1245"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芒市</w:t>
            </w:r>
          </w:p>
        </w:tc>
        <w:tc>
          <w:tcPr>
            <w:tcW w:w="1282"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芒市镇</w:t>
            </w:r>
          </w:p>
        </w:tc>
        <w:tc>
          <w:tcPr>
            <w:tcW w:w="1091"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风平镇</w:t>
            </w:r>
          </w:p>
        </w:tc>
      </w:tr>
      <w:tr>
        <w:tblPrEx>
          <w:tblCellMar>
            <w:top w:w="0" w:type="dxa"/>
            <w:left w:w="108" w:type="dxa"/>
            <w:bottom w:w="0" w:type="dxa"/>
            <w:right w:w="108" w:type="dxa"/>
          </w:tblCellMar>
        </w:tblPrEx>
        <w:trPr>
          <w:trHeight w:val="397" w:hRule="exact"/>
        </w:trPr>
        <w:tc>
          <w:tcPr>
            <w:tcW w:w="1382" w:type="pct"/>
            <w:gridSpan w:val="2"/>
            <w:vMerge w:val="continue"/>
            <w:tcBorders>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p>
        </w:tc>
        <w:tc>
          <w:tcPr>
            <w:tcW w:w="698"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修改前</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修改后</w:t>
            </w:r>
          </w:p>
        </w:tc>
        <w:tc>
          <w:tcPr>
            <w:tcW w:w="575"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修改前</w:t>
            </w:r>
          </w:p>
        </w:tc>
        <w:tc>
          <w:tcPr>
            <w:tcW w:w="70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修改后</w:t>
            </w:r>
          </w:p>
        </w:tc>
        <w:tc>
          <w:tcPr>
            <w:tcW w:w="546"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修改前</w:t>
            </w:r>
          </w:p>
        </w:tc>
        <w:tc>
          <w:tcPr>
            <w:tcW w:w="546"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修改后</w:t>
            </w:r>
          </w:p>
        </w:tc>
      </w:tr>
      <w:tr>
        <w:tblPrEx>
          <w:tblCellMar>
            <w:top w:w="0" w:type="dxa"/>
            <w:left w:w="108" w:type="dxa"/>
            <w:bottom w:w="0" w:type="dxa"/>
            <w:right w:w="108" w:type="dxa"/>
          </w:tblCellMar>
        </w:tblPrEx>
        <w:trPr>
          <w:trHeight w:val="397" w:hRule="exact"/>
        </w:trPr>
        <w:tc>
          <w:tcPr>
            <w:tcW w:w="138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合计</w:t>
            </w:r>
          </w:p>
        </w:tc>
        <w:tc>
          <w:tcPr>
            <w:tcW w:w="698"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bookmarkStart w:id="48" w:name="_Hlk88209336"/>
            <w:r>
              <w:rPr>
                <w:rFonts w:ascii="Times New Roman" w:hAnsi="Times New Roman" w:eastAsia="仿宋_GB2312" w:cs="Times New Roman"/>
                <w:color w:val="000000"/>
                <w:kern w:val="0"/>
                <w:sz w:val="24"/>
                <w:szCs w:val="24"/>
              </w:rPr>
              <w:t>30.9275</w:t>
            </w:r>
            <w:bookmarkEnd w:id="48"/>
          </w:p>
        </w:tc>
        <w:tc>
          <w:tcPr>
            <w:tcW w:w="54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30.9275</w:t>
            </w:r>
          </w:p>
        </w:tc>
        <w:tc>
          <w:tcPr>
            <w:tcW w:w="575"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4.6269</w:t>
            </w:r>
          </w:p>
        </w:tc>
        <w:tc>
          <w:tcPr>
            <w:tcW w:w="70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4.6269</w:t>
            </w:r>
          </w:p>
        </w:tc>
        <w:tc>
          <w:tcPr>
            <w:tcW w:w="54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26.3006</w:t>
            </w:r>
          </w:p>
        </w:tc>
        <w:tc>
          <w:tcPr>
            <w:tcW w:w="54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26.3006</w:t>
            </w:r>
          </w:p>
        </w:tc>
      </w:tr>
      <w:tr>
        <w:tblPrEx>
          <w:tblCellMar>
            <w:top w:w="0" w:type="dxa"/>
            <w:left w:w="108" w:type="dxa"/>
            <w:bottom w:w="0" w:type="dxa"/>
            <w:right w:w="108" w:type="dxa"/>
          </w:tblCellMar>
        </w:tblPrEx>
        <w:trPr>
          <w:trHeight w:val="397" w:hRule="exact"/>
        </w:trPr>
        <w:tc>
          <w:tcPr>
            <w:tcW w:w="449" w:type="pct"/>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农用地</w:t>
            </w:r>
          </w:p>
        </w:tc>
        <w:tc>
          <w:tcPr>
            <w:tcW w:w="933"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耕地</w:t>
            </w:r>
          </w:p>
        </w:tc>
        <w:tc>
          <w:tcPr>
            <w:tcW w:w="698"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25.8665</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75"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3.4071</w:t>
            </w:r>
          </w:p>
        </w:tc>
        <w:tc>
          <w:tcPr>
            <w:tcW w:w="70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4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22.4594</w:t>
            </w:r>
          </w:p>
        </w:tc>
        <w:tc>
          <w:tcPr>
            <w:tcW w:w="54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r>
      <w:tr>
        <w:tblPrEx>
          <w:tblCellMar>
            <w:top w:w="0" w:type="dxa"/>
            <w:left w:w="108" w:type="dxa"/>
            <w:bottom w:w="0" w:type="dxa"/>
            <w:right w:w="108" w:type="dxa"/>
          </w:tblCellMar>
        </w:tblPrEx>
        <w:trPr>
          <w:trHeight w:val="397" w:hRule="exact"/>
        </w:trPr>
        <w:tc>
          <w:tcPr>
            <w:tcW w:w="449"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000000"/>
                <w:kern w:val="0"/>
                <w:sz w:val="24"/>
                <w:szCs w:val="24"/>
              </w:rPr>
            </w:pPr>
          </w:p>
        </w:tc>
        <w:tc>
          <w:tcPr>
            <w:tcW w:w="933"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园地</w:t>
            </w:r>
          </w:p>
        </w:tc>
        <w:tc>
          <w:tcPr>
            <w:tcW w:w="698"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0.6676</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75"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0.6676</w:t>
            </w:r>
          </w:p>
        </w:tc>
        <w:tc>
          <w:tcPr>
            <w:tcW w:w="70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4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4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r>
      <w:tr>
        <w:tblPrEx>
          <w:tblCellMar>
            <w:top w:w="0" w:type="dxa"/>
            <w:left w:w="108" w:type="dxa"/>
            <w:bottom w:w="0" w:type="dxa"/>
            <w:right w:w="108" w:type="dxa"/>
          </w:tblCellMar>
        </w:tblPrEx>
        <w:trPr>
          <w:trHeight w:val="397" w:hRule="exact"/>
        </w:trPr>
        <w:tc>
          <w:tcPr>
            <w:tcW w:w="449"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000000"/>
                <w:kern w:val="0"/>
                <w:sz w:val="24"/>
                <w:szCs w:val="24"/>
              </w:rPr>
            </w:pPr>
          </w:p>
        </w:tc>
        <w:tc>
          <w:tcPr>
            <w:tcW w:w="933"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林地</w:t>
            </w:r>
          </w:p>
        </w:tc>
        <w:tc>
          <w:tcPr>
            <w:tcW w:w="698"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75"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70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4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4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r>
      <w:tr>
        <w:tblPrEx>
          <w:tblCellMar>
            <w:top w:w="0" w:type="dxa"/>
            <w:left w:w="108" w:type="dxa"/>
            <w:bottom w:w="0" w:type="dxa"/>
            <w:right w:w="108" w:type="dxa"/>
          </w:tblCellMar>
        </w:tblPrEx>
        <w:trPr>
          <w:trHeight w:val="397" w:hRule="exact"/>
        </w:trPr>
        <w:tc>
          <w:tcPr>
            <w:tcW w:w="449"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000000"/>
                <w:kern w:val="0"/>
                <w:sz w:val="24"/>
                <w:szCs w:val="24"/>
              </w:rPr>
            </w:pPr>
          </w:p>
        </w:tc>
        <w:tc>
          <w:tcPr>
            <w:tcW w:w="933"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牧草地</w:t>
            </w:r>
          </w:p>
        </w:tc>
        <w:tc>
          <w:tcPr>
            <w:tcW w:w="698"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75"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70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4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4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r>
      <w:tr>
        <w:tblPrEx>
          <w:tblCellMar>
            <w:top w:w="0" w:type="dxa"/>
            <w:left w:w="108" w:type="dxa"/>
            <w:bottom w:w="0" w:type="dxa"/>
            <w:right w:w="108" w:type="dxa"/>
          </w:tblCellMar>
        </w:tblPrEx>
        <w:trPr>
          <w:trHeight w:val="397" w:hRule="exact"/>
        </w:trPr>
        <w:tc>
          <w:tcPr>
            <w:tcW w:w="449"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000000"/>
                <w:kern w:val="0"/>
                <w:sz w:val="24"/>
                <w:szCs w:val="24"/>
              </w:rPr>
            </w:pPr>
          </w:p>
        </w:tc>
        <w:tc>
          <w:tcPr>
            <w:tcW w:w="933"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其他农用地</w:t>
            </w:r>
          </w:p>
        </w:tc>
        <w:tc>
          <w:tcPr>
            <w:tcW w:w="698"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4.2659</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75"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0.5273</w:t>
            </w:r>
          </w:p>
        </w:tc>
        <w:tc>
          <w:tcPr>
            <w:tcW w:w="70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4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3.7386</w:t>
            </w:r>
          </w:p>
        </w:tc>
        <w:tc>
          <w:tcPr>
            <w:tcW w:w="54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r>
      <w:tr>
        <w:tblPrEx>
          <w:tblCellMar>
            <w:top w:w="0" w:type="dxa"/>
            <w:left w:w="108" w:type="dxa"/>
            <w:bottom w:w="0" w:type="dxa"/>
            <w:right w:w="108" w:type="dxa"/>
          </w:tblCellMar>
        </w:tblPrEx>
        <w:trPr>
          <w:trHeight w:val="397" w:hRule="exact"/>
        </w:trPr>
        <w:tc>
          <w:tcPr>
            <w:tcW w:w="449"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000000"/>
                <w:kern w:val="0"/>
                <w:sz w:val="24"/>
                <w:szCs w:val="24"/>
              </w:rPr>
            </w:pPr>
          </w:p>
        </w:tc>
        <w:tc>
          <w:tcPr>
            <w:tcW w:w="933"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小计</w:t>
            </w:r>
          </w:p>
        </w:tc>
        <w:tc>
          <w:tcPr>
            <w:tcW w:w="698"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3</w:t>
            </w:r>
            <w:r>
              <w:rPr>
                <w:rFonts w:ascii="Times New Roman" w:hAnsi="Times New Roman" w:eastAsia="仿宋_GB2312" w:cs="Times New Roman"/>
                <w:color w:val="000000"/>
                <w:kern w:val="0"/>
                <w:sz w:val="24"/>
                <w:szCs w:val="24"/>
              </w:rPr>
              <w:t>0.8000</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75"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4</w:t>
            </w:r>
            <w:r>
              <w:rPr>
                <w:rFonts w:ascii="Times New Roman" w:hAnsi="Times New Roman" w:eastAsia="仿宋_GB2312" w:cs="Times New Roman"/>
                <w:color w:val="000000"/>
                <w:kern w:val="0"/>
                <w:sz w:val="24"/>
                <w:szCs w:val="24"/>
              </w:rPr>
              <w:t>.6020</w:t>
            </w:r>
          </w:p>
        </w:tc>
        <w:tc>
          <w:tcPr>
            <w:tcW w:w="70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4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6.1980</w:t>
            </w:r>
          </w:p>
        </w:tc>
        <w:tc>
          <w:tcPr>
            <w:tcW w:w="54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r>
      <w:tr>
        <w:tblPrEx>
          <w:tblCellMar>
            <w:top w:w="0" w:type="dxa"/>
            <w:left w:w="108" w:type="dxa"/>
            <w:bottom w:w="0" w:type="dxa"/>
            <w:right w:w="108" w:type="dxa"/>
          </w:tblCellMar>
        </w:tblPrEx>
        <w:trPr>
          <w:trHeight w:val="397" w:hRule="exact"/>
        </w:trPr>
        <w:tc>
          <w:tcPr>
            <w:tcW w:w="449" w:type="pct"/>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建设用地</w:t>
            </w:r>
          </w:p>
        </w:tc>
        <w:tc>
          <w:tcPr>
            <w:tcW w:w="933"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交通水利用地</w:t>
            </w:r>
          </w:p>
        </w:tc>
        <w:tc>
          <w:tcPr>
            <w:tcW w:w="698"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30.9275</w:t>
            </w:r>
          </w:p>
        </w:tc>
        <w:tc>
          <w:tcPr>
            <w:tcW w:w="575"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70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4.6269</w:t>
            </w:r>
          </w:p>
        </w:tc>
        <w:tc>
          <w:tcPr>
            <w:tcW w:w="54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4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26.3006</w:t>
            </w:r>
          </w:p>
        </w:tc>
      </w:tr>
      <w:tr>
        <w:tblPrEx>
          <w:tblCellMar>
            <w:top w:w="0" w:type="dxa"/>
            <w:left w:w="108" w:type="dxa"/>
            <w:bottom w:w="0" w:type="dxa"/>
            <w:right w:w="108" w:type="dxa"/>
          </w:tblCellMar>
        </w:tblPrEx>
        <w:trPr>
          <w:trHeight w:val="397" w:hRule="exact"/>
        </w:trPr>
        <w:tc>
          <w:tcPr>
            <w:tcW w:w="449"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000000"/>
                <w:kern w:val="0"/>
                <w:sz w:val="24"/>
                <w:szCs w:val="24"/>
              </w:rPr>
            </w:pPr>
          </w:p>
        </w:tc>
        <w:tc>
          <w:tcPr>
            <w:tcW w:w="933"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小计</w:t>
            </w:r>
          </w:p>
        </w:tc>
        <w:tc>
          <w:tcPr>
            <w:tcW w:w="698"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30.9275</w:t>
            </w:r>
          </w:p>
        </w:tc>
        <w:tc>
          <w:tcPr>
            <w:tcW w:w="575"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70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4.6269</w:t>
            </w:r>
          </w:p>
        </w:tc>
        <w:tc>
          <w:tcPr>
            <w:tcW w:w="54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4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26.3006</w:t>
            </w:r>
          </w:p>
        </w:tc>
      </w:tr>
      <w:tr>
        <w:tblPrEx>
          <w:tblCellMar>
            <w:top w:w="0" w:type="dxa"/>
            <w:left w:w="108" w:type="dxa"/>
            <w:bottom w:w="0" w:type="dxa"/>
            <w:right w:w="108" w:type="dxa"/>
          </w:tblCellMar>
        </w:tblPrEx>
        <w:trPr>
          <w:trHeight w:val="397" w:hRule="exact"/>
        </w:trPr>
        <w:tc>
          <w:tcPr>
            <w:tcW w:w="449" w:type="pct"/>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其他土地</w:t>
            </w:r>
          </w:p>
        </w:tc>
        <w:tc>
          <w:tcPr>
            <w:tcW w:w="933"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水域</w:t>
            </w:r>
          </w:p>
        </w:tc>
        <w:tc>
          <w:tcPr>
            <w:tcW w:w="698"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0.1275</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75"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0.0249</w:t>
            </w:r>
          </w:p>
        </w:tc>
        <w:tc>
          <w:tcPr>
            <w:tcW w:w="70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4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0.1026</w:t>
            </w:r>
          </w:p>
        </w:tc>
        <w:tc>
          <w:tcPr>
            <w:tcW w:w="54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r>
      <w:tr>
        <w:tblPrEx>
          <w:tblCellMar>
            <w:top w:w="0" w:type="dxa"/>
            <w:left w:w="108" w:type="dxa"/>
            <w:bottom w:w="0" w:type="dxa"/>
            <w:right w:w="108" w:type="dxa"/>
          </w:tblCellMar>
        </w:tblPrEx>
        <w:trPr>
          <w:trHeight w:val="397" w:hRule="exact"/>
        </w:trPr>
        <w:tc>
          <w:tcPr>
            <w:tcW w:w="449"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000000"/>
                <w:kern w:val="0"/>
                <w:sz w:val="24"/>
                <w:szCs w:val="24"/>
              </w:rPr>
            </w:pPr>
          </w:p>
        </w:tc>
        <w:tc>
          <w:tcPr>
            <w:tcW w:w="933"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自然保留地</w:t>
            </w:r>
          </w:p>
        </w:tc>
        <w:tc>
          <w:tcPr>
            <w:tcW w:w="698"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75"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70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4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4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r>
      <w:tr>
        <w:tblPrEx>
          <w:tblCellMar>
            <w:top w:w="0" w:type="dxa"/>
            <w:left w:w="108" w:type="dxa"/>
            <w:bottom w:w="0" w:type="dxa"/>
            <w:right w:w="108" w:type="dxa"/>
          </w:tblCellMar>
        </w:tblPrEx>
        <w:trPr>
          <w:trHeight w:val="397" w:hRule="exact"/>
        </w:trPr>
        <w:tc>
          <w:tcPr>
            <w:tcW w:w="449"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000000"/>
                <w:kern w:val="0"/>
                <w:sz w:val="24"/>
                <w:szCs w:val="24"/>
              </w:rPr>
            </w:pPr>
          </w:p>
        </w:tc>
        <w:tc>
          <w:tcPr>
            <w:tcW w:w="933"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小计</w:t>
            </w:r>
          </w:p>
        </w:tc>
        <w:tc>
          <w:tcPr>
            <w:tcW w:w="698"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0.1275</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575"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0.0249</w:t>
            </w:r>
          </w:p>
        </w:tc>
        <w:tc>
          <w:tcPr>
            <w:tcW w:w="70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4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0.1026</w:t>
            </w:r>
          </w:p>
        </w:tc>
        <w:tc>
          <w:tcPr>
            <w:tcW w:w="546"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r>
    </w:tbl>
    <w:p>
      <w:pPr>
        <w:keepNext/>
        <w:keepLines/>
        <w:adjustRightInd w:val="0"/>
        <w:spacing w:line="360" w:lineRule="auto"/>
        <w:ind w:firstLine="600" w:firstLineChars="200"/>
        <w:outlineLvl w:val="2"/>
        <w:rPr>
          <w:rFonts w:eastAsia="黑体"/>
          <w:bCs/>
          <w:color w:val="000000"/>
          <w:sz w:val="30"/>
          <w:szCs w:val="28"/>
        </w:rPr>
      </w:pPr>
      <w:bookmarkStart w:id="49" w:name="_Toc88211891"/>
      <w:r>
        <w:rPr>
          <w:rFonts w:hint="eastAsia" w:eastAsia="黑体"/>
          <w:bCs/>
          <w:color w:val="000000"/>
          <w:sz w:val="30"/>
          <w:szCs w:val="28"/>
        </w:rPr>
        <w:t>5.</w:t>
      </w:r>
      <w:r>
        <w:rPr>
          <w:rFonts w:eastAsia="黑体"/>
          <w:bCs/>
          <w:color w:val="000000"/>
          <w:sz w:val="30"/>
          <w:szCs w:val="28"/>
        </w:rPr>
        <w:t>8</w:t>
      </w:r>
      <w:r>
        <w:rPr>
          <w:rFonts w:hint="eastAsia" w:eastAsia="黑体"/>
          <w:bCs/>
          <w:color w:val="000000"/>
          <w:sz w:val="30"/>
          <w:szCs w:val="28"/>
        </w:rPr>
        <w:t>建设用地管制区调整</w:t>
      </w:r>
      <w:bookmarkEnd w:id="49"/>
    </w:p>
    <w:p>
      <w:pPr>
        <w:widowControl/>
        <w:adjustRightInd w:val="0"/>
        <w:spacing w:line="360" w:lineRule="auto"/>
        <w:ind w:firstLine="560" w:firstLineChars="200"/>
        <w:rPr>
          <w:rFonts w:eastAsia="仿宋_GB2312"/>
          <w:color w:val="000000"/>
          <w:sz w:val="28"/>
          <w:szCs w:val="28"/>
        </w:rPr>
      </w:pPr>
      <w:r>
        <w:rPr>
          <w:rFonts w:hint="eastAsia" w:eastAsia="仿宋_GB2312"/>
          <w:color w:val="000000"/>
          <w:sz w:val="28"/>
          <w:szCs w:val="28"/>
        </w:rPr>
        <w:t>本次土地用途调整，永久基本农田占用、补划地块均在限制建设区，不涉及管制区修改。</w:t>
      </w:r>
    </w:p>
    <w:p>
      <w:pPr>
        <w:keepNext/>
        <w:keepLines/>
        <w:adjustRightInd w:val="0"/>
        <w:spacing w:line="360" w:lineRule="auto"/>
        <w:ind w:firstLine="600" w:firstLineChars="200"/>
        <w:outlineLvl w:val="2"/>
        <w:rPr>
          <w:rFonts w:eastAsia="黑体"/>
          <w:bCs/>
          <w:color w:val="000000"/>
          <w:sz w:val="30"/>
          <w:szCs w:val="28"/>
        </w:rPr>
      </w:pPr>
      <w:bookmarkStart w:id="50" w:name="_Toc88211892"/>
      <w:r>
        <w:rPr>
          <w:rFonts w:hint="eastAsia" w:eastAsia="黑体"/>
          <w:bCs/>
          <w:color w:val="000000"/>
          <w:sz w:val="30"/>
          <w:szCs w:val="28"/>
        </w:rPr>
        <w:t>5.</w:t>
      </w:r>
      <w:r>
        <w:rPr>
          <w:rFonts w:eastAsia="黑体"/>
          <w:bCs/>
          <w:color w:val="000000"/>
          <w:sz w:val="30"/>
          <w:szCs w:val="28"/>
        </w:rPr>
        <w:t>9</w:t>
      </w:r>
      <w:r>
        <w:rPr>
          <w:rFonts w:hint="eastAsia" w:eastAsia="黑体"/>
          <w:bCs/>
          <w:color w:val="000000"/>
          <w:sz w:val="30"/>
          <w:szCs w:val="28"/>
        </w:rPr>
        <w:t>土地用途分区调整</w:t>
      </w:r>
      <w:bookmarkEnd w:id="50"/>
    </w:p>
    <w:p>
      <w:pPr>
        <w:widowControl/>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土地用途分区调整中把30.9275基本农田保护区调出，划为其他用地区，把30.8673公顷一般农地区划为基本农田保护区。详见下表。</w:t>
      </w:r>
    </w:p>
    <w:p>
      <w:pPr>
        <w:widowControl/>
        <w:adjustRightInd w:val="0"/>
        <w:spacing w:line="360" w:lineRule="auto"/>
        <w:ind w:firstLine="602" w:firstLineChars="200"/>
        <w:jc w:val="center"/>
        <w:rPr>
          <w:rFonts w:eastAsia="仿宋_GB2312"/>
          <w:b/>
          <w:color w:val="000000"/>
          <w:sz w:val="30"/>
          <w:szCs w:val="30"/>
        </w:rPr>
      </w:pPr>
      <w:r>
        <w:rPr>
          <w:rFonts w:eastAsia="仿宋_GB2312"/>
          <w:b/>
          <w:color w:val="000000"/>
          <w:sz w:val="30"/>
          <w:szCs w:val="30"/>
        </w:rPr>
        <w:t>表5-7芒市调整区域土地用途区调整流向表</w:t>
      </w:r>
    </w:p>
    <w:p>
      <w:pPr>
        <w:widowControl/>
        <w:adjustRightInd w:val="0"/>
        <w:spacing w:line="360" w:lineRule="auto"/>
        <w:ind w:firstLine="480" w:firstLineChars="200"/>
        <w:jc w:val="right"/>
        <w:rPr>
          <w:rFonts w:ascii="仿宋_GB2312" w:hAnsi="Times New Roman" w:eastAsia="仿宋_GB2312" w:cs="Times New Roman"/>
          <w:sz w:val="24"/>
          <w:szCs w:val="24"/>
        </w:rPr>
      </w:pPr>
      <w:r>
        <w:rPr>
          <w:rFonts w:hint="eastAsia" w:ascii="仿宋_GB2312" w:eastAsia="仿宋_GB2312"/>
          <w:color w:val="000000"/>
          <w:sz w:val="24"/>
          <w:szCs w:val="24"/>
        </w:rPr>
        <w:t>单位：公</w:t>
      </w:r>
      <w:r>
        <w:rPr>
          <w:rFonts w:hint="eastAsia" w:ascii="仿宋_GB2312" w:hAnsi="Times New Roman" w:eastAsia="仿宋_GB2312" w:cs="Times New Roman"/>
          <w:sz w:val="24"/>
          <w:szCs w:val="24"/>
        </w:rPr>
        <w:t>顷</w:t>
      </w:r>
    </w:p>
    <w:tbl>
      <w:tblPr>
        <w:tblStyle w:val="14"/>
        <w:tblW w:w="5000" w:type="pct"/>
        <w:tblInd w:w="0" w:type="dxa"/>
        <w:tblLayout w:type="autofit"/>
        <w:tblCellMar>
          <w:top w:w="0" w:type="dxa"/>
          <w:left w:w="108" w:type="dxa"/>
          <w:bottom w:w="0" w:type="dxa"/>
          <w:right w:w="108" w:type="dxa"/>
        </w:tblCellMar>
      </w:tblPr>
      <w:tblGrid>
        <w:gridCol w:w="4190"/>
        <w:gridCol w:w="2219"/>
        <w:gridCol w:w="2707"/>
      </w:tblGrid>
      <w:tr>
        <w:tblPrEx>
          <w:tblCellMar>
            <w:top w:w="0" w:type="dxa"/>
            <w:left w:w="108" w:type="dxa"/>
            <w:bottom w:w="0" w:type="dxa"/>
            <w:right w:w="108" w:type="dxa"/>
          </w:tblCellMar>
        </w:tblPrEx>
        <w:trPr>
          <w:trHeight w:val="454" w:hRule="exact"/>
        </w:trPr>
        <w:tc>
          <w:tcPr>
            <w:tcW w:w="22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土地用途区</w:t>
            </w:r>
          </w:p>
        </w:tc>
        <w:tc>
          <w:tcPr>
            <w:tcW w:w="1217"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修改前</w:t>
            </w:r>
          </w:p>
        </w:tc>
        <w:tc>
          <w:tcPr>
            <w:tcW w:w="1485"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修改后</w:t>
            </w:r>
          </w:p>
        </w:tc>
      </w:tr>
      <w:tr>
        <w:tblPrEx>
          <w:tblCellMar>
            <w:top w:w="0" w:type="dxa"/>
            <w:left w:w="108" w:type="dxa"/>
            <w:bottom w:w="0" w:type="dxa"/>
            <w:right w:w="108" w:type="dxa"/>
          </w:tblCellMar>
        </w:tblPrEx>
        <w:trPr>
          <w:trHeight w:val="454" w:hRule="exact"/>
        </w:trPr>
        <w:tc>
          <w:tcPr>
            <w:tcW w:w="2298"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基本农田保护区</w:t>
            </w:r>
          </w:p>
        </w:tc>
        <w:tc>
          <w:tcPr>
            <w:tcW w:w="121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sz w:val="24"/>
                <w:szCs w:val="24"/>
              </w:rPr>
              <w:t>30.9275</w:t>
            </w:r>
          </w:p>
        </w:tc>
        <w:tc>
          <w:tcPr>
            <w:tcW w:w="1485"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sz w:val="24"/>
                <w:szCs w:val="24"/>
              </w:rPr>
              <w:t>30.8673</w:t>
            </w:r>
          </w:p>
        </w:tc>
      </w:tr>
      <w:tr>
        <w:tblPrEx>
          <w:tblCellMar>
            <w:top w:w="0" w:type="dxa"/>
            <w:left w:w="108" w:type="dxa"/>
            <w:bottom w:w="0" w:type="dxa"/>
            <w:right w:w="108" w:type="dxa"/>
          </w:tblCellMar>
        </w:tblPrEx>
        <w:trPr>
          <w:trHeight w:val="454" w:hRule="exact"/>
        </w:trPr>
        <w:tc>
          <w:tcPr>
            <w:tcW w:w="2298"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一般农地区</w:t>
            </w:r>
          </w:p>
        </w:tc>
        <w:tc>
          <w:tcPr>
            <w:tcW w:w="121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sz w:val="24"/>
                <w:szCs w:val="24"/>
              </w:rPr>
              <w:t>30.8673</w:t>
            </w:r>
          </w:p>
        </w:tc>
        <w:tc>
          <w:tcPr>
            <w:tcW w:w="1485"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r>
      <w:tr>
        <w:tblPrEx>
          <w:tblCellMar>
            <w:top w:w="0" w:type="dxa"/>
            <w:left w:w="108" w:type="dxa"/>
            <w:bottom w:w="0" w:type="dxa"/>
            <w:right w:w="108" w:type="dxa"/>
          </w:tblCellMar>
        </w:tblPrEx>
        <w:trPr>
          <w:trHeight w:val="454" w:hRule="exact"/>
        </w:trPr>
        <w:tc>
          <w:tcPr>
            <w:tcW w:w="2298"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其他用地区</w:t>
            </w:r>
          </w:p>
        </w:tc>
        <w:tc>
          <w:tcPr>
            <w:tcW w:w="121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p>
        </w:tc>
        <w:tc>
          <w:tcPr>
            <w:tcW w:w="1485"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sz w:val="24"/>
                <w:szCs w:val="24"/>
              </w:rPr>
              <w:t>30.9275</w:t>
            </w:r>
          </w:p>
        </w:tc>
      </w:tr>
      <w:tr>
        <w:tblPrEx>
          <w:tblCellMar>
            <w:top w:w="0" w:type="dxa"/>
            <w:left w:w="108" w:type="dxa"/>
            <w:bottom w:w="0" w:type="dxa"/>
            <w:right w:w="108" w:type="dxa"/>
          </w:tblCellMar>
        </w:tblPrEx>
        <w:trPr>
          <w:trHeight w:val="454" w:hRule="exact"/>
        </w:trPr>
        <w:tc>
          <w:tcPr>
            <w:tcW w:w="2298"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小计</w:t>
            </w:r>
          </w:p>
        </w:tc>
        <w:tc>
          <w:tcPr>
            <w:tcW w:w="1217"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61.7948</w:t>
            </w:r>
          </w:p>
        </w:tc>
        <w:tc>
          <w:tcPr>
            <w:tcW w:w="1485"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61.7948</w:t>
            </w:r>
          </w:p>
        </w:tc>
      </w:tr>
    </w:tbl>
    <w:p>
      <w:pPr>
        <w:adjustRightInd w:val="0"/>
        <w:ind w:firstLine="480" w:firstLineChars="200"/>
        <w:jc w:val="right"/>
        <w:rPr>
          <w:rFonts w:eastAsia="仿宋_GB2312"/>
          <w:color w:val="000000"/>
          <w:sz w:val="24"/>
        </w:rPr>
      </w:pPr>
    </w:p>
    <w:p>
      <w:pPr>
        <w:pStyle w:val="13"/>
        <w:spacing w:line="360" w:lineRule="auto"/>
        <w:ind w:left="0"/>
        <w:jc w:val="center"/>
        <w:outlineLvl w:val="0"/>
        <w:rPr>
          <w:rFonts w:eastAsia="黑体"/>
          <w:bCs/>
          <w:color w:val="000000"/>
          <w:kern w:val="44"/>
          <w:sz w:val="36"/>
          <w:szCs w:val="44"/>
        </w:rPr>
      </w:pPr>
      <w:bookmarkStart w:id="51" w:name="_Toc88211893"/>
      <w:r>
        <w:rPr>
          <w:rFonts w:hint="eastAsia" w:eastAsia="黑体"/>
          <w:bCs/>
          <w:color w:val="000000"/>
          <w:kern w:val="44"/>
          <w:sz w:val="36"/>
          <w:szCs w:val="44"/>
        </w:rPr>
        <w:t>六</w:t>
      </w:r>
      <w:r>
        <w:rPr>
          <w:rFonts w:eastAsia="黑体"/>
          <w:bCs/>
          <w:color w:val="000000"/>
          <w:kern w:val="44"/>
          <w:sz w:val="36"/>
          <w:szCs w:val="44"/>
        </w:rPr>
        <w:t xml:space="preserve"> 结论</w:t>
      </w:r>
      <w:bookmarkEnd w:id="42"/>
      <w:bookmarkEnd w:id="51"/>
    </w:p>
    <w:p>
      <w:pPr>
        <w:keepNext/>
        <w:keepLines/>
        <w:adjustRightInd w:val="0"/>
        <w:spacing w:line="360" w:lineRule="auto"/>
        <w:ind w:firstLine="600" w:firstLineChars="200"/>
        <w:outlineLvl w:val="2"/>
        <w:rPr>
          <w:rFonts w:eastAsia="黑体"/>
          <w:bCs/>
          <w:color w:val="000000"/>
          <w:sz w:val="30"/>
          <w:szCs w:val="28"/>
        </w:rPr>
      </w:pPr>
      <w:bookmarkStart w:id="52" w:name="_Toc88211894"/>
      <w:r>
        <w:rPr>
          <w:rFonts w:hint="eastAsia" w:eastAsia="黑体"/>
          <w:bCs/>
          <w:color w:val="000000"/>
          <w:sz w:val="30"/>
          <w:szCs w:val="28"/>
        </w:rPr>
        <w:t>6.1</w:t>
      </w:r>
      <w:r>
        <w:rPr>
          <w:rFonts w:eastAsia="黑体"/>
          <w:bCs/>
          <w:color w:val="000000"/>
          <w:sz w:val="30"/>
          <w:szCs w:val="28"/>
        </w:rPr>
        <w:t xml:space="preserve"> 占用永久基本农田的必要性</w:t>
      </w:r>
      <w:r>
        <w:rPr>
          <w:rFonts w:hint="eastAsia" w:eastAsia="黑体"/>
          <w:bCs/>
          <w:color w:val="000000"/>
          <w:sz w:val="30"/>
          <w:szCs w:val="28"/>
        </w:rPr>
        <w:t>和合理性</w:t>
      </w:r>
      <w:bookmarkEnd w:id="52"/>
    </w:p>
    <w:p>
      <w:pPr>
        <w:widowControl/>
        <w:adjustRightInd w:val="0"/>
        <w:spacing w:line="360" w:lineRule="auto"/>
        <w:ind w:firstLine="560" w:firstLineChars="200"/>
        <w:rPr>
          <w:rFonts w:ascii="Times New Roman" w:hAnsi="Times New Roman" w:eastAsia="仿宋_GB2312" w:cs="Times New Roman"/>
          <w:color w:val="000000"/>
          <w:sz w:val="28"/>
          <w:szCs w:val="28"/>
        </w:rPr>
      </w:pPr>
      <w:bookmarkStart w:id="53" w:name="_Toc37838281"/>
      <w:bookmarkStart w:id="54" w:name="_Toc522002696"/>
      <w:r>
        <w:rPr>
          <w:rFonts w:hint="eastAsia" w:eastAsia="仿宋_GB2312"/>
          <w:color w:val="000000"/>
          <w:sz w:val="28"/>
          <w:szCs w:val="28"/>
        </w:rPr>
        <w:t>（</w:t>
      </w:r>
      <w:r>
        <w:rPr>
          <w:rFonts w:ascii="Times New Roman" w:hAnsi="Times New Roman" w:eastAsia="仿宋_GB2312" w:cs="Times New Roman"/>
          <w:color w:val="000000"/>
          <w:sz w:val="28"/>
          <w:szCs w:val="28"/>
        </w:rPr>
        <w:t>1）本项目已纳入《云南省道网规划修编（2016-2030年）》是“五纵五横一边两环二十联”中的“一边”（沿边高速公路），即泸水—腾冲—梁河—盈江—陇川—瑞丽—畹町—龙镇桥—镇康—清水河—耿马—沧源—西盟—孟连—勐海—景洪—勐醒—江城—绿春—元阳—蔓耗—河口—马关—西畴—富宁中的“瑞丽至孟连段”，同时列入《中共云南省委办公厅 云南省人民政府办公厅关于印发云南省县域高速公路“互联互通”工程实施方案》的项目清单表。</w:t>
      </w:r>
    </w:p>
    <w:p>
      <w:pPr>
        <w:widowControl/>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项目本着“十分珍惜、合理利用土地和切实保护耕地”及“坚持保护和改善生态环境，保障土地资源可持续利用”的原则因地制宜，科学选址，从工程地质、地形地貌、高速公路设计等方面，在施工设计阶段对范围进行局部优化调整、多方案比选，仍无法避让永久基本农田的占用。</w:t>
      </w:r>
    </w:p>
    <w:p>
      <w:pPr>
        <w:widowControl/>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（3）根据《国土资源部关于全面实行永久基本农田特殊保护的通知》（国土资规〔2018〕1号）、《自然资源部关于做好占用永久基本农田重大建设项目用地预审的通知》（自然资规〔2018〕3号）和《自然资源部 农业农村部关于加强和改进永久基本农田保护工作的通知》（自然资规〔2019〕1号）和《云南省自然资源厅关于规划用地“多审合一、多证合一”改革工作的实施意见》（云自然资规〔2020〕1号）等文件规定要求，待项目选址踏勘论证通过后启动编制《瑞丽至孟连高速公路项目土地用途调整方案暨永久基本农田补划方案》。</w:t>
      </w:r>
    </w:p>
    <w:p>
      <w:pPr>
        <w:widowControl/>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（4）本项目于2019年9月30日取得《云南省交通运输厅关于瑞丽至孟连高速公路初步设计的批复》（云交审批便〔2019〕42号）</w:t>
      </w:r>
    </w:p>
    <w:p>
      <w:pPr>
        <w:widowControl/>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（5）本项目用地规模严格按照节约集约用地相关要求、准入条件和行业用地标准等布设线位，项目占用永久基本农田的区域属于施工设计说明中确定的用地规模范围。</w:t>
      </w:r>
    </w:p>
    <w:p>
      <w:pPr>
        <w:keepNext/>
        <w:keepLines/>
        <w:adjustRightInd w:val="0"/>
        <w:spacing w:line="360" w:lineRule="auto"/>
        <w:ind w:firstLine="600" w:firstLineChars="200"/>
        <w:outlineLvl w:val="2"/>
        <w:rPr>
          <w:rFonts w:eastAsia="黑体"/>
          <w:bCs/>
          <w:color w:val="000000"/>
          <w:sz w:val="30"/>
          <w:szCs w:val="28"/>
        </w:rPr>
      </w:pPr>
      <w:bookmarkStart w:id="55" w:name="_Toc88211895"/>
      <w:r>
        <w:rPr>
          <w:rFonts w:hint="eastAsia" w:eastAsia="黑体"/>
          <w:bCs/>
          <w:color w:val="000000"/>
          <w:sz w:val="30"/>
          <w:szCs w:val="28"/>
        </w:rPr>
        <w:t>6.2</w:t>
      </w:r>
      <w:r>
        <w:rPr>
          <w:rFonts w:eastAsia="黑体"/>
          <w:bCs/>
          <w:color w:val="000000"/>
          <w:sz w:val="30"/>
          <w:szCs w:val="28"/>
        </w:rPr>
        <w:t xml:space="preserve"> 占用永久基本农田的合理性</w:t>
      </w:r>
      <w:bookmarkEnd w:id="53"/>
      <w:bookmarkEnd w:id="54"/>
      <w:bookmarkEnd w:id="55"/>
    </w:p>
    <w:p>
      <w:pPr>
        <w:widowControl/>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6.2.1 政策符合性</w:t>
      </w:r>
    </w:p>
    <w:p>
      <w:pPr>
        <w:widowControl/>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（1）瑞丽至孟连高速公路属于国家发展和改革委员会第21号</w:t>
      </w:r>
      <w:r>
        <w:rPr>
          <w:rFonts w:hint="eastAsia" w:ascii="Times New Roman" w:hAnsi="Times New Roman" w:eastAsia="仿宋_GB2312" w:cs="Times New Roman"/>
          <w:color w:val="000000"/>
          <w:sz w:val="28"/>
          <w:szCs w:val="28"/>
          <w:lang w:eastAsia="zh-CN"/>
        </w:rPr>
        <w:t>令第</w:t>
      </w:r>
      <w:r>
        <w:rPr>
          <w:rFonts w:ascii="Times New Roman" w:hAnsi="Times New Roman" w:eastAsia="仿宋_GB2312" w:cs="Times New Roman"/>
          <w:color w:val="000000"/>
          <w:sz w:val="28"/>
          <w:szCs w:val="28"/>
        </w:rPr>
        <w:t>《产业结构调整指导目录（2011年本）（2013年修正）》中鼓励类第24款第一条“西部开发公路干线、国家高速公路网项目建设”，项目建设符合国家产业政策。</w:t>
      </w:r>
    </w:p>
    <w:p>
      <w:pPr>
        <w:widowControl/>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（2）依据《划拨用地目录》（国土资源部第9号</w:t>
      </w:r>
      <w:r>
        <w:rPr>
          <w:rFonts w:hint="eastAsia" w:ascii="Times New Roman" w:hAnsi="Times New Roman" w:eastAsia="仿宋_GB2312" w:cs="Times New Roman"/>
          <w:color w:val="000000"/>
          <w:sz w:val="28"/>
          <w:szCs w:val="28"/>
          <w:lang w:eastAsia="zh-CN"/>
        </w:rPr>
        <w:t>令第</w:t>
      </w:r>
      <w:r>
        <w:rPr>
          <w:rFonts w:ascii="Times New Roman" w:hAnsi="Times New Roman" w:eastAsia="仿宋_GB2312" w:cs="Times New Roman"/>
          <w:color w:val="000000"/>
          <w:sz w:val="28"/>
          <w:szCs w:val="28"/>
        </w:rPr>
        <w:t>）中“国家重点扶持的能源、交通、水利等基础设施用地”第十六款：公路交通设施用地中，都有提到高速公路的条款，项目符合国家供地政策。</w:t>
      </w:r>
    </w:p>
    <w:p>
      <w:pPr>
        <w:widowControl/>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6.2.2 项目用地合理性</w:t>
      </w:r>
    </w:p>
    <w:p>
      <w:pPr>
        <w:widowControl/>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6.2.2.1、经项目实际用地分析，项目总体用地指标、各项用地规模均未超出国家标准，符合公路项目建设用地。项目设计对用地规模进行了有效、严格的控制，项目用地符合节约集约用地。</w:t>
      </w:r>
    </w:p>
    <w:p>
      <w:pPr>
        <w:widowControl/>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6.2.2.2、经项目路线方案比选、功能分区调整及省级专家实地踏勘论证，已对项目路线选址进了优化。</w:t>
      </w:r>
    </w:p>
    <w:p>
      <w:pPr>
        <w:widowControl/>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6.2.2.3、 项目占用永久基本农田合理性</w:t>
      </w:r>
    </w:p>
    <w:p>
      <w:pPr>
        <w:widowControl/>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项目在选址比选的基础上不断优化项目用地布局，并根据省级专家实地踏勘论证意见，核减项目占用永久基本农田；同时从项目设计、公路工程及工程施工等方面采取了必要的措施减少对永久基本农田的占用；本项目选址过程中已尽量对永久基本农田进行了避让，然而，仍有部分路基、桥梁，交叉工程无法避让永久基本农田。本项目优化选址后，涉及永久基本农田的占用是合理的。</w:t>
      </w:r>
    </w:p>
    <w:p>
      <w:pPr>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综上，该项目适用于法律法规及政策文件关于占用永久基本农田的情形，符合供地政策；项目用地规模均未超出国家标准，项目用地符合节约集约用地要求；项目通过方案比选、局部功能分区调整、实地踏勘论证及采取工程措施等，已尽量减少占用永久基本农田。故项目占用永久基本农田较为合理。</w:t>
      </w:r>
    </w:p>
    <w:p>
      <w:pPr>
        <w:widowControl/>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瑞丽至孟连高速公路建设项目用地占用芒市全域永久基本农田</w:t>
      </w:r>
      <w:r>
        <w:rPr>
          <w:rFonts w:ascii="Times New Roman" w:hAnsi="Times New Roman" w:eastAsia="仿宋_GB2312" w:cs="Times New Roman"/>
          <w:bCs/>
          <w:color w:val="000000"/>
          <w:sz w:val="28"/>
          <w:szCs w:val="28"/>
        </w:rPr>
        <w:t>26.5381</w:t>
      </w:r>
      <w:r>
        <w:rPr>
          <w:rFonts w:ascii="Times New Roman" w:hAnsi="Times New Roman" w:eastAsia="仿宋_GB2312" w:cs="Times New Roman"/>
          <w:color w:val="000000"/>
          <w:sz w:val="28"/>
          <w:szCs w:val="28"/>
        </w:rPr>
        <w:t>公顷，补划全域永久基本农田</w:t>
      </w:r>
      <w:r>
        <w:rPr>
          <w:rFonts w:ascii="Times New Roman" w:hAnsi="Times New Roman" w:eastAsia="仿宋_GB2312" w:cs="Times New Roman"/>
          <w:bCs/>
          <w:color w:val="000000"/>
          <w:sz w:val="28"/>
          <w:szCs w:val="28"/>
        </w:rPr>
        <w:t>28.2092</w:t>
      </w:r>
      <w:r>
        <w:rPr>
          <w:rFonts w:ascii="Times New Roman" w:hAnsi="Times New Roman" w:eastAsia="仿宋_GB2312" w:cs="Times New Roman"/>
          <w:color w:val="000000"/>
          <w:sz w:val="28"/>
          <w:szCs w:val="28"/>
        </w:rPr>
        <w:t>公顷，多补划了1.6711公顷；补划质量提高了1.7等，多补划水田14.4057公顷，均能满足补划要求。</w:t>
      </w:r>
    </w:p>
    <w:p>
      <w:pPr>
        <w:widowControl/>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项目占用坝区永久基本农田面积</w:t>
      </w:r>
      <w:r>
        <w:rPr>
          <w:rFonts w:ascii="Times New Roman" w:hAnsi="Times New Roman" w:eastAsia="仿宋_GB2312" w:cs="Times New Roman"/>
          <w:bCs/>
          <w:color w:val="000000"/>
          <w:sz w:val="28"/>
          <w:szCs w:val="28"/>
        </w:rPr>
        <w:t>14.0111</w:t>
      </w:r>
      <w:r>
        <w:rPr>
          <w:rFonts w:ascii="Times New Roman" w:hAnsi="Times New Roman" w:eastAsia="仿宋_GB2312" w:cs="Times New Roman"/>
          <w:color w:val="000000"/>
          <w:sz w:val="28"/>
          <w:szCs w:val="28"/>
        </w:rPr>
        <w:t>公顷，补划坝区永久基本农田面积</w:t>
      </w:r>
      <w:r>
        <w:rPr>
          <w:rFonts w:ascii="Times New Roman" w:hAnsi="Times New Roman" w:eastAsia="仿宋_GB2312" w:cs="Times New Roman"/>
          <w:bCs/>
          <w:color w:val="000000"/>
          <w:sz w:val="28"/>
          <w:szCs w:val="28"/>
        </w:rPr>
        <w:t>23.1751</w:t>
      </w:r>
      <w:r>
        <w:rPr>
          <w:rFonts w:ascii="Times New Roman" w:hAnsi="Times New Roman" w:eastAsia="仿宋_GB2312" w:cs="Times New Roman"/>
          <w:color w:val="000000"/>
          <w:sz w:val="28"/>
          <w:szCs w:val="28"/>
        </w:rPr>
        <w:t>公顷，多补划</w:t>
      </w:r>
      <w:r>
        <w:rPr>
          <w:rFonts w:ascii="Times New Roman" w:hAnsi="Times New Roman" w:eastAsia="仿宋_GB2312" w:cs="Times New Roman"/>
          <w:bCs/>
          <w:color w:val="000000"/>
          <w:sz w:val="28"/>
          <w:szCs w:val="28"/>
        </w:rPr>
        <w:t>9.1640</w:t>
      </w:r>
      <w:r>
        <w:rPr>
          <w:rFonts w:ascii="Times New Roman" w:hAnsi="Times New Roman" w:eastAsia="仿宋_GB2312" w:cs="Times New Roman"/>
          <w:color w:val="000000"/>
          <w:sz w:val="28"/>
          <w:szCs w:val="28"/>
        </w:rPr>
        <w:t>公顷，能满足补划要求。</w:t>
      </w:r>
    </w:p>
    <w:p>
      <w:pPr>
        <w:widowControl/>
        <w:adjustRightInd w:val="0"/>
        <w:spacing w:line="360" w:lineRule="auto"/>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瑞丽至孟连高速公路建设项目用地占用补划全域、涉及乡镇永久基本农田均满足要求，补划后对芒市的全域、城市周边、坝区永久基本农田保护任务无影响。补划后水田面积增加14.4507公顷，补划质量提高了1.7等，永久基本农田更加集中连片。</w:t>
      </w:r>
    </w:p>
    <w:p>
      <w:pPr>
        <w:widowControl/>
        <w:adjustRightInd w:val="0"/>
        <w:spacing w:line="360" w:lineRule="auto"/>
        <w:ind w:firstLine="560" w:firstLineChars="200"/>
        <w:rPr>
          <w:rFonts w:eastAsia="仿宋_GB2312"/>
          <w:color w:val="000000"/>
          <w:sz w:val="28"/>
          <w:szCs w:val="28"/>
        </w:rPr>
      </w:pPr>
      <w:r>
        <w:rPr>
          <w:rFonts w:hint="eastAsia" w:eastAsia="仿宋_GB2312"/>
          <w:color w:val="000000"/>
          <w:sz w:val="28"/>
          <w:szCs w:val="28"/>
        </w:rPr>
        <w:t>6.2.2.4、</w:t>
      </w:r>
      <w:r>
        <w:rPr>
          <w:rFonts w:eastAsia="仿宋_GB2312"/>
          <w:color w:val="000000"/>
          <w:sz w:val="28"/>
          <w:szCs w:val="28"/>
        </w:rPr>
        <w:t>项目永久基本农田补划地块上图入库</w:t>
      </w:r>
    </w:p>
    <w:p>
      <w:pPr>
        <w:widowControl/>
        <w:adjustRightInd w:val="0"/>
        <w:spacing w:line="360" w:lineRule="auto"/>
        <w:ind w:firstLine="560" w:firstLineChars="200"/>
        <w:jc w:val="left"/>
      </w:pPr>
      <w:r>
        <w:rPr>
          <w:rFonts w:eastAsia="仿宋_GB2312"/>
          <w:color w:val="000000"/>
          <w:sz w:val="28"/>
          <w:szCs w:val="28"/>
        </w:rPr>
        <w:t>《</w:t>
      </w:r>
      <w:r>
        <w:rPr>
          <w:rFonts w:hint="eastAsia" w:eastAsia="仿宋_GB2312"/>
          <w:color w:val="000000"/>
          <w:sz w:val="28"/>
          <w:szCs w:val="28"/>
        </w:rPr>
        <w:t>瑞丽至孟连</w:t>
      </w:r>
      <w:r>
        <w:rPr>
          <w:rFonts w:eastAsia="仿宋_GB2312"/>
          <w:color w:val="000000"/>
          <w:sz w:val="28"/>
          <w:szCs w:val="28"/>
        </w:rPr>
        <w:t>高速公路建设项目</w:t>
      </w:r>
      <w:r>
        <w:rPr>
          <w:rFonts w:hint="eastAsia" w:eastAsia="仿宋_GB2312"/>
          <w:color w:val="000000"/>
          <w:sz w:val="28"/>
          <w:szCs w:val="28"/>
        </w:rPr>
        <w:t>土地用途调整</w:t>
      </w:r>
      <w:r>
        <w:rPr>
          <w:rFonts w:eastAsia="仿宋_GB2312"/>
          <w:color w:val="000000"/>
          <w:sz w:val="28"/>
          <w:szCs w:val="28"/>
        </w:rPr>
        <w:t>暨永久基本农田补划方案》通过论证审查后，按程序将补划后的永久基本农田纳入土地利用总体规划并上图入库，纳入法定保护任务。</w:t>
      </w:r>
    </w:p>
    <w:sectPr>
      <w:pgSz w:w="11906" w:h="16838"/>
      <w:pgMar w:top="1418" w:right="1418" w:bottom="1361"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61589579"/>
      <w:docPartObj>
        <w:docPartGallery w:val="autotext"/>
      </w:docPartObj>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1401129"/>
      <w:docPartObj>
        <w:docPartGallery w:val="autotext"/>
      </w:docPartObj>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83658037"/>
      <w:docPartObj>
        <w:docPartGallery w:val="autotext"/>
      </w:docPartObj>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ascii="仿宋_GB2312" w:eastAsia="仿宋_GB2312"/>
        <w:sz w:val="24"/>
        <w:szCs w:val="24"/>
      </w:rPr>
    </w:pPr>
    <w:r>
      <w:rPr>
        <w:rFonts w:hint="eastAsia" w:ascii="仿宋_GB2312" w:eastAsia="仿宋_GB2312"/>
        <w:sz w:val="24"/>
        <w:szCs w:val="24"/>
      </w:rPr>
      <w:t>瑞丽至孟连高速公路建设项目土地用途调整方案暨永久基本农田补划方案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c5M2JmMGZjZjM3NjFiNTA4ZTQ2ZGE5NGJiMjc1NTkifQ=="/>
  </w:docVars>
  <w:rsids>
    <w:rsidRoot w:val="00BD2987"/>
    <w:rsid w:val="0001799C"/>
    <w:rsid w:val="00017FCF"/>
    <w:rsid w:val="000418E8"/>
    <w:rsid w:val="00056041"/>
    <w:rsid w:val="00071951"/>
    <w:rsid w:val="00083BDE"/>
    <w:rsid w:val="00087971"/>
    <w:rsid w:val="00095E93"/>
    <w:rsid w:val="000A186B"/>
    <w:rsid w:val="000A6447"/>
    <w:rsid w:val="000B09BB"/>
    <w:rsid w:val="000C7339"/>
    <w:rsid w:val="00157357"/>
    <w:rsid w:val="001756C1"/>
    <w:rsid w:val="001827DE"/>
    <w:rsid w:val="00184B97"/>
    <w:rsid w:val="001922CA"/>
    <w:rsid w:val="001956FF"/>
    <w:rsid w:val="001D4EB6"/>
    <w:rsid w:val="001E3EAF"/>
    <w:rsid w:val="001E5D3D"/>
    <w:rsid w:val="001F3168"/>
    <w:rsid w:val="00243A23"/>
    <w:rsid w:val="002A5C79"/>
    <w:rsid w:val="002B1CAE"/>
    <w:rsid w:val="002C2BD9"/>
    <w:rsid w:val="002D281B"/>
    <w:rsid w:val="003020FE"/>
    <w:rsid w:val="003651D1"/>
    <w:rsid w:val="0037071D"/>
    <w:rsid w:val="003815F0"/>
    <w:rsid w:val="003831A3"/>
    <w:rsid w:val="003873B3"/>
    <w:rsid w:val="003C732F"/>
    <w:rsid w:val="003D376E"/>
    <w:rsid w:val="003E5583"/>
    <w:rsid w:val="003F003D"/>
    <w:rsid w:val="004114ED"/>
    <w:rsid w:val="00417C9B"/>
    <w:rsid w:val="0043511E"/>
    <w:rsid w:val="00445B52"/>
    <w:rsid w:val="00446F4B"/>
    <w:rsid w:val="0044773F"/>
    <w:rsid w:val="0048054F"/>
    <w:rsid w:val="00486864"/>
    <w:rsid w:val="004C2EC9"/>
    <w:rsid w:val="004D7115"/>
    <w:rsid w:val="004E19DF"/>
    <w:rsid w:val="00500ED7"/>
    <w:rsid w:val="005046A2"/>
    <w:rsid w:val="00525ECF"/>
    <w:rsid w:val="005271C1"/>
    <w:rsid w:val="00570A2E"/>
    <w:rsid w:val="00590A7F"/>
    <w:rsid w:val="005C0450"/>
    <w:rsid w:val="005C59E6"/>
    <w:rsid w:val="005E32D5"/>
    <w:rsid w:val="0060116F"/>
    <w:rsid w:val="006525E8"/>
    <w:rsid w:val="00663027"/>
    <w:rsid w:val="006711E8"/>
    <w:rsid w:val="00691C43"/>
    <w:rsid w:val="006925FF"/>
    <w:rsid w:val="006A17AF"/>
    <w:rsid w:val="006A2165"/>
    <w:rsid w:val="006B0E86"/>
    <w:rsid w:val="006B75DC"/>
    <w:rsid w:val="00712984"/>
    <w:rsid w:val="0074584F"/>
    <w:rsid w:val="00793729"/>
    <w:rsid w:val="007A0C7F"/>
    <w:rsid w:val="007A6A6F"/>
    <w:rsid w:val="007B0F4D"/>
    <w:rsid w:val="007B5BB1"/>
    <w:rsid w:val="0081325C"/>
    <w:rsid w:val="008156D5"/>
    <w:rsid w:val="00816171"/>
    <w:rsid w:val="00817065"/>
    <w:rsid w:val="00821FD0"/>
    <w:rsid w:val="0082292A"/>
    <w:rsid w:val="008235C8"/>
    <w:rsid w:val="00823C9D"/>
    <w:rsid w:val="008467E5"/>
    <w:rsid w:val="008806DB"/>
    <w:rsid w:val="00892953"/>
    <w:rsid w:val="00894898"/>
    <w:rsid w:val="008956FA"/>
    <w:rsid w:val="008A1A76"/>
    <w:rsid w:val="008A66FB"/>
    <w:rsid w:val="008C3189"/>
    <w:rsid w:val="008D6295"/>
    <w:rsid w:val="008E3C1F"/>
    <w:rsid w:val="008F0314"/>
    <w:rsid w:val="008F5738"/>
    <w:rsid w:val="009029EB"/>
    <w:rsid w:val="00924412"/>
    <w:rsid w:val="00987F29"/>
    <w:rsid w:val="009A3375"/>
    <w:rsid w:val="009A5105"/>
    <w:rsid w:val="009B68D7"/>
    <w:rsid w:val="009C721A"/>
    <w:rsid w:val="009F71F3"/>
    <w:rsid w:val="00A06905"/>
    <w:rsid w:val="00A124E5"/>
    <w:rsid w:val="00A31303"/>
    <w:rsid w:val="00A76B21"/>
    <w:rsid w:val="00A771A3"/>
    <w:rsid w:val="00A771ED"/>
    <w:rsid w:val="00A80346"/>
    <w:rsid w:val="00A95745"/>
    <w:rsid w:val="00AB1E0B"/>
    <w:rsid w:val="00AB5D56"/>
    <w:rsid w:val="00AC5BEA"/>
    <w:rsid w:val="00AE153E"/>
    <w:rsid w:val="00AF0E95"/>
    <w:rsid w:val="00AF3A2C"/>
    <w:rsid w:val="00B04377"/>
    <w:rsid w:val="00B11FB9"/>
    <w:rsid w:val="00B20910"/>
    <w:rsid w:val="00B401D3"/>
    <w:rsid w:val="00B44795"/>
    <w:rsid w:val="00B508D1"/>
    <w:rsid w:val="00B63F82"/>
    <w:rsid w:val="00B67109"/>
    <w:rsid w:val="00B75F58"/>
    <w:rsid w:val="00B80B5D"/>
    <w:rsid w:val="00B81D69"/>
    <w:rsid w:val="00B94636"/>
    <w:rsid w:val="00BD2987"/>
    <w:rsid w:val="00C46589"/>
    <w:rsid w:val="00CE6E0A"/>
    <w:rsid w:val="00CF5106"/>
    <w:rsid w:val="00D233F0"/>
    <w:rsid w:val="00D468A7"/>
    <w:rsid w:val="00D50000"/>
    <w:rsid w:val="00D5077E"/>
    <w:rsid w:val="00D62CD9"/>
    <w:rsid w:val="00D703D9"/>
    <w:rsid w:val="00D734BE"/>
    <w:rsid w:val="00D73699"/>
    <w:rsid w:val="00D85F10"/>
    <w:rsid w:val="00D940CE"/>
    <w:rsid w:val="00DA6CCB"/>
    <w:rsid w:val="00DD6860"/>
    <w:rsid w:val="00DF0446"/>
    <w:rsid w:val="00E37D74"/>
    <w:rsid w:val="00E41FEB"/>
    <w:rsid w:val="00E47F28"/>
    <w:rsid w:val="00E610D6"/>
    <w:rsid w:val="00EA5EC6"/>
    <w:rsid w:val="00EA6895"/>
    <w:rsid w:val="00EC5A58"/>
    <w:rsid w:val="00ED6DCD"/>
    <w:rsid w:val="00F02101"/>
    <w:rsid w:val="00F02DD2"/>
    <w:rsid w:val="00F12364"/>
    <w:rsid w:val="00F20EF8"/>
    <w:rsid w:val="00F33ED9"/>
    <w:rsid w:val="00F7569B"/>
    <w:rsid w:val="00F83B3E"/>
    <w:rsid w:val="00F85AFD"/>
    <w:rsid w:val="00F90624"/>
    <w:rsid w:val="00F92E55"/>
    <w:rsid w:val="00F9776A"/>
    <w:rsid w:val="00F97A89"/>
    <w:rsid w:val="00F97FA1"/>
    <w:rsid w:val="00FC3881"/>
    <w:rsid w:val="00FE5238"/>
    <w:rsid w:val="00FF2195"/>
    <w:rsid w:val="05BE2182"/>
    <w:rsid w:val="07693F50"/>
    <w:rsid w:val="08EF6A35"/>
    <w:rsid w:val="0BE60A85"/>
    <w:rsid w:val="10CF2DC4"/>
    <w:rsid w:val="113215E4"/>
    <w:rsid w:val="114D48FF"/>
    <w:rsid w:val="12C20B08"/>
    <w:rsid w:val="13115DBC"/>
    <w:rsid w:val="1377662E"/>
    <w:rsid w:val="18F36A5D"/>
    <w:rsid w:val="1BAB0D1B"/>
    <w:rsid w:val="1BC779E7"/>
    <w:rsid w:val="1C827477"/>
    <w:rsid w:val="1C8A1040"/>
    <w:rsid w:val="1F395CD1"/>
    <w:rsid w:val="1F60347C"/>
    <w:rsid w:val="200A7B53"/>
    <w:rsid w:val="20360932"/>
    <w:rsid w:val="215A013C"/>
    <w:rsid w:val="229536B8"/>
    <w:rsid w:val="231B681E"/>
    <w:rsid w:val="28D01898"/>
    <w:rsid w:val="29BA57B6"/>
    <w:rsid w:val="2C1801C1"/>
    <w:rsid w:val="2D652873"/>
    <w:rsid w:val="2F9A4E9B"/>
    <w:rsid w:val="2FA94F6D"/>
    <w:rsid w:val="324E1FCC"/>
    <w:rsid w:val="343817AE"/>
    <w:rsid w:val="347D0DA5"/>
    <w:rsid w:val="35072B0D"/>
    <w:rsid w:val="35FC7F5C"/>
    <w:rsid w:val="3A505351"/>
    <w:rsid w:val="3D1E7298"/>
    <w:rsid w:val="3D3F0517"/>
    <w:rsid w:val="3E7010EC"/>
    <w:rsid w:val="3F0D1445"/>
    <w:rsid w:val="417046BB"/>
    <w:rsid w:val="4191000F"/>
    <w:rsid w:val="423E6992"/>
    <w:rsid w:val="432E10E5"/>
    <w:rsid w:val="46C5376E"/>
    <w:rsid w:val="470B726E"/>
    <w:rsid w:val="477B5824"/>
    <w:rsid w:val="49CF200C"/>
    <w:rsid w:val="4A977628"/>
    <w:rsid w:val="4D052082"/>
    <w:rsid w:val="4EF32636"/>
    <w:rsid w:val="517D76D4"/>
    <w:rsid w:val="5184183E"/>
    <w:rsid w:val="51A004EC"/>
    <w:rsid w:val="53CA572B"/>
    <w:rsid w:val="57BF7315"/>
    <w:rsid w:val="5C3817BF"/>
    <w:rsid w:val="5D0F3F60"/>
    <w:rsid w:val="631B5C4F"/>
    <w:rsid w:val="6A0B02D3"/>
    <w:rsid w:val="6B6B10B1"/>
    <w:rsid w:val="6BD85AFD"/>
    <w:rsid w:val="6BF32856"/>
    <w:rsid w:val="6CB22984"/>
    <w:rsid w:val="6E690D6A"/>
    <w:rsid w:val="6F0F0C73"/>
    <w:rsid w:val="6FC52823"/>
    <w:rsid w:val="71AC4B7F"/>
    <w:rsid w:val="72501B8D"/>
    <w:rsid w:val="75A41475"/>
    <w:rsid w:val="76544080"/>
    <w:rsid w:val="79265745"/>
    <w:rsid w:val="7A1B6DB9"/>
    <w:rsid w:val="7AD9578E"/>
    <w:rsid w:val="7BCC75AE"/>
    <w:rsid w:val="7BD12A32"/>
    <w:rsid w:val="7C140F25"/>
    <w:rsid w:val="7D1D2A38"/>
    <w:rsid w:val="7DF170A2"/>
    <w:rsid w:val="7F696AAA"/>
    <w:rsid w:val="7FB56B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2">
    <w:name w:val="heading 2"/>
    <w:basedOn w:val="1"/>
    <w:next w:val="1"/>
    <w:qFormat/>
    <w:uiPriority w:val="9"/>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qFormat/>
    <w:uiPriority w:val="0"/>
    <w:pPr>
      <w:keepNext/>
      <w:keepLines/>
      <w:outlineLvl w:val="2"/>
    </w:pPr>
    <w:rPr>
      <w:b/>
      <w:bCs/>
    </w:rPr>
  </w:style>
  <w:style w:type="paragraph" w:styleId="5">
    <w:name w:val="heading 4"/>
    <w:basedOn w:val="1"/>
    <w:next w:val="1"/>
    <w:qFormat/>
    <w:uiPriority w:val="0"/>
    <w:pPr>
      <w:keepNext/>
      <w:keepLines/>
      <w:jc w:val="left"/>
      <w:outlineLvl w:val="3"/>
    </w:pPr>
    <w:rPr>
      <w:rFonts w:ascii="Cambria" w:hAnsi="Cambria" w:cs="Cambria"/>
      <w:b/>
      <w:bCs/>
    </w:rPr>
  </w:style>
  <w:style w:type="paragraph" w:styleId="6">
    <w:name w:val="heading 5"/>
    <w:basedOn w:val="1"/>
    <w:next w:val="1"/>
    <w:qFormat/>
    <w:uiPriority w:val="0"/>
    <w:pPr>
      <w:keepNext/>
      <w:keepLines/>
      <w:spacing w:line="372" w:lineRule="auto"/>
      <w:ind w:firstLine="1040"/>
      <w:outlineLvl w:val="4"/>
    </w:pPr>
    <w:rPr>
      <w:b/>
    </w:rPr>
  </w:style>
  <w:style w:type="character" w:default="1" w:styleId="15">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7">
    <w:name w:val="Document Map"/>
    <w:basedOn w:val="1"/>
    <w:link w:val="17"/>
    <w:semiHidden/>
    <w:unhideWhenUsed/>
    <w:qFormat/>
    <w:uiPriority w:val="99"/>
    <w:rPr>
      <w:rFonts w:ascii="宋体" w:eastAsia="宋体"/>
      <w:sz w:val="18"/>
      <w:szCs w:val="18"/>
    </w:rPr>
  </w:style>
  <w:style w:type="paragraph" w:styleId="8">
    <w:name w:val="toc 3"/>
    <w:basedOn w:val="1"/>
    <w:next w:val="1"/>
    <w:unhideWhenUsed/>
    <w:qFormat/>
    <w:uiPriority w:val="39"/>
    <w:pPr>
      <w:ind w:left="840" w:leftChars="400"/>
    </w:pPr>
  </w:style>
  <w:style w:type="paragraph" w:styleId="9">
    <w:name w:val="Balloon Text"/>
    <w:basedOn w:val="1"/>
    <w:link w:val="23"/>
    <w:semiHidden/>
    <w:unhideWhenUsed/>
    <w:qFormat/>
    <w:uiPriority w:val="99"/>
    <w:rPr>
      <w:sz w:val="18"/>
      <w:szCs w:val="18"/>
    </w:rPr>
  </w:style>
  <w:style w:type="paragraph" w:styleId="10">
    <w:name w:val="footer"/>
    <w:basedOn w:val="1"/>
    <w:link w:val="19"/>
    <w:unhideWhenUsed/>
    <w:qFormat/>
    <w:uiPriority w:val="99"/>
    <w:pPr>
      <w:tabs>
        <w:tab w:val="center" w:pos="4153"/>
        <w:tab w:val="right" w:pos="8306"/>
      </w:tabs>
      <w:snapToGrid w:val="0"/>
      <w:jc w:val="left"/>
    </w:pPr>
    <w:rPr>
      <w:sz w:val="18"/>
      <w:szCs w:val="18"/>
    </w:rPr>
  </w:style>
  <w:style w:type="paragraph" w:styleId="11">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qFormat/>
    <w:uiPriority w:val="39"/>
    <w:pPr>
      <w:tabs>
        <w:tab w:val="right" w:leader="dot" w:pos="8302"/>
      </w:tabs>
      <w:ind w:left="210"/>
      <w:jc w:val="left"/>
    </w:pPr>
    <w:rPr>
      <w:rFonts w:ascii="Times New Roman" w:hAnsi="Times New Roman" w:eastAsia="宋体" w:cs="Times New Roman"/>
      <w:smallCaps/>
      <w:szCs w:val="21"/>
    </w:r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customStyle="1" w:styleId="17">
    <w:name w:val="文档结构图 字符"/>
    <w:basedOn w:val="15"/>
    <w:link w:val="7"/>
    <w:semiHidden/>
    <w:qFormat/>
    <w:uiPriority w:val="99"/>
    <w:rPr>
      <w:rFonts w:ascii="宋体" w:eastAsia="宋体"/>
      <w:sz w:val="18"/>
      <w:szCs w:val="18"/>
    </w:rPr>
  </w:style>
  <w:style w:type="character" w:customStyle="1" w:styleId="18">
    <w:name w:val="页眉 字符"/>
    <w:basedOn w:val="15"/>
    <w:link w:val="11"/>
    <w:qFormat/>
    <w:uiPriority w:val="99"/>
    <w:rPr>
      <w:sz w:val="18"/>
      <w:szCs w:val="18"/>
    </w:rPr>
  </w:style>
  <w:style w:type="character" w:customStyle="1" w:styleId="19">
    <w:name w:val="页脚 字符"/>
    <w:basedOn w:val="15"/>
    <w:link w:val="10"/>
    <w:qFormat/>
    <w:uiPriority w:val="99"/>
    <w:rPr>
      <w:sz w:val="18"/>
      <w:szCs w:val="18"/>
    </w:rPr>
  </w:style>
  <w:style w:type="paragraph" w:styleId="20">
    <w:name w:val="List Paragraph"/>
    <w:basedOn w:val="1"/>
    <w:qFormat/>
    <w:uiPriority w:val="34"/>
    <w:pPr>
      <w:ind w:firstLine="420" w:firstLineChars="200"/>
    </w:pPr>
  </w:style>
  <w:style w:type="character" w:customStyle="1" w:styleId="21">
    <w:name w:val="标题 1 字符"/>
    <w:basedOn w:val="15"/>
    <w:link w:val="3"/>
    <w:qFormat/>
    <w:uiPriority w:val="9"/>
    <w:rPr>
      <w:b/>
      <w:bCs/>
      <w:kern w:val="44"/>
      <w:sz w:val="44"/>
      <w:szCs w:val="44"/>
    </w:rPr>
  </w:style>
  <w:style w:type="paragraph" w:customStyle="1" w:styleId="22">
    <w:name w:val="TOC 标题1"/>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23">
    <w:name w:val="批注框文本 字符"/>
    <w:basedOn w:val="15"/>
    <w:link w:val="9"/>
    <w:semiHidden/>
    <w:qFormat/>
    <w:uiPriority w:val="99"/>
    <w:rPr>
      <w:sz w:val="18"/>
      <w:szCs w:val="18"/>
    </w:rPr>
  </w:style>
  <w:style w:type="character" w:customStyle="1" w:styleId="24">
    <w:name w:val="font31"/>
    <w:basedOn w:val="15"/>
    <w:qFormat/>
    <w:uiPriority w:val="0"/>
    <w:rPr>
      <w:rFonts w:hint="eastAsia" w:ascii="仿宋_GB2312" w:eastAsia="仿宋_GB2312" w:cs="仿宋_GB2312"/>
      <w:color w:val="000000"/>
      <w:sz w:val="22"/>
      <w:szCs w:val="22"/>
      <w:u w:val="none"/>
    </w:rPr>
  </w:style>
  <w:style w:type="character" w:customStyle="1" w:styleId="25">
    <w:name w:val="font11"/>
    <w:basedOn w:val="15"/>
    <w:qFormat/>
    <w:uiPriority w:val="0"/>
    <w:rPr>
      <w:rFonts w:hint="default" w:ascii="Times New Roman" w:hAnsi="Times New Roman" w:cs="Times New Roman"/>
      <w:color w:val="000000"/>
      <w:sz w:val="22"/>
      <w:szCs w:val="22"/>
      <w:u w:val="none"/>
    </w:rPr>
  </w:style>
  <w:style w:type="paragraph" w:customStyle="1" w:styleId="26">
    <w:name w:val="表格1"/>
    <w:qFormat/>
    <w:uiPriority w:val="0"/>
    <w:pPr>
      <w:adjustRightInd w:val="0"/>
      <w:snapToGrid w:val="0"/>
      <w:jc w:val="center"/>
    </w:pPr>
    <w:rPr>
      <w:rFonts w:ascii="Times New Roman" w:hAnsi="Times New Roman" w:eastAsia="仿宋_GB2312" w:cs="Times New Roman"/>
      <w:sz w:val="24"/>
      <w:lang w:val="en-US" w:eastAsia="zh-CN" w:bidi="ar-SA"/>
    </w:rPr>
  </w:style>
  <w:style w:type="paragraph" w:customStyle="1" w:styleId="27">
    <w:name w:val="单位"/>
    <w:basedOn w:val="1"/>
    <w:qFormat/>
    <w:uiPriority w:val="0"/>
    <w:pPr>
      <w:widowControl/>
      <w:jc w:val="right"/>
    </w:pPr>
    <w:rPr>
      <w:rFonts w:ascii="Times New Roman" w:hAnsi="Times New Roman" w:cs="Times New Roman"/>
      <w:szCs w:val="24"/>
    </w:rPr>
  </w:style>
  <w:style w:type="character" w:customStyle="1" w:styleId="28">
    <w:name w:val="font01"/>
    <w:basedOn w:val="15"/>
    <w:qFormat/>
    <w:uiPriority w:val="0"/>
    <w:rPr>
      <w:rFonts w:ascii="等线" w:hAnsi="等线" w:eastAsia="等线" w:cs="等线"/>
      <w:color w:val="000000"/>
      <w:sz w:val="21"/>
      <w:szCs w:val="21"/>
      <w:u w:val="none"/>
    </w:rPr>
  </w:style>
  <w:style w:type="paragraph" w:customStyle="1" w:styleId="29">
    <w:name w:val="正文1"/>
    <w:qFormat/>
    <w:uiPriority w:val="0"/>
    <w:pPr>
      <w:widowControl w:val="0"/>
      <w:adjustRightInd w:val="0"/>
      <w:snapToGrid w:val="0"/>
      <w:spacing w:afterLines="50" w:line="300" w:lineRule="auto"/>
      <w:ind w:firstLine="200" w:firstLineChars="200"/>
      <w:jc w:val="both"/>
    </w:pPr>
    <w:rPr>
      <w:rFonts w:ascii="宋体" w:hAnsiTheme="minorHAnsi" w:eastAsiaTheme="minorEastAsia" w:cstheme="minorBidi"/>
      <w:spacing w:val="10"/>
      <w:kern w:val="2"/>
      <w:sz w:val="22"/>
      <w:szCs w:val="22"/>
      <w:lang w:val="en-US" w:eastAsia="zh-CN" w:bidi="ar-SA"/>
    </w:rPr>
  </w:style>
  <w:style w:type="paragraph" w:customStyle="1" w:styleId="30">
    <w:name w:val="表标题"/>
    <w:basedOn w:val="1"/>
    <w:link w:val="34"/>
    <w:qFormat/>
    <w:uiPriority w:val="0"/>
    <w:pPr>
      <w:jc w:val="center"/>
    </w:pPr>
    <w:rPr>
      <w:b/>
      <w:kern w:val="0"/>
      <w:szCs w:val="28"/>
    </w:rPr>
  </w:style>
  <w:style w:type="paragraph" w:customStyle="1" w:styleId="31">
    <w:name w:val="表单位"/>
    <w:basedOn w:val="3"/>
    <w:next w:val="1"/>
    <w:link w:val="33"/>
    <w:qFormat/>
    <w:uiPriority w:val="0"/>
    <w:pPr>
      <w:spacing w:line="240" w:lineRule="atLeast"/>
      <w:jc w:val="right"/>
      <w:outlineLvl w:val="9"/>
    </w:pPr>
    <w:rPr>
      <w:b w:val="0"/>
      <w:bCs w:val="0"/>
      <w:color w:val="000000"/>
      <w:kern w:val="0"/>
      <w:sz w:val="21"/>
      <w:szCs w:val="28"/>
    </w:rPr>
  </w:style>
  <w:style w:type="character" w:customStyle="1" w:styleId="32">
    <w:name w:val="font21"/>
    <w:basedOn w:val="15"/>
    <w:qFormat/>
    <w:uiPriority w:val="0"/>
    <w:rPr>
      <w:rFonts w:hint="eastAsia" w:ascii="仿宋" w:hAnsi="仿宋" w:eastAsia="仿宋"/>
      <w:color w:val="000000"/>
      <w:sz w:val="20"/>
      <w:szCs w:val="20"/>
      <w:u w:val="none"/>
    </w:rPr>
  </w:style>
  <w:style w:type="character" w:customStyle="1" w:styleId="33">
    <w:name w:val="表单位[858D7CFB-ED40-4347-BF05-701D383B685F]"/>
    <w:link w:val="31"/>
    <w:qFormat/>
    <w:uiPriority w:val="0"/>
    <w:rPr>
      <w:rFonts w:asciiTheme="minorHAnsi" w:hAnsiTheme="minorHAnsi" w:eastAsiaTheme="minorEastAsia" w:cstheme="minorBidi"/>
      <w:color w:val="000000"/>
      <w:sz w:val="21"/>
      <w:szCs w:val="28"/>
    </w:rPr>
  </w:style>
  <w:style w:type="character" w:customStyle="1" w:styleId="34">
    <w:name w:val="表标题[858D7CFB-ED40-4347-BF05-701D383B685F]"/>
    <w:link w:val="30"/>
    <w:qFormat/>
    <w:uiPriority w:val="0"/>
    <w:rPr>
      <w:rFonts w:asciiTheme="minorHAnsi" w:hAnsiTheme="minorHAnsi" w:eastAsiaTheme="minorEastAsia" w:cstheme="minorBidi"/>
      <w:b/>
      <w:sz w:val="21"/>
      <w:szCs w:val="28"/>
    </w:rPr>
  </w:style>
  <w:style w:type="character" w:customStyle="1" w:styleId="35">
    <w:name w:val="font81"/>
    <w:basedOn w:val="15"/>
    <w:qFormat/>
    <w:uiPriority w:val="0"/>
    <w:rPr>
      <w:rFonts w:hint="default" w:ascii="Times New Roman" w:hAnsi="Times New Roman" w:cs="Times New Roman"/>
      <w:color w:val="000000"/>
      <w:sz w:val="22"/>
      <w:szCs w:val="22"/>
      <w:u w:val="none"/>
    </w:rPr>
  </w:style>
  <w:style w:type="character" w:customStyle="1" w:styleId="36">
    <w:name w:val="font41"/>
    <w:basedOn w:val="15"/>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C20C16-9751-4B55-A213-591B6CC950C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29</Pages>
  <Words>2909</Words>
  <Characters>16583</Characters>
  <Lines>138</Lines>
  <Paragraphs>38</Paragraphs>
  <TotalTime>409</TotalTime>
  <ScaleCrop>false</ScaleCrop>
  <LinksUpToDate>false</LinksUpToDate>
  <CharactersWithSpaces>19454</CharactersWithSpaces>
  <Application>WPS Office_12.1.0.15336_F1E327BC-269C-435d-A152-05C5408002CA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2020-04-24T02:34:00Z</dcterms:created>
  <dc:creator>PC</dc:creator>
  <cp:lastModifiedBy>腾勇灵</cp:lastModifiedBy>
  <dcterms:modified xsi:type="dcterms:W3CDTF">2024-02-05T01:09:00Z</dcterms:modified>
  <cp:revision>248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2052-12.1.0.15336</vt:lpwstr>
  </property>
  <property fmtid="{D5CDD505-2E9C-101B-9397-08002B2CF9AE}" pid="3" name="ICV">
    <vt:lpwstr>795C2809780C4150AC612E56D857089C_13</vt:lpwstr>
  </property>
</Properties>
</file>