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198" w:firstLineChars="45"/>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芒市自然资源局关于《芒市遮放镇土地利用总体规划（2015-2020年）修改方案</w:t>
      </w:r>
    </w:p>
    <w:p>
      <w:pPr>
        <w:spacing w:line="700" w:lineRule="exact"/>
        <w:ind w:firstLine="198" w:firstLineChars="45"/>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（第一次修改）》的公告</w:t>
      </w:r>
    </w:p>
    <w:p>
      <w:pPr>
        <w:spacing w:line="600" w:lineRule="exact"/>
        <w:rPr>
          <w:rFonts w:ascii="Times New Roman" w:hAnsi="Times New Roman" w:eastAsia="方正仿宋_GBK" w:cs="Times New Roman"/>
          <w:color w:val="000000"/>
          <w:sz w:val="32"/>
          <w:szCs w:val="32"/>
        </w:rPr>
      </w:pP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为确保芒市遮放镇重点项目的建设，</w:t>
      </w:r>
      <w:r>
        <w:rPr>
          <w:rFonts w:hint="eastAsia" w:ascii="Times New Roman" w:hAnsi="Times New Roman" w:eastAsia="方正仿宋_GBK" w:cs="Times New Roman"/>
          <w:color w:val="000000"/>
          <w:sz w:val="32"/>
          <w:szCs w:val="32"/>
        </w:rPr>
        <w:t>我市根据《中华人民共和国土地管理法》、《土地利用总体规划管理办法》和《云南省国土资源厅关于做好土地利用总体规划评估修改相关工作的通知》(云国土资规〔2018〕278号)的要求，编制完成了《芒市遮放镇土地利用总体规划（2015-2020年）修改方案（第一次修改）》（以下简称《修改方案》）。现将《修改方案》）的情况公告如下：</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一、规划修改的合法性和合理性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按照《云南省土地利用总体规划修改技术要求》等文件要求，芒市于2018年9月开展遮放镇现行土地利用总体规划评估工作，评估报告经芒市、德宏州国土资源局审查论证通过。遮放镇现行规划评估综合得分88.57分，其中用地规模指标执行情况得分98.97分，大于85分，且基本农田达到了上级下达指标要求，耕地保有量达到上级下达指标要求，根据《云南省土地利用总体规划定期评估技术要求》，已达到规划修改的标准，可以进入适时修改程序。德宏州自然资源和规划局（原德宏州国土资源局）已出具《德宏州国土资源局关于芒市遮放镇土地利用总体规划（2015—2020年）评估报告的审查意见》，同意开展遮放镇规划修改工作。</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本次规划修改，围绕遮放镇社会经济发展情况，以适应经济发展新常态为出发点，保障遮放镇重点项目的建设用地需求，提高建设用地指标的使用效率，使建设用地的布局更加合理。</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二、规划修改的必要性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科学的规划是建立在对土地利用的区位选择与市场社会经济规律相适应性的基础上，并能保障土地资源的高效合理利用。土地利用总体规划的远期指标具有战略性和指导性，由于影响土地利用的因素在不断变化，也难以准确把握，因此需要根据实际情况的变化适时对土地利用总体规划进行修改。规划实施期间，由于遮放镇建设用地指标不足，导致大瑞铁路部队搬迁安置点、大瑞铁路遮放东相搬迁安置点、德宏助农生态产品加工产业园等项目无法落地实施。为保障遮放镇拟建设项目顺利实施，开展《芒市遮放镇土地利用总体规划（2015-2020年）》修改迫在眉睫。</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三、《修改方案》涉及项目基本情况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遮放镇本次规划修改，涉及大瑞铁路部队搬迁安置点、大瑞铁路遮放东相搬迁安置点、德宏助农生态产品加工产业园等12个拟建设项目。</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四、《修改方案》调整情况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（一）规划指标调整情况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遮放镇需要布局新增建设用地指标17.59公顷、新增城乡建设用地指标17.55公顷、新增交通水利用地指标0.04公顷、新增建设占用耕地指标5.61公顷。遮放镇拟建项目的用地指标需求难以在本乡镇内部得到平衡。</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因此，对遮放镇追加州级预留建设用地指标5.95公顷、新增建设占用耕地指标1.42公顷；追加市级预留建设用地指标11.60公顷、新增建设占用耕地指标4.19公顷；将芒市镇0.04公顷交通水利及其他建设用地指标调整至遮放镇使用。</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（二）建设用地布局修改方案</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1、城乡建设用地布局修改方案</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遮放镇需调入新增城乡建设用地的拟建项目共计11个，为：大瑞铁路部队搬迁安置点、大瑞铁路遮放东相搬迁安置点、大瑞铁路遮放戛中变电站旁搬迁安置点、东山加油站迁建项目、明博管桩厂、润泽园汽车修理厂、乡镇水厂、小毕朗米业、云南电网有限责任公司德宏供电局、德宏助农生态产品加工产业园和遮茂幼儿园，共计调入新增城乡建设用地17.55公顷，涉及17个调整地块。</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调整前，调入地块在现行规划中，全部规划为农用地，面积共计17.55公顷，其中，规划为耕地5.61公顷，规划为园地3.76公顷，规划为林地7.29公顷，规划为其他农用地0.89公顷；调整后，全部规划为城乡建设用地，规划地类调整为城镇用地5.95公顷、农村居民点用地11.60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本次规划修改，不涉及新增城乡建设用地调出。</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2、交通水利用地布局修改方案</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遮放镇需调入新增交通水利用地的拟建项目为中国石油集团西南管道有限公司用地，共计调入新增交通水利用地0.04公顷，涉及1个调整地块。调整前，调入地块在现行规划中，规划为其他农用地，面积为0.04公顷；调整后，全部规划为交通水利用地，规划地类为管道运输用地，面积为0.04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涉及1个新增交通水利用地调出地块。该地块位于芒市镇芒核村民委员会境内，为滨河道路及其路网建设用地。调整前，调出地块在现行规划中，规划为交通水利用地，规划地类为公路用地，面积为0.04公顷；调整后，全部规划为耕地，规划地类为水田，面积为0.04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（三）建设用地管制区调整情况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本次规划修改后，遮放镇有条件建设区面积未增加，符合《云南省土地利用总体规划修改技术要求》（云南省国土资源厅，2016年5月）的要求。</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五、《修改方案》对土地利用总体规划的影响</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规划修改后，遮放镇耕地保有量为10572.27公顷，较修改前减少5.61公顷；基本农田保护面积仍为9412.92公顷，较修改前未发生变化；建设用地总规模为1860.36公顷，较修改前增加17.59公顷；城乡建设用地规模为1437.42公顷，较修改前增加17.55公顷；城镇工矿用地规模为149.61公顷，较修改前增加5.95公顷；交通水利及其他建设用地规模为422.94公顷，较修改前增加0.04公顷；新增建设用地规模为126.91公顷，较修改前增加17.59公顷；新增建设占用农用地规模为125.65公顷，较修改前增加17.59公顷；新增建设占用耕地规模为41.27公顷，较修改前增加5.61公顷。芒市镇耕地保有量为3880.48公顷，较修改前增加0.04公顷；基本农田保护面积仍为3519.15公顷，较修改前未发生变化；建设用地总规模为2367.18公顷，较修改前减少0.04公顷；城乡建设用地规模为1908.77公顷，较修改前未变化；城镇工矿用地规模为951.99公顷，较修改前未变化；交通水利及其他建设用地规模为458.41公顷，较修改前减少0.04公顷；新增建设用地规模为490.92公顷，较修改前减少0.04公顷；新增建设占用农用地规模为485.61公顷，较修改前减少0.04公顷；新增建设占用耕地规模为324.18公顷，较修改前减少0.04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特此公告。</w:t>
      </w: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芒市自然资源局</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2019年</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bookmarkStart w:id="0" w:name="_GoBack"/>
      <w:bookmarkEnd w:id="0"/>
      <w:r>
        <w:rPr>
          <w:rFonts w:hint="eastAsia" w:ascii="Times New Roman" w:hAnsi="Times New Roman" w:eastAsia="方正仿宋_GBK"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B5"/>
    <w:rsid w:val="00011043"/>
    <w:rsid w:val="0005598E"/>
    <w:rsid w:val="00115C58"/>
    <w:rsid w:val="0012042A"/>
    <w:rsid w:val="00285251"/>
    <w:rsid w:val="002912CD"/>
    <w:rsid w:val="002D44DB"/>
    <w:rsid w:val="003D7FC8"/>
    <w:rsid w:val="003F5221"/>
    <w:rsid w:val="004063B5"/>
    <w:rsid w:val="00434C04"/>
    <w:rsid w:val="00435DE9"/>
    <w:rsid w:val="00456181"/>
    <w:rsid w:val="004E628A"/>
    <w:rsid w:val="005D102E"/>
    <w:rsid w:val="005F6AC5"/>
    <w:rsid w:val="00637E6E"/>
    <w:rsid w:val="00692DA2"/>
    <w:rsid w:val="007404E6"/>
    <w:rsid w:val="00810E96"/>
    <w:rsid w:val="009E46C6"/>
    <w:rsid w:val="00A31E0B"/>
    <w:rsid w:val="00A460F9"/>
    <w:rsid w:val="00A8099C"/>
    <w:rsid w:val="00C26341"/>
    <w:rsid w:val="00C53360"/>
    <w:rsid w:val="00CD7089"/>
    <w:rsid w:val="00DE7E25"/>
    <w:rsid w:val="00F35B50"/>
    <w:rsid w:val="25917F6B"/>
    <w:rsid w:val="456834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400</Words>
  <Characters>2281</Characters>
  <Lines>19</Lines>
  <Paragraphs>5</Paragraphs>
  <ScaleCrop>false</ScaleCrop>
  <LinksUpToDate>false</LinksUpToDate>
  <CharactersWithSpaces>2676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2019-03-25T08:02:00Z</dcterms:created>
  <dc:creator>User</dc:creator>
  <cp:lastModifiedBy>规划股</cp:lastModifiedBy>
  <dcterms:modified xsi:type="dcterms:W3CDTF">2019-04-04T09:09:03Z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