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3EF454B">
      <w:pPr>
        <w:widowControl/>
        <w:jc w:val="center"/>
        <w:rPr>
          <w:rFonts w:hint="eastAsia" w:ascii="方正小标宋简体" w:eastAsia="方正小标宋简体"/>
          <w:kern w:val="0"/>
          <w:sz w:val="36"/>
          <w:szCs w:val="36"/>
        </w:rPr>
      </w:pPr>
      <w:bookmarkStart w:id="0" w:name="_GoBack"/>
      <w:r>
        <w:rPr>
          <w:rFonts w:hint="eastAsia" w:ascii="方正小标宋简体" w:eastAsia="方正小标宋简体"/>
          <w:kern w:val="0"/>
          <w:sz w:val="36"/>
          <w:szCs w:val="36"/>
        </w:rPr>
        <w:t>芒市公安局2018年部门预算编制说明</w:t>
      </w:r>
    </w:p>
    <w:bookmarkEnd w:id="0"/>
    <w:p w14:paraId="6B1CD1A5">
      <w:pPr>
        <w:widowControl/>
        <w:jc w:val="center"/>
        <w:rPr>
          <w:rFonts w:hint="eastAsia" w:ascii="方正小标宋简体" w:eastAsia="方正小标宋简体"/>
          <w:kern w:val="0"/>
          <w:sz w:val="36"/>
          <w:szCs w:val="36"/>
        </w:rPr>
      </w:pPr>
    </w:p>
    <w:p w14:paraId="549DF5BF">
      <w:pPr>
        <w:jc w:val="center"/>
        <w:rPr>
          <w:rFonts w:hint="eastAsia" w:ascii="黑体" w:hAnsi="黑体" w:eastAsia="黑体"/>
          <w:sz w:val="30"/>
          <w:szCs w:val="30"/>
        </w:rPr>
      </w:pPr>
      <w:r>
        <w:rPr>
          <w:rFonts w:hint="eastAsia" w:ascii="方正小标宋简体" w:eastAsia="方正小标宋简体"/>
          <w:sz w:val="36"/>
          <w:szCs w:val="36"/>
        </w:rPr>
        <w:t>目录</w:t>
      </w:r>
    </w:p>
    <w:p w14:paraId="32D0D2B0">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00" w:firstLineChars="200"/>
        <w:jc w:val="left"/>
        <w:textAlignment w:val="auto"/>
        <w:outlineLvl w:val="9"/>
        <w:rPr>
          <w:rFonts w:hint="eastAsia" w:ascii="黑体" w:hAnsi="黑体" w:eastAsia="黑体"/>
          <w:sz w:val="30"/>
          <w:szCs w:val="30"/>
        </w:rPr>
      </w:pPr>
      <w:r>
        <w:rPr>
          <w:rFonts w:hint="eastAsia" w:ascii="黑体" w:hAnsi="黑体" w:eastAsia="黑体"/>
          <w:sz w:val="30"/>
          <w:szCs w:val="30"/>
        </w:rPr>
        <w:t xml:space="preserve">第一部分 </w:t>
      </w:r>
      <w:r>
        <w:rPr>
          <w:rFonts w:hint="eastAsia" w:ascii="黑体" w:hAnsi="黑体" w:eastAsia="黑体"/>
          <w:sz w:val="30"/>
          <w:szCs w:val="30"/>
          <w:lang w:eastAsia="zh-CN"/>
        </w:rPr>
        <w:t>芒市公安局</w:t>
      </w:r>
      <w:r>
        <w:rPr>
          <w:rFonts w:hint="eastAsia" w:ascii="黑体" w:hAnsi="黑体" w:eastAsia="黑体"/>
          <w:sz w:val="30"/>
          <w:szCs w:val="30"/>
        </w:rPr>
        <w:t>部门</w:t>
      </w:r>
      <w:r>
        <w:rPr>
          <w:rFonts w:hint="eastAsia" w:ascii="黑体" w:hAnsi="黑体" w:eastAsia="黑体"/>
          <w:sz w:val="30"/>
          <w:szCs w:val="30"/>
          <w:lang w:val="en-US" w:eastAsia="zh-CN"/>
        </w:rPr>
        <w:t>2018</w:t>
      </w:r>
      <w:r>
        <w:rPr>
          <w:rFonts w:hint="eastAsia" w:ascii="黑体" w:hAnsi="黑体" w:eastAsia="黑体"/>
          <w:sz w:val="30"/>
          <w:szCs w:val="30"/>
        </w:rPr>
        <w:t>年部门预算编制说明</w:t>
      </w:r>
    </w:p>
    <w:p w14:paraId="7C07DE14">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00" w:firstLineChars="200"/>
        <w:jc w:val="left"/>
        <w:textAlignment w:val="auto"/>
        <w:outlineLvl w:val="9"/>
        <w:rPr>
          <w:rFonts w:hint="eastAsia" w:ascii="黑体" w:hAnsi="黑体" w:eastAsia="黑体"/>
          <w:sz w:val="30"/>
          <w:szCs w:val="30"/>
        </w:rPr>
      </w:pPr>
      <w:r>
        <w:rPr>
          <w:rFonts w:hint="eastAsia" w:ascii="黑体" w:hAnsi="黑体" w:eastAsia="黑体"/>
          <w:sz w:val="30"/>
          <w:szCs w:val="30"/>
        </w:rPr>
        <w:t xml:space="preserve">第二部分 </w:t>
      </w:r>
      <w:r>
        <w:rPr>
          <w:rFonts w:hint="eastAsia" w:ascii="黑体" w:hAnsi="黑体" w:eastAsia="黑体"/>
          <w:sz w:val="30"/>
          <w:szCs w:val="30"/>
          <w:lang w:eastAsia="zh-CN"/>
        </w:rPr>
        <w:t>芒市公安局</w:t>
      </w:r>
      <w:r>
        <w:rPr>
          <w:rFonts w:hint="eastAsia" w:ascii="黑体" w:hAnsi="黑体" w:eastAsia="黑体"/>
          <w:sz w:val="30"/>
          <w:szCs w:val="30"/>
        </w:rPr>
        <w:t>部门</w:t>
      </w:r>
      <w:r>
        <w:rPr>
          <w:rFonts w:hint="eastAsia" w:ascii="黑体" w:hAnsi="黑体" w:eastAsia="黑体"/>
          <w:sz w:val="30"/>
          <w:szCs w:val="30"/>
          <w:lang w:val="en-US" w:eastAsia="zh-CN"/>
        </w:rPr>
        <w:t>2018</w:t>
      </w:r>
      <w:r>
        <w:rPr>
          <w:rFonts w:hint="eastAsia" w:ascii="黑体" w:hAnsi="黑体" w:eastAsia="黑体"/>
          <w:sz w:val="30"/>
          <w:szCs w:val="30"/>
        </w:rPr>
        <w:t>年部门预算表</w:t>
      </w:r>
    </w:p>
    <w:p w14:paraId="266F9152">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00" w:firstLineChars="200"/>
        <w:jc w:val="left"/>
        <w:textAlignment w:val="auto"/>
        <w:outlineLvl w:val="9"/>
        <w:rPr>
          <w:rFonts w:hint="eastAsia" w:ascii="Times New Roman" w:hAnsi="Times New Roman" w:eastAsia="仿宋_GB2312"/>
          <w:sz w:val="30"/>
          <w:szCs w:val="30"/>
        </w:rPr>
      </w:pPr>
      <w:r>
        <w:rPr>
          <w:rFonts w:hint="eastAsia" w:ascii="Times New Roman" w:hAnsi="Times New Roman" w:eastAsia="仿宋_GB2312"/>
          <w:sz w:val="30"/>
          <w:szCs w:val="30"/>
        </w:rPr>
        <w:t>一、部门财务收支总体情况表</w:t>
      </w:r>
    </w:p>
    <w:p w14:paraId="584DFAC0">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00" w:firstLineChars="200"/>
        <w:jc w:val="left"/>
        <w:textAlignment w:val="auto"/>
        <w:outlineLvl w:val="9"/>
        <w:rPr>
          <w:rFonts w:hint="eastAsia" w:ascii="Times New Roman" w:hAnsi="Times New Roman" w:eastAsia="仿宋_GB2312"/>
          <w:sz w:val="30"/>
          <w:szCs w:val="30"/>
        </w:rPr>
      </w:pPr>
      <w:r>
        <w:rPr>
          <w:rFonts w:hint="eastAsia" w:ascii="Times New Roman" w:hAnsi="Times New Roman" w:eastAsia="仿宋_GB2312"/>
          <w:sz w:val="30"/>
          <w:szCs w:val="30"/>
        </w:rPr>
        <w:t>二、部门收入总体情况表</w:t>
      </w:r>
    </w:p>
    <w:p w14:paraId="5448860E">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00" w:firstLineChars="200"/>
        <w:jc w:val="left"/>
        <w:textAlignment w:val="auto"/>
        <w:outlineLvl w:val="9"/>
        <w:rPr>
          <w:rFonts w:hint="eastAsia" w:ascii="Times New Roman" w:hAnsi="Times New Roman" w:eastAsia="仿宋_GB2312"/>
          <w:sz w:val="30"/>
          <w:szCs w:val="30"/>
        </w:rPr>
      </w:pPr>
      <w:r>
        <w:rPr>
          <w:rFonts w:hint="eastAsia" w:ascii="Times New Roman" w:hAnsi="Times New Roman" w:eastAsia="仿宋_GB2312"/>
          <w:sz w:val="30"/>
          <w:szCs w:val="30"/>
        </w:rPr>
        <w:t>三、部门支出总体情况表</w:t>
      </w:r>
    </w:p>
    <w:p w14:paraId="422465DF">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00" w:firstLineChars="200"/>
        <w:jc w:val="left"/>
        <w:textAlignment w:val="auto"/>
        <w:outlineLvl w:val="9"/>
        <w:rPr>
          <w:rFonts w:hint="eastAsia" w:ascii="Times New Roman" w:hAnsi="Times New Roman" w:eastAsia="仿宋_GB2312"/>
          <w:sz w:val="30"/>
          <w:szCs w:val="30"/>
        </w:rPr>
      </w:pPr>
      <w:r>
        <w:rPr>
          <w:rFonts w:hint="eastAsia" w:ascii="Times New Roman" w:hAnsi="Times New Roman" w:eastAsia="仿宋_GB2312"/>
          <w:sz w:val="30"/>
          <w:szCs w:val="30"/>
        </w:rPr>
        <w:t>四、部门财政拨款收支总体情况表</w:t>
      </w:r>
    </w:p>
    <w:p w14:paraId="20FFCE86">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00" w:firstLineChars="200"/>
        <w:jc w:val="left"/>
        <w:textAlignment w:val="auto"/>
        <w:outlineLvl w:val="9"/>
        <w:rPr>
          <w:rFonts w:hint="eastAsia" w:ascii="Times New Roman" w:hAnsi="Times New Roman" w:eastAsia="仿宋_GB2312"/>
          <w:sz w:val="30"/>
          <w:szCs w:val="30"/>
        </w:rPr>
      </w:pPr>
      <w:r>
        <w:rPr>
          <w:rFonts w:hint="eastAsia" w:ascii="Times New Roman" w:hAnsi="Times New Roman" w:eastAsia="仿宋_GB2312"/>
          <w:sz w:val="30"/>
          <w:szCs w:val="30"/>
        </w:rPr>
        <w:t>五、部门一般公共预算本级财力安排支出情况表</w:t>
      </w:r>
    </w:p>
    <w:p w14:paraId="20B25671">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00" w:firstLineChars="200"/>
        <w:jc w:val="left"/>
        <w:textAlignment w:val="auto"/>
        <w:outlineLvl w:val="9"/>
        <w:rPr>
          <w:rFonts w:hint="eastAsia" w:ascii="Times New Roman" w:hAnsi="Times New Roman" w:eastAsia="仿宋_GB2312"/>
          <w:sz w:val="30"/>
          <w:szCs w:val="30"/>
        </w:rPr>
      </w:pPr>
      <w:r>
        <w:rPr>
          <w:rFonts w:hint="eastAsia" w:ascii="Times New Roman" w:hAnsi="Times New Roman" w:eastAsia="仿宋_GB2312"/>
          <w:sz w:val="30"/>
          <w:szCs w:val="30"/>
        </w:rPr>
        <w:t>六、部门基本支出情况表</w:t>
      </w:r>
    </w:p>
    <w:p w14:paraId="4B65F456">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00" w:firstLineChars="200"/>
        <w:jc w:val="left"/>
        <w:textAlignment w:val="auto"/>
        <w:outlineLvl w:val="9"/>
        <w:rPr>
          <w:rFonts w:hint="eastAsia" w:ascii="Times New Roman" w:hAnsi="Times New Roman" w:eastAsia="仿宋_GB2312"/>
          <w:sz w:val="30"/>
          <w:szCs w:val="30"/>
        </w:rPr>
      </w:pPr>
      <w:r>
        <w:rPr>
          <w:rFonts w:hint="eastAsia" w:ascii="Times New Roman" w:hAnsi="Times New Roman" w:eastAsia="仿宋_GB2312"/>
          <w:sz w:val="30"/>
          <w:szCs w:val="30"/>
        </w:rPr>
        <w:t>七、部门政府性基金预算支出情况表</w:t>
      </w:r>
    </w:p>
    <w:p w14:paraId="1CDA3373">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00" w:firstLineChars="200"/>
        <w:jc w:val="left"/>
        <w:textAlignment w:val="auto"/>
        <w:outlineLvl w:val="9"/>
        <w:rPr>
          <w:rFonts w:hint="eastAsia" w:ascii="Times New Roman" w:hAnsi="Times New Roman" w:eastAsia="仿宋_GB2312"/>
          <w:sz w:val="30"/>
          <w:szCs w:val="30"/>
        </w:rPr>
      </w:pPr>
      <w:r>
        <w:rPr>
          <w:rFonts w:hint="eastAsia" w:ascii="Times New Roman" w:hAnsi="Times New Roman" w:eastAsia="仿宋_GB2312"/>
          <w:sz w:val="30"/>
          <w:szCs w:val="30"/>
        </w:rPr>
        <w:t>八、财政拨款支出明细表（按经济科目分类）</w:t>
      </w:r>
    </w:p>
    <w:p w14:paraId="48D67817">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00" w:firstLineChars="200"/>
        <w:jc w:val="left"/>
        <w:textAlignment w:val="auto"/>
        <w:outlineLvl w:val="9"/>
        <w:rPr>
          <w:rFonts w:hint="eastAsia" w:ascii="Times New Roman" w:hAnsi="Times New Roman" w:eastAsia="仿宋_GB2312"/>
          <w:sz w:val="30"/>
          <w:szCs w:val="30"/>
        </w:rPr>
      </w:pPr>
      <w:r>
        <w:rPr>
          <w:rFonts w:hint="eastAsia" w:ascii="Times New Roman" w:hAnsi="Times New Roman" w:eastAsia="仿宋_GB2312"/>
          <w:sz w:val="30"/>
          <w:szCs w:val="30"/>
        </w:rPr>
        <w:t>九、部门一般公共预算“三公”经费支出情况表</w:t>
      </w:r>
    </w:p>
    <w:p w14:paraId="5C7854FF">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00" w:firstLineChars="200"/>
        <w:jc w:val="left"/>
        <w:textAlignment w:val="auto"/>
        <w:outlineLvl w:val="9"/>
        <w:rPr>
          <w:rFonts w:hint="eastAsia" w:ascii="Times New Roman" w:hAnsi="Times New Roman" w:eastAsia="仿宋_GB2312"/>
          <w:sz w:val="30"/>
          <w:szCs w:val="30"/>
        </w:rPr>
      </w:pPr>
      <w:r>
        <w:rPr>
          <w:rFonts w:hint="eastAsia" w:ascii="Times New Roman" w:hAnsi="Times New Roman" w:eastAsia="仿宋_GB2312"/>
          <w:sz w:val="30"/>
          <w:szCs w:val="30"/>
        </w:rPr>
        <w:t>十、本级项目支出绩效目标表（本次下达）</w:t>
      </w:r>
    </w:p>
    <w:p w14:paraId="1EDF1338">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00" w:firstLineChars="200"/>
        <w:jc w:val="left"/>
        <w:textAlignment w:val="auto"/>
        <w:outlineLvl w:val="9"/>
        <w:rPr>
          <w:rFonts w:hint="eastAsia" w:ascii="Times New Roman" w:hAnsi="Times New Roman" w:eastAsia="仿宋_GB2312"/>
          <w:sz w:val="30"/>
          <w:szCs w:val="30"/>
        </w:rPr>
      </w:pPr>
      <w:r>
        <w:rPr>
          <w:rFonts w:hint="eastAsia" w:ascii="Times New Roman" w:hAnsi="Times New Roman" w:eastAsia="仿宋_GB2312"/>
          <w:sz w:val="30"/>
          <w:szCs w:val="30"/>
        </w:rPr>
        <w:t>十一、本级项目支出绩效目标表（另文下达）</w:t>
      </w:r>
    </w:p>
    <w:p w14:paraId="28674164">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00" w:firstLineChars="200"/>
        <w:jc w:val="left"/>
        <w:textAlignment w:val="auto"/>
        <w:outlineLvl w:val="9"/>
        <w:rPr>
          <w:rFonts w:hint="eastAsia" w:ascii="Times New Roman" w:hAnsi="Times New Roman" w:eastAsia="仿宋_GB2312"/>
          <w:sz w:val="30"/>
          <w:szCs w:val="30"/>
        </w:rPr>
      </w:pPr>
      <w:r>
        <w:rPr>
          <w:rFonts w:hint="eastAsia" w:ascii="Times New Roman" w:hAnsi="Times New Roman" w:eastAsia="仿宋_GB2312"/>
          <w:sz w:val="30"/>
          <w:szCs w:val="30"/>
        </w:rPr>
        <w:t>十二、对下转移支付绩效目标表</w:t>
      </w:r>
    </w:p>
    <w:p w14:paraId="6F60BD69">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00" w:firstLineChars="200"/>
        <w:jc w:val="left"/>
        <w:textAlignment w:val="auto"/>
        <w:outlineLvl w:val="9"/>
        <w:rPr>
          <w:rFonts w:ascii="Times New Roman" w:hAnsi="Times New Roman" w:eastAsia="仿宋_GB2312"/>
          <w:sz w:val="30"/>
          <w:szCs w:val="30"/>
        </w:rPr>
      </w:pPr>
      <w:r>
        <w:rPr>
          <w:rFonts w:hint="eastAsia" w:ascii="Times New Roman" w:hAnsi="Times New Roman" w:eastAsia="仿宋_GB2312"/>
          <w:sz w:val="30"/>
          <w:szCs w:val="30"/>
        </w:rPr>
        <w:t>十三、部门政府采购情况表</w:t>
      </w:r>
    </w:p>
    <w:p w14:paraId="6A9A3A3A">
      <w:pPr>
        <w:widowControl/>
        <w:jc w:val="center"/>
        <w:rPr>
          <w:rFonts w:hint="eastAsia" w:ascii="方正小标宋简体" w:eastAsia="方正小标宋简体"/>
          <w:kern w:val="0"/>
          <w:sz w:val="36"/>
          <w:szCs w:val="36"/>
        </w:rPr>
      </w:pPr>
    </w:p>
    <w:p w14:paraId="1EDEBB8B">
      <w:pPr>
        <w:widowControl/>
        <w:ind w:firstLine="450" w:firstLineChars="150"/>
        <w:jc w:val="left"/>
        <w:rPr>
          <w:rFonts w:ascii="黑体" w:hAnsi="黑体" w:eastAsia="黑体"/>
          <w:kern w:val="0"/>
          <w:sz w:val="30"/>
          <w:szCs w:val="30"/>
        </w:rPr>
      </w:pPr>
      <w:r>
        <w:rPr>
          <w:rFonts w:ascii="黑体" w:hAnsi="黑体" w:eastAsia="黑体"/>
          <w:kern w:val="0"/>
          <w:sz w:val="30"/>
          <w:szCs w:val="30"/>
        </w:rPr>
        <w:t>一、基本职能及主要工作</w:t>
      </w:r>
    </w:p>
    <w:p w14:paraId="5EC55205">
      <w:pPr>
        <w:widowControl/>
        <w:ind w:firstLine="320" w:firstLineChars="100"/>
        <w:jc w:val="left"/>
        <w:rPr>
          <w:rFonts w:hint="eastAsia" w:ascii="仿宋_GB2312" w:eastAsia="仿宋_GB2312"/>
          <w:kern w:val="0"/>
          <w:sz w:val="32"/>
          <w:szCs w:val="32"/>
        </w:rPr>
      </w:pPr>
      <w:r>
        <w:rPr>
          <w:rFonts w:hint="eastAsia" w:ascii="仿宋_GB2312" w:eastAsia="仿宋_GB2312"/>
          <w:kern w:val="0"/>
          <w:sz w:val="32"/>
          <w:szCs w:val="32"/>
        </w:rPr>
        <w:t>（一）部门主要职责</w:t>
      </w:r>
    </w:p>
    <w:p w14:paraId="1CC179CE">
      <w:pPr>
        <w:snapToGrid w:val="0"/>
        <w:spacing w:line="588" w:lineRule="exact"/>
        <w:ind w:firstLine="640" w:firstLineChars="200"/>
        <w:rPr>
          <w:rFonts w:hint="eastAsia" w:ascii="仿宋_GB2312" w:hAnsi="仿宋" w:eastAsia="仿宋_GB2312"/>
          <w:sz w:val="32"/>
          <w:szCs w:val="32"/>
        </w:rPr>
      </w:pPr>
      <w:r>
        <w:rPr>
          <w:rFonts w:hint="eastAsia" w:ascii="仿宋_GB2312" w:hAnsi="仿宋" w:eastAsia="仿宋_GB2312"/>
          <w:sz w:val="32"/>
          <w:szCs w:val="32"/>
        </w:rPr>
        <w:t>芒市公安局担负着维护全市社会治安稳定和打击各类犯罪，保护各族人民生命财产安全，促进全市经济又快又好发展。</w:t>
      </w:r>
    </w:p>
    <w:p w14:paraId="219DD153">
      <w:pPr>
        <w:widowControl/>
        <w:ind w:firstLine="156" w:firstLineChars="49"/>
        <w:jc w:val="left"/>
        <w:rPr>
          <w:rFonts w:hint="eastAsia" w:ascii="仿宋_GB2312" w:eastAsia="仿宋_GB2312"/>
          <w:kern w:val="0"/>
          <w:sz w:val="32"/>
          <w:szCs w:val="32"/>
        </w:rPr>
      </w:pPr>
      <w:r>
        <w:rPr>
          <w:rFonts w:hint="eastAsia" w:ascii="仿宋_GB2312" w:eastAsia="仿宋_GB2312"/>
          <w:kern w:val="0"/>
          <w:sz w:val="32"/>
          <w:szCs w:val="32"/>
        </w:rPr>
        <w:t>（二）机构设置情况</w:t>
      </w:r>
    </w:p>
    <w:p w14:paraId="35BB5406">
      <w:pPr>
        <w:rPr>
          <w:rFonts w:hint="eastAsia" w:ascii="仿宋_GB2312" w:hAnsi="仿宋_GB2312" w:eastAsia="仿宋_GB2312"/>
          <w:sz w:val="32"/>
          <w:szCs w:val="32"/>
        </w:rPr>
      </w:pPr>
      <w:r>
        <w:rPr>
          <w:rFonts w:hint="eastAsia" w:ascii="仿宋_GB2312" w:hAnsi="仿宋_GB2312" w:eastAsia="仿宋_GB2312"/>
          <w:sz w:val="32"/>
          <w:szCs w:val="32"/>
        </w:rPr>
        <w:t>2017年芒市公安局独立编制机构数2个，独立核算机构数1个，内设机构7个大队、1个指挥中心、4个室、11个派出所、2个拘押场所、1个三非遣反站、1个特殊关爱中心。</w:t>
      </w:r>
    </w:p>
    <w:p w14:paraId="59D80E19">
      <w:pPr>
        <w:widowControl/>
        <w:ind w:firstLine="640" w:firstLineChars="200"/>
        <w:jc w:val="left"/>
        <w:rPr>
          <w:rFonts w:hint="eastAsia" w:ascii="仿宋_GB2312" w:eastAsia="仿宋_GB2312"/>
          <w:kern w:val="0"/>
          <w:sz w:val="32"/>
          <w:szCs w:val="32"/>
        </w:rPr>
      </w:pPr>
    </w:p>
    <w:p w14:paraId="7B269584">
      <w:pPr>
        <w:widowControl/>
        <w:ind w:firstLine="320" w:firstLineChars="100"/>
        <w:jc w:val="left"/>
        <w:rPr>
          <w:rFonts w:hint="eastAsia" w:ascii="仿宋_GB2312" w:eastAsia="仿宋_GB2312"/>
          <w:kern w:val="0"/>
          <w:sz w:val="32"/>
          <w:szCs w:val="32"/>
        </w:rPr>
      </w:pPr>
      <w:r>
        <w:rPr>
          <w:rFonts w:hint="eastAsia" w:ascii="仿宋_GB2312" w:eastAsia="仿宋_GB2312"/>
          <w:kern w:val="0"/>
          <w:sz w:val="32"/>
          <w:szCs w:val="32"/>
        </w:rPr>
        <w:t>（三）重点工作概述</w:t>
      </w:r>
    </w:p>
    <w:p w14:paraId="4CF54755">
      <w:pPr>
        <w:spacing w:line="600" w:lineRule="exact"/>
        <w:ind w:firstLine="640" w:firstLineChars="200"/>
        <w:rPr>
          <w:rFonts w:hint="eastAsia" w:ascii="仿宋_GB2312" w:eastAsia="仿宋_GB2312"/>
          <w:b/>
          <w:sz w:val="32"/>
          <w:szCs w:val="32"/>
        </w:rPr>
      </w:pPr>
      <w:r>
        <w:rPr>
          <w:rFonts w:hint="eastAsia" w:ascii="仿宋_GB2312" w:eastAsia="仿宋_GB2312"/>
          <w:kern w:val="32"/>
          <w:sz w:val="32"/>
          <w:szCs w:val="32"/>
        </w:rPr>
        <w:t>芒市公安全警</w:t>
      </w:r>
      <w:r>
        <w:rPr>
          <w:rFonts w:hint="eastAsia" w:ascii="仿宋_GB2312" w:eastAsia="仿宋_GB2312"/>
          <w:kern w:val="0"/>
          <w:sz w:val="32"/>
          <w:szCs w:val="32"/>
        </w:rPr>
        <w:t>紧紧围绕十九大安保维稳主线，以州局确定的</w:t>
      </w:r>
      <w:r>
        <w:rPr>
          <w:rFonts w:hint="eastAsia" w:ascii="仿宋_GB2312" w:eastAsia="仿宋_GB2312"/>
          <w:b/>
          <w:kern w:val="0"/>
          <w:sz w:val="32"/>
          <w:szCs w:val="32"/>
        </w:rPr>
        <w:t>“作风整顿深化年、信息化防控攻坚年、基础工作夯实年”</w:t>
      </w:r>
      <w:r>
        <w:rPr>
          <w:rFonts w:hint="eastAsia" w:ascii="仿宋_GB2312" w:eastAsia="仿宋_GB2312"/>
          <w:kern w:val="0"/>
          <w:sz w:val="32"/>
          <w:szCs w:val="32"/>
        </w:rPr>
        <w:t>为抓手，以实现</w:t>
      </w:r>
      <w:r>
        <w:rPr>
          <w:rFonts w:hint="eastAsia" w:ascii="仿宋_GB2312" w:eastAsia="仿宋_GB2312"/>
          <w:b/>
          <w:kern w:val="0"/>
          <w:sz w:val="32"/>
          <w:szCs w:val="32"/>
        </w:rPr>
        <w:t>“两个提升”和“两个确保”（即：人民群众安全感、满意度提升，确保社会面不出事、队伍不出事）</w:t>
      </w:r>
      <w:r>
        <w:rPr>
          <w:rFonts w:hint="eastAsia" w:ascii="仿宋_GB2312" w:eastAsia="仿宋_GB2312"/>
          <w:kern w:val="0"/>
          <w:sz w:val="32"/>
          <w:szCs w:val="32"/>
        </w:rPr>
        <w:t>为工作目标，</w:t>
      </w:r>
      <w:r>
        <w:rPr>
          <w:rFonts w:hint="eastAsia" w:ascii="仿宋_GB2312" w:eastAsia="仿宋_GB2312"/>
          <w:sz w:val="32"/>
          <w:szCs w:val="32"/>
        </w:rPr>
        <w:t>在市委、市政府和州公安局的坚强领导下，</w:t>
      </w:r>
      <w:r>
        <w:rPr>
          <w:rFonts w:hint="eastAsia" w:ascii="仿宋_GB2312" w:eastAsia="仿宋_GB2312"/>
          <w:kern w:val="0"/>
          <w:sz w:val="32"/>
          <w:szCs w:val="32"/>
        </w:rPr>
        <w:t>以党的十八大、十八届六中全会精神为指导，以全面建设“平安芒市、法治芒市”为着力点，进一步深化公安改革、社会矛盾化解、社会管理创新、公正廉洁执法，抓实抓好公安信息化、执法规范化、警务实战化、队伍正规化“四项建设”，公安工作主动性、创造性、明显增强，公安队伍凝聚力、战斗力明显提升，</w:t>
      </w:r>
      <w:r>
        <w:rPr>
          <w:rFonts w:hint="eastAsia" w:ascii="仿宋_GB2312" w:eastAsia="仿宋_GB2312"/>
          <w:sz w:val="32"/>
          <w:szCs w:val="32"/>
        </w:rPr>
        <w:t>公安工作取得新成效。</w:t>
      </w:r>
    </w:p>
    <w:p w14:paraId="4760DA37">
      <w:pPr>
        <w:widowControl/>
        <w:spacing w:line="600" w:lineRule="exact"/>
        <w:ind w:firstLine="640" w:firstLineChars="200"/>
        <w:rPr>
          <w:rFonts w:hint="eastAsia" w:ascii="仿宋_GB2312" w:eastAsia="仿宋_GB2312"/>
          <w:sz w:val="32"/>
          <w:szCs w:val="32"/>
        </w:rPr>
      </w:pPr>
      <w:r>
        <w:rPr>
          <w:rFonts w:hint="eastAsia" w:ascii="仿宋_GB2312" w:hAnsi="黑体" w:eastAsia="仿宋_GB2312"/>
          <w:sz w:val="32"/>
          <w:szCs w:val="32"/>
        </w:rPr>
        <w:t>一、抓实反恐维稳，确保全市安全稳定。</w:t>
      </w:r>
      <w:r>
        <w:rPr>
          <w:rFonts w:hint="eastAsia" w:ascii="仿宋_GB2312" w:eastAsia="仿宋_GB2312"/>
          <w:sz w:val="32"/>
          <w:szCs w:val="32"/>
        </w:rPr>
        <w:t>各警种、各部门狠抓</w:t>
      </w:r>
      <w:r>
        <w:rPr>
          <w:rFonts w:hint="eastAsia" w:ascii="仿宋_GB2312" w:eastAsia="仿宋_GB2312"/>
          <w:spacing w:val="-2"/>
          <w:sz w:val="32"/>
          <w:szCs w:val="32"/>
        </w:rPr>
        <w:t>“反恐维稳”和矛盾纠纷排查化解，严密防范打击暴力恐怖活动，</w:t>
      </w:r>
      <w:r>
        <w:rPr>
          <w:rFonts w:hint="eastAsia" w:ascii="仿宋_GB2312" w:eastAsia="仿宋_GB2312"/>
          <w:sz w:val="32"/>
          <w:szCs w:val="32"/>
        </w:rPr>
        <w:t>各司其职，守护通道、排查化解矛盾纠纷、</w:t>
      </w:r>
      <w:r>
        <w:rPr>
          <w:rFonts w:hint="eastAsia" w:ascii="仿宋_GB2312" w:eastAsia="仿宋_GB2312"/>
          <w:spacing w:val="-2"/>
          <w:sz w:val="32"/>
          <w:szCs w:val="32"/>
        </w:rPr>
        <w:t>认真落实化解息诉和教育稳控等措施，</w:t>
      </w:r>
      <w:r>
        <w:rPr>
          <w:rFonts w:hint="eastAsia" w:ascii="仿宋_GB2312" w:eastAsia="仿宋_GB2312"/>
          <w:sz w:val="32"/>
          <w:szCs w:val="32"/>
        </w:rPr>
        <w:t>形成“</w:t>
      </w:r>
      <w:r>
        <w:rPr>
          <w:rFonts w:hint="eastAsia" w:ascii="仿宋_GB2312" w:eastAsia="仿宋_GB2312"/>
          <w:spacing w:val="10"/>
          <w:kern w:val="16"/>
          <w:sz w:val="32"/>
          <w:szCs w:val="32"/>
          <w:lang w:eastAsia="zh-CN"/>
        </w:rPr>
        <w:t>守土有责、守土负责、守土尽责</w:t>
      </w:r>
      <w:r>
        <w:rPr>
          <w:rFonts w:hint="eastAsia" w:ascii="仿宋_GB2312" w:eastAsia="仿宋_GB2312"/>
          <w:sz w:val="32"/>
          <w:szCs w:val="32"/>
        </w:rPr>
        <w:t>”的整体合力。年内，共收集上报各类信息1036条，调处各类矛盾纠纷683件，受理化解信访案件136件；完成大型群众性活动、重要会议及考试安全保卫工作任务250余场次，实现了“两会”、</w:t>
      </w:r>
      <w:r>
        <w:rPr>
          <w:rFonts w:hint="eastAsia" w:ascii="仿宋_GB2312" w:eastAsia="仿宋_GB2312"/>
          <w:bCs/>
          <w:kern w:val="0"/>
          <w:sz w:val="32"/>
          <w:szCs w:val="32"/>
        </w:rPr>
        <w:t>“目瑙纵歌节”、“泼水节”等民族节日和大型活动安全有序，万无一失</w:t>
      </w:r>
      <w:r>
        <w:rPr>
          <w:rFonts w:hint="eastAsia" w:ascii="仿宋_GB2312" w:eastAsia="仿宋_GB2312"/>
          <w:spacing w:val="-2"/>
          <w:sz w:val="32"/>
          <w:szCs w:val="32"/>
        </w:rPr>
        <w:t>。</w:t>
      </w:r>
      <w:r>
        <w:rPr>
          <w:rFonts w:hint="eastAsia" w:ascii="仿宋_GB2312" w:eastAsia="仿宋_GB2312"/>
          <w:sz w:val="32"/>
          <w:szCs w:val="32"/>
        </w:rPr>
        <w:t>特别是十九大召开期间，全警以高度的政治责任感，坚持以细之又细、实之又实的工作作风全力开展各项稳控工作，确保实现了“五个严防发生”和“三个坚决不发生”总目标（</w:t>
      </w:r>
      <w:r>
        <w:rPr>
          <w:rFonts w:hint="eastAsia" w:ascii="仿宋_GB2312" w:eastAsia="仿宋_GB2312"/>
          <w:b/>
          <w:sz w:val="32"/>
          <w:szCs w:val="32"/>
        </w:rPr>
        <w:t>五个严防发生：</w:t>
      </w:r>
      <w:r>
        <w:rPr>
          <w:rFonts w:hint="eastAsia" w:ascii="仿宋_GB2312" w:eastAsia="仿宋_GB2312"/>
          <w:sz w:val="32"/>
          <w:szCs w:val="32"/>
        </w:rPr>
        <w:t>1.严防发生严重影响政治稳定的重大事件；2.严防发生重大暴力恐怖袭击事件；3.严防发生大规模群体性事件和赴昆进京上访事件；4.严防发生影响恶劣的刑事犯罪案件和个人极端暴力事件；5.严防发生群死群伤、重大财产损失的治安、交通、火灾事故。</w:t>
      </w:r>
      <w:r>
        <w:rPr>
          <w:rFonts w:hint="eastAsia" w:ascii="仿宋_GB2312" w:eastAsia="仿宋_GB2312"/>
          <w:b/>
          <w:sz w:val="32"/>
          <w:szCs w:val="32"/>
        </w:rPr>
        <w:t>三个坚决不发生：</w:t>
      </w:r>
      <w:r>
        <w:rPr>
          <w:rFonts w:hint="eastAsia" w:ascii="仿宋_GB2312" w:eastAsia="仿宋_GB2312"/>
          <w:sz w:val="32"/>
          <w:szCs w:val="32"/>
        </w:rPr>
        <w:t>1.坚决不发生暴力恐怖袭击事件；2.坚决不发生在全国有重大影响的大规模群体性事件；3.坚决不发生重大公共安全案事件），以实际行动捍卫了国家安全和全市社会大局稳定。</w:t>
      </w:r>
    </w:p>
    <w:p w14:paraId="58A9C19F">
      <w:pPr>
        <w:snapToGrid w:val="0"/>
        <w:spacing w:line="600" w:lineRule="exact"/>
        <w:ind w:firstLine="632" w:firstLineChars="200"/>
        <w:rPr>
          <w:rFonts w:hint="eastAsia" w:ascii="仿宋_GB2312" w:eastAsia="仿宋_GB2312"/>
          <w:spacing w:val="-2"/>
          <w:sz w:val="32"/>
          <w:szCs w:val="32"/>
        </w:rPr>
      </w:pPr>
      <w:r>
        <w:rPr>
          <w:rFonts w:hint="eastAsia" w:ascii="仿宋_GB2312" w:hAnsi="黑体" w:eastAsia="仿宋_GB2312"/>
          <w:spacing w:val="-2"/>
          <w:sz w:val="32"/>
          <w:szCs w:val="32"/>
        </w:rPr>
        <w:t>二、抓实合成作战，提升打击治理效能。</w:t>
      </w:r>
      <w:r>
        <w:rPr>
          <w:rFonts w:hint="eastAsia" w:ascii="仿宋_GB2312" w:eastAsia="仿宋_GB2312"/>
          <w:sz w:val="32"/>
          <w:szCs w:val="32"/>
        </w:rPr>
        <w:t>我们建立了指挥长机制，</w:t>
      </w:r>
      <w:r>
        <w:rPr>
          <w:rFonts w:hint="eastAsia" w:ascii="仿宋_GB2312" w:eastAsia="仿宋_GB2312"/>
          <w:bCs/>
          <w:sz w:val="32"/>
          <w:szCs w:val="32"/>
        </w:rPr>
        <w:t>整合指挥中心、网安、刑侦、禁毒、治安、派出所等部门力量</w:t>
      </w:r>
      <w:r>
        <w:rPr>
          <w:rFonts w:hint="eastAsia" w:ascii="仿宋_GB2312" w:eastAsia="仿宋_GB2312"/>
          <w:sz w:val="32"/>
          <w:szCs w:val="32"/>
        </w:rPr>
        <w:t>建立合成作战中心，优化合成侦查机制，既保证指挥调度高效又保证重大警情快速决策。</w:t>
      </w:r>
      <w:r>
        <w:rPr>
          <w:rFonts w:hint="eastAsia" w:ascii="仿宋_GB2312" w:eastAsia="仿宋_GB2312"/>
          <w:kern w:val="0"/>
          <w:sz w:val="32"/>
          <w:szCs w:val="32"/>
          <w:lang w:val="zh-CN"/>
        </w:rPr>
        <w:t>毫不手软、果断出击，</w:t>
      </w:r>
      <w:r>
        <w:rPr>
          <w:rFonts w:hint="eastAsia" w:ascii="仿宋_GB2312" w:eastAsia="仿宋_GB2312"/>
          <w:sz w:val="32"/>
          <w:szCs w:val="32"/>
        </w:rPr>
        <w:t>持续不断组织开展</w:t>
      </w:r>
      <w:r>
        <w:rPr>
          <w:rFonts w:hint="eastAsia" w:ascii="仿宋_GB2312" w:eastAsia="仿宋_GB2312"/>
          <w:kern w:val="0"/>
          <w:sz w:val="32"/>
          <w:szCs w:val="32"/>
          <w:lang w:val="zh-CN"/>
        </w:rPr>
        <w:t>“盗抢骗”、“三打击一整治”、“5.14堵源截流”、“清霾风暴”、</w:t>
      </w:r>
      <w:r>
        <w:rPr>
          <w:rFonts w:hint="eastAsia" w:ascii="仿宋_GB2312" w:eastAsia="仿宋_GB2312"/>
          <w:kern w:val="0"/>
          <w:sz w:val="32"/>
          <w:szCs w:val="32"/>
          <w:lang w:val="en-US" w:eastAsia="zh-CN"/>
        </w:rPr>
        <w:t>扫</w:t>
      </w:r>
      <w:r>
        <w:rPr>
          <w:rFonts w:hint="eastAsia" w:ascii="仿宋_GB2312" w:eastAsia="仿宋_GB2312"/>
          <w:kern w:val="0"/>
          <w:sz w:val="32"/>
          <w:szCs w:val="32"/>
          <w:lang w:val="zh-CN"/>
        </w:rPr>
        <w:t>黑除恶、 “零点大收戒”、三非人员大治理、</w:t>
      </w:r>
      <w:r>
        <w:rPr>
          <w:rFonts w:hint="eastAsia" w:ascii="仿宋_GB2312" w:eastAsia="仿宋_GB2312"/>
          <w:kern w:val="0"/>
          <w:sz w:val="32"/>
          <w:szCs w:val="32"/>
        </w:rPr>
        <w:t>“黄赌毒”大整治</w:t>
      </w:r>
      <w:r>
        <w:rPr>
          <w:rFonts w:hint="eastAsia" w:ascii="仿宋_GB2312" w:eastAsia="仿宋_GB2312"/>
          <w:kern w:val="0"/>
          <w:sz w:val="32"/>
          <w:szCs w:val="32"/>
          <w:lang w:val="zh-CN"/>
        </w:rPr>
        <w:t>等专项行动，</w:t>
      </w:r>
      <w:r>
        <w:rPr>
          <w:rFonts w:hint="eastAsia" w:ascii="仿宋_GB2312" w:eastAsia="仿宋_GB2312"/>
          <w:kern w:val="0"/>
          <w:sz w:val="32"/>
          <w:szCs w:val="32"/>
        </w:rPr>
        <w:t>破获了一大批严重暴力犯罪案件和突出犯罪案件，成功摧毁了一批犯罪团伙，有效整治了治安复杂区域和突出治安问题，</w:t>
      </w:r>
      <w:r>
        <w:rPr>
          <w:rFonts w:hint="eastAsia" w:ascii="仿宋_GB2312" w:eastAsia="仿宋_GB2312"/>
          <w:sz w:val="32"/>
          <w:szCs w:val="32"/>
        </w:rPr>
        <w:t>形成多警联动破案打击的“大侦查”工作格局。</w:t>
      </w:r>
      <w:r>
        <w:rPr>
          <w:rFonts w:hint="eastAsia" w:ascii="仿宋_GB2312" w:eastAsia="仿宋_GB2312"/>
          <w:b/>
          <w:sz w:val="32"/>
          <w:szCs w:val="32"/>
        </w:rPr>
        <w:t>一是刑事发案持续下降。</w:t>
      </w:r>
      <w:r>
        <w:rPr>
          <w:rFonts w:hint="eastAsia" w:ascii="仿宋_GB2312" w:eastAsia="仿宋_GB2312"/>
          <w:sz w:val="32"/>
          <w:szCs w:val="32"/>
        </w:rPr>
        <w:t>今年来，全市共立各类刑事案件1765件，同比去年2218件下降20.42%。其中：“两抢一盗”发案 1432 件，比去年</w:t>
      </w:r>
      <w:r>
        <w:rPr>
          <w:rFonts w:hint="eastAsia" w:ascii="仿宋_GB2312" w:eastAsia="仿宋_GB2312"/>
          <w:sz w:val="32"/>
          <w:szCs w:val="32"/>
          <w:shd w:val="clear" w:color="auto" w:fill="FFFFFF"/>
        </w:rPr>
        <w:t>下降24.25%；命案发案2起实现全破，</w:t>
      </w:r>
      <w:r>
        <w:rPr>
          <w:rFonts w:hint="eastAsia" w:ascii="仿宋_GB2312" w:eastAsia="仿宋_GB2312"/>
          <w:sz w:val="32"/>
          <w:szCs w:val="32"/>
        </w:rPr>
        <w:t>发案下降71.4%</w:t>
      </w:r>
      <w:r>
        <w:rPr>
          <w:rFonts w:hint="eastAsia" w:ascii="仿宋_GB2312" w:eastAsia="仿宋_GB2312"/>
          <w:sz w:val="32"/>
          <w:szCs w:val="32"/>
          <w:shd w:val="clear" w:color="auto" w:fill="FFFFFF"/>
        </w:rPr>
        <w:t>。</w:t>
      </w:r>
      <w:r>
        <w:rPr>
          <w:rFonts w:hint="eastAsia" w:ascii="仿宋_GB2312" w:eastAsia="仿宋_GB2312"/>
          <w:b/>
          <w:sz w:val="32"/>
          <w:szCs w:val="32"/>
          <w:shd w:val="clear" w:color="auto" w:fill="FFFFFF"/>
        </w:rPr>
        <w:t>二是打击犯罪更加有力。</w:t>
      </w:r>
      <w:r>
        <w:rPr>
          <w:rFonts w:hint="eastAsia" w:ascii="仿宋_GB2312" w:eastAsia="仿宋_GB2312"/>
          <w:sz w:val="32"/>
          <w:szCs w:val="32"/>
        </w:rPr>
        <w:t>共破获各类刑事案件955件，比去年1009件下降5.39%；抓获作案成员370人，比去年363人上升1.93%；打掉犯罪团伙28个140人涉案211件；一举突破了 “1.01”拦路抢劫案、 “8.15”故意伤害案、“6.09”聚众斗殴案、“9.16”飞车抢夺案、“10.10”妨害公务案等一批具有广泛社会影响的案件。破获涉众型经济犯罪案件34件，同比上升3%；追缴、挽回经济损失近812.84万元。</w:t>
      </w:r>
      <w:r>
        <w:rPr>
          <w:rFonts w:hint="eastAsia" w:ascii="仿宋_GB2312" w:eastAsia="仿宋_GB2312"/>
          <w:b/>
          <w:sz w:val="32"/>
          <w:szCs w:val="32"/>
        </w:rPr>
        <w:t>同时</w:t>
      </w:r>
      <w:r>
        <w:rPr>
          <w:rFonts w:hint="eastAsia" w:ascii="仿宋_GB2312" w:eastAsia="仿宋_GB2312"/>
          <w:b/>
          <w:bCs/>
          <w:sz w:val="32"/>
          <w:szCs w:val="32"/>
        </w:rPr>
        <w:t>，</w:t>
      </w:r>
      <w:r>
        <w:rPr>
          <w:rFonts w:hint="eastAsia" w:ascii="仿宋_GB2312" w:eastAsia="仿宋_GB2312"/>
          <w:bCs/>
          <w:sz w:val="32"/>
          <w:szCs w:val="32"/>
        </w:rPr>
        <w:t>进一步</w:t>
      </w:r>
      <w:r>
        <w:rPr>
          <w:rFonts w:hint="eastAsia" w:ascii="仿宋_GB2312" w:eastAsia="仿宋_GB2312"/>
          <w:sz w:val="32"/>
          <w:szCs w:val="32"/>
        </w:rPr>
        <w:t>深化</w:t>
      </w:r>
      <w:r>
        <w:rPr>
          <w:rFonts w:hint="eastAsia" w:ascii="仿宋_GB2312" w:eastAsia="仿宋_GB2312"/>
          <w:bCs/>
          <w:sz w:val="32"/>
          <w:szCs w:val="32"/>
        </w:rPr>
        <w:t>信息主导警务格局，</w:t>
      </w:r>
      <w:r>
        <w:rPr>
          <w:rFonts w:hint="eastAsia" w:ascii="仿宋_GB2312" w:eastAsia="仿宋_GB2312"/>
          <w:kern w:val="0"/>
          <w:sz w:val="32"/>
          <w:szCs w:val="32"/>
        </w:rPr>
        <w:t>运用信息导侦大力侦破各类案件，</w:t>
      </w:r>
      <w:r>
        <w:rPr>
          <w:rFonts w:hint="eastAsia" w:ascii="仿宋_GB2312" w:eastAsia="仿宋_GB2312"/>
          <w:bCs/>
          <w:sz w:val="32"/>
          <w:szCs w:val="32"/>
        </w:rPr>
        <w:t>年内</w:t>
      </w:r>
      <w:r>
        <w:rPr>
          <w:rFonts w:hint="eastAsia" w:ascii="仿宋_GB2312" w:eastAsia="仿宋_GB2312"/>
          <w:sz w:val="32"/>
          <w:szCs w:val="32"/>
        </w:rPr>
        <w:t>，全局采集录入各类社会信息达1亿余条，情报导侦破获案件占破案总数的50%以上，得到省公安厅、州公安局的充分肯定。</w:t>
      </w:r>
    </w:p>
    <w:p w14:paraId="335C8109">
      <w:pPr>
        <w:ind w:firstLine="632" w:firstLineChars="200"/>
        <w:rPr>
          <w:rFonts w:hint="eastAsia" w:ascii="仿宋_GB2312" w:eastAsia="仿宋_GB2312"/>
          <w:sz w:val="32"/>
          <w:szCs w:val="32"/>
        </w:rPr>
      </w:pPr>
      <w:r>
        <w:rPr>
          <w:rFonts w:hint="eastAsia" w:ascii="仿宋_GB2312" w:hAnsi="黑体" w:eastAsia="仿宋_GB2312"/>
          <w:spacing w:val="-2"/>
          <w:sz w:val="32"/>
          <w:szCs w:val="32"/>
        </w:rPr>
        <w:t>三、强化重点整治，推进禁毒人民战争。</w:t>
      </w:r>
      <w:r>
        <w:rPr>
          <w:rFonts w:hint="eastAsia" w:ascii="仿宋_GB2312" w:eastAsia="仿宋_GB2312"/>
          <w:sz w:val="32"/>
          <w:szCs w:val="32"/>
        </w:rPr>
        <w:t>今年来，芒市公安机关紧</w:t>
      </w:r>
      <w:r>
        <w:rPr>
          <w:rFonts w:hint="eastAsia" w:ascii="仿宋_GB2312" w:hAnsi="仿宋_GB2312" w:eastAsia="仿宋_GB2312"/>
          <w:sz w:val="32"/>
          <w:szCs w:val="32"/>
        </w:rPr>
        <w:t>紧抓住破案缴毒、收戒打零、禁防宣传与打击整治相结合，</w:t>
      </w:r>
      <w:r>
        <w:rPr>
          <w:rFonts w:hint="eastAsia" w:ascii="仿宋_GB2312" w:eastAsia="仿宋_GB2312"/>
          <w:sz w:val="32"/>
          <w:szCs w:val="32"/>
        </w:rPr>
        <w:t>突出重点、全线出击，最大限度地遏制境外毒品渗透、减轻毒品危害，有力地打击了毒品违法犯罪活动</w:t>
      </w:r>
      <w:r>
        <w:rPr>
          <w:rFonts w:hint="eastAsia" w:ascii="仿宋_GB2312" w:eastAsia="仿宋_GB2312"/>
          <w:spacing w:val="16"/>
          <w:sz w:val="32"/>
          <w:szCs w:val="32"/>
        </w:rPr>
        <w:t>。年内</w:t>
      </w:r>
      <w:r>
        <w:rPr>
          <w:rFonts w:hint="eastAsia" w:ascii="仿宋_GB2312" w:eastAsia="仿宋_GB2312"/>
          <w:sz w:val="32"/>
          <w:szCs w:val="32"/>
        </w:rPr>
        <w:t>，全市共破获各类毒品刑事案件424件，同比410件上升3.41%；抓获涉毒犯罪嫌疑人425人，同比466人下降8.79%；缴获各类毒品783.63千克，同比689.49千克上升13.65%；破获零星贩毒刑事案件280起，同比去年231起上升21.21%；收戒吸毒人员3910名（其中：强制隔离戒毒2083名，社区戒毒社区康复1827名），同比上升5.19%。同时，积极联动全市各乡镇、各部门开展禁毒群防群治和</w:t>
      </w:r>
      <w:r>
        <w:rPr>
          <w:rFonts w:hint="eastAsia" w:ascii="仿宋_GB2312" w:hAnsi="仿宋_GB2312" w:eastAsia="仿宋_GB2312"/>
          <w:sz w:val="32"/>
          <w:szCs w:val="32"/>
        </w:rPr>
        <w:t>禁毒宣传，</w:t>
      </w:r>
      <w:r>
        <w:rPr>
          <w:rFonts w:hint="eastAsia" w:ascii="仿宋_GB2312" w:eastAsia="仿宋_GB2312"/>
          <w:sz w:val="32"/>
          <w:szCs w:val="32"/>
        </w:rPr>
        <w:t>使宣传活动“进校园、进企业、进单位、进社区、进村寨、进家庭”，深入推进了第四轮禁毒人民战争。</w:t>
      </w:r>
    </w:p>
    <w:p w14:paraId="77C9E3A7">
      <w:pPr>
        <w:snapToGrid w:val="0"/>
        <w:spacing w:line="600" w:lineRule="exact"/>
        <w:ind w:firstLine="640" w:firstLineChars="200"/>
        <w:rPr>
          <w:rFonts w:hint="eastAsia" w:ascii="仿宋_GB2312" w:eastAsia="仿宋_GB2312"/>
          <w:kern w:val="0"/>
          <w:sz w:val="32"/>
          <w:szCs w:val="32"/>
        </w:rPr>
      </w:pPr>
      <w:r>
        <w:rPr>
          <w:rFonts w:hint="eastAsia" w:ascii="仿宋_GB2312" w:hAnsi="黑体" w:eastAsia="仿宋_GB2312"/>
          <w:sz w:val="32"/>
          <w:szCs w:val="32"/>
        </w:rPr>
        <w:t>四、抓实管理创新，提升综合整治成效。</w:t>
      </w:r>
      <w:r>
        <w:rPr>
          <w:rFonts w:hint="eastAsia" w:ascii="仿宋_GB2312" w:eastAsia="仿宋_GB2312"/>
          <w:b/>
          <w:sz w:val="32"/>
          <w:szCs w:val="32"/>
        </w:rPr>
        <w:t>在治安管理上，</w:t>
      </w:r>
      <w:r>
        <w:rPr>
          <w:rFonts w:hint="eastAsia" w:ascii="仿宋_GB2312" w:eastAsia="仿宋_GB2312"/>
          <w:sz w:val="32"/>
          <w:szCs w:val="32"/>
        </w:rPr>
        <w:t>通过抓防范、咬住“人口、出租房、特殊场所、校园安保、物流寄递业、行业场所”等重点管理环节，共查处治安案件2458件，查处违法人员2034人次，同比</w:t>
      </w:r>
      <w:r>
        <w:rPr>
          <w:rFonts w:hint="eastAsia" w:ascii="仿宋_GB2312" w:eastAsia="仿宋_GB2312"/>
          <w:kern w:val="0"/>
          <w:sz w:val="32"/>
          <w:szCs w:val="32"/>
        </w:rPr>
        <w:t>治安案件下降28.40%，查处违法人员数下降39.46%</w:t>
      </w:r>
      <w:r>
        <w:rPr>
          <w:rFonts w:hint="eastAsia" w:ascii="仿宋_GB2312" w:eastAsia="仿宋_GB2312"/>
          <w:sz w:val="32"/>
          <w:szCs w:val="32"/>
        </w:rPr>
        <w:t>；清理遣送“三非”人员2439人次，同比1747人上升39.1%，拘留审查“三非”人员1244人次；收缴各类枪支207支、子弹6415发、炮弹8枚、手榴弹8枚、航弹3枚、烟花爆竹94件、管制刀具890把。</w:t>
      </w:r>
      <w:r>
        <w:rPr>
          <w:rFonts w:hint="eastAsia" w:ascii="仿宋_GB2312" w:eastAsia="仿宋_GB2312"/>
          <w:b/>
          <w:sz w:val="32"/>
          <w:szCs w:val="32"/>
        </w:rPr>
        <w:t>在便民利民上，</w:t>
      </w:r>
      <w:r>
        <w:rPr>
          <w:rFonts w:hint="eastAsia" w:ascii="仿宋_GB2312" w:eastAsia="仿宋_GB2312"/>
          <w:sz w:val="32"/>
          <w:szCs w:val="32"/>
        </w:rPr>
        <w:t>推出38项便民利民措施，</w:t>
      </w:r>
      <w:r>
        <w:rPr>
          <w:rFonts w:hint="eastAsia" w:ascii="仿宋_GB2312" w:eastAsia="仿宋_GB2312"/>
          <w:spacing w:val="-20"/>
          <w:sz w:val="32"/>
          <w:szCs w:val="32"/>
        </w:rPr>
        <w:t>对7类行</w:t>
      </w:r>
      <w:r>
        <w:rPr>
          <w:rFonts w:hint="eastAsia" w:ascii="仿宋_GB2312" w:eastAsia="仿宋_GB2312"/>
          <w:sz w:val="32"/>
          <w:szCs w:val="32"/>
        </w:rPr>
        <w:t>政职权</w:t>
      </w:r>
      <w:r>
        <w:rPr>
          <w:rFonts w:hint="eastAsia" w:ascii="仿宋_GB2312" w:eastAsia="仿宋_GB2312"/>
          <w:kern w:val="0"/>
          <w:sz w:val="32"/>
          <w:szCs w:val="32"/>
        </w:rPr>
        <w:t>18项行政许可进行精简调整，缩减审批事项11项，缩减时限最长达28个工作日，并开通服务“绿色通道”；</w:t>
      </w:r>
      <w:r>
        <w:rPr>
          <w:rFonts w:hint="eastAsia" w:ascii="仿宋_GB2312" w:eastAsia="仿宋_GB2312"/>
          <w:sz w:val="32"/>
          <w:szCs w:val="32"/>
        </w:rPr>
        <w:t>创新</w:t>
      </w:r>
      <w:r>
        <w:rPr>
          <w:rFonts w:hint="eastAsia" w:ascii="仿宋_GB2312" w:eastAsia="仿宋_GB2312"/>
          <w:kern w:val="0"/>
          <w:sz w:val="32"/>
          <w:szCs w:val="32"/>
        </w:rPr>
        <w:t>摆出“</w:t>
      </w:r>
      <w:r>
        <w:rPr>
          <w:rFonts w:hint="eastAsia" w:ascii="仿宋_GB2312" w:eastAsia="仿宋_GB2312"/>
          <w:sz w:val="32"/>
          <w:szCs w:val="32"/>
        </w:rPr>
        <w:t>流动人口管理”、“为民服务之星”、“微信拓展运用”三个“擂台赛”，比服务比技能，比创新比提质增效，连续2次在全州公安“擂台赛”上荣获第一名，并取得了良好的社会服务效果。</w:t>
      </w:r>
      <w:r>
        <w:rPr>
          <w:rFonts w:hint="eastAsia" w:ascii="仿宋_GB2312" w:eastAsia="仿宋_GB2312"/>
          <w:b/>
          <w:sz w:val="32"/>
          <w:szCs w:val="32"/>
        </w:rPr>
        <w:t>在管理创新上，</w:t>
      </w:r>
      <w:r>
        <w:rPr>
          <w:rFonts w:hint="eastAsia" w:ascii="仿宋_GB2312" w:eastAsia="仿宋_GB2312"/>
          <w:sz w:val="32"/>
          <w:szCs w:val="32"/>
        </w:rPr>
        <w:t>创新建立社区戒毒（康复）“四位一体”、“网格化”服务管理机制、“老、弱、病、残”特殊吸贩毒人员</w:t>
      </w:r>
      <w:r>
        <w:rPr>
          <w:rFonts w:hint="eastAsia" w:ascii="仿宋_GB2312" w:eastAsia="仿宋_GB2312"/>
          <w:kern w:val="0"/>
          <w:sz w:val="32"/>
          <w:szCs w:val="32"/>
        </w:rPr>
        <w:t>“三级联动”管理机制，芒市</w:t>
      </w:r>
      <w:r>
        <w:rPr>
          <w:rFonts w:hint="eastAsia" w:ascii="仿宋_GB2312" w:eastAsia="仿宋_GB2312"/>
          <w:sz w:val="32"/>
          <w:szCs w:val="32"/>
        </w:rPr>
        <w:t>胶林社区戒毒康复工作经验在全省“第四轮禁毒和防艾人民战争部署会”上交流推广；在</w:t>
      </w:r>
      <w:r>
        <w:rPr>
          <w:rFonts w:hint="eastAsia" w:ascii="仿宋_GB2312" w:eastAsia="仿宋_GB2312"/>
          <w:bCs/>
          <w:sz w:val="32"/>
          <w:szCs w:val="32"/>
        </w:rPr>
        <w:t>全省首家创新建立“三非”人员遣返站</w:t>
      </w:r>
      <w:r>
        <w:rPr>
          <w:rFonts w:hint="eastAsia" w:ascii="仿宋_GB2312" w:eastAsia="仿宋_GB2312"/>
          <w:sz w:val="32"/>
          <w:szCs w:val="32"/>
        </w:rPr>
        <w:t>，</w:t>
      </w:r>
      <w:r>
        <w:rPr>
          <w:rFonts w:hint="eastAsia" w:ascii="仿宋_GB2312" w:eastAsia="仿宋_GB2312"/>
          <w:bCs/>
          <w:sz w:val="32"/>
          <w:szCs w:val="32"/>
        </w:rPr>
        <w:t>闯出了一条</w:t>
      </w:r>
      <w:r>
        <w:rPr>
          <w:rFonts w:hint="eastAsia" w:ascii="仿宋_GB2312" w:eastAsia="仿宋_GB2312"/>
          <w:sz w:val="32"/>
          <w:szCs w:val="32"/>
        </w:rPr>
        <w:t>外籍人员管理新路；创新推出“社会治安指标监测机制”，对“七大治安要素”进行数据监测、民意监测和情报监测，大大提升对社会治安驾驭掌控能力，得到省公安厅督查组高度评价；积极提请市委、市政府建立了“芒市社会应急联动指挥中心”，规范了非警务类报警求助处置；强势推进社区警务专职化，城南派出所工作经验在全州派出所现场会上交流；积极构建立体化防控网络，织密人、车、监控视频、卡口抓拍整体防控和巡逻防控</w:t>
      </w:r>
      <w:r>
        <w:rPr>
          <w:rFonts w:hint="eastAsia" w:ascii="仿宋_GB2312" w:eastAsia="仿宋_GB2312"/>
          <w:kern w:val="0"/>
          <w:sz w:val="32"/>
          <w:szCs w:val="32"/>
        </w:rPr>
        <w:t>分级联动的严密网络，使全市110警情下降28.3%，街面“两抢”发案同比</w:t>
      </w:r>
      <w:r>
        <w:rPr>
          <w:rFonts w:hint="eastAsia" w:ascii="仿宋_GB2312" w:eastAsia="仿宋_GB2312"/>
          <w:sz w:val="32"/>
          <w:szCs w:val="32"/>
        </w:rPr>
        <w:t>下降15.79%。</w:t>
      </w:r>
      <w:r>
        <w:rPr>
          <w:rFonts w:hint="eastAsia" w:ascii="仿宋_GB2312" w:eastAsia="仿宋_GB2312"/>
          <w:b/>
          <w:sz w:val="32"/>
          <w:szCs w:val="32"/>
        </w:rPr>
        <w:t>在信息化建用上，</w:t>
      </w:r>
      <w:r>
        <w:rPr>
          <w:rFonts w:hint="eastAsia" w:ascii="仿宋_GB2312" w:eastAsia="仿宋_GB2312"/>
          <w:sz w:val="32"/>
          <w:szCs w:val="32"/>
        </w:rPr>
        <w:t>创新自主研发“</w:t>
      </w:r>
      <w:r>
        <w:rPr>
          <w:rFonts w:hint="eastAsia" w:ascii="仿宋_GB2312" w:hAnsi="黑体" w:eastAsia="仿宋_GB2312"/>
          <w:sz w:val="32"/>
          <w:szCs w:val="32"/>
        </w:rPr>
        <w:t>芒市境外人员人像识别比对系统</w:t>
      </w:r>
      <w:r>
        <w:rPr>
          <w:rFonts w:hint="eastAsia" w:ascii="仿宋_GB2312" w:eastAsia="仿宋_GB2312"/>
          <w:sz w:val="32"/>
          <w:szCs w:val="32"/>
        </w:rPr>
        <w:t>”，开创了境外人员管理新路子，该系统已引起州委政法委，强边固防办，省、州公安改革办，科信办高度重视，现正积极申报省级改革创新项目。今年，全市共投入2000余万元用于公安信息化建设应用，先后完成“350兆”数字集群、“现场执法音视频”采集系统、“4G移动警务终端”、警务通、“数字边防”及</w:t>
      </w:r>
      <w:r>
        <w:rPr>
          <w:rFonts w:hint="eastAsia" w:ascii="仿宋_GB2312" w:eastAsia="仿宋_GB2312"/>
          <w:kern w:val="0"/>
          <w:sz w:val="32"/>
          <w:szCs w:val="32"/>
        </w:rPr>
        <w:t>1000个视频监控探头建设</w:t>
      </w:r>
      <w:r>
        <w:rPr>
          <w:rFonts w:hint="eastAsia" w:ascii="仿宋_GB2312" w:eastAsia="仿宋_GB2312"/>
          <w:sz w:val="32"/>
          <w:szCs w:val="32"/>
        </w:rPr>
        <w:t>。信息化运用水平已居全省县级第一方阵。</w:t>
      </w:r>
    </w:p>
    <w:p w14:paraId="12D9668B">
      <w:pPr>
        <w:spacing w:line="600" w:lineRule="exact"/>
        <w:ind w:firstLine="704" w:firstLineChars="200"/>
        <w:rPr>
          <w:rFonts w:hint="eastAsia" w:ascii="仿宋_GB2312" w:eastAsia="仿宋_GB2312"/>
          <w:sz w:val="32"/>
          <w:szCs w:val="32"/>
        </w:rPr>
      </w:pPr>
      <w:r>
        <w:rPr>
          <w:rFonts w:hint="eastAsia" w:ascii="仿宋_GB2312" w:hAnsi="黑体" w:eastAsia="仿宋_GB2312"/>
          <w:spacing w:val="16"/>
          <w:sz w:val="32"/>
          <w:szCs w:val="32"/>
        </w:rPr>
        <w:t>五、抓实巡防布控，织密防控网络体系。</w:t>
      </w:r>
      <w:r>
        <w:rPr>
          <w:rFonts w:hint="eastAsia" w:ascii="仿宋_GB2312" w:eastAsia="仿宋_GB2312"/>
          <w:spacing w:val="16"/>
          <w:sz w:val="32"/>
          <w:szCs w:val="32"/>
        </w:rPr>
        <w:t>今年，市局</w:t>
      </w:r>
      <w:r>
        <w:rPr>
          <w:rFonts w:hint="eastAsia" w:ascii="仿宋_GB2312" w:eastAsia="仿宋_GB2312"/>
          <w:sz w:val="32"/>
          <w:szCs w:val="32"/>
        </w:rPr>
        <w:t>确定了</w:t>
      </w:r>
      <w:r>
        <w:rPr>
          <w:rFonts w:hint="eastAsia" w:ascii="仿宋_GB2312" w:eastAsia="仿宋_GB2312"/>
          <w:b/>
          <w:sz w:val="32"/>
          <w:szCs w:val="32"/>
        </w:rPr>
        <w:t>“防为主、防为上、撸起袖子护民安”</w:t>
      </w:r>
      <w:r>
        <w:rPr>
          <w:rFonts w:hint="eastAsia" w:ascii="仿宋_GB2312" w:eastAsia="仿宋_GB2312"/>
          <w:sz w:val="32"/>
          <w:szCs w:val="32"/>
        </w:rPr>
        <w:t>防范主题，并紧紧围绕这一主题开展了每月</w:t>
      </w:r>
      <w:r>
        <w:rPr>
          <w:rFonts w:hint="eastAsia" w:ascii="仿宋_GB2312" w:eastAsia="仿宋_GB2312"/>
          <w:b/>
          <w:sz w:val="32"/>
          <w:szCs w:val="32"/>
        </w:rPr>
        <w:t>“所长服务日”</w:t>
      </w:r>
      <w:r>
        <w:rPr>
          <w:rFonts w:hint="eastAsia" w:ascii="仿宋_GB2312" w:eastAsia="仿宋_GB2312"/>
          <w:sz w:val="32"/>
          <w:szCs w:val="32"/>
        </w:rPr>
        <w:t>系列活动，提升公安服务和群众防范意识，强化社区、保安和内保队伍安全防范措施，全力维护内部安全稳定。同时，通过织密“街面巡逻防控、城乡社区防控、单位行业场所防控、区域警务协作、技术视频防控、网络社会防控”6张网全面强化社会面巡逻防控工作。十九大期间，启动</w:t>
      </w:r>
      <w:r>
        <w:rPr>
          <w:rFonts w:hint="eastAsia" w:ascii="仿宋_GB2312" w:eastAsia="仿宋_GB2312"/>
          <w:bCs/>
          <w:sz w:val="32"/>
          <w:szCs w:val="32"/>
          <w:lang w:val="zh-CN"/>
        </w:rPr>
        <w:t>社会面巡逻防控一级勤务机制，</w:t>
      </w:r>
      <w:r>
        <w:rPr>
          <w:rFonts w:hint="eastAsia" w:ascii="仿宋_GB2312" w:eastAsia="仿宋_GB2312"/>
          <w:sz w:val="32"/>
          <w:szCs w:val="32"/>
        </w:rPr>
        <w:t>制定严密的巡逻防控方案，划定细致的巡逻防控区域，军警武装联勤联防，在全市设置8个堵卡查缉点，6个摩托车巡逻、临检分队，5个GPS巡逻分队及4个武装突出单元，开展“网格化”布警巡防，做到了安保期间大事不出、小事也不出的总体目标。年内，共计出动警力45520人（次），车辆11479辆（次），查人21009，查车14826；同时，我们强化技防手段运用，通过“平安芒市”视频监控采集各类监控视频资源11.68T，分析研判有价线索432条、制作“图侦”研判报告115份，运用视频侦查技术直接、协助破获各类刑事案件637件（占全市破案总数955件的66.7%），治安案件66起，其它救助48起、交通事故103起，抓获犯罪嫌疑人255人，违法人员57人,在 “5.09”以危险方式危害公共安全案等大要案件侦破中发挥了突出作用。</w:t>
      </w:r>
    </w:p>
    <w:p w14:paraId="3AAC2BC7">
      <w:pPr>
        <w:spacing w:line="600" w:lineRule="exact"/>
        <w:ind w:firstLine="632" w:firstLineChars="200"/>
        <w:rPr>
          <w:rFonts w:hint="eastAsia" w:ascii="仿宋_GB2312" w:eastAsia="仿宋_GB2312"/>
          <w:sz w:val="32"/>
          <w:szCs w:val="32"/>
        </w:rPr>
      </w:pPr>
      <w:r>
        <w:rPr>
          <w:rFonts w:hint="eastAsia" w:ascii="仿宋_GB2312" w:hAnsi="黑体" w:eastAsia="仿宋_GB2312"/>
          <w:spacing w:val="-2"/>
          <w:sz w:val="32"/>
          <w:szCs w:val="32"/>
        </w:rPr>
        <w:t>六、抓实隐患排查，严格公共安全管理。</w:t>
      </w:r>
      <w:r>
        <w:rPr>
          <w:rFonts w:hint="eastAsia" w:ascii="仿宋_GB2312" w:eastAsia="仿宋_GB2312"/>
          <w:spacing w:val="-2"/>
          <w:sz w:val="32"/>
          <w:szCs w:val="32"/>
        </w:rPr>
        <w:t>今年以来，芒市公安局继续</w:t>
      </w:r>
      <w:r>
        <w:rPr>
          <w:rFonts w:hint="eastAsia" w:ascii="仿宋_GB2312" w:eastAsia="仿宋_GB2312"/>
          <w:sz w:val="32"/>
          <w:szCs w:val="32"/>
        </w:rPr>
        <w:t>深入开展消防、道路交通、危爆物品安全排查整治。强化消防综合监管，大力加强消防重点单位、综合贸易市场和人员密集场所的消防隐患排查整治，落实单位、业主的主体责任，最大限度预防火灾事故的发生；加强交通安全管理，健全重点运输企业、重点车辆、重点道路常态监管机制，狠抓“三超一疲劳”、酒驾、毒驾、飙车等危害公共安全的违法行为，大力实施公路安全生命防护工程，有效预防了重特大交通事故的发生；严格危爆物品管理，认真督促落实枪支弹药、雷管炸药、易燃易爆物品、剧毒化学品的安全管理和散装汽油实名制管理等措施，严防打响、炸响等公共安全事件发生。检查重点单位1881家，督促整改安全隐患或违法行为</w:t>
      </w:r>
      <w:r>
        <w:fldChar w:fldCharType="begin"/>
      </w:r>
      <w:r>
        <w:instrText xml:space="preserve"> HYPERLINK "javascript:void(0)" </w:instrText>
      </w:r>
      <w:r>
        <w:fldChar w:fldCharType="separate"/>
      </w:r>
      <w:r>
        <w:rPr>
          <w:rStyle w:val="9"/>
          <w:rFonts w:hint="eastAsia" w:ascii="仿宋_GB2312" w:eastAsia="仿宋_GB2312"/>
          <w:sz w:val="32"/>
          <w:szCs w:val="32"/>
        </w:rPr>
        <w:t>3375</w:t>
      </w:r>
      <w:r>
        <w:rPr>
          <w:rStyle w:val="9"/>
          <w:rFonts w:hint="eastAsia" w:ascii="仿宋_GB2312" w:eastAsia="仿宋_GB2312"/>
          <w:sz w:val="32"/>
          <w:szCs w:val="32"/>
        </w:rPr>
        <w:fldChar w:fldCharType="end"/>
      </w:r>
      <w:r>
        <w:rPr>
          <w:rFonts w:hint="eastAsia" w:ascii="仿宋_GB2312" w:eastAsia="仿宋_GB2312"/>
          <w:sz w:val="32"/>
          <w:szCs w:val="32"/>
        </w:rPr>
        <w:t>处，</w:t>
      </w:r>
      <w:r>
        <w:fldChar w:fldCharType="begin"/>
      </w:r>
      <w:r>
        <w:instrText xml:space="preserve"> HYPERLINK "javascript:void(0)" </w:instrText>
      </w:r>
      <w:r>
        <w:fldChar w:fldCharType="separate"/>
      </w:r>
      <w:r>
        <w:rPr>
          <w:rStyle w:val="9"/>
          <w:rFonts w:hint="eastAsia" w:ascii="仿宋_GB2312" w:eastAsia="仿宋_GB2312"/>
          <w:sz w:val="32"/>
          <w:szCs w:val="32"/>
        </w:rPr>
        <w:t>下发责令改正通知书</w:t>
      </w:r>
      <w:r>
        <w:rPr>
          <w:rStyle w:val="9"/>
          <w:rFonts w:hint="eastAsia" w:ascii="仿宋_GB2312" w:eastAsia="仿宋_GB2312"/>
          <w:sz w:val="32"/>
          <w:szCs w:val="32"/>
        </w:rPr>
        <w:fldChar w:fldCharType="end"/>
      </w:r>
      <w:r>
        <w:rPr>
          <w:rFonts w:hint="eastAsia" w:ascii="仿宋_GB2312" w:eastAsia="仿宋_GB2312"/>
          <w:sz w:val="32"/>
          <w:szCs w:val="32"/>
        </w:rPr>
        <w:t>1594份，临时查封11家，责令三停3家；查处各类交通违法行为112335起，同比67585起上升66.21%，行政拘留186人、扣车5634辆。及时消除了一大批安全隐患，确保全市未发生重特大安全生产、交通、火灾等事故。</w:t>
      </w:r>
    </w:p>
    <w:p w14:paraId="054BDA8C">
      <w:pPr>
        <w:ind w:firstLine="640" w:firstLineChars="200"/>
        <w:rPr>
          <w:rFonts w:hint="eastAsia" w:ascii="仿宋_GB2312" w:eastAsia="仿宋_GB2312"/>
          <w:sz w:val="32"/>
          <w:szCs w:val="32"/>
        </w:rPr>
      </w:pPr>
      <w:r>
        <w:rPr>
          <w:rFonts w:hint="eastAsia" w:ascii="仿宋_GB2312" w:hAnsi="黑体" w:eastAsia="仿宋_GB2312"/>
          <w:sz w:val="32"/>
          <w:szCs w:val="32"/>
        </w:rPr>
        <w:t>七、强化边境管控，推进强边固防工作。</w:t>
      </w:r>
      <w:r>
        <w:rPr>
          <w:rFonts w:hint="eastAsia" w:ascii="仿宋_GB2312" w:eastAsia="仿宋_GB2312"/>
          <w:sz w:val="32"/>
          <w:szCs w:val="32"/>
        </w:rPr>
        <w:t>今年来，为全面提升我市边境管控科技化、信息化、数字化水平和能力，按照中央、省、州关于强边固防的战略部署，我们着力打造全市数字交通、数字边防等信息化管理平台，实现边境管控的现代化。目前已完成“数字边防”一期建设，投入509万元在芒海边境沿线建设24套视频监控、1套车辆抓拍卡口、1套高清高倍监控、20套动态人像采集已完成、5套手机热点、10套WIFI采集、22套人车流动智能联查设备，建设芒海前线指挥中心；建设完成市公安局至州公安局双链路万兆网络、市公安局至派出所万兆网络、前端点位至派出所百兆网络。10月份，“数字边境”二期建设堪点选址工作已完成，相关建设工作有序开展中；同时，为市局强化境外人员管理，市局自主研发建设的境外人员人像识别比对系统正式投入使用，大力推广业主采集信息、民警开展比对实战应用。</w:t>
      </w:r>
    </w:p>
    <w:p w14:paraId="08CE79CD">
      <w:pPr>
        <w:ind w:firstLine="640" w:firstLineChars="200"/>
        <w:rPr>
          <w:rFonts w:hint="eastAsia" w:ascii="仿宋_GB2312" w:eastAsia="仿宋_GB2312"/>
          <w:sz w:val="32"/>
          <w:szCs w:val="32"/>
        </w:rPr>
      </w:pPr>
      <w:r>
        <w:rPr>
          <w:rFonts w:hint="eastAsia" w:ascii="仿宋_GB2312" w:hAnsi="黑体" w:eastAsia="仿宋_GB2312"/>
          <w:sz w:val="32"/>
          <w:szCs w:val="32"/>
        </w:rPr>
        <w:t>八、深化</w:t>
      </w:r>
      <w:r>
        <w:rPr>
          <w:rFonts w:hint="eastAsia" w:ascii="仿宋_GB2312" w:eastAsia="仿宋_GB2312"/>
          <w:sz w:val="32"/>
          <w:szCs w:val="32"/>
        </w:rPr>
        <w:t>“</w:t>
      </w:r>
      <w:r>
        <w:rPr>
          <w:rFonts w:hint="eastAsia" w:ascii="仿宋_GB2312" w:hAnsi="黑体" w:eastAsia="仿宋_GB2312"/>
          <w:sz w:val="32"/>
          <w:szCs w:val="32"/>
        </w:rPr>
        <w:t>放管服</w:t>
      </w:r>
      <w:r>
        <w:rPr>
          <w:rFonts w:hint="eastAsia" w:ascii="仿宋_GB2312" w:eastAsia="仿宋_GB2312"/>
          <w:sz w:val="32"/>
          <w:szCs w:val="32"/>
        </w:rPr>
        <w:t>”</w:t>
      </w:r>
      <w:r>
        <w:rPr>
          <w:rFonts w:hint="eastAsia" w:ascii="仿宋_GB2312" w:hAnsi="黑体" w:eastAsia="仿宋_GB2312"/>
          <w:sz w:val="32"/>
          <w:szCs w:val="32"/>
        </w:rPr>
        <w:t>，全力推进公安改革。</w:t>
      </w:r>
      <w:r>
        <w:rPr>
          <w:rFonts w:hint="eastAsia" w:ascii="仿宋_GB2312" w:eastAsia="仿宋_GB2312"/>
          <w:sz w:val="32"/>
          <w:szCs w:val="32"/>
        </w:rPr>
        <w:t>今年来，芒市公安机关以“迎接十九大、忠诚保平安、跨越式发展、铁警永争先”主题教育活动为契机，在警务体制机制、案件侦办机制、队伍管理、便民利民服务举措等方面进行探索和创新，推出了一批既具有理论创新、又适合全市公安机关的改革举措。</w:t>
      </w:r>
      <w:r>
        <w:rPr>
          <w:rFonts w:hint="eastAsia" w:ascii="仿宋_GB2312" w:eastAsia="仿宋_GB2312"/>
          <w:spacing w:val="-20"/>
          <w:sz w:val="32"/>
          <w:szCs w:val="32"/>
        </w:rPr>
        <w:t>对7类行</w:t>
      </w:r>
      <w:r>
        <w:rPr>
          <w:rFonts w:hint="eastAsia" w:ascii="仿宋_GB2312" w:eastAsia="仿宋_GB2312"/>
          <w:sz w:val="32"/>
          <w:szCs w:val="32"/>
        </w:rPr>
        <w:t>政职权18项行政许可进行精简调整。目前，共缩短审批时限11个，缩短时限最长达28个工作日。同时，围绕“贴近民生”、“快捷便利”、“群众满意”三个重心，推出38项便民利民措施。期间，收到锦旗20面，感谢信9封，群众安全感和满意度进大幅提升（群众安全感满意度调查从全省倒数第二上升至39位），取得了良好的社会服务效果。</w:t>
      </w:r>
    </w:p>
    <w:p w14:paraId="5C405D94">
      <w:pPr>
        <w:ind w:firstLine="640" w:firstLineChars="200"/>
        <w:rPr>
          <w:rFonts w:hint="eastAsia" w:ascii="仿宋_GB2312" w:eastAsia="仿宋_GB2312"/>
          <w:sz w:val="32"/>
          <w:szCs w:val="32"/>
        </w:rPr>
      </w:pPr>
      <w:r>
        <w:rPr>
          <w:rFonts w:hint="eastAsia" w:ascii="仿宋_GB2312" w:hAnsi="黑体" w:eastAsia="仿宋_GB2312"/>
          <w:sz w:val="32"/>
          <w:szCs w:val="32"/>
        </w:rPr>
        <w:t>九、狠抓信息应用，推进基础信息化建设。</w:t>
      </w:r>
      <w:r>
        <w:rPr>
          <w:rFonts w:hint="eastAsia" w:ascii="仿宋_GB2312" w:eastAsia="仿宋_GB2312"/>
          <w:sz w:val="32"/>
          <w:szCs w:val="32"/>
        </w:rPr>
        <w:t>今年来，芒市公安机关围绕公安科技和信息化建设部署的总体要求，加大科技投入，强化信息化应用、以实战促发展，有效提升了公安工作水平。一是强化信息化建设。今年以来，全局信息化建设总体投入2091.59万元。“平安芒市”视频监控系统建设1000个摄像头已全部完成安装调试工作，监控联网平台投入实战应用。同时，加大社会面监控资源整合力度，累计有319家重点单位完成视频监控系统改造，新增311路高清视频监控信号接入，极大地丰富了“平安芒市”视频监控平台的资源。按照州局部署，完成了350M数字集群（PDT）系统、新版警综平台、现场执法视音频应用管理平台建设和城区科所队千兆公安网络升级改造，为各检查站、卡点、民警配备了警务通、4G手持核查仪、移动警务终端；二是强化信息化运用。组织开展全警信息化应用技能培训。对计算机基础、网络安全，以及全市公安机关涉及信息化应用的单位和部门开展大情报系统落地预警处置、布控预警、情报研判分析、重点人员写实登记、吸毒人员动态管控系统、警综平台涉案财物子系统、执法业绩档案子系统等信息化应用平台、云南公安信息工作平台，4G移动警务终端，开展了30次培训，受训民警达1000人次。</w:t>
      </w:r>
    </w:p>
    <w:p w14:paraId="3CC1471C">
      <w:pPr>
        <w:pStyle w:val="12"/>
        <w:spacing w:after="0" w:line="600" w:lineRule="exact"/>
        <w:ind w:firstLine="640"/>
        <w:rPr>
          <w:rFonts w:hint="eastAsia" w:ascii="仿宋_GB2312" w:hAnsi="Times New Roman" w:eastAsia="仿宋_GB2312" w:cs="Times New Roman"/>
          <w:b/>
          <w:sz w:val="32"/>
          <w:szCs w:val="32"/>
        </w:rPr>
      </w:pPr>
      <w:r>
        <w:rPr>
          <w:rFonts w:hint="eastAsia" w:ascii="仿宋_GB2312" w:eastAsia="仿宋_GB2312" w:cs="Times New Roman"/>
          <w:sz w:val="32"/>
          <w:szCs w:val="32"/>
        </w:rPr>
        <w:t>十、强化基础投入，推进警务实战化建设。今年来，市局制定完善了《芒市公安局指挥长制度》、《芒市公安局合成作战专班机制》、《芒市社会应急联动工作机制》等警务运行机制。</w:t>
      </w:r>
      <w:r>
        <w:rPr>
          <w:rFonts w:hint="eastAsia" w:ascii="仿宋_GB2312" w:hAnsi="Times New Roman" w:eastAsia="仿宋_GB2312" w:cs="Times New Roman"/>
          <w:sz w:val="32"/>
          <w:szCs w:val="32"/>
        </w:rPr>
        <w:t>进一步完善“情指一体化”合成作战中心，</w:t>
      </w:r>
      <w:r>
        <w:rPr>
          <w:rFonts w:hint="eastAsia" w:ascii="仿宋_GB2312" w:eastAsia="仿宋_GB2312" w:cs="Times New Roman"/>
          <w:sz w:val="32"/>
          <w:szCs w:val="32"/>
        </w:rPr>
        <w:t>抽调指挥中心、情报、刑侦、网安、经侦、禁毒、治安、国保、</w:t>
      </w:r>
      <w:r>
        <w:rPr>
          <w:rFonts w:hint="eastAsia" w:ascii="仿宋_GB2312" w:hAnsi="Times New Roman" w:eastAsia="仿宋_GB2312" w:cs="Times New Roman"/>
          <w:sz w:val="32"/>
          <w:szCs w:val="32"/>
        </w:rPr>
        <w:t>反恐等部门业务骨干组成固定专班，同步上案、会商研判，第一时间介入警情处置、案件配侦工作，形成多警联动破案打击的“大侦查”工作格局，全面提升了警务实战效能；着力强化快速联动应急处突演练，民警岗位技能和警务实战技能培训，目前已开展警务实战化专项培训、实弹射击训练和应急处突演练5期，全局警务实战化轮值轮训开展了8期；深推“810强基工程”,投入2558.31万元开展基础设施和装备建设，完成轩岗乡遮相华侨社区警务站、城南车站警务室、城北车站警务室、南蚌小区警务室建设，修缮了五岔路、江东、西山、三台山5个派出所、市局执法办案区。购置配备一批GPS定位系统、防弹衣、防刺服、盾牌及反恐应急个人防护装备。为警务实战化建设提供有力保障。</w:t>
      </w:r>
    </w:p>
    <w:p w14:paraId="37CB97CD">
      <w:pPr>
        <w:adjustRightInd w:val="0"/>
        <w:snapToGrid w:val="0"/>
        <w:spacing w:line="600" w:lineRule="exact"/>
        <w:ind w:firstLine="640" w:firstLineChars="200"/>
        <w:rPr>
          <w:rFonts w:hint="eastAsia" w:ascii="仿宋_GB2312" w:eastAsia="仿宋_GB2312"/>
          <w:sz w:val="32"/>
          <w:szCs w:val="32"/>
        </w:rPr>
      </w:pPr>
      <w:r>
        <w:rPr>
          <w:rFonts w:hint="eastAsia" w:ascii="仿宋_GB2312" w:hAnsi="黑体" w:eastAsia="仿宋_GB2312"/>
          <w:sz w:val="32"/>
          <w:szCs w:val="32"/>
        </w:rPr>
        <w:t>十一、严格审核把关，推进执法规范化建设。</w:t>
      </w:r>
      <w:r>
        <w:rPr>
          <w:rFonts w:hint="eastAsia" w:ascii="仿宋_GB2312" w:eastAsia="仿宋_GB2312"/>
          <w:sz w:val="32"/>
          <w:szCs w:val="32"/>
        </w:rPr>
        <w:t>今年来，芒市公安局紧紧围绕“法治公安”建设目标，抓住“执法主体、执法过程、执法公开、执法监督、执法责任”五个关键环节，不断推动执法规范化建设全面提升。年内，市局法制部门共审核案件3074件。其中，审核刑事案件560件，行政案件2514件（其中包含：强制戒毒2076件、交通违法案件151件）；提请逮捕318件481人，批捕245件375人，批捕率为77.96%；移送起诉296件451人，起诉294件449人，起诉率为99.56；办理</w:t>
      </w:r>
      <w:r>
        <w:rPr>
          <w:rFonts w:hint="eastAsia" w:ascii="仿宋_GB2312" w:eastAsia="仿宋_GB2312"/>
          <w:sz w:val="32"/>
          <w:szCs w:val="32"/>
          <w:lang w:eastAsia="zh-CN"/>
        </w:rPr>
        <w:t>取保候审</w:t>
      </w:r>
      <w:r>
        <w:rPr>
          <w:rFonts w:hint="eastAsia" w:ascii="仿宋_GB2312" w:eastAsia="仿宋_GB2312"/>
          <w:sz w:val="32"/>
          <w:szCs w:val="32"/>
        </w:rPr>
        <w:t>案件241件264人，监视居住案件201件209人；全面实施《芒市公安机关执法质量考评办法》，实行月考评、月通报机制，下发案件评查通报12期，考评案件399件，其中刑事案件151件，行政案件248件。全局未发生执法过错引发的上访等问题。</w:t>
      </w:r>
    </w:p>
    <w:p w14:paraId="59580350">
      <w:pPr>
        <w:ind w:firstLine="640" w:firstLineChars="200"/>
        <w:rPr>
          <w:rFonts w:hint="eastAsia" w:ascii="仿宋_GB2312" w:eastAsia="仿宋_GB2312"/>
          <w:sz w:val="32"/>
          <w:szCs w:val="32"/>
        </w:rPr>
      </w:pPr>
      <w:r>
        <w:rPr>
          <w:rFonts w:hint="eastAsia" w:ascii="仿宋_GB2312" w:hAnsi="黑体" w:eastAsia="仿宋_GB2312"/>
          <w:sz w:val="32"/>
          <w:szCs w:val="32"/>
        </w:rPr>
        <w:t>十二、转变队伍作风，推进队伍正规化建设。</w:t>
      </w:r>
      <w:r>
        <w:rPr>
          <w:rFonts w:hint="eastAsia" w:ascii="仿宋_GB2312" w:eastAsia="仿宋_GB2312"/>
          <w:sz w:val="32"/>
          <w:szCs w:val="32"/>
        </w:rPr>
        <w:t>今年来，芒市公安局进一步加强班子建设和作风建设，继续创新警务体制和运行机制，提升队伍正规化和党风廉政建设新水平。以铁的手腕、铁的纪律、铁的措施开展作风教育整顿和整纪</w:t>
      </w:r>
      <w:r>
        <w:rPr>
          <w:rFonts w:hint="eastAsia" w:ascii="仿宋_GB2312"/>
          <w:sz w:val="32"/>
          <w:szCs w:val="32"/>
        </w:rPr>
        <w:t>剎</w:t>
      </w:r>
      <w:r>
        <w:rPr>
          <w:rFonts w:hint="eastAsia" w:ascii="仿宋_GB2312" w:eastAsia="仿宋_GB2312"/>
          <w:sz w:val="32"/>
          <w:szCs w:val="32"/>
        </w:rPr>
        <w:t>风工作。认真落实队伍建设分析研判、岗位风险排查、廉政谈话、公车管理、个人有关事项报告、外出报备等制度，确保全局未发生民警违纪违法案件。我们以铁的纪律管队伍，治理慵懒散慢、严格警规警纪、狠抓上下班、内务管理、保密、财经等工作纪律，使全局纪律作风大为改观；积极组织开展购买意外保险、体检、救助、慰问等工作；内务管理提档升级，全局上下焕然一新，保障服务工作做到了一线，做到了战场最前沿。局党委与全局民警同甘共苦、相互关爱，凝聚了警心、激发了斗志。在全局上下齐心协力、奋力拼搏下，公安工作取得了可喜成效，在各类案件、活动、评比中，市局受表彰的部门有6个次。其中，20位同志荣立三等功，9名同志被州公安局嘉奖，75名同志被市委评为2016度公务员嘉奖，受市级表彰个人达98人，涌现出了大批先进集体和个人。</w:t>
      </w:r>
    </w:p>
    <w:p w14:paraId="4D94C306">
      <w:pPr>
        <w:spacing w:line="600" w:lineRule="exact"/>
        <w:ind w:firstLine="640" w:firstLineChars="200"/>
        <w:rPr>
          <w:rFonts w:hint="eastAsia" w:ascii="仿宋_GB2312" w:eastAsia="仿宋_GB2312"/>
          <w:sz w:val="32"/>
          <w:szCs w:val="32"/>
        </w:rPr>
      </w:pPr>
      <w:r>
        <w:rPr>
          <w:rFonts w:hint="eastAsia" w:ascii="仿宋_GB2312" w:hAnsi="黑体" w:eastAsia="仿宋_GB2312"/>
          <w:sz w:val="32"/>
          <w:szCs w:val="32"/>
        </w:rPr>
        <w:t>十三、存在的问题</w:t>
      </w:r>
    </w:p>
    <w:p w14:paraId="033FB921">
      <w:pPr>
        <w:spacing w:line="600" w:lineRule="exact"/>
        <w:rPr>
          <w:rFonts w:hint="eastAsia" w:ascii="仿宋_GB2312" w:eastAsia="仿宋_GB2312"/>
          <w:b/>
          <w:sz w:val="32"/>
          <w:szCs w:val="32"/>
          <w:shd w:val="clear" w:color="auto" w:fill="FFFFFF"/>
        </w:rPr>
      </w:pPr>
      <w:r>
        <w:rPr>
          <w:rFonts w:hint="eastAsia" w:ascii="仿宋_GB2312" w:eastAsia="仿宋_GB2312"/>
          <w:b/>
          <w:sz w:val="32"/>
          <w:szCs w:val="32"/>
          <w:shd w:val="clear" w:color="auto" w:fill="FFFFFF"/>
        </w:rPr>
        <w:t>一是反恐维稳压力依然繁重、二是社会治安治理不够、三是基层基础工作仍然薄弱、四是公共安全隐患突出、五是社会治安综合治理有待提升、六是宣传力度不够。</w:t>
      </w:r>
    </w:p>
    <w:p w14:paraId="5A1254DE">
      <w:pPr>
        <w:spacing w:line="600" w:lineRule="exact"/>
        <w:rPr>
          <w:rFonts w:hint="eastAsia" w:ascii="仿宋_GB2312" w:eastAsia="仿宋_GB2312"/>
          <w:kern w:val="0"/>
          <w:sz w:val="32"/>
          <w:szCs w:val="32"/>
        </w:rPr>
      </w:pPr>
      <w:r>
        <w:rPr>
          <w:rFonts w:hint="eastAsia" w:ascii="仿宋_GB2312" w:eastAsia="仿宋_GB2312"/>
          <w:kern w:val="0"/>
          <w:sz w:val="32"/>
          <w:szCs w:val="32"/>
        </w:rPr>
        <w:t xml:space="preserve">    </w:t>
      </w:r>
      <w:r>
        <w:rPr>
          <w:rFonts w:hint="eastAsia" w:ascii="仿宋_GB2312" w:hAnsi="黑体" w:eastAsia="仿宋_GB2312"/>
          <w:kern w:val="0"/>
          <w:sz w:val="32"/>
          <w:szCs w:val="32"/>
        </w:rPr>
        <w:t>十四、下步工作打算</w:t>
      </w:r>
    </w:p>
    <w:p w14:paraId="0B4E11CD">
      <w:pPr>
        <w:adjustRightInd w:val="0"/>
        <w:snapToGrid w:val="0"/>
        <w:spacing w:line="580" w:lineRule="exact"/>
        <w:ind w:firstLine="640" w:firstLineChars="200"/>
        <w:rPr>
          <w:rFonts w:hint="eastAsia" w:ascii="仿宋_GB2312" w:eastAsia="仿宋_GB2312"/>
          <w:kern w:val="0"/>
          <w:sz w:val="32"/>
          <w:szCs w:val="32"/>
        </w:rPr>
      </w:pPr>
      <w:r>
        <w:rPr>
          <w:rFonts w:hint="eastAsia" w:ascii="仿宋_GB2312" w:eastAsia="仿宋_GB2312"/>
          <w:kern w:val="0"/>
          <w:sz w:val="32"/>
          <w:szCs w:val="32"/>
        </w:rPr>
        <w:t>下步工作中，芒市公安机关将</w:t>
      </w:r>
      <w:r>
        <w:rPr>
          <w:rFonts w:hint="eastAsia" w:ascii="仿宋_GB2312" w:eastAsia="仿宋_GB2312"/>
          <w:sz w:val="32"/>
          <w:szCs w:val="32"/>
        </w:rPr>
        <w:t>深入贯彻落实党的十九大和习近平总书记系列重要讲话精神，</w:t>
      </w:r>
      <w:r>
        <w:rPr>
          <w:rFonts w:hint="eastAsia" w:ascii="仿宋_GB2312" w:eastAsia="仿宋_GB2312"/>
          <w:kern w:val="0"/>
          <w:sz w:val="32"/>
          <w:szCs w:val="32"/>
        </w:rPr>
        <w:t>积极适应经济社会发展新形势，紧紧围绕维护国家安全和社会稳定总任务，坚持立足当前与着眼长远相结合，坚持专项治理与系统治理、综合治理、依法治理、源头治理相结合，一手抓突出问题排查整治，一手抓理念、机制、方法创新，大力推进公安改革和“四项建设”，不断提升公安机关社会治理能力和水平，努力实现从被动应对处置向主动预测预警预防转变，进一步增强人民群众安全感，为全面建成小康社会和芒市</w:t>
      </w:r>
      <w:r>
        <w:rPr>
          <w:rFonts w:hint="eastAsia" w:ascii="仿宋_GB2312" w:eastAsia="仿宋_GB2312"/>
          <w:kern w:val="0"/>
          <w:sz w:val="32"/>
          <w:szCs w:val="32"/>
          <w:lang w:eastAsia="zh-CN"/>
        </w:rPr>
        <w:t>社会经济发展</w:t>
      </w:r>
      <w:r>
        <w:rPr>
          <w:rFonts w:hint="eastAsia" w:ascii="仿宋_GB2312" w:eastAsia="仿宋_GB2312"/>
          <w:kern w:val="0"/>
          <w:sz w:val="32"/>
          <w:szCs w:val="32"/>
        </w:rPr>
        <w:t>创造安全稳定的社会环境。</w:t>
      </w:r>
    </w:p>
    <w:p w14:paraId="3C0FAEC0">
      <w:pPr>
        <w:adjustRightInd w:val="0"/>
        <w:snapToGrid w:val="0"/>
        <w:spacing w:line="580" w:lineRule="exact"/>
        <w:ind w:firstLine="630" w:firstLineChars="196"/>
        <w:rPr>
          <w:rFonts w:hint="eastAsia" w:ascii="仿宋_GB2312" w:eastAsia="仿宋_GB2312"/>
          <w:sz w:val="32"/>
          <w:szCs w:val="32"/>
        </w:rPr>
      </w:pPr>
      <w:r>
        <w:rPr>
          <w:rFonts w:hint="eastAsia" w:ascii="仿宋_GB2312" w:eastAsia="仿宋_GB2312"/>
          <w:b/>
          <w:sz w:val="32"/>
          <w:szCs w:val="32"/>
        </w:rPr>
        <w:t>（一）进一步深化边境维稳处突体制机制建设、（二）进一步深化反恐防暴工作、（三）进一步深化禁毒人民战争、（四）进一步深化防控体系建设、（五）进一步深化突出治安问题整治、</w:t>
      </w:r>
      <w:r>
        <w:rPr>
          <w:rFonts w:hint="eastAsia" w:ascii="仿宋_GB2312" w:eastAsia="仿宋_GB2312"/>
          <w:b/>
          <w:kern w:val="0"/>
          <w:sz w:val="32"/>
          <w:szCs w:val="32"/>
        </w:rPr>
        <w:t>（六）进一步深化“四项建设”、</w:t>
      </w:r>
      <w:r>
        <w:rPr>
          <w:rFonts w:hint="eastAsia" w:ascii="仿宋_GB2312" w:eastAsia="仿宋_GB2312"/>
          <w:b/>
          <w:sz w:val="32"/>
          <w:szCs w:val="32"/>
        </w:rPr>
        <w:t>（七）进一步深化公安改革、</w:t>
      </w:r>
      <w:r>
        <w:rPr>
          <w:rFonts w:hint="eastAsia" w:ascii="仿宋_GB2312" w:eastAsia="仿宋_GB2312"/>
          <w:b/>
          <w:bCs/>
          <w:sz w:val="32"/>
          <w:szCs w:val="32"/>
        </w:rPr>
        <w:t>（八）进一步加强基层基础工作、（九）进一步深化</w:t>
      </w:r>
      <w:r>
        <w:rPr>
          <w:rFonts w:hint="eastAsia" w:ascii="仿宋_GB2312" w:eastAsia="仿宋_GB2312"/>
          <w:b/>
          <w:sz w:val="32"/>
          <w:szCs w:val="32"/>
        </w:rPr>
        <w:t>保障民生和</w:t>
      </w:r>
      <w:r>
        <w:rPr>
          <w:rFonts w:hint="eastAsia" w:ascii="仿宋_GB2312" w:eastAsia="仿宋_GB2312"/>
          <w:b/>
          <w:bCs/>
          <w:sz w:val="32"/>
          <w:szCs w:val="32"/>
        </w:rPr>
        <w:t>脱贫攻坚工作、</w:t>
      </w:r>
      <w:r>
        <w:rPr>
          <w:rFonts w:hint="eastAsia" w:ascii="仿宋_GB2312" w:eastAsia="仿宋_GB2312"/>
          <w:b/>
          <w:sz w:val="32"/>
          <w:szCs w:val="32"/>
        </w:rPr>
        <w:t>（十）进一步加强公安队伍建设。</w:t>
      </w:r>
    </w:p>
    <w:p w14:paraId="0B884058">
      <w:pPr>
        <w:widowControl/>
        <w:ind w:firstLine="640" w:firstLineChars="200"/>
        <w:jc w:val="left"/>
        <w:rPr>
          <w:rFonts w:hint="eastAsia" w:ascii="仿宋_GB2312" w:eastAsia="仿宋_GB2312"/>
          <w:kern w:val="0"/>
          <w:sz w:val="32"/>
          <w:szCs w:val="32"/>
        </w:rPr>
      </w:pPr>
    </w:p>
    <w:p w14:paraId="510B3431">
      <w:pPr>
        <w:widowControl/>
        <w:ind w:firstLine="640" w:firstLineChars="200"/>
        <w:jc w:val="left"/>
        <w:rPr>
          <w:rFonts w:hint="eastAsia" w:ascii="仿宋_GB2312" w:hAnsi="黑体" w:eastAsia="仿宋_GB2312"/>
          <w:kern w:val="0"/>
          <w:sz w:val="32"/>
          <w:szCs w:val="32"/>
        </w:rPr>
      </w:pPr>
      <w:r>
        <w:rPr>
          <w:rFonts w:hint="eastAsia" w:ascii="仿宋_GB2312" w:hAnsi="黑体" w:eastAsia="仿宋_GB2312"/>
          <w:kern w:val="0"/>
          <w:sz w:val="32"/>
          <w:szCs w:val="32"/>
        </w:rPr>
        <w:t>二、预算单位基本情况</w:t>
      </w:r>
    </w:p>
    <w:p w14:paraId="2E6F5D8B">
      <w:pPr>
        <w:widowControl/>
        <w:ind w:firstLine="640" w:firstLineChars="200"/>
        <w:jc w:val="left"/>
        <w:rPr>
          <w:rFonts w:hint="eastAsia" w:ascii="仿宋_GB2312" w:eastAsia="仿宋_GB2312"/>
          <w:kern w:val="0"/>
          <w:sz w:val="32"/>
          <w:szCs w:val="32"/>
        </w:rPr>
      </w:pPr>
      <w:r>
        <w:rPr>
          <w:rFonts w:hint="eastAsia" w:ascii="仿宋_GB2312" w:eastAsia="仿宋_GB2312"/>
          <w:kern w:val="0"/>
          <w:sz w:val="32"/>
          <w:szCs w:val="32"/>
        </w:rPr>
        <w:t>芒市公安局部门编制2018年部门预算单位共1个。其中：财政全供给单位1个；部分供给单位0个；特殊供给单位0个；自收自支单位0个。财政全供给单位中行政单位1个；参公管理事业单位0个；非参公管理事业单位0个。截止2017年11月统计，部门基本情况如下：</w:t>
      </w:r>
    </w:p>
    <w:p w14:paraId="78D3BD3F">
      <w:pPr>
        <w:widowControl/>
        <w:ind w:firstLine="640" w:firstLineChars="200"/>
        <w:jc w:val="left"/>
        <w:rPr>
          <w:rFonts w:hint="eastAsia" w:ascii="仿宋_GB2312" w:eastAsia="仿宋_GB2312"/>
          <w:kern w:val="0"/>
          <w:sz w:val="32"/>
          <w:szCs w:val="32"/>
        </w:rPr>
      </w:pPr>
      <w:r>
        <w:rPr>
          <w:rFonts w:hint="eastAsia" w:ascii="仿宋_GB2312" w:eastAsia="仿宋_GB2312"/>
          <w:kern w:val="0"/>
          <w:sz w:val="32"/>
          <w:szCs w:val="32"/>
        </w:rPr>
        <w:t>在职人员编制414人，其中：行政编制 414人，事业编制0人。在职实有470人，其中： 财政全供养 470人，财政部分供养0人，非财政供养0人。</w:t>
      </w:r>
    </w:p>
    <w:p w14:paraId="7D982C27">
      <w:pPr>
        <w:widowControl/>
        <w:ind w:firstLine="640" w:firstLineChars="200"/>
        <w:jc w:val="left"/>
        <w:rPr>
          <w:rFonts w:hint="eastAsia" w:ascii="仿宋_GB2312" w:eastAsia="仿宋_GB2312"/>
          <w:kern w:val="0"/>
          <w:sz w:val="32"/>
          <w:szCs w:val="32"/>
        </w:rPr>
      </w:pPr>
      <w:r>
        <w:rPr>
          <w:rFonts w:hint="eastAsia" w:ascii="仿宋_GB2312" w:eastAsia="仿宋_GB2312"/>
          <w:kern w:val="0"/>
          <w:sz w:val="32"/>
          <w:szCs w:val="32"/>
        </w:rPr>
        <w:t>离退休人员 2人，其中： 离休 1人，退休 1人。</w:t>
      </w:r>
    </w:p>
    <w:p w14:paraId="0B688672">
      <w:pPr>
        <w:widowControl/>
        <w:ind w:firstLine="640" w:firstLineChars="200"/>
        <w:jc w:val="left"/>
        <w:rPr>
          <w:rFonts w:hint="eastAsia" w:ascii="仿宋_GB2312" w:eastAsia="仿宋_GB2312"/>
          <w:kern w:val="0"/>
          <w:sz w:val="32"/>
          <w:szCs w:val="32"/>
        </w:rPr>
      </w:pPr>
      <w:r>
        <w:rPr>
          <w:rFonts w:hint="eastAsia" w:ascii="仿宋_GB2312" w:eastAsia="仿宋_GB2312"/>
          <w:kern w:val="0"/>
          <w:sz w:val="32"/>
          <w:szCs w:val="32"/>
        </w:rPr>
        <w:t>车辆编制38辆，实有车辆39辆。</w:t>
      </w:r>
    </w:p>
    <w:p w14:paraId="708E7374">
      <w:pPr>
        <w:widowControl/>
        <w:ind w:firstLine="640" w:firstLineChars="200"/>
        <w:jc w:val="left"/>
        <w:rPr>
          <w:rFonts w:hint="eastAsia" w:ascii="仿宋_GB2312" w:hAnsi="黑体" w:eastAsia="仿宋_GB2312"/>
          <w:kern w:val="0"/>
          <w:sz w:val="32"/>
          <w:szCs w:val="32"/>
        </w:rPr>
      </w:pPr>
      <w:r>
        <w:rPr>
          <w:rFonts w:hint="eastAsia" w:ascii="仿宋_GB2312" w:hAnsi="黑体" w:eastAsia="仿宋_GB2312"/>
          <w:kern w:val="0"/>
          <w:sz w:val="32"/>
          <w:szCs w:val="32"/>
        </w:rPr>
        <w:t>三、预算单位收入情况</w:t>
      </w:r>
    </w:p>
    <w:p w14:paraId="57C0E381">
      <w:pPr>
        <w:widowControl/>
        <w:ind w:firstLine="480" w:firstLineChars="150"/>
        <w:jc w:val="left"/>
        <w:rPr>
          <w:rFonts w:hint="eastAsia" w:ascii="仿宋_GB2312" w:eastAsia="仿宋_GB2312"/>
          <w:kern w:val="0"/>
          <w:sz w:val="32"/>
          <w:szCs w:val="32"/>
        </w:rPr>
      </w:pPr>
      <w:r>
        <w:rPr>
          <w:rFonts w:hint="eastAsia" w:ascii="仿宋_GB2312" w:eastAsia="仿宋_GB2312"/>
          <w:kern w:val="0"/>
          <w:sz w:val="32"/>
          <w:szCs w:val="32"/>
        </w:rPr>
        <w:t>（一）部门财务收入情况</w:t>
      </w:r>
    </w:p>
    <w:p w14:paraId="62ED222F">
      <w:pPr>
        <w:widowControl/>
        <w:ind w:firstLine="800" w:firstLineChars="250"/>
        <w:jc w:val="left"/>
        <w:rPr>
          <w:rFonts w:hint="eastAsia" w:ascii="仿宋_GB2312" w:eastAsia="仿宋_GB2312"/>
          <w:kern w:val="0"/>
          <w:sz w:val="32"/>
          <w:szCs w:val="32"/>
        </w:rPr>
      </w:pPr>
      <w:r>
        <w:rPr>
          <w:rFonts w:hint="eastAsia" w:ascii="仿宋_GB2312" w:eastAsia="仿宋_GB2312"/>
          <w:kern w:val="0"/>
          <w:sz w:val="32"/>
          <w:szCs w:val="32"/>
        </w:rPr>
        <w:t>2018年部门财务总收入11718.69万元，其中：一般公共预算财政拨款9118.69万元，政府性基金预算财政拨款0万元，国有资本经营预算财政拨款0万元，事业收入0万元，事业单位经营收入0万元，其他收入0万元，上年结转0万元，非税安排2600万元。</w:t>
      </w:r>
    </w:p>
    <w:p w14:paraId="6CD608B0">
      <w:pPr>
        <w:widowControl/>
        <w:ind w:firstLine="480" w:firstLineChars="150"/>
        <w:jc w:val="left"/>
        <w:rPr>
          <w:rFonts w:hint="eastAsia" w:ascii="仿宋_GB2312" w:eastAsia="仿宋_GB2312"/>
          <w:kern w:val="0"/>
          <w:sz w:val="32"/>
          <w:szCs w:val="32"/>
        </w:rPr>
      </w:pPr>
      <w:r>
        <w:rPr>
          <w:rFonts w:hint="eastAsia" w:ascii="仿宋_GB2312" w:eastAsia="仿宋_GB2312"/>
          <w:kern w:val="0"/>
          <w:sz w:val="32"/>
          <w:szCs w:val="32"/>
        </w:rPr>
        <w:t>（二）财政拨款收入情况</w:t>
      </w:r>
    </w:p>
    <w:p w14:paraId="6814CE53">
      <w:pPr>
        <w:widowControl/>
        <w:ind w:firstLine="800" w:firstLineChars="250"/>
        <w:jc w:val="left"/>
        <w:rPr>
          <w:rFonts w:hint="eastAsia" w:ascii="仿宋_GB2312" w:eastAsia="仿宋_GB2312"/>
          <w:kern w:val="0"/>
          <w:sz w:val="32"/>
          <w:szCs w:val="32"/>
        </w:rPr>
      </w:pPr>
      <w:r>
        <w:rPr>
          <w:rFonts w:hint="eastAsia" w:ascii="仿宋_GB2312" w:eastAsia="仿宋_GB2312"/>
          <w:kern w:val="0"/>
          <w:sz w:val="32"/>
          <w:szCs w:val="32"/>
        </w:rPr>
        <w:t>2018年部门财政拨款收入11718.69万元，其中:本年收入11718.69万元，上年结转0万元。本年收入中，一般公共预算财政拨款9118.69万元（本级财力9118.69万元，专项收入0万元，执法办案补助0万元，收费成本补偿0万元，财政专户管理的收入0万元，国有资源（资产）有偿使用成本补偿0万元），政府性基金预算财政拨款0万元，国有资本经营预算财政拨款0万元，非税安排2600万元。</w:t>
      </w:r>
    </w:p>
    <w:p w14:paraId="0BFFA76A">
      <w:pPr>
        <w:widowControl/>
        <w:ind w:firstLine="640" w:firstLineChars="200"/>
        <w:jc w:val="left"/>
        <w:rPr>
          <w:rFonts w:hint="eastAsia" w:ascii="仿宋_GB2312" w:hAnsi="黑体" w:eastAsia="仿宋_GB2312"/>
          <w:kern w:val="0"/>
          <w:sz w:val="32"/>
          <w:szCs w:val="32"/>
        </w:rPr>
      </w:pPr>
      <w:r>
        <w:rPr>
          <w:rFonts w:hint="eastAsia" w:ascii="仿宋_GB2312" w:hAnsi="黑体" w:eastAsia="仿宋_GB2312"/>
          <w:kern w:val="0"/>
          <w:sz w:val="32"/>
          <w:szCs w:val="32"/>
        </w:rPr>
        <w:t>四、预算单位支出情况</w:t>
      </w:r>
    </w:p>
    <w:p w14:paraId="2C651F21">
      <w:pPr>
        <w:widowControl/>
        <w:ind w:firstLine="640" w:firstLineChars="200"/>
        <w:jc w:val="left"/>
        <w:rPr>
          <w:rFonts w:hint="eastAsia" w:ascii="仿宋_GB2312" w:eastAsia="仿宋_GB2312"/>
          <w:kern w:val="0"/>
          <w:sz w:val="32"/>
          <w:szCs w:val="32"/>
        </w:rPr>
      </w:pPr>
      <w:r>
        <w:rPr>
          <w:rFonts w:hint="eastAsia" w:ascii="仿宋_GB2312" w:eastAsia="仿宋_GB2312"/>
          <w:kern w:val="0"/>
          <w:sz w:val="32"/>
          <w:szCs w:val="32"/>
        </w:rPr>
        <w:t>2018年部门预算总支出11718.69万元。财政拨款安排支出 11718.69万元，其中，基本支出7905.17万元，项目支出3813.52万元。</w:t>
      </w:r>
    </w:p>
    <w:p w14:paraId="606FCCE2">
      <w:pPr>
        <w:widowControl/>
        <w:ind w:firstLine="480" w:firstLineChars="150"/>
        <w:jc w:val="left"/>
        <w:rPr>
          <w:rFonts w:hint="eastAsia" w:ascii="仿宋_GB2312" w:eastAsia="仿宋_GB2312"/>
          <w:kern w:val="0"/>
          <w:sz w:val="32"/>
          <w:szCs w:val="32"/>
        </w:rPr>
      </w:pPr>
      <w:r>
        <w:rPr>
          <w:rFonts w:hint="eastAsia" w:ascii="仿宋_GB2312" w:eastAsia="仿宋_GB2312"/>
          <w:kern w:val="0"/>
          <w:sz w:val="32"/>
          <w:szCs w:val="32"/>
        </w:rPr>
        <w:t>（一）财政拨款安排支出按功能科目分类情况</w:t>
      </w:r>
    </w:p>
    <w:p w14:paraId="689D1602">
      <w:pPr>
        <w:widowControl/>
        <w:ind w:firstLine="640" w:firstLineChars="200"/>
        <w:jc w:val="left"/>
        <w:rPr>
          <w:rFonts w:hint="eastAsia" w:ascii="仿宋_GB2312" w:eastAsia="仿宋_GB2312"/>
          <w:kern w:val="0"/>
          <w:sz w:val="32"/>
          <w:szCs w:val="32"/>
        </w:rPr>
      </w:pPr>
      <w:r>
        <w:rPr>
          <w:rFonts w:hint="eastAsia" w:ascii="仿宋_GB2312" w:eastAsia="仿宋_GB2312"/>
          <w:kern w:val="0"/>
          <w:sz w:val="32"/>
          <w:szCs w:val="32"/>
        </w:rPr>
        <w:t>功能科目分组，2040201行政运行支出6231.50万元，主要用于在职人员工资、日常公用经费等支出、2040202一般行政管理事务支出1915.00万元，主要用于办案区升级改造500万元、视频侦查作战系统建设720万元、警务实战训练基地、涉案财物管理中心建设用地项目280万元、假冒注册商标办案经费415万元。2040204治安管理支出1590.52万元，主要用于“平安芒市”视频监控系统建设项目905.52万元、6个派出所1个拘留所1个关爱中心房屋修缮项目255万元、锦华派出所建设配套经费345万元、城郊派出所建设用地项目85万元。2040205国内安全保卫支出5万元，主要用于国保大队业务费支出。2040211禁毒管理支出220万元，主要用于办理收戒吸毒人员等支出。2040214反恐怖支出20万元，主要用于反恐维稳支出。2040217拘押收教场所管理支出473万元，主要用于芒市人民政府看守所在押人员、芒市公安局“三非遣返站”在押人员、芒市公安局行政拘留所在押人员、芒市公安局关爱中心在押人员伙食费。2080501归口管理的行政单位离退休支出24.87万元，主要用于单位离退休人员离退休费支出。2080505机关事业单位基本养老保险缴费支出775.86万元，主要用于在职人员基本养老保险缴费支出。2080506机关事业单位职业年金缴费支出2.41万元，主要用于缴纳机关事业单位的职业年金支出。2210201住房公积金支出460.53万元，主要用于在职人员人交纳住房公积金。</w:t>
      </w:r>
    </w:p>
    <w:p w14:paraId="706FAA19">
      <w:pPr>
        <w:widowControl/>
        <w:ind w:firstLine="480" w:firstLineChars="150"/>
        <w:jc w:val="left"/>
        <w:rPr>
          <w:rFonts w:hint="eastAsia" w:ascii="仿宋_GB2312" w:eastAsia="仿宋_GB2312"/>
          <w:kern w:val="0"/>
          <w:sz w:val="32"/>
          <w:szCs w:val="32"/>
        </w:rPr>
      </w:pPr>
      <w:r>
        <w:rPr>
          <w:rFonts w:hint="eastAsia" w:ascii="仿宋_GB2312" w:eastAsia="仿宋_GB2312"/>
          <w:kern w:val="0"/>
          <w:sz w:val="32"/>
          <w:szCs w:val="32"/>
        </w:rPr>
        <w:t>（二）财政拨款安排支出按经济科目分类情况</w:t>
      </w:r>
    </w:p>
    <w:p w14:paraId="6026ACF8">
      <w:pPr>
        <w:widowControl/>
        <w:ind w:firstLine="640" w:firstLineChars="200"/>
        <w:jc w:val="left"/>
        <w:rPr>
          <w:rFonts w:hint="eastAsia" w:ascii="仿宋_GB2312" w:eastAsia="仿宋_GB2312"/>
          <w:kern w:val="0"/>
          <w:sz w:val="32"/>
          <w:szCs w:val="32"/>
        </w:rPr>
      </w:pPr>
      <w:r>
        <w:rPr>
          <w:rFonts w:hint="eastAsia" w:ascii="仿宋_GB2312" w:eastAsia="仿宋_GB2312"/>
          <w:kern w:val="0"/>
          <w:sz w:val="32"/>
          <w:szCs w:val="32"/>
        </w:rPr>
        <w:t>经济科目分组（其中：基本支出7905.17万元，项目支出3813.52万元）。</w:t>
      </w:r>
    </w:p>
    <w:p w14:paraId="673CC97D">
      <w:pPr>
        <w:jc w:val="left"/>
        <w:rPr>
          <w:rFonts w:hint="eastAsia" w:ascii="仿宋_GB2312" w:eastAsia="仿宋_GB2312"/>
          <w:kern w:val="0"/>
          <w:sz w:val="32"/>
          <w:szCs w:val="32"/>
        </w:rPr>
      </w:pPr>
      <w:r>
        <w:rPr>
          <w:rFonts w:hint="eastAsia" w:ascii="仿宋_GB2312" w:eastAsia="仿宋_GB2312"/>
          <w:kern w:val="0"/>
          <w:sz w:val="32"/>
          <w:szCs w:val="32"/>
        </w:rPr>
        <w:t>1、2018年芒市公安局部门预算财政拨款安排支出（基本支出）7905.17万元。</w:t>
      </w:r>
    </w:p>
    <w:p w14:paraId="69884B90">
      <w:pPr>
        <w:ind w:firstLine="480" w:firstLineChars="150"/>
        <w:jc w:val="left"/>
        <w:rPr>
          <w:rFonts w:hint="eastAsia" w:ascii="仿宋_GB2312" w:hAnsi="宋体" w:eastAsia="仿宋_GB2312" w:cs="Arial"/>
          <w:color w:val="000000"/>
          <w:kern w:val="0"/>
          <w:sz w:val="32"/>
          <w:szCs w:val="32"/>
        </w:rPr>
      </w:pPr>
      <w:r>
        <w:rPr>
          <w:rFonts w:hint="eastAsia" w:ascii="仿宋_GB2312" w:eastAsia="仿宋_GB2312"/>
          <w:kern w:val="0"/>
          <w:sz w:val="32"/>
          <w:szCs w:val="32"/>
        </w:rPr>
        <w:t>（1）、工资福利支出</w:t>
      </w:r>
      <w:r>
        <w:rPr>
          <w:rFonts w:hint="eastAsia" w:ascii="仿宋_GB2312" w:hAnsi="宋体" w:eastAsia="仿宋_GB2312" w:cs="Arial"/>
          <w:color w:val="000000"/>
          <w:kern w:val="0"/>
          <w:sz w:val="32"/>
          <w:szCs w:val="32"/>
        </w:rPr>
        <w:t>7059.28万元。其中：基本工资866.25万元、津贴补贴3059.03万元、机关事业单位基本养老保险缴费775.86万元、职业年金缴费2.41万元、住房公积金460.53万元、年终一次性奖金118.37万元、绩效工资3.67万元、其他社会保险缴费222.76万元、其他工资福利支出1550.40万元）。</w:t>
      </w:r>
    </w:p>
    <w:p w14:paraId="5FF071B1">
      <w:pPr>
        <w:ind w:firstLine="480" w:firstLineChars="150"/>
        <w:jc w:val="left"/>
        <w:rPr>
          <w:rFonts w:hint="eastAsia" w:ascii="仿宋_GB2312" w:hAnsi="宋体" w:eastAsia="仿宋_GB2312" w:cs="Arial"/>
          <w:color w:val="000000"/>
          <w:kern w:val="0"/>
          <w:sz w:val="32"/>
          <w:szCs w:val="32"/>
        </w:rPr>
      </w:pPr>
      <w:r>
        <w:rPr>
          <w:rFonts w:hint="eastAsia" w:ascii="仿宋_GB2312" w:hAnsi="宋体" w:eastAsia="仿宋_GB2312" w:cs="Arial"/>
          <w:color w:val="000000"/>
          <w:kern w:val="0"/>
          <w:sz w:val="32"/>
          <w:szCs w:val="32"/>
        </w:rPr>
        <w:t>（2）、对个人和家庭补助支出24.67万元。其中：离休费8.36万元、退休费11.67万元、抚恤金4.64万元。</w:t>
      </w:r>
    </w:p>
    <w:p w14:paraId="2A0DA9BE">
      <w:pPr>
        <w:ind w:firstLine="480" w:firstLineChars="150"/>
        <w:jc w:val="left"/>
        <w:rPr>
          <w:rFonts w:hint="eastAsia" w:ascii="仿宋_GB2312" w:hAnsi="宋体" w:eastAsia="仿宋_GB2312" w:cs="Arial"/>
          <w:color w:val="000000"/>
          <w:kern w:val="0"/>
          <w:sz w:val="32"/>
          <w:szCs w:val="32"/>
        </w:rPr>
      </w:pPr>
      <w:r>
        <w:rPr>
          <w:rFonts w:hint="eastAsia" w:ascii="仿宋_GB2312" w:hAnsi="宋体" w:eastAsia="仿宋_GB2312" w:cs="Arial"/>
          <w:color w:val="000000"/>
          <w:kern w:val="0"/>
          <w:sz w:val="32"/>
          <w:szCs w:val="32"/>
        </w:rPr>
        <w:t>（3）、商品和服务支出821.22万元。其中：办公费30万元、水费20万元、电费10万元、差旅费30万元、邮电费70万元、维修维护费20万元、会议费2万元、培训费20万元、公务接待费0.5万元、劳务费5万元、公务用车运行维护费50万元、其他一般公用经费482.07万元、工会及福利费76.75万元、离退休公用经费4.9万元。</w:t>
      </w:r>
    </w:p>
    <w:p w14:paraId="738B05B4">
      <w:pPr>
        <w:jc w:val="left"/>
        <w:rPr>
          <w:rFonts w:hint="eastAsia" w:ascii="仿宋_GB2312" w:hAnsi="宋体" w:eastAsia="仿宋_GB2312" w:cs="Arial"/>
          <w:color w:val="000000"/>
          <w:kern w:val="0"/>
          <w:sz w:val="32"/>
          <w:szCs w:val="32"/>
        </w:rPr>
      </w:pPr>
      <w:r>
        <w:rPr>
          <w:rFonts w:hint="eastAsia" w:ascii="仿宋_GB2312" w:hAnsi="宋体" w:eastAsia="仿宋_GB2312" w:cs="Arial"/>
          <w:color w:val="000000"/>
          <w:kern w:val="0"/>
          <w:sz w:val="32"/>
          <w:szCs w:val="32"/>
        </w:rPr>
        <w:t>。</w:t>
      </w:r>
    </w:p>
    <w:p w14:paraId="52AE9CD7">
      <w:pPr>
        <w:jc w:val="left"/>
        <w:rPr>
          <w:rFonts w:hint="eastAsia" w:ascii="仿宋_GB2312" w:hAnsi="宋体" w:eastAsia="仿宋_GB2312" w:cs="Arial"/>
          <w:color w:val="000000"/>
          <w:kern w:val="0"/>
          <w:sz w:val="32"/>
          <w:szCs w:val="32"/>
        </w:rPr>
      </w:pPr>
      <w:r>
        <w:rPr>
          <w:rFonts w:hint="eastAsia" w:ascii="仿宋_GB2312" w:hAnsi="宋体" w:eastAsia="仿宋_GB2312" w:cs="Arial"/>
          <w:color w:val="000000"/>
          <w:kern w:val="0"/>
          <w:sz w:val="32"/>
          <w:szCs w:val="32"/>
        </w:rPr>
        <w:t>2、</w:t>
      </w:r>
      <w:r>
        <w:rPr>
          <w:rFonts w:hint="eastAsia" w:ascii="仿宋_GB2312" w:eastAsia="仿宋_GB2312"/>
          <w:kern w:val="0"/>
          <w:sz w:val="32"/>
          <w:szCs w:val="32"/>
        </w:rPr>
        <w:t>2018年芒市公安局部门预算财政拨款安排支出（项目支出）3813.52万元。其中商品和服务支出245万元、对个人和家庭补助支出478万元、资本性支出（基本建设）2030.52万元、资本性支出1060万元。</w:t>
      </w:r>
    </w:p>
    <w:p w14:paraId="1CD2621B">
      <w:pPr>
        <w:jc w:val="left"/>
        <w:rPr>
          <w:rFonts w:hint="eastAsia" w:ascii="仿宋_GB2312" w:eastAsia="仿宋_GB2312"/>
          <w:kern w:val="0"/>
          <w:sz w:val="32"/>
          <w:szCs w:val="32"/>
        </w:rPr>
      </w:pPr>
    </w:p>
    <w:p w14:paraId="14B6C703">
      <w:pPr>
        <w:widowControl/>
        <w:ind w:firstLine="640" w:firstLineChars="200"/>
        <w:jc w:val="left"/>
        <w:rPr>
          <w:rFonts w:hint="eastAsia" w:ascii="仿宋_GB2312" w:eastAsia="仿宋_GB2312"/>
          <w:kern w:val="0"/>
          <w:sz w:val="32"/>
          <w:szCs w:val="32"/>
        </w:rPr>
      </w:pPr>
    </w:p>
    <w:p w14:paraId="1EC95A5D">
      <w:pPr>
        <w:widowControl/>
        <w:ind w:firstLine="640" w:firstLineChars="200"/>
        <w:jc w:val="left"/>
        <w:rPr>
          <w:rFonts w:hint="eastAsia" w:ascii="仿宋_GB2312" w:hAnsi="黑体" w:eastAsia="仿宋_GB2312"/>
          <w:kern w:val="0"/>
          <w:sz w:val="32"/>
          <w:szCs w:val="32"/>
        </w:rPr>
      </w:pPr>
      <w:r>
        <w:rPr>
          <w:rFonts w:hint="eastAsia" w:ascii="仿宋_GB2312" w:hAnsi="黑体" w:eastAsia="仿宋_GB2312"/>
          <w:kern w:val="0"/>
          <w:sz w:val="32"/>
          <w:szCs w:val="32"/>
        </w:rPr>
        <w:t>五、省对下</w:t>
      </w:r>
      <w:r>
        <w:rPr>
          <w:rFonts w:hint="eastAsia" w:ascii="仿宋_GB2312" w:hAnsi="黑体" w:eastAsia="仿宋_GB2312"/>
          <w:kern w:val="0"/>
          <w:sz w:val="32"/>
          <w:szCs w:val="32"/>
          <w:lang w:eastAsia="zh-CN"/>
        </w:rPr>
        <w:t>专</w:t>
      </w:r>
      <w:r>
        <w:rPr>
          <w:rFonts w:hint="eastAsia" w:ascii="仿宋_GB2312" w:hAnsi="黑体" w:eastAsia="仿宋_GB2312"/>
          <w:kern w:val="0"/>
          <w:sz w:val="32"/>
          <w:szCs w:val="32"/>
        </w:rPr>
        <w:t>项转移支付情况</w:t>
      </w:r>
    </w:p>
    <w:p w14:paraId="6D15F67F">
      <w:pPr>
        <w:widowControl/>
        <w:ind w:firstLine="480" w:firstLineChars="150"/>
        <w:jc w:val="left"/>
        <w:rPr>
          <w:rFonts w:hint="eastAsia" w:ascii="仿宋_GB2312" w:eastAsia="仿宋_GB2312"/>
          <w:kern w:val="0"/>
          <w:sz w:val="32"/>
          <w:szCs w:val="32"/>
        </w:rPr>
      </w:pPr>
      <w:r>
        <w:rPr>
          <w:rFonts w:hint="eastAsia" w:ascii="仿宋_GB2312" w:eastAsia="仿宋_GB2312"/>
          <w:kern w:val="0"/>
          <w:sz w:val="32"/>
          <w:szCs w:val="32"/>
        </w:rPr>
        <w:t>（一）列入省对下专项转移支付项目清单项目情况</w:t>
      </w:r>
    </w:p>
    <w:p w14:paraId="1950170E">
      <w:pPr>
        <w:widowControl/>
        <w:ind w:firstLine="640" w:firstLineChars="200"/>
        <w:jc w:val="left"/>
        <w:rPr>
          <w:rFonts w:hint="eastAsia" w:ascii="仿宋_GB2312" w:eastAsia="仿宋_GB2312"/>
          <w:kern w:val="0"/>
          <w:sz w:val="32"/>
          <w:szCs w:val="32"/>
        </w:rPr>
      </w:pPr>
      <w:r>
        <w:rPr>
          <w:rFonts w:hint="eastAsia" w:ascii="仿宋_GB2312" w:eastAsia="仿宋_GB2312"/>
          <w:kern w:val="0"/>
          <w:sz w:val="32"/>
          <w:szCs w:val="32"/>
        </w:rPr>
        <w:t>部门列入省对下专项转移支付项目清单项目为 金额0万元，省对下转移支付2018年没有纳入部门预算。</w:t>
      </w:r>
    </w:p>
    <w:p w14:paraId="7E2456D8">
      <w:pPr>
        <w:widowControl/>
        <w:ind w:firstLine="480" w:firstLineChars="150"/>
        <w:jc w:val="left"/>
        <w:rPr>
          <w:rFonts w:hint="eastAsia" w:ascii="仿宋_GB2312" w:eastAsia="仿宋_GB2312"/>
          <w:kern w:val="0"/>
          <w:sz w:val="32"/>
          <w:szCs w:val="32"/>
        </w:rPr>
      </w:pPr>
      <w:r>
        <w:rPr>
          <w:rFonts w:hint="eastAsia" w:ascii="仿宋_GB2312" w:eastAsia="仿宋_GB2312"/>
          <w:kern w:val="0"/>
          <w:sz w:val="32"/>
          <w:szCs w:val="32"/>
        </w:rPr>
        <w:t>（二）与中央配套事项</w:t>
      </w:r>
    </w:p>
    <w:p w14:paraId="2BCF4F2B">
      <w:pPr>
        <w:widowControl/>
        <w:ind w:firstLine="640" w:firstLineChars="200"/>
        <w:jc w:val="left"/>
        <w:rPr>
          <w:rFonts w:hint="eastAsia" w:ascii="仿宋_GB2312" w:eastAsia="仿宋_GB2312"/>
          <w:kern w:val="0"/>
          <w:sz w:val="32"/>
          <w:szCs w:val="32"/>
        </w:rPr>
      </w:pPr>
      <w:r>
        <w:rPr>
          <w:rFonts w:hint="eastAsia" w:ascii="仿宋_GB2312" w:eastAsia="仿宋_GB2312"/>
          <w:kern w:val="0"/>
          <w:sz w:val="32"/>
          <w:szCs w:val="32"/>
        </w:rPr>
        <w:t>功能科目分组，主要用于……。2018年部门预算没有与中央配套事项。</w:t>
      </w:r>
    </w:p>
    <w:p w14:paraId="3C95A3BB">
      <w:pPr>
        <w:widowControl/>
        <w:ind w:firstLine="643" w:firstLineChars="200"/>
        <w:jc w:val="left"/>
        <w:rPr>
          <w:rFonts w:hint="eastAsia" w:ascii="仿宋_GB2312" w:eastAsia="仿宋_GB2312"/>
          <w:b/>
          <w:kern w:val="0"/>
          <w:sz w:val="32"/>
          <w:szCs w:val="32"/>
        </w:rPr>
      </w:pPr>
      <w:r>
        <w:rPr>
          <w:rFonts w:hint="eastAsia" w:ascii="仿宋_GB2312" w:eastAsia="仿宋_GB2312"/>
          <w:b/>
          <w:kern w:val="0"/>
          <w:sz w:val="32"/>
          <w:szCs w:val="32"/>
        </w:rPr>
        <w:t>（</w:t>
      </w:r>
      <w:r>
        <w:rPr>
          <w:rFonts w:hint="eastAsia" w:ascii="仿宋_GB2312" w:eastAsia="仿宋_GB2312"/>
          <w:kern w:val="0"/>
          <w:sz w:val="32"/>
          <w:szCs w:val="32"/>
        </w:rPr>
        <w:t>三）按既定政策标准测算补助事项</w:t>
      </w:r>
    </w:p>
    <w:p w14:paraId="0967EFED">
      <w:pPr>
        <w:widowControl/>
        <w:ind w:firstLine="640" w:firstLineChars="200"/>
        <w:jc w:val="left"/>
        <w:rPr>
          <w:rFonts w:hint="eastAsia" w:ascii="仿宋_GB2312" w:eastAsia="仿宋_GB2312"/>
          <w:b/>
          <w:kern w:val="0"/>
          <w:sz w:val="32"/>
          <w:szCs w:val="32"/>
        </w:rPr>
      </w:pPr>
      <w:r>
        <w:rPr>
          <w:rFonts w:hint="eastAsia" w:ascii="仿宋_GB2312" w:eastAsia="仿宋_GB2312"/>
          <w:kern w:val="0"/>
          <w:sz w:val="32"/>
          <w:szCs w:val="32"/>
        </w:rPr>
        <w:t>功能科目分组，主要用于……。2018年部门预算没有按既定政策标准测算补助事项。</w:t>
      </w:r>
    </w:p>
    <w:p w14:paraId="188CC3E3">
      <w:pPr>
        <w:widowControl/>
        <w:ind w:firstLine="640" w:firstLineChars="200"/>
        <w:jc w:val="left"/>
        <w:rPr>
          <w:rFonts w:hint="eastAsia" w:ascii="仿宋_GB2312" w:eastAsia="仿宋_GB2312"/>
          <w:kern w:val="0"/>
          <w:sz w:val="32"/>
          <w:szCs w:val="32"/>
        </w:rPr>
      </w:pPr>
    </w:p>
    <w:p w14:paraId="1B8A12E4">
      <w:pPr>
        <w:widowControl/>
        <w:ind w:firstLine="640" w:firstLineChars="200"/>
        <w:jc w:val="left"/>
        <w:rPr>
          <w:rFonts w:hint="eastAsia" w:ascii="仿宋_GB2312" w:hAnsi="黑体" w:eastAsia="仿宋_GB2312"/>
          <w:kern w:val="0"/>
          <w:sz w:val="32"/>
          <w:szCs w:val="32"/>
        </w:rPr>
      </w:pPr>
      <w:r>
        <w:rPr>
          <w:rFonts w:hint="eastAsia" w:ascii="仿宋_GB2312" w:hAnsi="黑体" w:eastAsia="仿宋_GB2312"/>
          <w:kern w:val="0"/>
          <w:sz w:val="32"/>
          <w:szCs w:val="32"/>
        </w:rPr>
        <w:t>六、政府采购预算情况</w:t>
      </w:r>
    </w:p>
    <w:p w14:paraId="6D5E5DF9">
      <w:pPr>
        <w:widowControl/>
        <w:jc w:val="left"/>
        <w:rPr>
          <w:rFonts w:hint="eastAsia" w:ascii="仿宋_GB2312" w:eastAsia="仿宋_GB2312"/>
          <w:kern w:val="0"/>
          <w:sz w:val="32"/>
          <w:szCs w:val="32"/>
        </w:rPr>
      </w:pPr>
      <w:r>
        <w:rPr>
          <w:rFonts w:hint="eastAsia" w:ascii="仿宋_GB2312" w:eastAsia="仿宋_GB2312"/>
          <w:kern w:val="0"/>
          <w:sz w:val="32"/>
          <w:szCs w:val="32"/>
        </w:rPr>
        <w:t xml:space="preserve">    根据《中华人民共和国政府采购法》的有关规定，编制了政府采购预算，共涉及采购项目6个，采购预算资金2835.52万元。</w:t>
      </w:r>
    </w:p>
    <w:p w14:paraId="1E00C875">
      <w:pPr>
        <w:widowControl/>
        <w:ind w:firstLine="640" w:firstLineChars="200"/>
        <w:jc w:val="left"/>
        <w:rPr>
          <w:rFonts w:hint="eastAsia" w:ascii="仿宋_GB2312" w:hAnsi="黑体" w:eastAsia="仿宋_GB2312"/>
          <w:kern w:val="0"/>
          <w:sz w:val="32"/>
          <w:szCs w:val="32"/>
        </w:rPr>
      </w:pPr>
      <w:r>
        <w:rPr>
          <w:rFonts w:hint="eastAsia" w:ascii="仿宋_GB2312" w:hAnsi="黑体" w:eastAsia="仿宋_GB2312"/>
          <w:kern w:val="0"/>
          <w:sz w:val="32"/>
          <w:szCs w:val="32"/>
        </w:rPr>
        <w:t>七、预算收支增减变化情况说明</w:t>
      </w:r>
    </w:p>
    <w:p w14:paraId="53577471">
      <w:pPr>
        <w:widowControl/>
        <w:ind w:firstLine="640" w:firstLineChars="200"/>
        <w:jc w:val="left"/>
        <w:rPr>
          <w:rFonts w:hint="eastAsia" w:ascii="仿宋_GB2312" w:eastAsia="仿宋_GB2312"/>
          <w:kern w:val="0"/>
          <w:sz w:val="32"/>
          <w:szCs w:val="32"/>
        </w:rPr>
      </w:pPr>
      <w:r>
        <w:rPr>
          <w:rFonts w:hint="eastAsia" w:ascii="仿宋_GB2312" w:eastAsia="仿宋_GB2312"/>
          <w:kern w:val="0"/>
          <w:sz w:val="32"/>
          <w:szCs w:val="32"/>
        </w:rPr>
        <w:t>（本条主要填写基本支出预算和项目支出预算变动的主要原因）</w:t>
      </w:r>
    </w:p>
    <w:p w14:paraId="0EEA6210">
      <w:pPr>
        <w:widowControl/>
        <w:ind w:firstLine="640" w:firstLineChars="200"/>
        <w:jc w:val="left"/>
        <w:rPr>
          <w:rFonts w:hint="eastAsia" w:ascii="仿宋_GB2312" w:eastAsia="仿宋_GB2312"/>
          <w:kern w:val="0"/>
          <w:sz w:val="32"/>
          <w:szCs w:val="32"/>
        </w:rPr>
      </w:pPr>
      <w:r>
        <w:rPr>
          <w:rFonts w:hint="eastAsia" w:ascii="仿宋_GB2312" w:eastAsia="仿宋_GB2312"/>
          <w:kern w:val="0"/>
          <w:sz w:val="32"/>
          <w:szCs w:val="32"/>
        </w:rPr>
        <w:t>（一）2018年芒市公安局部门预算基本支出7905.17万元，比2017年部门预算基本支出的7861.32万元增加43.85万元，增长0.55％。增长的主要原因是在职人员的工资增加。</w:t>
      </w:r>
    </w:p>
    <w:p w14:paraId="4546CA1A">
      <w:pPr>
        <w:widowControl/>
        <w:ind w:firstLine="643" w:firstLineChars="200"/>
        <w:jc w:val="left"/>
        <w:rPr>
          <w:rFonts w:hint="eastAsia" w:ascii="仿宋_GB2312" w:eastAsia="仿宋_GB2312"/>
          <w:kern w:val="0"/>
          <w:sz w:val="32"/>
          <w:szCs w:val="32"/>
        </w:rPr>
      </w:pPr>
      <w:r>
        <w:rPr>
          <w:rFonts w:hint="eastAsia" w:ascii="仿宋_GB2312" w:eastAsia="仿宋_GB2312"/>
          <w:b/>
          <w:kern w:val="0"/>
          <w:sz w:val="32"/>
          <w:szCs w:val="32"/>
        </w:rPr>
        <w:t>（二）</w:t>
      </w:r>
      <w:r>
        <w:rPr>
          <w:rFonts w:hint="eastAsia" w:ascii="仿宋_GB2312" w:eastAsia="仿宋_GB2312"/>
          <w:kern w:val="0"/>
          <w:sz w:val="32"/>
          <w:szCs w:val="32"/>
        </w:rPr>
        <w:t>2018年芒市公安局部门预算项目支出3813.52万元，比2017年部门预算项目支出的1105.52万元增加2708万元，增长244.95％。增长的主要原因是芒市公安局2018年需投入大量资金建设办案区升级改造建设项目、视频侦查作战系统建设项目、警务实战训练基地、涉案财物管理中心建设用地项目、锦华派出所建设配套经费、芒市公安局6个派出所1个拘留所1个关爱中心房屋修缮项目、城郊派出所建设用地项目等。</w:t>
      </w:r>
    </w:p>
    <w:p w14:paraId="1452A34F">
      <w:pPr>
        <w:widowControl/>
        <w:ind w:firstLine="643" w:firstLineChars="200"/>
        <w:jc w:val="left"/>
        <w:rPr>
          <w:rFonts w:hint="eastAsia" w:ascii="仿宋_GB2312" w:eastAsia="仿宋_GB2312"/>
          <w:b/>
          <w:kern w:val="0"/>
          <w:sz w:val="32"/>
          <w:szCs w:val="32"/>
        </w:rPr>
      </w:pPr>
    </w:p>
    <w:p w14:paraId="5AFEF411">
      <w:pPr>
        <w:widowControl/>
        <w:ind w:firstLine="640" w:firstLineChars="200"/>
        <w:jc w:val="left"/>
        <w:rPr>
          <w:rFonts w:hint="eastAsia" w:ascii="仿宋_GB2312" w:hAnsi="黑体" w:eastAsia="仿宋_GB2312"/>
          <w:kern w:val="0"/>
          <w:sz w:val="32"/>
          <w:szCs w:val="32"/>
        </w:rPr>
      </w:pPr>
      <w:r>
        <w:rPr>
          <w:rFonts w:hint="eastAsia" w:ascii="仿宋_GB2312" w:hAnsi="黑体" w:eastAsia="仿宋_GB2312"/>
          <w:kern w:val="0"/>
          <w:sz w:val="32"/>
          <w:szCs w:val="32"/>
        </w:rPr>
        <w:t>八、其他公开信息</w:t>
      </w:r>
    </w:p>
    <w:p w14:paraId="3E708CB3">
      <w:pPr>
        <w:widowControl/>
        <w:ind w:firstLine="640" w:firstLineChars="200"/>
        <w:jc w:val="left"/>
        <w:rPr>
          <w:rFonts w:hint="eastAsia" w:ascii="仿宋_GB2312" w:eastAsia="仿宋_GB2312"/>
          <w:kern w:val="0"/>
          <w:sz w:val="32"/>
          <w:szCs w:val="32"/>
        </w:rPr>
      </w:pPr>
      <w:r>
        <w:rPr>
          <w:rFonts w:hint="eastAsia" w:ascii="仿宋_GB2312" w:eastAsia="仿宋_GB2312"/>
          <w:kern w:val="0"/>
          <w:sz w:val="32"/>
          <w:szCs w:val="32"/>
        </w:rPr>
        <w:t>（一）专业名词解释</w:t>
      </w:r>
    </w:p>
    <w:p w14:paraId="7CF34A7F">
      <w:pPr>
        <w:ind w:firstLine="320" w:firstLineChars="100"/>
        <w:rPr>
          <w:rFonts w:hint="eastAsia" w:ascii="仿宋_GB2312" w:eastAsia="仿宋_GB2312"/>
          <w:sz w:val="32"/>
          <w:szCs w:val="32"/>
        </w:rPr>
      </w:pPr>
      <w:r>
        <w:rPr>
          <w:rFonts w:hint="eastAsia" w:ascii="仿宋_GB2312" w:eastAsia="仿宋_GB2312"/>
          <w:sz w:val="32"/>
          <w:szCs w:val="32"/>
        </w:rPr>
        <w:t>（1）政府采购：指国家各级政府为从事日常的政务活动或为了满足公共服务的目的，利用国家</w:t>
      </w:r>
      <w:r>
        <w:fldChar w:fldCharType="begin"/>
      </w:r>
      <w:r>
        <w:instrText xml:space="preserve"> HYPERLINK "https://baike.so.com/doc/5716834-5929560.html" \t "_blank" </w:instrText>
      </w:r>
      <w:r>
        <w:fldChar w:fldCharType="separate"/>
      </w:r>
      <w:r>
        <w:rPr>
          <w:rFonts w:hint="eastAsia" w:ascii="仿宋_GB2312" w:eastAsia="仿宋_GB2312"/>
          <w:sz w:val="32"/>
          <w:szCs w:val="32"/>
        </w:rPr>
        <w:t>财政性资金</w:t>
      </w:r>
      <w:r>
        <w:rPr>
          <w:rFonts w:hint="eastAsia" w:ascii="仿宋_GB2312" w:eastAsia="仿宋_GB2312"/>
          <w:sz w:val="32"/>
          <w:szCs w:val="32"/>
        </w:rPr>
        <w:fldChar w:fldCharType="end"/>
      </w:r>
      <w:r>
        <w:rPr>
          <w:rFonts w:hint="eastAsia" w:ascii="仿宋_GB2312" w:eastAsia="仿宋_GB2312"/>
          <w:sz w:val="32"/>
          <w:szCs w:val="32"/>
        </w:rPr>
        <w:t>和政府借款购买货物、工程和服务的行为。政府采购不仅是指具体的</w:t>
      </w:r>
      <w:r>
        <w:fldChar w:fldCharType="begin"/>
      </w:r>
      <w:r>
        <w:instrText xml:space="preserve"> HYPERLINK "https://baike.so.com/doc/4796448-5012566.html" \t "_blank" </w:instrText>
      </w:r>
      <w:r>
        <w:fldChar w:fldCharType="separate"/>
      </w:r>
      <w:r>
        <w:rPr>
          <w:rFonts w:hint="eastAsia" w:ascii="仿宋_GB2312" w:eastAsia="仿宋_GB2312"/>
          <w:sz w:val="32"/>
          <w:szCs w:val="32"/>
        </w:rPr>
        <w:t>采购过程</w:t>
      </w:r>
      <w:r>
        <w:rPr>
          <w:rFonts w:hint="eastAsia" w:ascii="仿宋_GB2312" w:eastAsia="仿宋_GB2312"/>
          <w:sz w:val="32"/>
          <w:szCs w:val="32"/>
        </w:rPr>
        <w:fldChar w:fldCharType="end"/>
      </w:r>
      <w:r>
        <w:rPr>
          <w:rFonts w:hint="eastAsia" w:ascii="仿宋_GB2312" w:eastAsia="仿宋_GB2312"/>
          <w:sz w:val="32"/>
          <w:szCs w:val="32"/>
        </w:rPr>
        <w:t>，而且是采购政策、采购程序、采购过程及采购管理的总称，是一种对公共采购管理的制度。</w:t>
      </w:r>
    </w:p>
    <w:p w14:paraId="66350A4D">
      <w:pPr>
        <w:ind w:firstLine="480" w:firstLineChars="150"/>
        <w:rPr>
          <w:rFonts w:hint="eastAsia" w:ascii="仿宋_GB2312" w:eastAsia="仿宋_GB2312"/>
          <w:sz w:val="32"/>
          <w:szCs w:val="32"/>
        </w:rPr>
      </w:pPr>
      <w:r>
        <w:rPr>
          <w:rFonts w:hint="eastAsia" w:ascii="仿宋_GB2312" w:eastAsia="仿宋_GB2312"/>
          <w:sz w:val="32"/>
          <w:szCs w:val="32"/>
        </w:rPr>
        <w:t>(2) 财政拨款收入: 指本级财政当年拨付的资金。</w:t>
      </w:r>
    </w:p>
    <w:p w14:paraId="78571165">
      <w:pPr>
        <w:rPr>
          <w:rFonts w:hint="eastAsia" w:ascii="仿宋_GB2312" w:eastAsia="仿宋_GB2312"/>
          <w:sz w:val="32"/>
          <w:szCs w:val="32"/>
        </w:rPr>
      </w:pPr>
      <w:r>
        <w:rPr>
          <w:rFonts w:hint="eastAsia" w:ascii="仿宋_GB2312" w:eastAsia="仿宋_GB2312"/>
          <w:sz w:val="32"/>
          <w:szCs w:val="32"/>
        </w:rPr>
        <w:t xml:space="preserve">  </w:t>
      </w:r>
    </w:p>
    <w:p w14:paraId="556FAD3D">
      <w:pPr>
        <w:ind w:firstLine="480" w:firstLineChars="150"/>
        <w:rPr>
          <w:rFonts w:hint="eastAsia" w:ascii="仿宋_GB2312" w:eastAsia="仿宋_GB2312"/>
          <w:sz w:val="32"/>
          <w:szCs w:val="32"/>
        </w:rPr>
      </w:pPr>
      <w:r>
        <w:rPr>
          <w:rFonts w:hint="eastAsia" w:ascii="仿宋_GB2312" w:eastAsia="仿宋_GB2312"/>
          <w:sz w:val="32"/>
          <w:szCs w:val="32"/>
        </w:rPr>
        <w:t>(3)基本支出: 指为保障机构正常运转、完成日常工作任务而发生的人员支出和公用支出。</w:t>
      </w:r>
    </w:p>
    <w:p w14:paraId="79460263">
      <w:pPr>
        <w:ind w:firstLine="480" w:firstLineChars="150"/>
        <w:rPr>
          <w:rFonts w:hint="eastAsia" w:ascii="仿宋_GB2312" w:eastAsia="仿宋_GB2312"/>
          <w:sz w:val="32"/>
          <w:szCs w:val="32"/>
        </w:rPr>
      </w:pPr>
      <w:r>
        <w:rPr>
          <w:rFonts w:hint="eastAsia" w:ascii="仿宋_GB2312" w:eastAsia="仿宋_GB2312"/>
          <w:sz w:val="32"/>
          <w:szCs w:val="32"/>
        </w:rPr>
        <w:t>(4)项目支出: 指在基本支出之外为完成特定行政任务和事业发展目标所发生的支出。</w:t>
      </w:r>
    </w:p>
    <w:p w14:paraId="29F48992">
      <w:pPr>
        <w:rPr>
          <w:rFonts w:hint="eastAsia" w:ascii="仿宋_GB2312" w:eastAsia="仿宋_GB2312"/>
          <w:sz w:val="32"/>
          <w:szCs w:val="32"/>
        </w:rPr>
      </w:pPr>
      <w:r>
        <w:rPr>
          <w:rFonts w:hint="eastAsia" w:ascii="仿宋_GB2312" w:eastAsia="仿宋_GB2312"/>
          <w:sz w:val="32"/>
          <w:szCs w:val="32"/>
        </w:rPr>
        <w:t xml:space="preserve">  (5)"三公"经费: 指纳入本级财政预决算管理的"三公"经费，是指本级部门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安全奖励费用等支出;公务接待费反映单位按规定开支的各类公务接待(含外宾接待)支出。</w:t>
      </w:r>
    </w:p>
    <w:p w14:paraId="19FA5A3C">
      <w:pPr>
        <w:rPr>
          <w:rFonts w:hint="eastAsia" w:ascii="仿宋_GB2312" w:eastAsia="仿宋_GB2312"/>
          <w:sz w:val="32"/>
          <w:szCs w:val="32"/>
        </w:rPr>
      </w:pPr>
    </w:p>
    <w:p w14:paraId="7E8293E7">
      <w:pPr>
        <w:ind w:firstLine="160" w:firstLineChars="50"/>
        <w:rPr>
          <w:rFonts w:hint="eastAsia" w:ascii="仿宋_GB2312" w:eastAsia="仿宋_GB2312"/>
          <w:sz w:val="32"/>
          <w:szCs w:val="32"/>
        </w:rPr>
      </w:pPr>
      <w:r>
        <w:rPr>
          <w:rFonts w:hint="eastAsia" w:ascii="仿宋_GB2312" w:eastAsia="仿宋_GB2312"/>
          <w:sz w:val="32"/>
          <w:szCs w:val="32"/>
        </w:rPr>
        <w:t>(6)机关运行经费: 指为保障行政单位(含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p w14:paraId="59662450">
      <w:pPr>
        <w:widowControl/>
        <w:ind w:firstLine="800" w:firstLineChars="250"/>
        <w:jc w:val="left"/>
        <w:rPr>
          <w:rFonts w:hint="eastAsia" w:ascii="仿宋_GB2312" w:eastAsia="仿宋_GB2312"/>
          <w:kern w:val="0"/>
          <w:sz w:val="32"/>
          <w:szCs w:val="32"/>
        </w:rPr>
      </w:pPr>
      <w:r>
        <w:rPr>
          <w:rFonts w:hint="eastAsia" w:ascii="仿宋_GB2312" w:eastAsia="仿宋_GB2312"/>
          <w:kern w:val="0"/>
          <w:sz w:val="32"/>
          <w:szCs w:val="32"/>
        </w:rPr>
        <w:t>（二）机关运行经费安排</w:t>
      </w:r>
    </w:p>
    <w:p w14:paraId="7A0BFEE5">
      <w:pPr>
        <w:widowControl/>
        <w:jc w:val="left"/>
        <w:rPr>
          <w:rFonts w:hint="eastAsia" w:ascii="仿宋_GB2312" w:eastAsia="仿宋_GB2312"/>
          <w:kern w:val="0"/>
          <w:sz w:val="32"/>
          <w:szCs w:val="32"/>
        </w:rPr>
      </w:pPr>
      <w:r>
        <w:rPr>
          <w:rFonts w:hint="eastAsia" w:ascii="仿宋_GB2312" w:eastAsia="仿宋_GB2312"/>
          <w:kern w:val="0"/>
          <w:sz w:val="32"/>
          <w:szCs w:val="32"/>
        </w:rPr>
        <w:t>2018年芒市公安局部门预算机关运行经费821.22万元。</w:t>
      </w:r>
    </w:p>
    <w:p w14:paraId="0A5BA5EF">
      <w:pPr>
        <w:widowControl/>
        <w:ind w:firstLine="640" w:firstLineChars="200"/>
        <w:jc w:val="left"/>
        <w:rPr>
          <w:rFonts w:hint="eastAsia" w:ascii="仿宋_GB2312" w:eastAsia="仿宋_GB2312"/>
          <w:kern w:val="0"/>
          <w:sz w:val="32"/>
          <w:szCs w:val="32"/>
        </w:rPr>
      </w:pPr>
      <w:r>
        <w:rPr>
          <w:rFonts w:hint="eastAsia" w:ascii="仿宋_GB2312" w:eastAsia="仿宋_GB2312"/>
          <w:kern w:val="0"/>
          <w:sz w:val="32"/>
          <w:szCs w:val="32"/>
        </w:rPr>
        <w:t>（三）国有资产占用情况</w:t>
      </w:r>
    </w:p>
    <w:p w14:paraId="7A993090">
      <w:pPr>
        <w:widowControl/>
        <w:ind w:firstLine="640" w:firstLineChars="200"/>
        <w:jc w:val="left"/>
        <w:rPr>
          <w:rFonts w:hint="eastAsia" w:ascii="仿宋_GB2312" w:eastAsia="仿宋_GB2312"/>
          <w:kern w:val="0"/>
          <w:sz w:val="32"/>
          <w:szCs w:val="32"/>
        </w:rPr>
      </w:pPr>
      <w:r>
        <w:rPr>
          <w:rFonts w:hint="eastAsia" w:ascii="仿宋_GB2312" w:eastAsia="仿宋_GB2312"/>
          <w:kern w:val="0"/>
          <w:sz w:val="32"/>
          <w:szCs w:val="32"/>
        </w:rPr>
        <w:t>鉴于截至2017年12月31日的国有资产占有使用情况需在完成2017年决算编制后才能统计汇总相关数据，因此，将在公开2017年度部门决算时一并公开部门截至2017年12月31日的国有资产占有使用情况。</w:t>
      </w:r>
    </w:p>
    <w:p w14:paraId="137A6570">
      <w:pPr>
        <w:widowControl/>
        <w:ind w:firstLine="640" w:firstLineChars="200"/>
        <w:jc w:val="left"/>
        <w:rPr>
          <w:rFonts w:hint="eastAsia" w:ascii="仿宋_GB2312" w:eastAsia="仿宋_GB2312"/>
          <w:kern w:val="0"/>
          <w:sz w:val="32"/>
          <w:szCs w:val="32"/>
        </w:rPr>
      </w:pPr>
    </w:p>
    <w:p w14:paraId="37E4F43C">
      <w:pPr>
        <w:widowControl/>
        <w:ind w:firstLine="640" w:firstLineChars="200"/>
        <w:jc w:val="left"/>
        <w:rPr>
          <w:rFonts w:hint="eastAsia" w:ascii="仿宋_GB2312" w:eastAsia="仿宋_GB2312"/>
          <w:kern w:val="0"/>
          <w:sz w:val="32"/>
          <w:szCs w:val="32"/>
        </w:rPr>
      </w:pPr>
    </w:p>
    <w:p w14:paraId="67ACE356">
      <w:pPr>
        <w:widowControl/>
        <w:ind w:firstLine="640" w:firstLineChars="200"/>
        <w:jc w:val="left"/>
        <w:rPr>
          <w:rFonts w:hint="eastAsia" w:ascii="仿宋_GB2312" w:eastAsia="仿宋_GB2312"/>
          <w:kern w:val="0"/>
          <w:sz w:val="32"/>
          <w:szCs w:val="32"/>
        </w:rPr>
      </w:pPr>
    </w:p>
    <w:p w14:paraId="20003D26">
      <w:pPr>
        <w:widowControl/>
        <w:ind w:firstLine="640" w:firstLineChars="200"/>
        <w:jc w:val="left"/>
        <w:rPr>
          <w:rFonts w:hint="eastAsia" w:ascii="仿宋_GB2312" w:eastAsia="仿宋_GB2312"/>
          <w:kern w:val="0"/>
          <w:sz w:val="32"/>
          <w:szCs w:val="32"/>
        </w:rPr>
      </w:pPr>
    </w:p>
    <w:p w14:paraId="6CA6CE37">
      <w:pPr>
        <w:widowControl/>
        <w:ind w:firstLine="640" w:firstLineChars="200"/>
        <w:jc w:val="left"/>
        <w:rPr>
          <w:rFonts w:hint="eastAsia" w:ascii="仿宋_GB2312" w:eastAsia="仿宋_GB2312"/>
          <w:kern w:val="0"/>
          <w:sz w:val="32"/>
          <w:szCs w:val="32"/>
        </w:rPr>
      </w:pPr>
    </w:p>
    <w:p w14:paraId="65B735F2">
      <w:pPr>
        <w:widowControl/>
        <w:ind w:firstLine="640" w:firstLineChars="200"/>
        <w:jc w:val="left"/>
        <w:rPr>
          <w:rFonts w:hint="eastAsia" w:ascii="仿宋_GB2312" w:eastAsia="仿宋_GB2312"/>
          <w:kern w:val="0"/>
          <w:sz w:val="32"/>
          <w:szCs w:val="32"/>
        </w:rPr>
      </w:pPr>
    </w:p>
    <w:p w14:paraId="69B809C9">
      <w:pPr>
        <w:widowControl/>
        <w:ind w:firstLine="640" w:firstLineChars="200"/>
        <w:jc w:val="left"/>
        <w:rPr>
          <w:rFonts w:hint="eastAsia" w:ascii="仿宋_GB2312" w:eastAsia="仿宋_GB2312"/>
          <w:kern w:val="0"/>
          <w:sz w:val="32"/>
          <w:szCs w:val="32"/>
        </w:rPr>
      </w:pPr>
    </w:p>
    <w:p w14:paraId="787D2B20">
      <w:pPr>
        <w:widowControl/>
        <w:ind w:firstLine="640" w:firstLineChars="200"/>
        <w:jc w:val="left"/>
        <w:rPr>
          <w:rFonts w:hint="eastAsia" w:ascii="仿宋_GB2312" w:eastAsia="仿宋_GB2312"/>
          <w:kern w:val="0"/>
          <w:sz w:val="32"/>
          <w:szCs w:val="32"/>
        </w:rPr>
      </w:pPr>
    </w:p>
    <w:p w14:paraId="375C51C2">
      <w:pPr>
        <w:widowControl/>
        <w:ind w:firstLine="640" w:firstLineChars="200"/>
        <w:jc w:val="left"/>
        <w:rPr>
          <w:rFonts w:hint="eastAsia" w:ascii="仿宋_GB2312" w:eastAsia="仿宋_GB2312"/>
          <w:kern w:val="0"/>
          <w:sz w:val="32"/>
          <w:szCs w:val="32"/>
        </w:rPr>
      </w:pPr>
      <w:r>
        <w:rPr>
          <w:rFonts w:hint="eastAsia" w:ascii="仿宋_GB2312" w:eastAsia="仿宋_GB2312"/>
          <w:kern w:val="0"/>
          <w:sz w:val="32"/>
          <w:szCs w:val="32"/>
        </w:rPr>
        <w:t xml:space="preserve">                                 芒市公安局</w:t>
      </w:r>
    </w:p>
    <w:p w14:paraId="4A770FCE">
      <w:pPr>
        <w:widowControl/>
        <w:ind w:firstLine="640" w:firstLineChars="200"/>
        <w:jc w:val="left"/>
        <w:rPr>
          <w:rFonts w:hint="eastAsia" w:ascii="仿宋_GB2312" w:eastAsia="仿宋_GB2312"/>
          <w:kern w:val="0"/>
          <w:sz w:val="32"/>
          <w:szCs w:val="32"/>
        </w:rPr>
      </w:pPr>
      <w:r>
        <w:rPr>
          <w:rFonts w:hint="eastAsia" w:ascii="仿宋_GB2312" w:eastAsia="仿宋_GB2312"/>
          <w:kern w:val="0"/>
          <w:sz w:val="32"/>
          <w:szCs w:val="32"/>
        </w:rPr>
        <w:t xml:space="preserve">                               2018年2月9日</w:t>
      </w:r>
    </w:p>
    <w:sectPr>
      <w:headerReference r:id="rId3" w:type="default"/>
      <w:headerReference r:id="rId4" w:type="even"/>
      <w:pgSz w:w="11906" w:h="16838"/>
      <w:pgMar w:top="1247" w:right="1797" w:bottom="1247" w:left="179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F58116D">
    <w:pPr>
      <w:pStyle w:val="5"/>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A8A4041">
    <w:pPr>
      <w:pStyle w:val="5"/>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F45AD5"/>
    <w:rsid w:val="0000585F"/>
    <w:rsid w:val="0000790E"/>
    <w:rsid w:val="00010713"/>
    <w:rsid w:val="00011F4A"/>
    <w:rsid w:val="00012FB3"/>
    <w:rsid w:val="00014D4F"/>
    <w:rsid w:val="000152A5"/>
    <w:rsid w:val="000152BE"/>
    <w:rsid w:val="000237AB"/>
    <w:rsid w:val="0003248D"/>
    <w:rsid w:val="00034005"/>
    <w:rsid w:val="0005317B"/>
    <w:rsid w:val="000543CA"/>
    <w:rsid w:val="00054EA9"/>
    <w:rsid w:val="000559B2"/>
    <w:rsid w:val="00060B5F"/>
    <w:rsid w:val="00063177"/>
    <w:rsid w:val="00064C37"/>
    <w:rsid w:val="00070204"/>
    <w:rsid w:val="00073344"/>
    <w:rsid w:val="00074721"/>
    <w:rsid w:val="00081157"/>
    <w:rsid w:val="00083CB1"/>
    <w:rsid w:val="0008540E"/>
    <w:rsid w:val="00085843"/>
    <w:rsid w:val="000860FB"/>
    <w:rsid w:val="000914FC"/>
    <w:rsid w:val="00093244"/>
    <w:rsid w:val="000952C1"/>
    <w:rsid w:val="00096A53"/>
    <w:rsid w:val="000A03E5"/>
    <w:rsid w:val="000A07EA"/>
    <w:rsid w:val="000A1122"/>
    <w:rsid w:val="000A6A4C"/>
    <w:rsid w:val="000A74AF"/>
    <w:rsid w:val="000A7B19"/>
    <w:rsid w:val="000B0125"/>
    <w:rsid w:val="000B59B5"/>
    <w:rsid w:val="000B5BAB"/>
    <w:rsid w:val="000B6E9C"/>
    <w:rsid w:val="000B7EA9"/>
    <w:rsid w:val="000C3AE5"/>
    <w:rsid w:val="000C5123"/>
    <w:rsid w:val="000D4394"/>
    <w:rsid w:val="000E2B18"/>
    <w:rsid w:val="000E530D"/>
    <w:rsid w:val="000F4C86"/>
    <w:rsid w:val="001046C0"/>
    <w:rsid w:val="00104701"/>
    <w:rsid w:val="00114FB7"/>
    <w:rsid w:val="00122B32"/>
    <w:rsid w:val="001239AC"/>
    <w:rsid w:val="00123DF3"/>
    <w:rsid w:val="00126D02"/>
    <w:rsid w:val="00126F40"/>
    <w:rsid w:val="00127A6B"/>
    <w:rsid w:val="00131ABB"/>
    <w:rsid w:val="001341D1"/>
    <w:rsid w:val="0013430D"/>
    <w:rsid w:val="0013484F"/>
    <w:rsid w:val="00134BE4"/>
    <w:rsid w:val="0013549C"/>
    <w:rsid w:val="001418E2"/>
    <w:rsid w:val="0014446D"/>
    <w:rsid w:val="001446A5"/>
    <w:rsid w:val="0014486B"/>
    <w:rsid w:val="00144CF1"/>
    <w:rsid w:val="0014558B"/>
    <w:rsid w:val="00146960"/>
    <w:rsid w:val="00155639"/>
    <w:rsid w:val="00155D5E"/>
    <w:rsid w:val="00157BA7"/>
    <w:rsid w:val="001704E4"/>
    <w:rsid w:val="00175223"/>
    <w:rsid w:val="00175B2E"/>
    <w:rsid w:val="00176F17"/>
    <w:rsid w:val="001804E3"/>
    <w:rsid w:val="00180C9A"/>
    <w:rsid w:val="00182D13"/>
    <w:rsid w:val="00183B42"/>
    <w:rsid w:val="00186C54"/>
    <w:rsid w:val="00192C05"/>
    <w:rsid w:val="00197CAA"/>
    <w:rsid w:val="00197E5D"/>
    <w:rsid w:val="001A1B3A"/>
    <w:rsid w:val="001A3CEE"/>
    <w:rsid w:val="001A784A"/>
    <w:rsid w:val="001B045D"/>
    <w:rsid w:val="001C1C89"/>
    <w:rsid w:val="001C55D5"/>
    <w:rsid w:val="001C60D7"/>
    <w:rsid w:val="001D120C"/>
    <w:rsid w:val="001D3B66"/>
    <w:rsid w:val="001E03BD"/>
    <w:rsid w:val="001E684A"/>
    <w:rsid w:val="001F791E"/>
    <w:rsid w:val="00200BD6"/>
    <w:rsid w:val="00216177"/>
    <w:rsid w:val="002230AE"/>
    <w:rsid w:val="002247D0"/>
    <w:rsid w:val="00224F80"/>
    <w:rsid w:val="0022507C"/>
    <w:rsid w:val="00226979"/>
    <w:rsid w:val="002406F5"/>
    <w:rsid w:val="00242E76"/>
    <w:rsid w:val="00243464"/>
    <w:rsid w:val="002462A8"/>
    <w:rsid w:val="00247731"/>
    <w:rsid w:val="00253C74"/>
    <w:rsid w:val="00262BAD"/>
    <w:rsid w:val="002726B1"/>
    <w:rsid w:val="002727D0"/>
    <w:rsid w:val="002749C8"/>
    <w:rsid w:val="00275325"/>
    <w:rsid w:val="00281C06"/>
    <w:rsid w:val="00285DC4"/>
    <w:rsid w:val="00294AE7"/>
    <w:rsid w:val="002A6388"/>
    <w:rsid w:val="002A7BAE"/>
    <w:rsid w:val="002B11FA"/>
    <w:rsid w:val="002B2CA6"/>
    <w:rsid w:val="002B34ED"/>
    <w:rsid w:val="002B37A7"/>
    <w:rsid w:val="002B3EA1"/>
    <w:rsid w:val="002B4342"/>
    <w:rsid w:val="002B56EB"/>
    <w:rsid w:val="002B6D47"/>
    <w:rsid w:val="002C5494"/>
    <w:rsid w:val="002C7D21"/>
    <w:rsid w:val="002D27CD"/>
    <w:rsid w:val="002D3EC0"/>
    <w:rsid w:val="002D729F"/>
    <w:rsid w:val="002E0E3C"/>
    <w:rsid w:val="002E2F7F"/>
    <w:rsid w:val="002E4B20"/>
    <w:rsid w:val="002E5FC6"/>
    <w:rsid w:val="002E6D7D"/>
    <w:rsid w:val="002F2C1E"/>
    <w:rsid w:val="002F6E99"/>
    <w:rsid w:val="00300C47"/>
    <w:rsid w:val="003050B6"/>
    <w:rsid w:val="0030726B"/>
    <w:rsid w:val="0031118B"/>
    <w:rsid w:val="0031122F"/>
    <w:rsid w:val="00315EFA"/>
    <w:rsid w:val="00316408"/>
    <w:rsid w:val="003179FB"/>
    <w:rsid w:val="00323A51"/>
    <w:rsid w:val="003244C9"/>
    <w:rsid w:val="0032468B"/>
    <w:rsid w:val="00327119"/>
    <w:rsid w:val="003333E4"/>
    <w:rsid w:val="00336580"/>
    <w:rsid w:val="0034184B"/>
    <w:rsid w:val="003535EB"/>
    <w:rsid w:val="00354D29"/>
    <w:rsid w:val="00356356"/>
    <w:rsid w:val="00360593"/>
    <w:rsid w:val="00360EF7"/>
    <w:rsid w:val="00361A07"/>
    <w:rsid w:val="003710A2"/>
    <w:rsid w:val="00372470"/>
    <w:rsid w:val="00376707"/>
    <w:rsid w:val="0037788A"/>
    <w:rsid w:val="0038029B"/>
    <w:rsid w:val="0038212A"/>
    <w:rsid w:val="00383096"/>
    <w:rsid w:val="00392AA8"/>
    <w:rsid w:val="003931E6"/>
    <w:rsid w:val="003A324A"/>
    <w:rsid w:val="003A6D51"/>
    <w:rsid w:val="003A73EF"/>
    <w:rsid w:val="003B2514"/>
    <w:rsid w:val="003B54C2"/>
    <w:rsid w:val="003B5BA8"/>
    <w:rsid w:val="003C1BE1"/>
    <w:rsid w:val="003C6315"/>
    <w:rsid w:val="003D1204"/>
    <w:rsid w:val="003D160D"/>
    <w:rsid w:val="003D35F4"/>
    <w:rsid w:val="003D6405"/>
    <w:rsid w:val="003D6601"/>
    <w:rsid w:val="003D6C9A"/>
    <w:rsid w:val="003E2D1F"/>
    <w:rsid w:val="003E2DE1"/>
    <w:rsid w:val="003E5754"/>
    <w:rsid w:val="003F171F"/>
    <w:rsid w:val="003F201E"/>
    <w:rsid w:val="003F3C0C"/>
    <w:rsid w:val="0040002C"/>
    <w:rsid w:val="00400C3B"/>
    <w:rsid w:val="00403507"/>
    <w:rsid w:val="00403546"/>
    <w:rsid w:val="004158B8"/>
    <w:rsid w:val="00416B98"/>
    <w:rsid w:val="00421A99"/>
    <w:rsid w:val="0042780C"/>
    <w:rsid w:val="0043232E"/>
    <w:rsid w:val="004323D2"/>
    <w:rsid w:val="00432BAC"/>
    <w:rsid w:val="00445161"/>
    <w:rsid w:val="004457F4"/>
    <w:rsid w:val="004472BF"/>
    <w:rsid w:val="00447C85"/>
    <w:rsid w:val="00450E7F"/>
    <w:rsid w:val="004544A9"/>
    <w:rsid w:val="00455E38"/>
    <w:rsid w:val="00456CDD"/>
    <w:rsid w:val="004605B3"/>
    <w:rsid w:val="00467CD2"/>
    <w:rsid w:val="004718A9"/>
    <w:rsid w:val="00476EC1"/>
    <w:rsid w:val="00480582"/>
    <w:rsid w:val="0048694C"/>
    <w:rsid w:val="004911B1"/>
    <w:rsid w:val="00495E43"/>
    <w:rsid w:val="004A362F"/>
    <w:rsid w:val="004A742B"/>
    <w:rsid w:val="004B29ED"/>
    <w:rsid w:val="004B50FC"/>
    <w:rsid w:val="004C064B"/>
    <w:rsid w:val="004C1CDF"/>
    <w:rsid w:val="004D26D3"/>
    <w:rsid w:val="004D3A59"/>
    <w:rsid w:val="004D6E1D"/>
    <w:rsid w:val="004E4858"/>
    <w:rsid w:val="004F2C44"/>
    <w:rsid w:val="004F3689"/>
    <w:rsid w:val="004F4F9F"/>
    <w:rsid w:val="004F5C1B"/>
    <w:rsid w:val="0050092D"/>
    <w:rsid w:val="005054B5"/>
    <w:rsid w:val="00505533"/>
    <w:rsid w:val="00506344"/>
    <w:rsid w:val="005148D7"/>
    <w:rsid w:val="00521069"/>
    <w:rsid w:val="00523C64"/>
    <w:rsid w:val="005248EA"/>
    <w:rsid w:val="0052572D"/>
    <w:rsid w:val="005431C8"/>
    <w:rsid w:val="005463F4"/>
    <w:rsid w:val="00552BA8"/>
    <w:rsid w:val="0055409A"/>
    <w:rsid w:val="00556A18"/>
    <w:rsid w:val="00561B28"/>
    <w:rsid w:val="00563EEF"/>
    <w:rsid w:val="00572E90"/>
    <w:rsid w:val="00575EDA"/>
    <w:rsid w:val="00591B91"/>
    <w:rsid w:val="005952DC"/>
    <w:rsid w:val="005A00B7"/>
    <w:rsid w:val="005A0603"/>
    <w:rsid w:val="005A1F0D"/>
    <w:rsid w:val="005A51EE"/>
    <w:rsid w:val="005B0445"/>
    <w:rsid w:val="005B0A4A"/>
    <w:rsid w:val="005B5412"/>
    <w:rsid w:val="005B679B"/>
    <w:rsid w:val="005B77D3"/>
    <w:rsid w:val="005C2DD7"/>
    <w:rsid w:val="005C31A5"/>
    <w:rsid w:val="005C470B"/>
    <w:rsid w:val="005C66D3"/>
    <w:rsid w:val="005D116A"/>
    <w:rsid w:val="005D245F"/>
    <w:rsid w:val="005D3061"/>
    <w:rsid w:val="005D6260"/>
    <w:rsid w:val="005D6D58"/>
    <w:rsid w:val="005E6A58"/>
    <w:rsid w:val="005F310F"/>
    <w:rsid w:val="00602B8A"/>
    <w:rsid w:val="0060314C"/>
    <w:rsid w:val="00605CA4"/>
    <w:rsid w:val="00612D63"/>
    <w:rsid w:val="00614B12"/>
    <w:rsid w:val="006150EC"/>
    <w:rsid w:val="006164DB"/>
    <w:rsid w:val="0061679D"/>
    <w:rsid w:val="006253D8"/>
    <w:rsid w:val="00626153"/>
    <w:rsid w:val="006374A1"/>
    <w:rsid w:val="00651B6C"/>
    <w:rsid w:val="006540CB"/>
    <w:rsid w:val="00657E47"/>
    <w:rsid w:val="00660B2A"/>
    <w:rsid w:val="00663D84"/>
    <w:rsid w:val="00671EAA"/>
    <w:rsid w:val="00682553"/>
    <w:rsid w:val="0068515C"/>
    <w:rsid w:val="0068667C"/>
    <w:rsid w:val="006A26A0"/>
    <w:rsid w:val="006A4EB3"/>
    <w:rsid w:val="006A4FDA"/>
    <w:rsid w:val="006B1C07"/>
    <w:rsid w:val="006B2527"/>
    <w:rsid w:val="006B3DA5"/>
    <w:rsid w:val="006B5B25"/>
    <w:rsid w:val="006B7827"/>
    <w:rsid w:val="006C37EF"/>
    <w:rsid w:val="006D0172"/>
    <w:rsid w:val="006E1A3A"/>
    <w:rsid w:val="006E2230"/>
    <w:rsid w:val="006E2B9C"/>
    <w:rsid w:val="006E7E4C"/>
    <w:rsid w:val="006F02E3"/>
    <w:rsid w:val="006F1C64"/>
    <w:rsid w:val="006F3C19"/>
    <w:rsid w:val="00700438"/>
    <w:rsid w:val="007013C6"/>
    <w:rsid w:val="00710F80"/>
    <w:rsid w:val="00715660"/>
    <w:rsid w:val="007328B9"/>
    <w:rsid w:val="007336B0"/>
    <w:rsid w:val="0073563C"/>
    <w:rsid w:val="00735ADA"/>
    <w:rsid w:val="00735D71"/>
    <w:rsid w:val="00736386"/>
    <w:rsid w:val="0074138A"/>
    <w:rsid w:val="00750940"/>
    <w:rsid w:val="00751AB4"/>
    <w:rsid w:val="00755C79"/>
    <w:rsid w:val="0076269B"/>
    <w:rsid w:val="00762A73"/>
    <w:rsid w:val="00765E00"/>
    <w:rsid w:val="00766131"/>
    <w:rsid w:val="0077005A"/>
    <w:rsid w:val="00772DB4"/>
    <w:rsid w:val="00777750"/>
    <w:rsid w:val="00780AAD"/>
    <w:rsid w:val="0078371A"/>
    <w:rsid w:val="00783A4C"/>
    <w:rsid w:val="0079250C"/>
    <w:rsid w:val="00794375"/>
    <w:rsid w:val="007A05BD"/>
    <w:rsid w:val="007A725D"/>
    <w:rsid w:val="007B4A0F"/>
    <w:rsid w:val="007C05CB"/>
    <w:rsid w:val="007C3153"/>
    <w:rsid w:val="007C7656"/>
    <w:rsid w:val="007D066F"/>
    <w:rsid w:val="007D1AE5"/>
    <w:rsid w:val="007D5A91"/>
    <w:rsid w:val="007E3441"/>
    <w:rsid w:val="007E460F"/>
    <w:rsid w:val="007E68C9"/>
    <w:rsid w:val="007E76F1"/>
    <w:rsid w:val="007F1DA0"/>
    <w:rsid w:val="007F651B"/>
    <w:rsid w:val="00803F6B"/>
    <w:rsid w:val="00805901"/>
    <w:rsid w:val="00805B60"/>
    <w:rsid w:val="00811B53"/>
    <w:rsid w:val="00816BAB"/>
    <w:rsid w:val="00817514"/>
    <w:rsid w:val="00825E03"/>
    <w:rsid w:val="00827ECC"/>
    <w:rsid w:val="0083106D"/>
    <w:rsid w:val="0083313F"/>
    <w:rsid w:val="00834D98"/>
    <w:rsid w:val="00835730"/>
    <w:rsid w:val="00835F23"/>
    <w:rsid w:val="0084210A"/>
    <w:rsid w:val="00845657"/>
    <w:rsid w:val="0084624C"/>
    <w:rsid w:val="00851C1D"/>
    <w:rsid w:val="0086493B"/>
    <w:rsid w:val="00864E02"/>
    <w:rsid w:val="00874702"/>
    <w:rsid w:val="00874BF5"/>
    <w:rsid w:val="008775B4"/>
    <w:rsid w:val="008808A6"/>
    <w:rsid w:val="00884461"/>
    <w:rsid w:val="008854DE"/>
    <w:rsid w:val="00885B69"/>
    <w:rsid w:val="008A159E"/>
    <w:rsid w:val="008A2FCF"/>
    <w:rsid w:val="008A38E5"/>
    <w:rsid w:val="008A3F94"/>
    <w:rsid w:val="008A4B32"/>
    <w:rsid w:val="008A6037"/>
    <w:rsid w:val="008B2777"/>
    <w:rsid w:val="008B3519"/>
    <w:rsid w:val="008B4667"/>
    <w:rsid w:val="008B7085"/>
    <w:rsid w:val="008C0CBC"/>
    <w:rsid w:val="008C1602"/>
    <w:rsid w:val="008C1FFC"/>
    <w:rsid w:val="008D1AD8"/>
    <w:rsid w:val="008D2E7D"/>
    <w:rsid w:val="008D5FED"/>
    <w:rsid w:val="008E0B11"/>
    <w:rsid w:val="008E2734"/>
    <w:rsid w:val="008F35F1"/>
    <w:rsid w:val="008F3FB1"/>
    <w:rsid w:val="009008F4"/>
    <w:rsid w:val="00901A1A"/>
    <w:rsid w:val="009020BF"/>
    <w:rsid w:val="00905BB4"/>
    <w:rsid w:val="00907813"/>
    <w:rsid w:val="00911B9D"/>
    <w:rsid w:val="009142F4"/>
    <w:rsid w:val="00921C07"/>
    <w:rsid w:val="00930A10"/>
    <w:rsid w:val="0093199F"/>
    <w:rsid w:val="00932958"/>
    <w:rsid w:val="00947CC7"/>
    <w:rsid w:val="00951519"/>
    <w:rsid w:val="009535AF"/>
    <w:rsid w:val="0096301A"/>
    <w:rsid w:val="00964D6C"/>
    <w:rsid w:val="00965133"/>
    <w:rsid w:val="00965E0F"/>
    <w:rsid w:val="00971AD3"/>
    <w:rsid w:val="00980F62"/>
    <w:rsid w:val="00981123"/>
    <w:rsid w:val="00982629"/>
    <w:rsid w:val="0098468C"/>
    <w:rsid w:val="00984D1B"/>
    <w:rsid w:val="0098667C"/>
    <w:rsid w:val="009907B9"/>
    <w:rsid w:val="00992351"/>
    <w:rsid w:val="009A08B6"/>
    <w:rsid w:val="009A2377"/>
    <w:rsid w:val="009A4D11"/>
    <w:rsid w:val="009B3ED3"/>
    <w:rsid w:val="009B4ADC"/>
    <w:rsid w:val="009B7463"/>
    <w:rsid w:val="009C1730"/>
    <w:rsid w:val="009D6232"/>
    <w:rsid w:val="009E15D4"/>
    <w:rsid w:val="009F25BD"/>
    <w:rsid w:val="009F3C7E"/>
    <w:rsid w:val="009F5646"/>
    <w:rsid w:val="009F7873"/>
    <w:rsid w:val="009F7979"/>
    <w:rsid w:val="009F7AE7"/>
    <w:rsid w:val="00A03FA7"/>
    <w:rsid w:val="00A06395"/>
    <w:rsid w:val="00A06AEF"/>
    <w:rsid w:val="00A10700"/>
    <w:rsid w:val="00A14D49"/>
    <w:rsid w:val="00A15184"/>
    <w:rsid w:val="00A1637D"/>
    <w:rsid w:val="00A2566B"/>
    <w:rsid w:val="00A32086"/>
    <w:rsid w:val="00A34E84"/>
    <w:rsid w:val="00A352B0"/>
    <w:rsid w:val="00A37886"/>
    <w:rsid w:val="00A472C6"/>
    <w:rsid w:val="00A51E78"/>
    <w:rsid w:val="00A570A1"/>
    <w:rsid w:val="00A60974"/>
    <w:rsid w:val="00A61DCD"/>
    <w:rsid w:val="00A65535"/>
    <w:rsid w:val="00A724CF"/>
    <w:rsid w:val="00A7532F"/>
    <w:rsid w:val="00A761CF"/>
    <w:rsid w:val="00A81682"/>
    <w:rsid w:val="00A84D92"/>
    <w:rsid w:val="00A84E65"/>
    <w:rsid w:val="00A95B6C"/>
    <w:rsid w:val="00AA7480"/>
    <w:rsid w:val="00AB1481"/>
    <w:rsid w:val="00AB25D9"/>
    <w:rsid w:val="00AB2ABB"/>
    <w:rsid w:val="00AB5C67"/>
    <w:rsid w:val="00AB7C98"/>
    <w:rsid w:val="00AC47D9"/>
    <w:rsid w:val="00AD0DA1"/>
    <w:rsid w:val="00AE0209"/>
    <w:rsid w:val="00AE2095"/>
    <w:rsid w:val="00AE5322"/>
    <w:rsid w:val="00AE5FEF"/>
    <w:rsid w:val="00AE73E2"/>
    <w:rsid w:val="00AF1CF9"/>
    <w:rsid w:val="00AF2AE3"/>
    <w:rsid w:val="00AF7C58"/>
    <w:rsid w:val="00B001D8"/>
    <w:rsid w:val="00B05787"/>
    <w:rsid w:val="00B142F2"/>
    <w:rsid w:val="00B15323"/>
    <w:rsid w:val="00B252F3"/>
    <w:rsid w:val="00B259AC"/>
    <w:rsid w:val="00B268D9"/>
    <w:rsid w:val="00B26EC9"/>
    <w:rsid w:val="00B31B8F"/>
    <w:rsid w:val="00B333B0"/>
    <w:rsid w:val="00B413FA"/>
    <w:rsid w:val="00B43561"/>
    <w:rsid w:val="00B440DB"/>
    <w:rsid w:val="00B4415D"/>
    <w:rsid w:val="00B45103"/>
    <w:rsid w:val="00B45D24"/>
    <w:rsid w:val="00B52992"/>
    <w:rsid w:val="00B538C6"/>
    <w:rsid w:val="00B5547B"/>
    <w:rsid w:val="00B62018"/>
    <w:rsid w:val="00B63114"/>
    <w:rsid w:val="00B64A22"/>
    <w:rsid w:val="00B67D14"/>
    <w:rsid w:val="00B700C3"/>
    <w:rsid w:val="00B73C36"/>
    <w:rsid w:val="00B77A04"/>
    <w:rsid w:val="00B8042D"/>
    <w:rsid w:val="00B810FF"/>
    <w:rsid w:val="00B8418B"/>
    <w:rsid w:val="00B84519"/>
    <w:rsid w:val="00B87463"/>
    <w:rsid w:val="00B911AD"/>
    <w:rsid w:val="00B91E5C"/>
    <w:rsid w:val="00BA00E2"/>
    <w:rsid w:val="00BA4255"/>
    <w:rsid w:val="00BA4F5A"/>
    <w:rsid w:val="00BA7BBA"/>
    <w:rsid w:val="00BB3DE5"/>
    <w:rsid w:val="00BB4394"/>
    <w:rsid w:val="00BB5ABD"/>
    <w:rsid w:val="00BC1BA9"/>
    <w:rsid w:val="00BC36D8"/>
    <w:rsid w:val="00BC41E1"/>
    <w:rsid w:val="00BD2FC7"/>
    <w:rsid w:val="00BD6EC1"/>
    <w:rsid w:val="00BE25AF"/>
    <w:rsid w:val="00BE3F11"/>
    <w:rsid w:val="00BE4A22"/>
    <w:rsid w:val="00BF3FBF"/>
    <w:rsid w:val="00C01D14"/>
    <w:rsid w:val="00C04DD5"/>
    <w:rsid w:val="00C073D6"/>
    <w:rsid w:val="00C07645"/>
    <w:rsid w:val="00C12785"/>
    <w:rsid w:val="00C14D2D"/>
    <w:rsid w:val="00C15327"/>
    <w:rsid w:val="00C205DD"/>
    <w:rsid w:val="00C242B2"/>
    <w:rsid w:val="00C25F74"/>
    <w:rsid w:val="00C31FE6"/>
    <w:rsid w:val="00C35546"/>
    <w:rsid w:val="00C4092D"/>
    <w:rsid w:val="00C4278B"/>
    <w:rsid w:val="00C43BD2"/>
    <w:rsid w:val="00C44F90"/>
    <w:rsid w:val="00C47E9C"/>
    <w:rsid w:val="00C52FD7"/>
    <w:rsid w:val="00C56AD4"/>
    <w:rsid w:val="00C57277"/>
    <w:rsid w:val="00C616E4"/>
    <w:rsid w:val="00C648E2"/>
    <w:rsid w:val="00C6603B"/>
    <w:rsid w:val="00C71E3F"/>
    <w:rsid w:val="00C75A4D"/>
    <w:rsid w:val="00C75CE4"/>
    <w:rsid w:val="00C820E5"/>
    <w:rsid w:val="00C8367C"/>
    <w:rsid w:val="00C83EC8"/>
    <w:rsid w:val="00C84EC9"/>
    <w:rsid w:val="00C90645"/>
    <w:rsid w:val="00C92A41"/>
    <w:rsid w:val="00C95E0F"/>
    <w:rsid w:val="00CA3BAD"/>
    <w:rsid w:val="00CB1858"/>
    <w:rsid w:val="00CC0087"/>
    <w:rsid w:val="00CD0085"/>
    <w:rsid w:val="00CE1BDC"/>
    <w:rsid w:val="00CF3E52"/>
    <w:rsid w:val="00CF747A"/>
    <w:rsid w:val="00D00043"/>
    <w:rsid w:val="00D003BE"/>
    <w:rsid w:val="00D03468"/>
    <w:rsid w:val="00D03E18"/>
    <w:rsid w:val="00D06094"/>
    <w:rsid w:val="00D110CC"/>
    <w:rsid w:val="00D1310A"/>
    <w:rsid w:val="00D165B0"/>
    <w:rsid w:val="00D249EC"/>
    <w:rsid w:val="00D30CFE"/>
    <w:rsid w:val="00D314BC"/>
    <w:rsid w:val="00D319FC"/>
    <w:rsid w:val="00D37964"/>
    <w:rsid w:val="00D40468"/>
    <w:rsid w:val="00D41BD8"/>
    <w:rsid w:val="00D45FD5"/>
    <w:rsid w:val="00D474B9"/>
    <w:rsid w:val="00D501E4"/>
    <w:rsid w:val="00D51F3A"/>
    <w:rsid w:val="00D6213F"/>
    <w:rsid w:val="00D62340"/>
    <w:rsid w:val="00D63F18"/>
    <w:rsid w:val="00D6527D"/>
    <w:rsid w:val="00D6795D"/>
    <w:rsid w:val="00D729EC"/>
    <w:rsid w:val="00D74B92"/>
    <w:rsid w:val="00D83A9A"/>
    <w:rsid w:val="00D841C1"/>
    <w:rsid w:val="00D91F86"/>
    <w:rsid w:val="00D93010"/>
    <w:rsid w:val="00D946E9"/>
    <w:rsid w:val="00D9604F"/>
    <w:rsid w:val="00D9737C"/>
    <w:rsid w:val="00DA76AC"/>
    <w:rsid w:val="00DB3D0C"/>
    <w:rsid w:val="00DB4D49"/>
    <w:rsid w:val="00DB767D"/>
    <w:rsid w:val="00DC07E5"/>
    <w:rsid w:val="00DC381C"/>
    <w:rsid w:val="00DC395D"/>
    <w:rsid w:val="00DC634D"/>
    <w:rsid w:val="00DD0663"/>
    <w:rsid w:val="00DD0FFA"/>
    <w:rsid w:val="00DD202C"/>
    <w:rsid w:val="00DD3863"/>
    <w:rsid w:val="00DE5376"/>
    <w:rsid w:val="00DE60D1"/>
    <w:rsid w:val="00DF050A"/>
    <w:rsid w:val="00DF59BD"/>
    <w:rsid w:val="00DF6FC3"/>
    <w:rsid w:val="00DF751A"/>
    <w:rsid w:val="00DF7A31"/>
    <w:rsid w:val="00E05A1C"/>
    <w:rsid w:val="00E07333"/>
    <w:rsid w:val="00E129EE"/>
    <w:rsid w:val="00E12BAD"/>
    <w:rsid w:val="00E13411"/>
    <w:rsid w:val="00E14AC6"/>
    <w:rsid w:val="00E30F62"/>
    <w:rsid w:val="00E36ECE"/>
    <w:rsid w:val="00E46B69"/>
    <w:rsid w:val="00E573AC"/>
    <w:rsid w:val="00E57B94"/>
    <w:rsid w:val="00E62839"/>
    <w:rsid w:val="00E62E85"/>
    <w:rsid w:val="00E64EE1"/>
    <w:rsid w:val="00E65C1E"/>
    <w:rsid w:val="00E75F13"/>
    <w:rsid w:val="00E76022"/>
    <w:rsid w:val="00E83456"/>
    <w:rsid w:val="00E84F09"/>
    <w:rsid w:val="00EA25E4"/>
    <w:rsid w:val="00EA3E87"/>
    <w:rsid w:val="00EA7A22"/>
    <w:rsid w:val="00EA7DE2"/>
    <w:rsid w:val="00EB004F"/>
    <w:rsid w:val="00EB684C"/>
    <w:rsid w:val="00EB6AC3"/>
    <w:rsid w:val="00EC6D59"/>
    <w:rsid w:val="00EC703C"/>
    <w:rsid w:val="00ED0777"/>
    <w:rsid w:val="00ED2DE0"/>
    <w:rsid w:val="00ED6645"/>
    <w:rsid w:val="00ED6F4E"/>
    <w:rsid w:val="00EE37EE"/>
    <w:rsid w:val="00EE6EB1"/>
    <w:rsid w:val="00EF43D5"/>
    <w:rsid w:val="00EF4E23"/>
    <w:rsid w:val="00EF691D"/>
    <w:rsid w:val="00F0000C"/>
    <w:rsid w:val="00F002E5"/>
    <w:rsid w:val="00F03838"/>
    <w:rsid w:val="00F03945"/>
    <w:rsid w:val="00F04C86"/>
    <w:rsid w:val="00F0598E"/>
    <w:rsid w:val="00F11D4E"/>
    <w:rsid w:val="00F12CC8"/>
    <w:rsid w:val="00F20765"/>
    <w:rsid w:val="00F20D44"/>
    <w:rsid w:val="00F238CE"/>
    <w:rsid w:val="00F24EE1"/>
    <w:rsid w:val="00F329EC"/>
    <w:rsid w:val="00F36445"/>
    <w:rsid w:val="00F37D41"/>
    <w:rsid w:val="00F412D7"/>
    <w:rsid w:val="00F43996"/>
    <w:rsid w:val="00F45AD5"/>
    <w:rsid w:val="00F45F72"/>
    <w:rsid w:val="00F47184"/>
    <w:rsid w:val="00F51398"/>
    <w:rsid w:val="00F521B6"/>
    <w:rsid w:val="00F53C1F"/>
    <w:rsid w:val="00F53D7D"/>
    <w:rsid w:val="00F54201"/>
    <w:rsid w:val="00F5464F"/>
    <w:rsid w:val="00F6446E"/>
    <w:rsid w:val="00F64A92"/>
    <w:rsid w:val="00F657F3"/>
    <w:rsid w:val="00F80BF6"/>
    <w:rsid w:val="00F80E78"/>
    <w:rsid w:val="00F81802"/>
    <w:rsid w:val="00F82819"/>
    <w:rsid w:val="00F8452D"/>
    <w:rsid w:val="00F9258F"/>
    <w:rsid w:val="00F95BCB"/>
    <w:rsid w:val="00F96634"/>
    <w:rsid w:val="00F96A5C"/>
    <w:rsid w:val="00FA1FBC"/>
    <w:rsid w:val="00FA2C97"/>
    <w:rsid w:val="00FA2FC5"/>
    <w:rsid w:val="00FA34E8"/>
    <w:rsid w:val="00FB35BE"/>
    <w:rsid w:val="00FC43B8"/>
    <w:rsid w:val="00FC4E58"/>
    <w:rsid w:val="00FC51C4"/>
    <w:rsid w:val="00FC7004"/>
    <w:rsid w:val="00FD06A0"/>
    <w:rsid w:val="00FD13FB"/>
    <w:rsid w:val="00FD228E"/>
    <w:rsid w:val="00FD4E9B"/>
    <w:rsid w:val="00FD53E5"/>
    <w:rsid w:val="00FD7D5F"/>
    <w:rsid w:val="00FE1A2F"/>
    <w:rsid w:val="00FE5F50"/>
    <w:rsid w:val="00FF1B25"/>
    <w:rsid w:val="00FF7A85"/>
    <w:rsid w:val="07202E0A"/>
    <w:rsid w:val="1B79066C"/>
    <w:rsid w:val="1FD91E9A"/>
    <w:rsid w:val="27E66856"/>
    <w:rsid w:val="2CC60C3E"/>
    <w:rsid w:val="60FD0EE3"/>
    <w:rsid w:val="75475DE4"/>
    <w:rsid w:val="771E1E97"/>
    <w:rsid w:val="798B25D7"/>
    <w:rsid w:val="7AD00B31"/>
  </w:rsids>
  <m:mathPr>
    <m:mathFont m:val="Cambria Math"/>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qFormat="1" w:unhideWhenUsed="0" w:uiPriority="0" w:name="annotation text"/>
    <w:lsdException w:qFormat="1" w:unhideWhenUsed="0" w:uiPriority="0" w:semiHidden="0" w:name="header"/>
    <w:lsdException w:qFormat="1" w:unhideWhenUsed="0"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qFormat="1" w:unhideWhenUsed="0" w:uiPriority="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semiHidden="0" w:name="Default Paragraph Font"/>
    <w:lsdException w:uiPriority="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qFormat="1" w:unhideWhenUsed="0" w:uiPriority="0" w:semiHidden="0" w:name="Hyperlink"/>
    <w:lsdException w:uiPriority="0" w:name="FollowedHyperlink"/>
    <w:lsdException w:qFormat="1" w:unhideWhenUsed="0" w:uiPriority="0" w:semiHidden="0" w:name="Strong"/>
    <w:lsdException w:qFormat="1" w:unhideWhenUsed="0" w:uiPriority="0" w:semiHidden="0" w:name="Emphasis"/>
    <w:lsdException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semiHidden="0" w:name="Normal Table"/>
    <w:lsdException w:qFormat="1" w:unhideWhenUsed="0"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8">
    <w:name w:val="Default Paragraph Font"/>
    <w:unhideWhenUsed/>
    <w:qFormat/>
    <w:uiPriority w:val="1"/>
  </w:style>
  <w:style w:type="table" w:default="1" w:styleId="7">
    <w:name w:val="Normal Table"/>
    <w:unhideWhenUsed/>
    <w:qFormat/>
    <w:uiPriority w:val="99"/>
    <w:tblPr>
      <w:tblCellMar>
        <w:top w:w="0" w:type="dxa"/>
        <w:left w:w="108" w:type="dxa"/>
        <w:bottom w:w="0" w:type="dxa"/>
        <w:right w:w="108" w:type="dxa"/>
      </w:tblCellMar>
    </w:tblPr>
  </w:style>
  <w:style w:type="paragraph" w:styleId="2">
    <w:name w:val="annotation text"/>
    <w:basedOn w:val="1"/>
    <w:semiHidden/>
    <w:qFormat/>
    <w:uiPriority w:val="0"/>
    <w:pPr>
      <w:jc w:val="left"/>
    </w:pPr>
  </w:style>
  <w:style w:type="paragraph" w:styleId="3">
    <w:name w:val="Balloon Text"/>
    <w:basedOn w:val="1"/>
    <w:semiHidden/>
    <w:qFormat/>
    <w:uiPriority w:val="0"/>
    <w:rPr>
      <w:sz w:val="18"/>
      <w:szCs w:val="18"/>
    </w:rPr>
  </w:style>
  <w:style w:type="paragraph" w:styleId="4">
    <w:name w:val="footer"/>
    <w:basedOn w:val="1"/>
    <w:qFormat/>
    <w:uiPriority w:val="0"/>
    <w:pPr>
      <w:tabs>
        <w:tab w:val="center" w:pos="4153"/>
        <w:tab w:val="right" w:pos="8306"/>
      </w:tabs>
      <w:snapToGrid w:val="0"/>
      <w:jc w:val="left"/>
    </w:pPr>
    <w:rPr>
      <w:sz w:val="18"/>
      <w:szCs w:val="18"/>
    </w:rPr>
  </w:style>
  <w:style w:type="paragraph" w:styleId="5">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6">
    <w:name w:val="annotation subject"/>
    <w:basedOn w:val="2"/>
    <w:next w:val="2"/>
    <w:semiHidden/>
    <w:qFormat/>
    <w:uiPriority w:val="0"/>
    <w:rPr>
      <w:b/>
      <w:bCs/>
    </w:rPr>
  </w:style>
  <w:style w:type="character" w:styleId="9">
    <w:name w:val="Hyperlink"/>
    <w:qFormat/>
    <w:uiPriority w:val="0"/>
    <w:rPr>
      <w:color w:val="0000FF"/>
      <w:u w:val="single"/>
    </w:rPr>
  </w:style>
  <w:style w:type="character" w:styleId="10">
    <w:name w:val="annotation reference"/>
    <w:semiHidden/>
    <w:qFormat/>
    <w:uiPriority w:val="0"/>
    <w:rPr>
      <w:sz w:val="21"/>
      <w:szCs w:val="21"/>
    </w:rPr>
  </w:style>
  <w:style w:type="paragraph" w:customStyle="1" w:styleId="11">
    <w:name w:val="Revision"/>
    <w:hidden/>
    <w:semiHidden/>
    <w:qFormat/>
    <w:uiPriority w:val="99"/>
    <w:rPr>
      <w:rFonts w:ascii="Times New Roman" w:hAnsi="Times New Roman" w:eastAsia="宋体" w:cs="Times New Roman"/>
      <w:kern w:val="2"/>
      <w:sz w:val="21"/>
      <w:szCs w:val="24"/>
      <w:lang w:val="en-US" w:eastAsia="zh-CN" w:bidi="ar-SA"/>
    </w:rPr>
  </w:style>
  <w:style w:type="paragraph" w:customStyle="1" w:styleId="12">
    <w:name w:val="p0 New New New New"/>
    <w:basedOn w:val="1"/>
    <w:qFormat/>
    <w:uiPriority w:val="0"/>
    <w:pPr>
      <w:widowControl/>
      <w:spacing w:after="200" w:line="276" w:lineRule="auto"/>
    </w:pPr>
    <w:rPr>
      <w:rFonts w:ascii="Calibri" w:hAnsi="Calibri" w:cs="宋体"/>
      <w:kern w:val="0"/>
      <w:szCs w:val="21"/>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zhlx</Company>
  <Pages>20</Pages>
  <Words>9561</Words>
  <Characters>10421</Characters>
  <Lines>74</Lines>
  <Paragraphs>21</Paragraphs>
  <TotalTime>2</TotalTime>
  <ScaleCrop>false</ScaleCrop>
  <LinksUpToDate>false</LinksUpToDate>
  <CharactersWithSpaces>10520</CharactersWithSpaces>
  <Application>WPS Office_12.1.0.19302_F1E327BC-269C-435d-A152-05C5408002CA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2012-01-07T11:13:00Z</dcterms:created>
  <dc:creator>lx</dc:creator>
  <dc:description>ZHGenApp().GetProperty("Certification")</dc:description>
  <cp:lastModifiedBy>WPS_1622703400</cp:lastModifiedBy>
  <cp:lastPrinted>2018-01-31T03:32:00Z</cp:lastPrinted>
  <dcterms:modified xsi:type="dcterms:W3CDTF">2025-01-06T08:38:56Z</dcterms:modified>
  <dc:title>年部门预算编制说明</dc:title>
  <cp:revision>149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2052-12.1.0.19302</vt:lpwstr>
  </property>
  <property fmtid="{D5CDD505-2E9C-101B-9397-08002B2CF9AE}" pid="3" name="ICV">
    <vt:lpwstr>B74BD65077B34327B093AD9EE6FC1B53</vt:lpwstr>
  </property>
  <property fmtid="{D5CDD505-2E9C-101B-9397-08002B2CF9AE}" pid="4" name="KSOTemplateDocerSaveRecord">
    <vt:lpwstr>eyJoZGlkIjoiNGU0YjFjMzUxYzllZjYzYjkyODUwMTY4ZTI0N2I1NTMiLCJ1c2VySWQiOiIxMjE2NTYyMjY2In0=</vt:lpwstr>
  </property>
</Properties>
</file>