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47BFF">
      <w:pPr>
        <w:keepNext w:val="0"/>
        <w:keepLines w:val="0"/>
        <w:widowControl w:val="0"/>
        <w:suppressLineNumbers w:val="0"/>
        <w:snapToGrid w:val="0"/>
        <w:spacing w:before="0" w:beforeAutospacing="0" w:after="0" w:afterAutospacing="0"/>
        <w:ind w:left="0" w:right="0"/>
        <w:jc w:val="center"/>
        <w:rPr>
          <w:rFonts w:hint="eastAsia" w:ascii="方正小标宋简体" w:hAnsi="宋体" w:eastAsia="方正小标宋简体" w:cs="方正小标宋简体"/>
          <w:kern w:val="2"/>
          <w:sz w:val="44"/>
          <w:szCs w:val="44"/>
        </w:rPr>
      </w:pPr>
      <w:r>
        <w:rPr>
          <w:rFonts w:hint="eastAsia" w:ascii="方正小标宋简体" w:hAnsi="方正小标宋简体" w:eastAsia="方正小标宋简体" w:cs="方正小标宋简体"/>
          <w:kern w:val="2"/>
          <w:sz w:val="44"/>
          <w:szCs w:val="44"/>
          <w:lang w:val="en-US" w:eastAsia="zh-CN" w:bidi="ar"/>
        </w:rPr>
        <w:t>芒市信访局</w:t>
      </w:r>
      <w:r>
        <w:rPr>
          <w:rFonts w:hint="eastAsia" w:ascii="方正小标宋简体" w:hAnsi="宋体" w:eastAsia="方正小标宋简体" w:cs="方正小标宋简体"/>
          <w:kern w:val="2"/>
          <w:sz w:val="44"/>
          <w:szCs w:val="44"/>
          <w:lang w:val="en-US" w:eastAsia="zh-CN" w:bidi="ar"/>
        </w:rPr>
        <w:t>2016年度部门决算说明</w:t>
      </w:r>
    </w:p>
    <w:p w14:paraId="6AAEE4DE">
      <w:pPr>
        <w:keepNext w:val="0"/>
        <w:keepLines w:val="0"/>
        <w:widowControl w:val="0"/>
        <w:suppressLineNumbers w:val="0"/>
        <w:snapToGrid w:val="0"/>
        <w:spacing w:before="0" w:beforeAutospacing="0" w:after="0" w:afterAutospacing="0" w:line="600" w:lineRule="exact"/>
        <w:ind w:left="0" w:right="0"/>
        <w:jc w:val="center"/>
        <w:rPr>
          <w:rFonts w:hint="default" w:ascii="仿宋_GB2312" w:hAnsi="宋体" w:eastAsia="仿宋_GB2312" w:cs="仿宋_GB2312"/>
          <w:kern w:val="2"/>
          <w:sz w:val="32"/>
          <w:szCs w:val="32"/>
        </w:rPr>
      </w:pPr>
      <w:r>
        <w:rPr>
          <w:rFonts w:hint="default" w:ascii="仿宋_GB2312" w:hAnsi="宋体" w:eastAsia="仿宋_GB2312" w:cs="仿宋_GB2312"/>
          <w:kern w:val="2"/>
          <w:sz w:val="32"/>
          <w:szCs w:val="32"/>
          <w:lang w:val="en-US" w:eastAsia="zh-CN" w:bidi="ar"/>
        </w:rPr>
        <w:t xml:space="preserve"> </w:t>
      </w:r>
    </w:p>
    <w:p w14:paraId="6F58B005">
      <w:pPr>
        <w:keepNext w:val="0"/>
        <w:keepLines w:val="0"/>
        <w:widowControl w:val="0"/>
        <w:suppressLineNumbers w:val="0"/>
        <w:snapToGrid w:val="0"/>
        <w:spacing w:before="0" w:beforeAutospacing="0" w:after="0" w:afterAutospacing="0" w:line="600" w:lineRule="exact"/>
        <w:ind w:left="0" w:right="0"/>
        <w:jc w:val="center"/>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第一部分  概况</w:t>
      </w:r>
    </w:p>
    <w:p w14:paraId="464FD69A">
      <w:pPr>
        <w:keepNext w:val="0"/>
        <w:keepLines w:val="0"/>
        <w:widowControl w:val="0"/>
        <w:suppressLineNumbers w:val="0"/>
        <w:snapToGrid w:val="0"/>
        <w:spacing w:before="0" w:beforeAutospacing="0" w:after="0" w:afterAutospacing="0" w:line="600" w:lineRule="exact"/>
        <w:ind w:left="0" w:right="0" w:firstLine="640" w:firstLineChars="200"/>
        <w:jc w:val="both"/>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一、主要职能</w:t>
      </w:r>
    </w:p>
    <w:p w14:paraId="686F198A">
      <w:pPr>
        <w:keepNext w:val="0"/>
        <w:keepLines w:val="0"/>
        <w:widowControl w:val="0"/>
        <w:suppressLineNumbers w:val="0"/>
        <w:snapToGrid w:val="0"/>
        <w:spacing w:before="0" w:beforeAutospacing="0" w:after="0" w:afterAutospacing="0" w:line="600" w:lineRule="exact"/>
        <w:ind w:left="0" w:right="0" w:firstLine="640" w:firstLineChars="200"/>
        <w:jc w:val="both"/>
        <w:rPr>
          <w:rFonts w:hint="default" w:ascii="楷体_GB2312" w:hAnsi="楷体" w:eastAsia="楷体_GB2312" w:cs="楷体_GB2312"/>
          <w:kern w:val="2"/>
          <w:sz w:val="32"/>
          <w:szCs w:val="32"/>
        </w:rPr>
      </w:pPr>
      <w:r>
        <w:rPr>
          <w:rFonts w:hint="default" w:ascii="楷体_GB2312" w:hAnsi="楷体" w:eastAsia="楷体_GB2312" w:cs="楷体_GB2312"/>
          <w:kern w:val="2"/>
          <w:sz w:val="32"/>
          <w:szCs w:val="32"/>
          <w:lang w:val="en-US" w:eastAsia="zh-CN" w:bidi="ar"/>
        </w:rPr>
        <w:t>（一）主要职能</w:t>
      </w:r>
    </w:p>
    <w:p w14:paraId="2919EAD9">
      <w:pPr>
        <w:keepNext w:val="0"/>
        <w:keepLines w:val="0"/>
        <w:widowControl w:val="0"/>
        <w:suppressLineNumbers w:val="0"/>
        <w:snapToGrid w:val="0"/>
        <w:spacing w:before="0" w:beforeAutospacing="0" w:after="0" w:afterAutospacing="0" w:line="600" w:lineRule="exact"/>
        <w:ind w:left="0" w:right="0" w:firstLine="640" w:firstLineChars="200"/>
        <w:jc w:val="left"/>
        <w:rPr>
          <w:rFonts w:hint="default" w:ascii="仿宋_GB2312" w:hAnsi="楷体" w:eastAsia="仿宋_GB2312" w:cs="仿宋_GB2312"/>
          <w:kern w:val="2"/>
          <w:sz w:val="32"/>
          <w:szCs w:val="32"/>
        </w:rPr>
      </w:pPr>
      <w:r>
        <w:rPr>
          <w:rFonts w:hint="default" w:ascii="仿宋_GB2312" w:hAnsi="Times New Roman" w:eastAsia="仿宋_GB2312" w:cs="仿宋_GB2312"/>
          <w:kern w:val="2"/>
          <w:sz w:val="32"/>
          <w:szCs w:val="32"/>
          <w:lang w:val="en-US" w:eastAsia="zh-CN" w:bidi="ar"/>
        </w:rPr>
        <w:t>认真处理群众来信，热情接待群众来访，及时交办领导批示件，做好信访局信息的综合分析，开展调查研究，为市委、市政府科学决策提供参考；承办市委、市政府交办的信访事项，并负责向有关部门交办。做好领导批示件落实情况的督查和重要信访事项的处理、督办工作；负责集体访、越级访和突出信访事件的组织协调工作。并对市直各单位和各乡镇（街道）、农场信访工作的检查指导工作；研究、起草有关信访工作的政策和规章制度；总结推广各乡镇、各部门信访工作经验，提出改进和加强信访工作的意见和建议；及时了解和掌握信访工作队伍建设情况，组织信访干部的培训；负责信访工作宣传和信息发布；协调信访工作对外交流活动；认真履行市委处理信访突出问题和群体性事件联席会议办公室的工作职责，综合各方面力量，协调突出性及群体性事件；承办市政府及上级机关安排的其他工作。</w:t>
      </w:r>
    </w:p>
    <w:p w14:paraId="1816D232">
      <w:pPr>
        <w:pStyle w:val="2"/>
        <w:widowControl/>
        <w:adjustRightInd w:val="0"/>
        <w:snapToGrid w:val="0"/>
        <w:spacing w:beforeLines="30" w:beforeAutospacing="0" w:after="0" w:afterAutospacing="1" w:line="600" w:lineRule="exact"/>
        <w:ind w:left="0" w:right="0" w:firstLine="672" w:firstLineChars="210"/>
        <w:rPr>
          <w:rFonts w:hint="default" w:ascii="楷体_GB2312" w:hAnsi="楷体" w:eastAsia="楷体_GB2312" w:cs="楷体_GB2312"/>
          <w:kern w:val="2"/>
          <w:sz w:val="32"/>
          <w:szCs w:val="32"/>
        </w:rPr>
      </w:pPr>
      <w:r>
        <w:rPr>
          <w:rFonts w:hint="default" w:ascii="楷体_GB2312" w:eastAsia="楷体_GB2312" w:cs="楷体_GB2312"/>
          <w:kern w:val="2"/>
          <w:sz w:val="32"/>
          <w:szCs w:val="32"/>
        </w:rPr>
        <w:t>（二）2016年度工作任务</w:t>
      </w:r>
    </w:p>
    <w:p w14:paraId="2AF9CEEB">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第一、基本情况</w:t>
      </w:r>
    </w:p>
    <w:p w14:paraId="5032A234">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2016年全市共接待群众来信来访466批（件）1412人次，与去年同期相比批次人次分别下降83.17 %和67.23 %。其中来信120件，与去年同期相比上升9.09%；个体访271批388人次，与去年同期相比批次人次分别下降84%和86.5%；集体访75批904人次，与去年同期相比批次人次分别下降27.18%和31.72%。</w:t>
      </w:r>
    </w:p>
    <w:p w14:paraId="2A6C32E9">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 xml:space="preserve">芒市信访局共接待群众来信来访127批（件）474人次，与去年同期相比批次人次分别下降39.23%和39.92%。其中来信8件人次，去年同期相比上升700%；个体访100批142人次，与去年同期相比批次人次分别下降39.02%和44.09%；集体访19批324人次，与去年同期相比批次人次分别下降56.82%和39.32%。 </w:t>
      </w:r>
    </w:p>
    <w:p w14:paraId="68875839">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全市共收到网上信访信件267件，与去年同期相比下降40.53%，已办结257件，办结率96.25%。其中：全市受理201件（含各单位受理数据），与去年同期相比下降29.97%，已办结194件，办结率96.52%；州转交办信件58件，与去年同期相比下降60.54%，已办结56件，办结率96.55%，省交办信件5件，与去年同期相比下降64.29%，已办结4件，办结率80%；国家投诉受理中心交办信件3件，与去年同期相比上升200%，已办结3件，办结率100%；</w:t>
      </w:r>
    </w:p>
    <w:p w14:paraId="58FAA6F1">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2016年全市共排查出各类矛盾纠纷133件7161人次。其中：邻里纠纷16件，占矛盾纠纷总量的12%；水土纠纷18件，占矛盾纠纷总量的14%；土地纠纷1件，占矛盾纠纷总量的0.75%；土地承包纠纷3件，占矛盾纠纷总量的2.26%；村务管理纠纷2件，占矛盾纠纷总量的1.5%；拖欠农民工工资1件，占矛盾纠纷总量的0.75%；林权争议13件，占矛盾纠纷总量的9.78%；其他类案件79件，占矛盾纠纷总量的59.4%；。现已办结39件，办结率29%。</w:t>
      </w:r>
    </w:p>
    <w:p w14:paraId="58D6494B">
      <w:pPr>
        <w:keepNext w:val="0"/>
        <w:keepLines w:val="0"/>
        <w:widowControl w:val="0"/>
        <w:suppressLineNumbers w:val="0"/>
        <w:snapToGrid w:val="0"/>
        <w:spacing w:before="0" w:beforeAutospacing="0" w:after="0" w:afterAutospacing="0" w:line="640" w:lineRule="exact"/>
        <w:ind w:left="0" w:right="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 xml:space="preserve">    第二、业务开展情况</w:t>
      </w:r>
    </w:p>
    <w:p w14:paraId="63660BD8">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（一）强化责任担当，着力解决信访突出问题</w:t>
      </w:r>
    </w:p>
    <w:p w14:paraId="40D53D4D">
      <w:pPr>
        <w:keepNext w:val="0"/>
        <w:keepLines w:val="0"/>
        <w:widowControl w:val="0"/>
        <w:suppressLineNumbers w:val="0"/>
        <w:snapToGrid w:val="0"/>
        <w:spacing w:before="0" w:beforeAutospacing="0" w:after="0" w:afterAutospacing="0" w:line="640" w:lineRule="exact"/>
        <w:ind w:left="0" w:right="0" w:firstLine="683" w:firstLineChars="200"/>
        <w:jc w:val="both"/>
        <w:rPr>
          <w:rFonts w:hint="default" w:ascii="仿宋_GB2312" w:eastAsia="仿宋_GB2312" w:cs="仿宋_GB2312"/>
          <w:spacing w:val="-10"/>
          <w:kern w:val="2"/>
          <w:sz w:val="32"/>
          <w:szCs w:val="32"/>
        </w:rPr>
      </w:pPr>
      <w:r>
        <w:rPr>
          <w:rFonts w:hint="default" w:ascii="仿宋_GB2312" w:hAnsi="Times New Roman" w:eastAsia="仿宋_GB2312" w:cs="仿宋_GB2312"/>
          <w:b/>
          <w:spacing w:val="10"/>
          <w:kern w:val="2"/>
          <w:sz w:val="32"/>
          <w:szCs w:val="32"/>
          <w:lang w:val="en-US" w:eastAsia="zh-CN" w:bidi="ar"/>
        </w:rPr>
        <w:t>一是多措并举确保积案化解工作落到实处。</w:t>
      </w:r>
      <w:r>
        <w:rPr>
          <w:rFonts w:hint="default" w:ascii="仿宋_GB2312" w:hAnsi="Times New Roman" w:eastAsia="仿宋_GB2312" w:cs="仿宋_GB2312"/>
          <w:spacing w:val="10"/>
          <w:kern w:val="2"/>
          <w:sz w:val="32"/>
          <w:szCs w:val="32"/>
          <w:lang w:val="en-US" w:eastAsia="zh-CN" w:bidi="ar"/>
        </w:rPr>
        <w:t>按照中央和省、州委联席会议办公室积案化解工作的安排部署，</w:t>
      </w:r>
      <w:r>
        <w:rPr>
          <w:rFonts w:hint="default" w:ascii="仿宋_GB2312" w:hAnsi="Times New Roman" w:eastAsia="仿宋_GB2312" w:cs="仿宋_GB2312"/>
          <w:kern w:val="2"/>
          <w:sz w:val="32"/>
          <w:szCs w:val="32"/>
          <w:lang w:val="en-US" w:eastAsia="zh-CN" w:bidi="ar"/>
        </w:rPr>
        <w:t>我市将化解信访积案集中攻坚工作列入重要议事日程，2016年3月16日，市委信访工作联席会议办公室行文下发《芒市2016年化解信访积案集中攻坚实施方案的通知》、《关于开展化解信访积案集中攻坚工作有关要求的通知》要求，明确工作任务、化解时限，逐案落实市级包案领导，切实推动信访积案化解工作开展，努力实现全市信访积案“减存量、控增量”的目标。截至目前，我市共排查上报突出信访积案11件（其中：涉及城乡建设5件，劳动社保2件，农村农业3件，民政1件），已化解11件，化解率100%。</w:t>
      </w:r>
      <w:r>
        <w:rPr>
          <w:rFonts w:hint="default" w:ascii="仿宋_GB2312" w:hAnsi="Times New Roman" w:eastAsia="仿宋_GB2312" w:cs="仿宋_GB2312"/>
          <w:b/>
          <w:spacing w:val="6"/>
          <w:kern w:val="2"/>
          <w:sz w:val="32"/>
          <w:szCs w:val="32"/>
          <w:lang w:val="en-US" w:eastAsia="zh-CN" w:bidi="ar"/>
        </w:rPr>
        <w:t>二是</w:t>
      </w:r>
      <w:r>
        <w:rPr>
          <w:rFonts w:hint="default" w:ascii="仿宋_GB2312" w:hAnsi="Times New Roman" w:eastAsia="仿宋_GB2312" w:cs="仿宋_GB2312"/>
          <w:b/>
          <w:kern w:val="2"/>
          <w:sz w:val="32"/>
          <w:szCs w:val="32"/>
          <w:lang w:val="en-US" w:eastAsia="zh-CN" w:bidi="ar"/>
        </w:rPr>
        <w:t>严格执行领导包案责任制切实加大事要解决力度。</w:t>
      </w:r>
      <w:r>
        <w:rPr>
          <w:rFonts w:hint="default" w:ascii="仿宋_GB2312" w:hAnsi="Times New Roman" w:eastAsia="仿宋_GB2312" w:cs="仿宋_GB2312"/>
          <w:spacing w:val="6"/>
          <w:kern w:val="2"/>
          <w:sz w:val="32"/>
          <w:szCs w:val="32"/>
          <w:lang w:val="en-US" w:eastAsia="zh-CN" w:bidi="ar"/>
        </w:rPr>
        <w:t>根据中共德宏州委办公室、</w:t>
      </w:r>
      <w:r>
        <w:rPr>
          <w:rFonts w:hint="default" w:ascii="仿宋_GB2312" w:hAnsi="Times New Roman" w:eastAsia="仿宋_GB2312" w:cs="仿宋_GB2312"/>
          <w:spacing w:val="2"/>
          <w:kern w:val="2"/>
          <w:sz w:val="32"/>
          <w:szCs w:val="32"/>
          <w:lang w:val="en-US" w:eastAsia="zh-CN" w:bidi="ar"/>
        </w:rPr>
        <w:t>德宏州人民政府办公室</w:t>
      </w:r>
      <w:r>
        <w:rPr>
          <w:rFonts w:hint="default" w:ascii="仿宋_GB2312" w:hAnsi="Times New Roman" w:eastAsia="仿宋_GB2312" w:cs="仿宋_GB2312"/>
          <w:spacing w:val="10"/>
          <w:kern w:val="2"/>
          <w:sz w:val="32"/>
          <w:szCs w:val="32"/>
          <w:lang w:val="en-US" w:eastAsia="zh-CN" w:bidi="ar"/>
        </w:rPr>
        <w:t>《关于印发〈2016年德宏州州级党政领导包案化解重要信访案件工作方案的通知〉》要求，</w:t>
      </w:r>
      <w:r>
        <w:rPr>
          <w:rFonts w:hint="default" w:ascii="仿宋_GB2312" w:hAnsi="Times New Roman" w:eastAsia="仿宋_GB2312" w:cs="仿宋_GB2312"/>
          <w:kern w:val="2"/>
          <w:sz w:val="32"/>
          <w:szCs w:val="32"/>
          <w:lang w:val="en-US" w:eastAsia="zh-CN" w:bidi="ar"/>
        </w:rPr>
        <w:t>市委信访工作联席会议办公室对全市范围内的矛盾纠纷再次进行认真细致地排查梳理，并对当前我市范围内亟需解决的6件重大涉稳事（案）件，明确包案领导、责任单位及责任人。包案后我市对6件包案案件均建立了一案一档，跟踪督办。2008年至今，全市共排查出矛盾纠纷并包案案件155件，截至2016年，已成功调处93件，剩余62件包案案件交由30位处级领导包案处理。各包案领导、责任单位、责任人深入一线，扎实细</w:t>
      </w:r>
      <w:r>
        <w:rPr>
          <w:rFonts w:hint="default" w:ascii="仿宋_GB2312" w:hAnsi="Times New Roman" w:eastAsia="仿宋_GB2312" w:cs="仿宋_GB2312"/>
          <w:spacing w:val="-10"/>
          <w:kern w:val="2"/>
          <w:sz w:val="32"/>
          <w:szCs w:val="32"/>
          <w:lang w:val="en-US" w:eastAsia="zh-CN" w:bidi="ar"/>
        </w:rPr>
        <w:t>致地开展矛盾化解工作，目前全市包案案件正在稳控和积极调处中。</w:t>
      </w:r>
    </w:p>
    <w:p w14:paraId="009A206C">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（二）狠抓信息化建设，努力提升信访工作的质量和效率</w:t>
      </w:r>
    </w:p>
    <w:p w14:paraId="54F9179A">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kern w:val="2"/>
          <w:sz w:val="32"/>
          <w:szCs w:val="32"/>
          <w:lang w:val="en-US" w:eastAsia="zh-CN" w:bidi="ar"/>
        </w:rPr>
        <w:t>为认真贯彻落实中央、省、州信访工作决策部署，我市坚持以“抓业务、促规范、提三率”为目标，着力打造“阳光信访、责任信访、法治信访”，深入推进信访工作制度改革。</w:t>
      </w:r>
      <w:r>
        <w:rPr>
          <w:rFonts w:hint="default" w:ascii="仿宋_GB2312" w:hAnsi="Times New Roman" w:eastAsia="仿宋_GB2312" w:cs="仿宋_GB2312"/>
          <w:b/>
          <w:kern w:val="2"/>
          <w:sz w:val="32"/>
          <w:szCs w:val="32"/>
          <w:lang w:val="en-US" w:eastAsia="zh-CN" w:bidi="ar"/>
        </w:rPr>
        <w:t>一是积极推进信息系统全覆盖。</w:t>
      </w:r>
      <w:r>
        <w:rPr>
          <w:rFonts w:hint="default" w:ascii="仿宋_GB2312" w:hAnsi="Times New Roman" w:eastAsia="仿宋_GB2312" w:cs="仿宋_GB2312"/>
          <w:kern w:val="2"/>
          <w:sz w:val="32"/>
          <w:szCs w:val="32"/>
          <w:lang w:val="en-US" w:eastAsia="zh-CN" w:bidi="ar"/>
        </w:rPr>
        <w:t>为全力做好云南省信访信息系统的推广应用，我市高度重视明确由市信访局牵头落实专人，全面负责全市信访信息系统建设、业务培训、督查指导等工作。目前，全市已有52家单位开通了信访信息系统，其中：市级单位39家、乡镇13 家；</w:t>
      </w:r>
      <w:r>
        <w:rPr>
          <w:rFonts w:hint="default" w:ascii="仿宋_GB2312" w:hAnsi="Times New Roman" w:eastAsia="仿宋_GB2312" w:cs="仿宋_GB2312"/>
          <w:b/>
          <w:kern w:val="2"/>
          <w:sz w:val="32"/>
          <w:szCs w:val="32"/>
          <w:lang w:val="en-US" w:eastAsia="zh-CN" w:bidi="ar"/>
        </w:rPr>
        <w:t>二是扎实做好信访数据录入。</w:t>
      </w:r>
      <w:r>
        <w:rPr>
          <w:rFonts w:hint="default" w:ascii="仿宋_GB2312" w:hAnsi="Times New Roman" w:eastAsia="仿宋_GB2312" w:cs="仿宋_GB2312"/>
          <w:kern w:val="2"/>
          <w:sz w:val="32"/>
          <w:szCs w:val="32"/>
          <w:lang w:val="en-US" w:eastAsia="zh-CN" w:bidi="ar"/>
        </w:rPr>
        <w:t>自2014年云南省信访信息系统上线运行以来，为认真落实应录尽录和规范录入的要求，我市安排专人每天登</w:t>
      </w:r>
      <w:r>
        <w:rPr>
          <w:rFonts w:hint="eastAsia" w:ascii="仿宋_GB2312" w:hAnsi="Times New Roman" w:eastAsia="仿宋_GB2312" w:cs="仿宋_GB2312"/>
          <w:kern w:val="2"/>
          <w:sz w:val="32"/>
          <w:szCs w:val="32"/>
          <w:lang w:val="en-US" w:eastAsia="zh-CN" w:bidi="ar"/>
        </w:rPr>
        <w:t>录</w:t>
      </w:r>
      <w:r>
        <w:rPr>
          <w:rFonts w:hint="default" w:ascii="仿宋_GB2312" w:hAnsi="Times New Roman" w:eastAsia="仿宋_GB2312" w:cs="仿宋_GB2312"/>
          <w:kern w:val="2"/>
          <w:sz w:val="32"/>
          <w:szCs w:val="32"/>
          <w:lang w:val="en-US" w:eastAsia="zh-CN" w:bidi="ar"/>
        </w:rPr>
        <w:t>系统，对录入的信访件数量及答复件质量进行检查，发现问题及时督促指导办理部门进行整改，确保我市信访信息录入及时、准确、全面、规范；</w:t>
      </w:r>
      <w:r>
        <w:rPr>
          <w:rFonts w:hint="default" w:ascii="仿宋_GB2312" w:hAnsi="Times New Roman" w:eastAsia="仿宋_GB2312" w:cs="仿宋_GB2312"/>
          <w:b/>
          <w:kern w:val="2"/>
          <w:sz w:val="32"/>
          <w:szCs w:val="32"/>
          <w:lang w:val="en-US" w:eastAsia="zh-CN" w:bidi="ar"/>
        </w:rPr>
        <w:t>三是强化督查督办落实工作责任。</w:t>
      </w:r>
      <w:r>
        <w:rPr>
          <w:rFonts w:hint="default" w:ascii="仿宋_GB2312" w:hAnsi="Times New Roman" w:eastAsia="仿宋_GB2312" w:cs="仿宋_GB2312"/>
          <w:kern w:val="2"/>
          <w:sz w:val="32"/>
          <w:szCs w:val="32"/>
          <w:lang w:val="en-US" w:eastAsia="zh-CN" w:bidi="ar"/>
        </w:rPr>
        <w:t>我市以提升“三率”为抓手，加大联合督查力度，不断压实信访工作责任意识，有效规范信访工作行为，切实把办理群众</w:t>
      </w:r>
      <w:r>
        <w:rPr>
          <w:rFonts w:hint="default" w:ascii="仿宋_GB2312" w:hAnsi="Times New Roman" w:eastAsia="仿宋_GB2312" w:cs="仿宋_GB2312"/>
          <w:spacing w:val="-4"/>
          <w:kern w:val="2"/>
          <w:sz w:val="32"/>
          <w:szCs w:val="32"/>
          <w:lang w:val="en-US" w:eastAsia="zh-CN" w:bidi="ar"/>
        </w:rPr>
        <w:t>利益诉求的工作置于群众的监督之下。</w:t>
      </w:r>
    </w:p>
    <w:p w14:paraId="280B64D8">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（三）畅通信访渠道，及时就地解决信访问题</w:t>
      </w:r>
    </w:p>
    <w:p w14:paraId="77CE760B">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spacing w:val="-14"/>
          <w:kern w:val="2"/>
          <w:sz w:val="32"/>
          <w:szCs w:val="32"/>
        </w:rPr>
      </w:pPr>
      <w:r>
        <w:rPr>
          <w:rFonts w:hint="default" w:ascii="仿宋_GB2312" w:hAnsi="Times New Roman" w:eastAsia="仿宋_GB2312" w:cs="仿宋_GB2312"/>
          <w:kern w:val="2"/>
          <w:sz w:val="32"/>
          <w:szCs w:val="32"/>
          <w:lang w:val="en-US" w:eastAsia="zh-CN" w:bidi="ar"/>
        </w:rPr>
        <w:t>我市依托现有的电子政务视频会议系统进行扩展和完善，完成了全市14个视频接访点的建设并正式投入运行，三级联动视频接访中心的建成，切实对促进我市信访工作的开展起到了重要推动作用。</w:t>
      </w:r>
      <w:r>
        <w:rPr>
          <w:rFonts w:hint="default" w:ascii="仿宋_GB2312" w:hAnsi="Times New Roman" w:eastAsia="仿宋_GB2312" w:cs="仿宋_GB2312"/>
          <w:b/>
          <w:kern w:val="2"/>
          <w:sz w:val="32"/>
          <w:szCs w:val="32"/>
          <w:lang w:val="en-US" w:eastAsia="zh-CN" w:bidi="ar"/>
        </w:rPr>
        <w:t>一是</w:t>
      </w:r>
      <w:r>
        <w:rPr>
          <w:rFonts w:hint="default" w:ascii="仿宋_GB2312" w:hAnsi="Times New Roman" w:eastAsia="仿宋_GB2312" w:cs="仿宋_GB2312"/>
          <w:kern w:val="2"/>
          <w:sz w:val="32"/>
          <w:szCs w:val="32"/>
          <w:lang w:val="en-US" w:eastAsia="zh-CN" w:bidi="ar"/>
        </w:rPr>
        <w:t>通过视频联合接访，有效解决了群众往返信访难、责任部门效率低、信访事项办结难等问题，使大量信访问题化解在基层，信访群众吸附在当地。我市自与州同步开通三级联动视频接访以来，共接访群众5批12人次。</w:t>
      </w:r>
      <w:r>
        <w:rPr>
          <w:rFonts w:hint="default" w:ascii="仿宋_GB2312" w:hAnsi="Times New Roman" w:eastAsia="仿宋_GB2312" w:cs="仿宋_GB2312"/>
          <w:b/>
          <w:kern w:val="2"/>
          <w:sz w:val="32"/>
          <w:szCs w:val="32"/>
          <w:lang w:val="en-US" w:eastAsia="zh-CN" w:bidi="ar"/>
        </w:rPr>
        <w:t>二是</w:t>
      </w:r>
      <w:r>
        <w:rPr>
          <w:rFonts w:hint="default" w:ascii="仿宋_GB2312" w:hAnsi="Times New Roman" w:eastAsia="仿宋_GB2312" w:cs="仿宋_GB2312"/>
          <w:kern w:val="2"/>
          <w:sz w:val="32"/>
          <w:szCs w:val="32"/>
          <w:lang w:val="en-US" w:eastAsia="zh-CN" w:bidi="ar"/>
        </w:rPr>
        <w:t>在国家和省、州、市 “两会” 及各种重大活动期间，严格落实州、市、乡三级视频值班制度，要求全市13个乡镇街道保持视频接访设备畅通，为预防和处置群体性事件提供强有力的保障。由于领导重视，工作措施得力，我市在特殊敏感时期，无重点人员</w:t>
      </w:r>
      <w:r>
        <w:rPr>
          <w:rFonts w:hint="default" w:ascii="仿宋_GB2312" w:hAnsi="Times New Roman" w:eastAsia="仿宋_GB2312" w:cs="仿宋_GB2312"/>
          <w:spacing w:val="-8"/>
          <w:kern w:val="2"/>
          <w:sz w:val="32"/>
          <w:szCs w:val="32"/>
          <w:lang w:val="en-US" w:eastAsia="zh-CN" w:bidi="ar"/>
        </w:rPr>
        <w:t>失</w:t>
      </w:r>
      <w:r>
        <w:rPr>
          <w:rFonts w:hint="default" w:ascii="仿宋_GB2312" w:hAnsi="Times New Roman" w:eastAsia="仿宋_GB2312" w:cs="仿宋_GB2312"/>
          <w:spacing w:val="-14"/>
          <w:kern w:val="2"/>
          <w:sz w:val="32"/>
          <w:szCs w:val="32"/>
          <w:lang w:val="en-US" w:eastAsia="zh-CN" w:bidi="ar"/>
        </w:rPr>
        <w:t>控现象发生，无群体性事件发生，无赴省进京“非正常”上访情况发生。</w:t>
      </w:r>
    </w:p>
    <w:p w14:paraId="220BE20C">
      <w:pPr>
        <w:keepNext w:val="0"/>
        <w:keepLines w:val="0"/>
        <w:widowControl w:val="0"/>
        <w:suppressLineNumbers w:val="0"/>
        <w:snapToGrid w:val="0"/>
        <w:spacing w:before="0" w:beforeAutospacing="0" w:after="0" w:afterAutospacing="0" w:line="640" w:lineRule="exact"/>
        <w:ind w:left="0" w:right="0" w:firstLine="576" w:firstLineChars="200"/>
        <w:jc w:val="both"/>
        <w:rPr>
          <w:rFonts w:hint="default" w:ascii="仿宋_GB2312" w:eastAsia="仿宋_GB2312" w:cs="仿宋_GB2312"/>
          <w:spacing w:val="-16"/>
          <w:kern w:val="2"/>
          <w:sz w:val="32"/>
          <w:szCs w:val="32"/>
        </w:rPr>
      </w:pPr>
      <w:r>
        <w:rPr>
          <w:rFonts w:hint="default" w:ascii="仿宋_GB2312" w:hAnsi="Times New Roman" w:eastAsia="仿宋_GB2312" w:cs="仿宋_GB2312"/>
          <w:spacing w:val="-16"/>
          <w:kern w:val="2"/>
          <w:sz w:val="32"/>
          <w:szCs w:val="32"/>
          <w:lang w:val="en-US" w:eastAsia="zh-CN" w:bidi="ar"/>
        </w:rPr>
        <w:t>（四）加强源头治理，提高基层预防和妥善处理信访问题的能力</w:t>
      </w:r>
    </w:p>
    <w:p w14:paraId="69DC03FE">
      <w:pPr>
        <w:keepNext w:val="0"/>
        <w:keepLines w:val="0"/>
        <w:widowControl w:val="0"/>
        <w:suppressLineNumbers w:val="0"/>
        <w:snapToGrid w:val="0"/>
        <w:spacing w:before="0" w:beforeAutospacing="0" w:after="0" w:afterAutospacing="0" w:line="640" w:lineRule="exact"/>
        <w:ind w:left="0" w:right="0" w:firstLine="643" w:firstLineChars="200"/>
        <w:jc w:val="both"/>
        <w:rPr>
          <w:rFonts w:hint="default" w:ascii="仿宋_GB2312" w:eastAsia="仿宋_GB2312" w:cs="仿宋_GB2312"/>
          <w:kern w:val="2"/>
          <w:sz w:val="32"/>
          <w:szCs w:val="32"/>
        </w:rPr>
      </w:pPr>
      <w:r>
        <w:rPr>
          <w:rFonts w:hint="default" w:ascii="仿宋_GB2312" w:hAnsi="Times New Roman" w:eastAsia="仿宋_GB2312" w:cs="仿宋_GB2312"/>
          <w:b/>
          <w:kern w:val="2"/>
          <w:sz w:val="32"/>
          <w:szCs w:val="32"/>
          <w:lang w:val="en-US" w:eastAsia="zh-CN" w:bidi="ar"/>
        </w:rPr>
        <w:t>一是强化排查研判提高综合预警水平。</w:t>
      </w:r>
      <w:r>
        <w:rPr>
          <w:rFonts w:hint="default" w:ascii="仿宋_GB2312" w:hAnsi="Times New Roman" w:eastAsia="仿宋_GB2312" w:cs="仿宋_GB2312"/>
          <w:kern w:val="2"/>
          <w:sz w:val="32"/>
          <w:szCs w:val="32"/>
          <w:lang w:val="en-US" w:eastAsia="zh-CN" w:bidi="ar"/>
        </w:rPr>
        <w:t>为切实抓好预警排查工作，我市积极整合资源充分发挥市、乡、村、组四级矛盾纠纷排查调处网络作用，将全市13个乡镇（街道、农场）98个村（社区、办事处、居委会）划分为830个网格，设网格员830名，市乡村三级共有网格化管理指导员129人，网格化管理服务工作片警81名；切实把群众工作的触角延伸到矛盾产生的前沿，并对排查出的各类重大矛盾纠纷，严格实行“分管市级领导包案化解、联系乡镇市级领导包案稳控”责任制，从抓早、抓小、抓苗头着手，及时掌握信息，消除隐患，全方位、多层次开展集中排查化解工作；</w:t>
      </w:r>
      <w:r>
        <w:rPr>
          <w:rFonts w:hint="default" w:ascii="仿宋_GB2312" w:hAnsi="Times New Roman" w:eastAsia="仿宋_GB2312" w:cs="仿宋_GB2312"/>
          <w:b/>
          <w:kern w:val="2"/>
          <w:sz w:val="32"/>
          <w:szCs w:val="32"/>
          <w:lang w:val="en-US" w:eastAsia="zh-CN" w:bidi="ar"/>
        </w:rPr>
        <w:t>二是拓展工作方法构建大调解工作格局。</w:t>
      </w:r>
      <w:r>
        <w:rPr>
          <w:rFonts w:hint="default" w:ascii="仿宋_GB2312" w:hAnsi="Times New Roman" w:eastAsia="仿宋_GB2312" w:cs="仿宋_GB2312"/>
          <w:kern w:val="2"/>
          <w:sz w:val="32"/>
          <w:szCs w:val="32"/>
          <w:lang w:val="en-US" w:eastAsia="zh-CN" w:bidi="ar"/>
        </w:rPr>
        <w:t>继续深化推行“三·三”制矛盾纠纷调处机制和“五级联动”机制，着力构建市委委、市政府统一领导，政法综治维稳和信访机构综合协调，有关部门各司其职，全社会广泛参与的“大调解”工作格局，充分发挥人民调解、行政调解和司法调解的作用，真正做到“发现得早、化解得了、控制得住、处理得好”，</w:t>
      </w:r>
      <w:r>
        <w:rPr>
          <w:rFonts w:hint="default" w:ascii="仿宋_GB2312" w:hAnsi="Times New Roman" w:eastAsia="仿宋_GB2312" w:cs="仿宋_GB2312"/>
          <w:kern w:val="0"/>
          <w:sz w:val="32"/>
          <w:szCs w:val="32"/>
          <w:lang w:val="en-US" w:eastAsia="zh-CN" w:bidi="ar"/>
        </w:rPr>
        <w:t>切实把矛盾纠纷及时化解在基层，</w:t>
      </w:r>
      <w:r>
        <w:rPr>
          <w:rFonts w:hint="default" w:ascii="仿宋_GB2312" w:hAnsi="Times New Roman" w:eastAsia="仿宋_GB2312" w:cs="仿宋_GB2312"/>
          <w:kern w:val="2"/>
          <w:sz w:val="32"/>
          <w:szCs w:val="32"/>
          <w:lang w:val="en-US" w:eastAsia="zh-CN" w:bidi="ar"/>
        </w:rPr>
        <w:t>最大限度的遏制基层矛盾纠纷的上移，坚持小机制调出大和谐。2016年，全市预计排查出各类矛盾纠纷123件，涉及人数6873人，其中：邻里纠纷16件，占矛盾纠纷总量的13.01%；水土纠纷17件，占矛盾纠纷总量的13.82%；土地征用纠纷1件，占矛盾纠纷总量的0.81%；土地承包纠纷3件，占矛盾纠纷总量的2.44%；村务管理纠纷2件，占矛盾纠纷总量的1.63%；拖欠农民工工资1件，占矛盾纠纷总量的0.81%；林权争议13件，占矛盾纠纷总量的10.57%；其他类案件纠纷70件，占矛盾纠纷总量的56.91%；</w:t>
      </w:r>
      <w:r>
        <w:rPr>
          <w:rFonts w:hint="default" w:ascii="仿宋_GB2312" w:hAnsi="Times New Roman" w:eastAsia="仿宋_GB2312" w:cs="仿宋_GB2312"/>
          <w:b/>
          <w:kern w:val="2"/>
          <w:sz w:val="32"/>
          <w:szCs w:val="32"/>
          <w:lang w:val="en-US" w:eastAsia="zh-CN" w:bidi="ar"/>
        </w:rPr>
        <w:t>三是完善工作机制推进矛盾纠纷化解。</w:t>
      </w:r>
      <w:r>
        <w:rPr>
          <w:rFonts w:hint="default" w:ascii="仿宋_GB2312" w:hAnsi="Times New Roman" w:eastAsia="仿宋_GB2312" w:cs="仿宋_GB2312"/>
          <w:kern w:val="2"/>
          <w:sz w:val="32"/>
          <w:szCs w:val="32"/>
          <w:lang w:val="en-US" w:eastAsia="zh-CN" w:bidi="ar"/>
        </w:rPr>
        <w:t>我市将矛盾纠纷排查化解工作作为一项长效机制，要求全市各级各部门每月必须对本辖区、本部门范围内的矛盾纠纷进行一次“横向到边，纵向到底”的大排查，同时规定每月20日为全市矛盾纠纷排查化解信息报送日，市委信访工作联席会议办公室每月将各部门报送信息建立台</w:t>
      </w:r>
      <w:r>
        <w:rPr>
          <w:rFonts w:hint="eastAsia" w:ascii="仿宋_GB2312" w:hAnsi="Times New Roman" w:eastAsia="仿宋_GB2312" w:cs="仿宋_GB2312"/>
          <w:kern w:val="2"/>
          <w:sz w:val="32"/>
          <w:szCs w:val="32"/>
          <w:lang w:val="en-US" w:eastAsia="zh-CN" w:bidi="ar"/>
        </w:rPr>
        <w:t>账</w:t>
      </w:r>
      <w:r>
        <w:rPr>
          <w:rFonts w:hint="default" w:ascii="仿宋_GB2312" w:hAnsi="Times New Roman" w:eastAsia="仿宋_GB2312" w:cs="仿宋_GB2312"/>
          <w:kern w:val="2"/>
          <w:sz w:val="32"/>
          <w:szCs w:val="32"/>
          <w:lang w:val="en-US" w:eastAsia="zh-CN" w:bidi="ar"/>
        </w:rPr>
        <w:t>，明晰责任，明确时限。</w:t>
      </w:r>
    </w:p>
    <w:p w14:paraId="0D10A35D">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（五）防微杜渐，狠抓单位党风廉政建设</w:t>
      </w:r>
    </w:p>
    <w:p w14:paraId="46164F63">
      <w:pPr>
        <w:keepNext w:val="0"/>
        <w:keepLines w:val="0"/>
        <w:widowControl w:val="0"/>
        <w:suppressLineNumbers w:val="0"/>
        <w:snapToGrid w:val="0"/>
        <w:spacing w:before="0" w:beforeAutospacing="0" w:after="0" w:afterAutospacing="0" w:line="640" w:lineRule="exact"/>
        <w:ind w:left="0" w:right="0" w:firstLine="63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一是2016年，共召开党风廉政建设专题会议4次，研究部署并推动落实信访系统反腐倡廉各项工作安排。制定了《中共芒市委芒市人民政府信访局关于成立党风廉政建设工作领导小组的通知》、《芒市信访局党风廉政建设责任制分工》、《芒市信访局2016年党风廉政建设工作计划》等有关文件，为我局开展党风廉政工作提供强有力的制度保障；</w:t>
      </w:r>
      <w:r>
        <w:rPr>
          <w:rFonts w:hint="default" w:ascii="仿宋_GB2312" w:hAnsi="Times New Roman" w:eastAsia="仿宋_GB2312" w:cs="仿宋_GB2312"/>
          <w:kern w:val="0"/>
          <w:sz w:val="32"/>
          <w:szCs w:val="32"/>
          <w:lang w:val="en-US" w:eastAsia="zh-CN" w:bidi="ar"/>
        </w:rPr>
        <w:t>按照《芒市惩防体系建设暨党风廉政建设责任书》的要求，</w:t>
      </w:r>
      <w:r>
        <w:rPr>
          <w:rFonts w:hint="default" w:ascii="仿宋_GB2312" w:hAnsi="Times New Roman" w:eastAsia="仿宋_GB2312" w:cs="仿宋_GB2312"/>
          <w:kern w:val="2"/>
          <w:sz w:val="32"/>
          <w:szCs w:val="32"/>
          <w:lang w:val="en-US" w:eastAsia="zh-CN" w:bidi="ar"/>
        </w:rPr>
        <w:t>主要领导与全局干部职工</w:t>
      </w:r>
      <w:r>
        <w:rPr>
          <w:rFonts w:hint="default" w:ascii="仿宋_GB2312" w:hAnsi="Times New Roman" w:eastAsia="仿宋_GB2312" w:cs="仿宋_GB2312"/>
          <w:kern w:val="0"/>
          <w:sz w:val="32"/>
          <w:szCs w:val="32"/>
          <w:lang w:val="en-US" w:eastAsia="zh-CN" w:bidi="ar"/>
        </w:rPr>
        <w:t>签订了</w:t>
      </w:r>
      <w:r>
        <w:rPr>
          <w:rFonts w:hint="default" w:ascii="仿宋_GB2312" w:hAnsi="Times New Roman" w:eastAsia="仿宋_GB2312" w:cs="仿宋_GB2312"/>
          <w:kern w:val="2"/>
          <w:sz w:val="32"/>
          <w:szCs w:val="32"/>
          <w:lang w:val="en-US" w:eastAsia="zh-CN" w:bidi="ar"/>
        </w:rPr>
        <w:t>党风廉政建设责任书，明确了我局党风廉政建设责任制落实到每个干部职工。</w:t>
      </w:r>
    </w:p>
    <w:p w14:paraId="18328462">
      <w:pPr>
        <w:keepNext w:val="0"/>
        <w:keepLines w:val="0"/>
        <w:widowControl w:val="0"/>
        <w:suppressLineNumbers w:val="0"/>
        <w:snapToGrid w:val="0"/>
        <w:spacing w:before="0" w:beforeAutospacing="0" w:after="0" w:afterAutospacing="0" w:line="640" w:lineRule="exact"/>
        <w:ind w:left="0" w:right="0" w:firstLine="630"/>
        <w:jc w:val="both"/>
        <w:rPr>
          <w:rFonts w:hint="default" w:ascii="仿宋_GB2312" w:eastAsia="仿宋_GB2312" w:cs="仿宋_GB2312"/>
          <w:kern w:val="2"/>
          <w:sz w:val="32"/>
          <w:szCs w:val="32"/>
        </w:rPr>
      </w:pPr>
      <w:r>
        <w:rPr>
          <w:rFonts w:hint="default" w:ascii="仿宋_GB2312" w:hAnsi="Times New Roman" w:eastAsia="仿宋_GB2312" w:cs="仿宋_GB2312"/>
          <w:b/>
          <w:kern w:val="2"/>
          <w:sz w:val="32"/>
          <w:szCs w:val="32"/>
          <w:lang w:val="en-US" w:eastAsia="zh-CN" w:bidi="ar"/>
        </w:rPr>
        <w:t>二是</w:t>
      </w:r>
      <w:r>
        <w:rPr>
          <w:rFonts w:hint="default" w:ascii="仿宋_GB2312" w:hAnsi="Times New Roman" w:eastAsia="仿宋_GB2312" w:cs="仿宋_GB2312"/>
          <w:kern w:val="2"/>
          <w:sz w:val="32"/>
          <w:szCs w:val="32"/>
          <w:lang w:val="en-US" w:eastAsia="zh-CN" w:bidi="ar"/>
        </w:rPr>
        <w:t>继续</w:t>
      </w:r>
      <w:r>
        <w:rPr>
          <w:rFonts w:hint="default" w:ascii="仿宋_GB2312" w:hAnsi="Times New Roman" w:eastAsia="仿宋_GB2312" w:cs="仿宋_GB2312"/>
          <w:kern w:val="0"/>
          <w:sz w:val="32"/>
          <w:szCs w:val="32"/>
          <w:lang w:val="en-US" w:eastAsia="zh-CN" w:bidi="ar"/>
        </w:rPr>
        <w:t>坚持以自学为主、集中学习为辅，</w:t>
      </w:r>
      <w:r>
        <w:rPr>
          <w:rFonts w:hint="default" w:ascii="仿宋_GB2312" w:hAnsi="Times New Roman" w:eastAsia="仿宋_GB2312" w:cs="仿宋_GB2312"/>
          <w:kern w:val="2"/>
          <w:sz w:val="32"/>
          <w:szCs w:val="32"/>
          <w:lang w:val="en-US" w:eastAsia="zh-CN" w:bidi="ar"/>
        </w:rPr>
        <w:t>积极组织全体党员干部深入学习习近平总书记重要讲话精神、《中国共产党章程》、《中国共产党纪律处分条例》、《中国共产党廉洁自律准则》等有关规定，全年共召开党风廉政建设专题学习会议10次。</w:t>
      </w:r>
    </w:p>
    <w:p w14:paraId="7833439E">
      <w:pPr>
        <w:keepNext w:val="0"/>
        <w:keepLines w:val="0"/>
        <w:widowControl w:val="0"/>
        <w:suppressLineNumbers w:val="0"/>
        <w:snapToGrid w:val="0"/>
        <w:spacing w:before="0" w:beforeAutospacing="0" w:after="0" w:afterAutospacing="0" w:line="640" w:lineRule="exact"/>
        <w:ind w:left="0" w:right="0" w:firstLine="630"/>
        <w:jc w:val="both"/>
        <w:rPr>
          <w:rFonts w:hint="default" w:ascii="仿宋_GB2312" w:eastAsia="仿宋_GB2312" w:cs="仿宋_GB2312"/>
          <w:kern w:val="2"/>
          <w:sz w:val="32"/>
          <w:szCs w:val="32"/>
        </w:rPr>
      </w:pPr>
      <w:r>
        <w:rPr>
          <w:rFonts w:hint="default" w:ascii="仿宋_GB2312" w:hAnsi="Times New Roman" w:eastAsia="仿宋_GB2312" w:cs="仿宋_GB2312"/>
          <w:b/>
          <w:kern w:val="2"/>
          <w:sz w:val="32"/>
          <w:szCs w:val="32"/>
          <w:lang w:val="en-US" w:eastAsia="zh-CN" w:bidi="ar"/>
        </w:rPr>
        <w:t>三是</w:t>
      </w:r>
      <w:r>
        <w:rPr>
          <w:rFonts w:hint="default" w:ascii="仿宋_GB2312" w:hAnsi="Times New Roman" w:eastAsia="仿宋_GB2312" w:cs="仿宋_GB2312"/>
          <w:kern w:val="2"/>
          <w:sz w:val="32"/>
          <w:szCs w:val="32"/>
          <w:lang w:val="en-US" w:eastAsia="zh-CN" w:bidi="ar"/>
        </w:rPr>
        <w:t>严格落实领导干部直接联系群众工作制度。2016年，我局领导干部直接挂钩联系群众20户，将群众的基本情况建立台</w:t>
      </w:r>
      <w:r>
        <w:rPr>
          <w:rFonts w:hint="eastAsia" w:ascii="仿宋_GB2312" w:hAnsi="Times New Roman" w:eastAsia="仿宋_GB2312" w:cs="仿宋_GB2312"/>
          <w:kern w:val="2"/>
          <w:sz w:val="32"/>
          <w:szCs w:val="32"/>
          <w:lang w:val="en-US" w:eastAsia="zh-CN" w:bidi="ar"/>
        </w:rPr>
        <w:t>账</w:t>
      </w:r>
      <w:r>
        <w:rPr>
          <w:rFonts w:hint="default" w:ascii="仿宋_GB2312" w:hAnsi="Times New Roman" w:eastAsia="仿宋_GB2312" w:cs="仿宋_GB2312"/>
          <w:kern w:val="2"/>
          <w:sz w:val="32"/>
          <w:szCs w:val="32"/>
          <w:lang w:val="en-US" w:eastAsia="zh-CN" w:bidi="ar"/>
        </w:rPr>
        <w:t>进行管理，不断完善领导干部联系群众工作的运行机制；继续加大挂钩风平遮宴村委会的建档立卡贫困户的扶贫攻坚工作，指定专人进驻村委会蹲点，组织全局职工认真完成走访入户、回头看等专项工作，稳步推进扶贫攻坚各项任务指标。</w:t>
      </w:r>
    </w:p>
    <w:p w14:paraId="3299FACA">
      <w:pPr>
        <w:keepNext w:val="0"/>
        <w:keepLines w:val="0"/>
        <w:widowControl w:val="0"/>
        <w:suppressLineNumbers w:val="0"/>
        <w:snapToGrid w:val="0"/>
        <w:spacing w:before="0" w:beforeAutospacing="0" w:after="0" w:afterAutospacing="0" w:line="640" w:lineRule="exact"/>
        <w:ind w:left="0" w:right="0" w:firstLine="630"/>
        <w:jc w:val="both"/>
        <w:rPr>
          <w:rFonts w:hint="default" w:ascii="仿宋_GB2312" w:eastAsia="仿宋_GB2312" w:cs="仿宋_GB2312"/>
          <w:kern w:val="2"/>
          <w:sz w:val="32"/>
          <w:szCs w:val="32"/>
        </w:rPr>
      </w:pPr>
      <w:r>
        <w:rPr>
          <w:rFonts w:hint="default" w:ascii="仿宋_GB2312" w:hAnsi="Times New Roman" w:eastAsia="仿宋_GB2312" w:cs="仿宋_GB2312"/>
          <w:b/>
          <w:kern w:val="2"/>
          <w:sz w:val="32"/>
          <w:szCs w:val="32"/>
          <w:lang w:val="en-US" w:eastAsia="zh-CN" w:bidi="ar"/>
        </w:rPr>
        <w:t>四是</w:t>
      </w:r>
      <w:r>
        <w:rPr>
          <w:rFonts w:hint="default" w:ascii="仿宋_GB2312" w:hAnsi="Times New Roman" w:eastAsia="仿宋_GB2312" w:cs="仿宋_GB2312"/>
          <w:kern w:val="2"/>
          <w:sz w:val="32"/>
          <w:szCs w:val="32"/>
          <w:lang w:val="en-US" w:eastAsia="zh-CN" w:bidi="ar"/>
        </w:rPr>
        <w:t>严格执行民主集中制原则。凡是涉及“三重一大”事项的决策都必须通过召开班子会研究决定，2016年，我局将扶贫挂钩点遮晏村委会公厕缺口资金纳入重大事项决策，共召开重大事项决策工作会议1次，及时将会议决策报市纪委第一纪工委审批备案。</w:t>
      </w:r>
    </w:p>
    <w:p w14:paraId="12F35B20">
      <w:pPr>
        <w:keepNext w:val="0"/>
        <w:keepLines w:val="0"/>
        <w:widowControl/>
        <w:suppressLineNumbers w:val="0"/>
        <w:snapToGrid w:val="0"/>
        <w:spacing w:before="0" w:beforeAutospacing="0" w:after="0" w:afterAutospacing="0" w:line="640" w:lineRule="exact"/>
        <w:ind w:left="0" w:right="0" w:firstLine="643" w:firstLineChars="200"/>
        <w:jc w:val="both"/>
        <w:rPr>
          <w:rFonts w:hint="default" w:ascii="仿宋_GB2312" w:eastAsia="仿宋_GB2312" w:cs="仿宋_GB2312"/>
          <w:kern w:val="0"/>
          <w:sz w:val="32"/>
          <w:szCs w:val="32"/>
        </w:rPr>
      </w:pPr>
      <w:r>
        <w:rPr>
          <w:rFonts w:hint="default" w:ascii="仿宋_GB2312" w:hAnsi="Times New Roman" w:eastAsia="仿宋_GB2312" w:cs="仿宋_GB2312"/>
          <w:b/>
          <w:kern w:val="2"/>
          <w:sz w:val="32"/>
          <w:szCs w:val="32"/>
          <w:lang w:val="en-US" w:eastAsia="zh-CN" w:bidi="ar"/>
        </w:rPr>
        <w:t>五是</w:t>
      </w:r>
      <w:r>
        <w:rPr>
          <w:rFonts w:hint="default" w:ascii="仿宋_GB2312" w:hAnsi="Times New Roman" w:eastAsia="仿宋_GB2312" w:cs="仿宋_GB2312"/>
          <w:kern w:val="2"/>
          <w:sz w:val="32"/>
          <w:szCs w:val="32"/>
          <w:lang w:val="en-US" w:eastAsia="zh-CN" w:bidi="ar"/>
        </w:rPr>
        <w:t>我局认真执行领导干部报告个人有关事项制度，严格按照市委组织部要求填写上报《领导干部个人有关事项报告》；继续加强重点领域重要公务关键环节廉政风险防控机制建设，对信访局内部机构、个人岗位廉政风险防控进行认真查找风险点、建立风险等级、制定针对措施，建立廉政风险防范机制，最大限度地</w:t>
      </w:r>
      <w:r>
        <w:rPr>
          <w:rFonts w:hint="default" w:ascii="仿宋_GB2312" w:hAnsi="Times New Roman" w:eastAsia="仿宋_GB2312" w:cs="仿宋_GB2312"/>
          <w:spacing w:val="-10"/>
          <w:kern w:val="2"/>
          <w:sz w:val="32"/>
          <w:szCs w:val="32"/>
          <w:lang w:val="en-US" w:eastAsia="zh-CN" w:bidi="ar"/>
        </w:rPr>
        <w:t>减少和控制廉政风险的发生；</w:t>
      </w:r>
      <w:r>
        <w:rPr>
          <w:rFonts w:hint="default" w:ascii="仿宋_GB2312" w:hAnsi="Times New Roman" w:eastAsia="仿宋_GB2312" w:cs="仿宋_GB2312"/>
          <w:kern w:val="2"/>
          <w:sz w:val="32"/>
          <w:szCs w:val="32"/>
          <w:lang w:val="en-US" w:eastAsia="zh-CN" w:bidi="ar"/>
        </w:rPr>
        <w:t>制定了《芒市信访局权力公开透明运行工作实施方案》，认真梳理信访局职权目录；积极主动配合组织部、纪委等部门开展执纪执法机关查处违纪违法工作，共回复组织部征求各类意见函31份。</w:t>
      </w:r>
    </w:p>
    <w:p w14:paraId="5171B5FB">
      <w:pPr>
        <w:keepNext w:val="0"/>
        <w:keepLines w:val="0"/>
        <w:widowControl w:val="0"/>
        <w:suppressLineNumbers w:val="0"/>
        <w:snapToGrid w:val="0"/>
        <w:spacing w:before="0" w:beforeAutospacing="0" w:after="0" w:afterAutospacing="0" w:line="600" w:lineRule="exact"/>
        <w:ind w:left="0" w:right="0" w:firstLine="640" w:firstLineChars="200"/>
        <w:jc w:val="both"/>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二、部门基本情况</w:t>
      </w:r>
    </w:p>
    <w:p w14:paraId="07C11588">
      <w:pPr>
        <w:keepNext w:val="0"/>
        <w:keepLines w:val="0"/>
        <w:widowControl w:val="0"/>
        <w:suppressLineNumbers w:val="0"/>
        <w:snapToGrid w:val="0"/>
        <w:spacing w:before="0" w:beforeAutospacing="0" w:after="0" w:afterAutospacing="0" w:line="600" w:lineRule="exact"/>
        <w:ind w:left="0" w:right="0" w:firstLine="640" w:firstLineChars="200"/>
        <w:jc w:val="both"/>
        <w:rPr>
          <w:rFonts w:hint="default" w:ascii="楷体_GB2312" w:hAnsi="楷体" w:eastAsia="楷体_GB2312" w:cs="楷体_GB2312"/>
          <w:kern w:val="2"/>
          <w:sz w:val="32"/>
          <w:szCs w:val="32"/>
        </w:rPr>
      </w:pPr>
      <w:r>
        <w:rPr>
          <w:rFonts w:hint="default" w:ascii="楷体_GB2312" w:hAnsi="楷体" w:eastAsia="楷体_GB2312" w:cs="楷体_GB2312"/>
          <w:kern w:val="2"/>
          <w:sz w:val="32"/>
          <w:szCs w:val="32"/>
          <w:lang w:val="en-US" w:eastAsia="zh-CN" w:bidi="ar"/>
        </w:rPr>
        <w:t>（一）部门决算构成</w:t>
      </w:r>
    </w:p>
    <w:p w14:paraId="36E1264D">
      <w:pPr>
        <w:keepNext w:val="0"/>
        <w:keepLines w:val="0"/>
        <w:widowControl w:val="0"/>
        <w:suppressLineNumbers w:val="0"/>
        <w:snapToGrid w:val="0"/>
        <w:spacing w:before="0" w:beforeAutospacing="0" w:after="0" w:afterAutospacing="0" w:line="60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 xml:space="preserve">芒市信访局2016年度部门决算编报的单位共1个，属行政单位。 </w:t>
      </w:r>
    </w:p>
    <w:p w14:paraId="47EAA78E">
      <w:pPr>
        <w:keepNext w:val="0"/>
        <w:keepLines w:val="0"/>
        <w:widowControl w:val="0"/>
        <w:suppressLineNumbers w:val="0"/>
        <w:snapToGrid w:val="0"/>
        <w:spacing w:before="0" w:beforeAutospacing="0" w:after="0" w:afterAutospacing="0" w:line="600" w:lineRule="exact"/>
        <w:ind w:left="0" w:right="0" w:firstLine="640" w:firstLineChars="200"/>
        <w:jc w:val="both"/>
        <w:rPr>
          <w:rFonts w:hint="default" w:ascii="楷体_GB2312" w:hAnsi="楷体" w:eastAsia="楷体_GB2312" w:cs="楷体_GB2312"/>
          <w:kern w:val="2"/>
          <w:sz w:val="32"/>
          <w:szCs w:val="32"/>
        </w:rPr>
      </w:pPr>
      <w:r>
        <w:rPr>
          <w:rFonts w:hint="default" w:ascii="楷体_GB2312" w:hAnsi="楷体" w:eastAsia="楷体_GB2312" w:cs="楷体_GB2312"/>
          <w:kern w:val="2"/>
          <w:sz w:val="32"/>
          <w:szCs w:val="32"/>
          <w:lang w:val="en-US" w:eastAsia="zh-CN" w:bidi="ar"/>
        </w:rPr>
        <w:t xml:space="preserve">（二）部门人员和车辆的编制及实有情况 </w:t>
      </w:r>
    </w:p>
    <w:p w14:paraId="468C1026">
      <w:pPr>
        <w:keepNext w:val="0"/>
        <w:keepLines w:val="0"/>
        <w:widowControl w:val="0"/>
        <w:suppressLineNumbers w:val="0"/>
        <w:snapToGrid w:val="0"/>
        <w:spacing w:before="0" w:beforeAutospacing="0" w:after="0" w:afterAutospacing="0" w:line="600" w:lineRule="exact"/>
        <w:ind w:left="0" w:right="0" w:firstLine="640" w:firstLineChars="200"/>
        <w:jc w:val="both"/>
        <w:rPr>
          <w:rFonts w:hint="default" w:ascii="仿宋_GB2312" w:hAnsi="宋体" w:eastAsia="仿宋_GB2312" w:cs="Arial"/>
          <w:kern w:val="0"/>
          <w:sz w:val="32"/>
          <w:szCs w:val="32"/>
        </w:rPr>
      </w:pPr>
      <w:r>
        <w:rPr>
          <w:rFonts w:hint="default" w:ascii="仿宋_GB2312" w:hAnsi="Times New Roman" w:eastAsia="仿宋_GB2312" w:cs="仿宋_GB2312"/>
          <w:kern w:val="2"/>
          <w:sz w:val="32"/>
          <w:szCs w:val="32"/>
          <w:lang w:val="en-US" w:eastAsia="zh-CN" w:bidi="ar"/>
        </w:rPr>
        <w:t>芒市信访局2016年度末实有人员编制3</w:t>
      </w:r>
      <w:r>
        <w:rPr>
          <w:rFonts w:hint="default" w:ascii="仿宋_GB2312" w:hAnsi="宋体" w:eastAsia="仿宋_GB2312" w:cs="仿宋_GB2312"/>
          <w:kern w:val="0"/>
          <w:sz w:val="32"/>
          <w:szCs w:val="32"/>
          <w:lang w:val="en-US" w:eastAsia="zh-CN" w:bidi="ar"/>
        </w:rPr>
        <w:t>人。其中：行政编制</w:t>
      </w:r>
      <w:r>
        <w:rPr>
          <w:rFonts w:hint="default" w:ascii="仿宋_GB2312" w:hAnsi="Times New Roman" w:eastAsia="仿宋_GB2312" w:cs="仿宋_GB2312"/>
          <w:kern w:val="2"/>
          <w:sz w:val="32"/>
          <w:szCs w:val="32"/>
          <w:lang w:val="en-US" w:eastAsia="zh-CN" w:bidi="ar"/>
        </w:rPr>
        <w:t>3</w:t>
      </w:r>
      <w:r>
        <w:rPr>
          <w:rFonts w:hint="default" w:ascii="仿宋_GB2312" w:hAnsi="宋体" w:eastAsia="仿宋_GB2312" w:cs="仿宋_GB2312"/>
          <w:kern w:val="0"/>
          <w:sz w:val="32"/>
          <w:szCs w:val="32"/>
          <w:lang w:val="en-US" w:eastAsia="zh-CN" w:bidi="ar"/>
        </w:rPr>
        <w:t>人（含行政工勤编制</w:t>
      </w:r>
      <w:r>
        <w:rPr>
          <w:rFonts w:hint="default" w:ascii="仿宋_GB2312" w:hAnsi="Times New Roman" w:eastAsia="仿宋_GB2312" w:cs="仿宋_GB2312"/>
          <w:kern w:val="2"/>
          <w:sz w:val="32"/>
          <w:szCs w:val="32"/>
          <w:lang w:val="en-US" w:eastAsia="zh-CN" w:bidi="ar"/>
        </w:rPr>
        <w:t>1</w:t>
      </w:r>
      <w:r>
        <w:rPr>
          <w:rFonts w:hint="default" w:ascii="仿宋_GB2312" w:hAnsi="宋体" w:eastAsia="仿宋_GB2312" w:cs="仿宋_GB2312"/>
          <w:kern w:val="0"/>
          <w:sz w:val="32"/>
          <w:szCs w:val="32"/>
          <w:lang w:val="en-US" w:eastAsia="zh-CN" w:bidi="ar"/>
        </w:rPr>
        <w:t>人）；在职在编实有行政人员</w:t>
      </w:r>
      <w:r>
        <w:rPr>
          <w:rFonts w:hint="default" w:ascii="仿宋_GB2312" w:hAnsi="Times New Roman" w:eastAsia="仿宋_GB2312" w:cs="仿宋_GB2312"/>
          <w:kern w:val="2"/>
          <w:sz w:val="32"/>
          <w:szCs w:val="32"/>
          <w:lang w:val="en-US" w:eastAsia="zh-CN" w:bidi="ar"/>
        </w:rPr>
        <w:t>12</w:t>
      </w:r>
      <w:r>
        <w:rPr>
          <w:rFonts w:hint="default" w:ascii="仿宋_GB2312" w:hAnsi="宋体" w:eastAsia="仿宋_GB2312" w:cs="仿宋_GB2312"/>
          <w:kern w:val="0"/>
          <w:sz w:val="32"/>
          <w:szCs w:val="32"/>
          <w:lang w:val="en-US" w:eastAsia="zh-CN" w:bidi="ar"/>
        </w:rPr>
        <w:t>人（含行政工勤人员</w:t>
      </w:r>
      <w:r>
        <w:rPr>
          <w:rFonts w:hint="default" w:ascii="仿宋_GB2312" w:hAnsi="Times New Roman" w:eastAsia="仿宋_GB2312" w:cs="仿宋_GB2312"/>
          <w:kern w:val="2"/>
          <w:sz w:val="32"/>
          <w:szCs w:val="32"/>
          <w:lang w:val="en-US" w:eastAsia="zh-CN" w:bidi="ar"/>
        </w:rPr>
        <w:t>4</w:t>
      </w:r>
      <w:r>
        <w:rPr>
          <w:rFonts w:hint="default" w:ascii="仿宋_GB2312" w:hAnsi="宋体" w:eastAsia="仿宋_GB2312" w:cs="仿宋_GB2312"/>
          <w:kern w:val="0"/>
          <w:sz w:val="32"/>
          <w:szCs w:val="32"/>
          <w:lang w:val="en-US" w:eastAsia="zh-CN" w:bidi="ar"/>
        </w:rPr>
        <w:t>人）。</w:t>
      </w:r>
    </w:p>
    <w:p w14:paraId="17EE65A9">
      <w:pPr>
        <w:keepNext w:val="0"/>
        <w:keepLines w:val="0"/>
        <w:widowControl w:val="0"/>
        <w:suppressLineNumbers w:val="0"/>
        <w:snapToGrid w:val="0"/>
        <w:spacing w:before="0" w:beforeAutospacing="0" w:after="0" w:afterAutospacing="0" w:line="600" w:lineRule="exact"/>
        <w:ind w:left="0" w:right="0" w:firstLine="640" w:firstLineChars="200"/>
        <w:jc w:val="both"/>
        <w:rPr>
          <w:rFonts w:hint="default" w:ascii="仿宋_GB2312" w:hAnsi="宋体" w:eastAsia="仿宋_GB2312" w:cs="Arial"/>
          <w:kern w:val="0"/>
          <w:sz w:val="32"/>
          <w:szCs w:val="32"/>
        </w:rPr>
      </w:pPr>
      <w:r>
        <w:rPr>
          <w:rFonts w:hint="default" w:ascii="仿宋_GB2312" w:hAnsi="宋体" w:eastAsia="仿宋_GB2312" w:cs="仿宋_GB2312"/>
          <w:kern w:val="0"/>
          <w:sz w:val="32"/>
          <w:szCs w:val="32"/>
          <w:lang w:val="en-US" w:eastAsia="zh-CN" w:bidi="ar"/>
        </w:rPr>
        <w:t>退休人员</w:t>
      </w:r>
      <w:r>
        <w:rPr>
          <w:rFonts w:hint="default" w:ascii="仿宋_GB2312" w:hAnsi="Times New Roman" w:eastAsia="仿宋_GB2312" w:cs="仿宋_GB2312"/>
          <w:kern w:val="2"/>
          <w:sz w:val="32"/>
          <w:szCs w:val="32"/>
          <w:lang w:val="en-US" w:eastAsia="zh-CN" w:bidi="ar"/>
        </w:rPr>
        <w:t>1</w:t>
      </w:r>
      <w:r>
        <w:rPr>
          <w:rFonts w:hint="default" w:ascii="仿宋_GB2312" w:hAnsi="宋体" w:eastAsia="仿宋_GB2312" w:cs="仿宋_GB2312"/>
          <w:kern w:val="0"/>
          <w:sz w:val="32"/>
          <w:szCs w:val="32"/>
          <w:lang w:val="en-US" w:eastAsia="zh-CN" w:bidi="ar"/>
        </w:rPr>
        <w:t>人。</w:t>
      </w:r>
    </w:p>
    <w:p w14:paraId="344080D6">
      <w:pPr>
        <w:keepNext w:val="0"/>
        <w:keepLines w:val="0"/>
        <w:widowControl w:val="0"/>
        <w:suppressLineNumbers w:val="0"/>
        <w:snapToGrid w:val="0"/>
        <w:spacing w:before="0" w:beforeAutospacing="0" w:after="0" w:afterAutospacing="0" w:line="600" w:lineRule="exact"/>
        <w:ind w:left="0" w:right="0" w:firstLine="640" w:firstLineChars="200"/>
        <w:jc w:val="both"/>
        <w:rPr>
          <w:rFonts w:hint="default" w:ascii="仿宋_GB2312" w:hAnsi="宋体" w:eastAsia="仿宋_GB2312" w:cs="Arial"/>
          <w:kern w:val="0"/>
          <w:sz w:val="32"/>
          <w:szCs w:val="32"/>
        </w:rPr>
      </w:pPr>
      <w:r>
        <w:rPr>
          <w:rFonts w:hint="default" w:ascii="仿宋_GB2312" w:hAnsi="宋体" w:eastAsia="仿宋_GB2312" w:cs="仿宋_GB2312"/>
          <w:kern w:val="0"/>
          <w:sz w:val="32"/>
          <w:szCs w:val="32"/>
          <w:lang w:val="en-US" w:eastAsia="zh-CN" w:bidi="ar"/>
        </w:rPr>
        <w:t>实有车辆编制</w:t>
      </w:r>
      <w:r>
        <w:rPr>
          <w:rFonts w:hint="default" w:ascii="仿宋_GB2312" w:hAnsi="Times New Roman" w:eastAsia="仿宋_GB2312" w:cs="仿宋_GB2312"/>
          <w:kern w:val="2"/>
          <w:sz w:val="32"/>
          <w:szCs w:val="32"/>
          <w:lang w:val="en-US" w:eastAsia="zh-CN" w:bidi="ar"/>
        </w:rPr>
        <w:t>2</w:t>
      </w:r>
      <w:r>
        <w:rPr>
          <w:rFonts w:hint="default" w:ascii="仿宋_GB2312" w:hAnsi="宋体" w:eastAsia="仿宋_GB2312" w:cs="仿宋_GB2312"/>
          <w:kern w:val="0"/>
          <w:sz w:val="32"/>
          <w:szCs w:val="32"/>
          <w:lang w:val="en-US" w:eastAsia="zh-CN" w:bidi="ar"/>
        </w:rPr>
        <w:t>辆，在编实有车辆</w:t>
      </w:r>
      <w:r>
        <w:rPr>
          <w:rFonts w:hint="default" w:ascii="仿宋_GB2312" w:hAnsi="Times New Roman" w:eastAsia="仿宋_GB2312" w:cs="仿宋_GB2312"/>
          <w:kern w:val="2"/>
          <w:sz w:val="32"/>
          <w:szCs w:val="32"/>
          <w:lang w:val="en-US" w:eastAsia="zh-CN" w:bidi="ar"/>
        </w:rPr>
        <w:t>1</w:t>
      </w:r>
      <w:r>
        <w:rPr>
          <w:rFonts w:hint="default" w:ascii="仿宋_GB2312" w:hAnsi="宋体" w:eastAsia="仿宋_GB2312" w:cs="仿宋_GB2312"/>
          <w:kern w:val="0"/>
          <w:sz w:val="32"/>
          <w:szCs w:val="32"/>
          <w:lang w:val="en-US" w:eastAsia="zh-CN" w:bidi="ar"/>
        </w:rPr>
        <w:t>辆。</w:t>
      </w:r>
    </w:p>
    <w:p w14:paraId="419942A1">
      <w:pPr>
        <w:keepNext w:val="0"/>
        <w:keepLines w:val="0"/>
        <w:widowControl w:val="0"/>
        <w:suppressLineNumbers w:val="0"/>
        <w:snapToGrid w:val="0"/>
        <w:spacing w:before="0" w:beforeAutospacing="0" w:after="0" w:afterAutospacing="0" w:line="600" w:lineRule="exact"/>
        <w:ind w:left="0" w:right="0"/>
        <w:jc w:val="center"/>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 xml:space="preserve"> </w:t>
      </w:r>
    </w:p>
    <w:p w14:paraId="51F1417C">
      <w:pPr>
        <w:keepNext w:val="0"/>
        <w:keepLines w:val="0"/>
        <w:widowControl w:val="0"/>
        <w:suppressLineNumbers w:val="0"/>
        <w:snapToGrid w:val="0"/>
        <w:spacing w:before="0" w:beforeAutospacing="0" w:after="0" w:afterAutospacing="0" w:line="600" w:lineRule="exact"/>
        <w:ind w:left="0" w:right="0"/>
        <w:jc w:val="center"/>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第二部分  2016年度部门决算表</w:t>
      </w:r>
    </w:p>
    <w:p w14:paraId="15948055">
      <w:pPr>
        <w:keepNext w:val="0"/>
        <w:keepLines w:val="0"/>
        <w:widowControl w:val="0"/>
        <w:suppressLineNumbers w:val="0"/>
        <w:snapToGrid w:val="0"/>
        <w:spacing w:before="0" w:beforeAutospacing="0" w:after="0" w:afterAutospacing="0" w:line="600" w:lineRule="exact"/>
        <w:ind w:left="0" w:right="0" w:firstLine="640" w:firstLineChars="200"/>
        <w:jc w:val="center"/>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（详见附件）</w:t>
      </w:r>
    </w:p>
    <w:p w14:paraId="6B8C19CE">
      <w:pPr>
        <w:keepNext w:val="0"/>
        <w:keepLines w:val="0"/>
        <w:widowControl w:val="0"/>
        <w:suppressLineNumbers w:val="0"/>
        <w:snapToGrid w:val="0"/>
        <w:spacing w:before="0" w:beforeAutospacing="0" w:after="0" w:afterAutospacing="0" w:line="600" w:lineRule="exact"/>
        <w:ind w:left="0" w:right="0" w:firstLine="640" w:firstLineChars="200"/>
        <w:jc w:val="center"/>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 xml:space="preserve"> </w:t>
      </w:r>
    </w:p>
    <w:p w14:paraId="11043387">
      <w:pPr>
        <w:keepNext w:val="0"/>
        <w:keepLines w:val="0"/>
        <w:widowControl w:val="0"/>
        <w:suppressLineNumbers w:val="0"/>
        <w:snapToGrid w:val="0"/>
        <w:spacing w:before="0" w:beforeAutospacing="0" w:after="0" w:afterAutospacing="0" w:line="600" w:lineRule="exact"/>
        <w:ind w:left="0" w:right="0"/>
        <w:jc w:val="center"/>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第三部门 2016年度部门决算情况说明</w:t>
      </w:r>
    </w:p>
    <w:p w14:paraId="6034ED46">
      <w:pPr>
        <w:keepNext w:val="0"/>
        <w:keepLines w:val="0"/>
        <w:widowControl w:val="0"/>
        <w:suppressLineNumbers w:val="0"/>
        <w:snapToGrid w:val="0"/>
        <w:spacing w:before="0" w:beforeAutospacing="0" w:after="0" w:afterAutospacing="0" w:line="600" w:lineRule="exact"/>
        <w:ind w:left="0" w:right="0" w:firstLine="640" w:firstLineChars="200"/>
        <w:jc w:val="left"/>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一、收入决算情况说明</w:t>
      </w:r>
    </w:p>
    <w:p w14:paraId="1A5C6FE0">
      <w:pPr>
        <w:keepNext w:val="0"/>
        <w:keepLines w:val="0"/>
        <w:widowControl/>
        <w:suppressLineNumbers w:val="0"/>
        <w:snapToGrid w:val="0"/>
        <w:spacing w:before="100" w:beforeAutospacing="0" w:after="100" w:afterAutospacing="0" w:line="600" w:lineRule="exact"/>
        <w:ind w:left="0" w:right="0" w:firstLine="538"/>
        <w:jc w:val="left"/>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芒市信访局2016年度收入合计235.7万元。其中：财政拨款收入235.7万元，占总收入的100%；与上年收入合计122.79万元对比增加112.91万元，同比上升92.09%，主要原因析是三级联动视频接访建设项目资金83万元，调整工资等资金收入</w:t>
      </w:r>
    </w:p>
    <w:p w14:paraId="70DB6E0B">
      <w:pPr>
        <w:keepNext w:val="0"/>
        <w:keepLines w:val="0"/>
        <w:widowControl w:val="0"/>
        <w:suppressLineNumbers w:val="0"/>
        <w:snapToGrid w:val="0"/>
        <w:spacing w:before="0" w:beforeAutospacing="0" w:after="0" w:afterAutospacing="0" w:line="600" w:lineRule="exact"/>
        <w:ind w:left="0" w:right="0"/>
        <w:jc w:val="left"/>
        <w:rPr>
          <w:rFonts w:hint="default" w:ascii="仿宋_GB2312" w:hAnsi="宋体" w:eastAsia="仿宋_GB2312" w:cs="仿宋_GB2312"/>
          <w:kern w:val="2"/>
          <w:sz w:val="32"/>
          <w:szCs w:val="32"/>
        </w:rPr>
      </w:pPr>
      <w:r>
        <w:rPr>
          <w:rFonts w:hint="default" w:ascii="仿宋_GB2312" w:hAnsi="Times New Roman" w:eastAsia="仿宋_GB2312" w:cs="仿宋_GB2312"/>
          <w:kern w:val="2"/>
          <w:sz w:val="32"/>
          <w:szCs w:val="32"/>
          <w:lang w:val="en-US" w:eastAsia="zh-CN" w:bidi="ar"/>
        </w:rPr>
        <w:t>29.91</w:t>
      </w:r>
      <w:r>
        <w:rPr>
          <w:rFonts w:hint="default" w:ascii="仿宋_GB2312" w:hAnsi="宋体" w:eastAsia="仿宋_GB2312" w:cs="仿宋_GB2312"/>
          <w:kern w:val="2"/>
          <w:sz w:val="32"/>
          <w:szCs w:val="32"/>
          <w:lang w:val="en-US" w:eastAsia="zh-CN" w:bidi="ar"/>
        </w:rPr>
        <w:t>万元。</w:t>
      </w:r>
    </w:p>
    <w:p w14:paraId="42A7296D">
      <w:pPr>
        <w:keepNext w:val="0"/>
        <w:keepLines w:val="0"/>
        <w:widowControl w:val="0"/>
        <w:suppressLineNumbers w:val="0"/>
        <w:snapToGrid w:val="0"/>
        <w:spacing w:before="0" w:beforeAutospacing="0" w:after="0" w:afterAutospacing="0" w:line="600" w:lineRule="exact"/>
        <w:ind w:left="0" w:right="0" w:firstLine="640" w:firstLineChars="200"/>
        <w:jc w:val="left"/>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二、支出决算情况说明</w:t>
      </w:r>
    </w:p>
    <w:p w14:paraId="0CF8996C">
      <w:pPr>
        <w:keepNext w:val="0"/>
        <w:keepLines w:val="0"/>
        <w:widowControl/>
        <w:suppressLineNumbers w:val="0"/>
        <w:snapToGrid w:val="0"/>
        <w:spacing w:before="100" w:beforeAutospacing="0" w:after="100" w:afterAutospacing="0" w:line="600" w:lineRule="exact"/>
        <w:ind w:left="0" w:right="0" w:firstLine="538"/>
        <w:jc w:val="left"/>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芒市信访局2016年度支出合计235.7万元。其中：</w:t>
      </w:r>
      <w:r>
        <w:rPr>
          <w:rFonts w:hint="default" w:ascii="仿宋_GB2312" w:hAnsi="宋体" w:eastAsia="仿宋_GB2312" w:cs="仿宋_GB2312"/>
          <w:kern w:val="0"/>
          <w:sz w:val="32"/>
          <w:szCs w:val="32"/>
          <w:lang w:val="en-US" w:eastAsia="zh-CN" w:bidi="ar"/>
        </w:rPr>
        <w:t>基本支出</w:t>
      </w:r>
      <w:r>
        <w:rPr>
          <w:rFonts w:hint="default" w:ascii="仿宋_GB2312" w:hAnsi="Times New Roman" w:eastAsia="仿宋_GB2312" w:cs="仿宋_GB2312"/>
          <w:kern w:val="2"/>
          <w:sz w:val="32"/>
          <w:szCs w:val="32"/>
          <w:lang w:val="en-US" w:eastAsia="zh-CN" w:bidi="ar"/>
        </w:rPr>
        <w:t>150</w:t>
      </w:r>
      <w:r>
        <w:rPr>
          <w:rFonts w:hint="default" w:ascii="仿宋_GB2312" w:hAnsi="宋体" w:eastAsia="仿宋_GB2312" w:cs="仿宋_GB2312"/>
          <w:kern w:val="0"/>
          <w:sz w:val="32"/>
          <w:szCs w:val="32"/>
          <w:lang w:val="en-US" w:eastAsia="zh-CN" w:bidi="ar"/>
        </w:rPr>
        <w:t>万元，占总支出的</w:t>
      </w:r>
      <w:r>
        <w:rPr>
          <w:rFonts w:hint="default" w:ascii="仿宋_GB2312" w:hAnsi="Times New Roman" w:eastAsia="仿宋_GB2312" w:cs="仿宋_GB2312"/>
          <w:kern w:val="2"/>
          <w:sz w:val="32"/>
          <w:szCs w:val="32"/>
          <w:lang w:val="en-US" w:eastAsia="zh-CN" w:bidi="ar"/>
        </w:rPr>
        <w:t>63.6</w:t>
      </w:r>
      <w:r>
        <w:rPr>
          <w:rFonts w:hint="default" w:ascii="仿宋_GB2312" w:hAnsi="宋体" w:eastAsia="仿宋_GB2312" w:cs="仿宋_GB2312"/>
          <w:kern w:val="0"/>
          <w:sz w:val="32"/>
          <w:szCs w:val="32"/>
          <w:lang w:val="en-US" w:eastAsia="zh-CN" w:bidi="ar"/>
        </w:rPr>
        <w:t>％；项目支出</w:t>
      </w:r>
      <w:r>
        <w:rPr>
          <w:rFonts w:hint="default" w:ascii="仿宋_GB2312" w:hAnsi="Times New Roman" w:eastAsia="仿宋_GB2312" w:cs="仿宋_GB2312"/>
          <w:kern w:val="2"/>
          <w:sz w:val="32"/>
          <w:szCs w:val="32"/>
          <w:lang w:val="en-US" w:eastAsia="zh-CN" w:bidi="ar"/>
        </w:rPr>
        <w:t>85.7</w:t>
      </w:r>
      <w:r>
        <w:rPr>
          <w:rFonts w:hint="default" w:ascii="仿宋_GB2312" w:hAnsi="宋体" w:eastAsia="仿宋_GB2312" w:cs="仿宋_GB2312"/>
          <w:kern w:val="0"/>
          <w:sz w:val="32"/>
          <w:szCs w:val="32"/>
          <w:lang w:val="en-US" w:eastAsia="zh-CN" w:bidi="ar"/>
        </w:rPr>
        <w:t>万元，占总支出的</w:t>
      </w:r>
      <w:r>
        <w:rPr>
          <w:rFonts w:hint="default" w:ascii="仿宋_GB2312" w:hAnsi="Times New Roman" w:eastAsia="仿宋_GB2312" w:cs="仿宋_GB2312"/>
          <w:kern w:val="2"/>
          <w:sz w:val="32"/>
          <w:szCs w:val="32"/>
          <w:lang w:val="en-US" w:eastAsia="zh-CN" w:bidi="ar"/>
        </w:rPr>
        <w:t>36.4</w:t>
      </w:r>
      <w:r>
        <w:rPr>
          <w:rFonts w:hint="default" w:ascii="仿宋_GB2312" w:hAnsi="宋体" w:eastAsia="仿宋_GB2312" w:cs="仿宋_GB2312"/>
          <w:kern w:val="0"/>
          <w:sz w:val="32"/>
          <w:szCs w:val="32"/>
          <w:lang w:val="en-US" w:eastAsia="zh-CN" w:bidi="ar"/>
        </w:rPr>
        <w:t>％；</w:t>
      </w:r>
      <w:r>
        <w:rPr>
          <w:rFonts w:hint="default" w:ascii="仿宋_GB2312" w:hAnsi="Times New Roman" w:eastAsia="仿宋_GB2312" w:cs="仿宋_GB2312"/>
          <w:kern w:val="2"/>
          <w:sz w:val="32"/>
          <w:szCs w:val="32"/>
          <w:lang w:val="en-US" w:eastAsia="zh-CN" w:bidi="ar"/>
        </w:rPr>
        <w:t>与上年支出1227.9万元对比增加112.91万元，同比上升92.09%,主要原因分析三级联动视频接访建设项目资金支出83万元，调整工资等资金收入29.91</w:t>
      </w:r>
      <w:r>
        <w:rPr>
          <w:rFonts w:hint="default" w:ascii="仿宋_GB2312" w:hAnsi="宋体" w:eastAsia="仿宋_GB2312" w:cs="仿宋_GB2312"/>
          <w:kern w:val="2"/>
          <w:sz w:val="32"/>
          <w:szCs w:val="32"/>
          <w:lang w:val="en-US" w:eastAsia="zh-CN" w:bidi="ar"/>
        </w:rPr>
        <w:t>万元。</w:t>
      </w:r>
    </w:p>
    <w:p w14:paraId="57D7BECF">
      <w:pPr>
        <w:keepNext w:val="0"/>
        <w:keepLines w:val="0"/>
        <w:widowControl/>
        <w:suppressLineNumbers w:val="0"/>
        <w:snapToGrid w:val="0"/>
        <w:spacing w:before="100" w:beforeAutospacing="0" w:after="100" w:afterAutospacing="0" w:line="600" w:lineRule="exact"/>
        <w:ind w:left="0" w:right="0" w:firstLine="640" w:firstLineChars="200"/>
        <w:jc w:val="left"/>
        <w:rPr>
          <w:rFonts w:hint="default" w:ascii="楷体_GB2312" w:hAnsi="楷体" w:eastAsia="楷体_GB2312" w:cs="楷体_GB2312"/>
          <w:kern w:val="2"/>
          <w:sz w:val="32"/>
          <w:szCs w:val="32"/>
        </w:rPr>
      </w:pPr>
      <w:r>
        <w:rPr>
          <w:rFonts w:hint="default" w:ascii="楷体_GB2312" w:hAnsi="楷体" w:eastAsia="楷体_GB2312" w:cs="楷体_GB2312"/>
          <w:kern w:val="2"/>
          <w:sz w:val="32"/>
          <w:szCs w:val="32"/>
          <w:lang w:val="en-US" w:eastAsia="zh-CN" w:bidi="ar"/>
        </w:rPr>
        <w:t>（一）基本支出情况</w:t>
      </w:r>
    </w:p>
    <w:p w14:paraId="653FBD7B">
      <w:pPr>
        <w:keepNext w:val="0"/>
        <w:keepLines w:val="0"/>
        <w:widowControl/>
        <w:suppressLineNumbers w:val="0"/>
        <w:snapToGrid w:val="0"/>
        <w:spacing w:before="100" w:beforeAutospacing="0" w:after="100" w:afterAutospacing="0" w:line="600" w:lineRule="exact"/>
        <w:ind w:left="0" w:right="0" w:firstLine="640" w:firstLineChars="200"/>
        <w:jc w:val="left"/>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2016年度用于保障机构正常运转的日常支出150万元。与上年122.79万元对比增加27.21万元，同比上升22.16%,主要原因分析调整工资支出。包括工资福利支出90.55万元，占基本支出的60.37％；对个人和家庭补助34.95万元，占基本支出的23.3％；商品和服务费支出24.5万元，占基本支出的16.3％。</w:t>
      </w:r>
    </w:p>
    <w:p w14:paraId="10BFBC68">
      <w:pPr>
        <w:keepNext w:val="0"/>
        <w:keepLines w:val="0"/>
        <w:widowControl/>
        <w:suppressLineNumbers w:val="0"/>
        <w:snapToGrid w:val="0"/>
        <w:spacing w:before="100" w:beforeAutospacing="0" w:after="100" w:afterAutospacing="0" w:line="600" w:lineRule="exact"/>
        <w:ind w:left="0" w:right="0" w:firstLine="640" w:firstLineChars="200"/>
        <w:jc w:val="left"/>
        <w:rPr>
          <w:rFonts w:hint="default" w:ascii="楷体_GB2312" w:hAnsi="楷体" w:eastAsia="楷体_GB2312" w:cs="楷体_GB2312"/>
          <w:kern w:val="2"/>
          <w:sz w:val="32"/>
          <w:szCs w:val="32"/>
        </w:rPr>
      </w:pPr>
      <w:r>
        <w:rPr>
          <w:rFonts w:hint="default" w:ascii="楷体_GB2312" w:hAnsi="楷体" w:eastAsia="楷体_GB2312" w:cs="楷体_GB2312"/>
          <w:kern w:val="2"/>
          <w:sz w:val="32"/>
          <w:szCs w:val="32"/>
          <w:lang w:val="en-US" w:eastAsia="zh-CN" w:bidi="ar"/>
        </w:rPr>
        <w:t>（二）项目支出情况</w:t>
      </w:r>
    </w:p>
    <w:p w14:paraId="4E4276EF">
      <w:pPr>
        <w:keepNext w:val="0"/>
        <w:keepLines w:val="0"/>
        <w:widowControl/>
        <w:suppressLineNumbers w:val="0"/>
        <w:snapToGrid w:val="0"/>
        <w:spacing w:before="100" w:beforeAutospacing="0" w:after="100" w:afterAutospacing="0" w:line="600" w:lineRule="exact"/>
        <w:ind w:left="0" w:right="0" w:firstLine="640" w:firstLineChars="200"/>
        <w:jc w:val="left"/>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2016年度用于保障完成特定的行政工作任务或事业发展目标，用于专项业务工作的经费支出85.7万元。与上年22万元对比</w:t>
      </w:r>
      <w:r>
        <w:rPr>
          <w:rFonts w:hint="default" w:ascii="仿宋_GB2312" w:hAnsi="宋体" w:eastAsia="仿宋_GB2312" w:cs="仿宋_GB2312"/>
          <w:kern w:val="2"/>
          <w:sz w:val="32"/>
          <w:szCs w:val="32"/>
          <w:lang w:val="en-US" w:eastAsia="zh-CN" w:bidi="ar"/>
        </w:rPr>
        <w:t>增加63.7万元</w:t>
      </w:r>
      <w:r>
        <w:rPr>
          <w:rFonts w:hint="default" w:ascii="仿宋_GB2312" w:hAnsi="Times New Roman" w:eastAsia="仿宋_GB2312" w:cs="仿宋_GB2312"/>
          <w:kern w:val="2"/>
          <w:sz w:val="32"/>
          <w:szCs w:val="32"/>
          <w:lang w:val="en-US" w:eastAsia="zh-CN" w:bidi="ar"/>
        </w:rPr>
        <w:t>,主要原因分析三级联动视频接访建设项目，支付电信公司系统建设费用83万元，支付10—11月通信服务费2.7万元。</w:t>
      </w:r>
    </w:p>
    <w:p w14:paraId="16EB09DB">
      <w:pPr>
        <w:keepNext w:val="0"/>
        <w:keepLines w:val="0"/>
        <w:widowControl w:val="0"/>
        <w:suppressLineNumbers w:val="0"/>
        <w:snapToGrid w:val="0"/>
        <w:spacing w:before="0" w:beforeAutospacing="0" w:after="0" w:afterAutospacing="0"/>
        <w:ind w:left="0" w:right="0" w:firstLine="640" w:firstLineChars="200"/>
        <w:jc w:val="both"/>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三、一般公共预算财政拨款支出决算情况说明</w:t>
      </w:r>
    </w:p>
    <w:p w14:paraId="2E81C8FC">
      <w:pPr>
        <w:keepNext w:val="0"/>
        <w:keepLines w:val="0"/>
        <w:widowControl w:val="0"/>
        <w:suppressLineNumbers w:val="0"/>
        <w:snapToGrid w:val="0"/>
        <w:spacing w:before="0" w:beforeAutospacing="0" w:after="0" w:afterAutospacing="0"/>
        <w:ind w:left="0" w:right="0" w:firstLine="480" w:firstLineChars="150"/>
        <w:jc w:val="both"/>
        <w:rPr>
          <w:rFonts w:hint="default" w:ascii="楷体_GB2312" w:eastAsia="楷体_GB2312" w:cs="楷体_GB2312"/>
          <w:kern w:val="2"/>
          <w:sz w:val="32"/>
          <w:szCs w:val="32"/>
        </w:rPr>
      </w:pPr>
      <w:r>
        <w:rPr>
          <w:rFonts w:hint="default" w:ascii="楷体_GB2312" w:hAnsi="Times New Roman" w:eastAsia="楷体_GB2312" w:cs="楷体_GB2312"/>
          <w:kern w:val="2"/>
          <w:sz w:val="32"/>
          <w:szCs w:val="32"/>
          <w:lang w:val="en-US" w:eastAsia="zh-CN" w:bidi="ar"/>
        </w:rPr>
        <w:t>（一）一般公共预算财政拨款支出决算总体情况</w:t>
      </w:r>
    </w:p>
    <w:p w14:paraId="765D9B12">
      <w:pPr>
        <w:keepNext w:val="0"/>
        <w:keepLines w:val="0"/>
        <w:widowControl/>
        <w:suppressLineNumbers w:val="0"/>
        <w:snapToGrid w:val="0"/>
        <w:spacing w:before="100" w:beforeAutospacing="0" w:after="100" w:afterAutospacing="0" w:line="600" w:lineRule="exact"/>
        <w:ind w:left="0" w:right="0" w:firstLine="538"/>
        <w:jc w:val="left"/>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芒市信访局2016年度一般公共预算财政拨款支出235.7万元,占本年支出合计的100%。与上年122.79万元对比增加112.91万元，同比上升92.09%，主要原因分析是支付三级联动视频接访建设项目资金83万元，支付调整工资等资金29.91</w:t>
      </w:r>
      <w:r>
        <w:rPr>
          <w:rFonts w:hint="default" w:ascii="仿宋_GB2312" w:hAnsi="宋体" w:eastAsia="仿宋_GB2312" w:cs="仿宋_GB2312"/>
          <w:kern w:val="2"/>
          <w:sz w:val="32"/>
          <w:szCs w:val="32"/>
          <w:lang w:val="en-US" w:eastAsia="zh-CN" w:bidi="ar"/>
        </w:rPr>
        <w:t>万元</w:t>
      </w:r>
      <w:r>
        <w:rPr>
          <w:rFonts w:hint="default" w:ascii="仿宋_GB2312" w:hAnsi="Times New Roman" w:eastAsia="仿宋_GB2312" w:cs="仿宋_GB2312"/>
          <w:kern w:val="2"/>
          <w:sz w:val="32"/>
          <w:szCs w:val="32"/>
          <w:lang w:val="en-US" w:eastAsia="zh-CN" w:bidi="ar"/>
        </w:rPr>
        <w:t>。</w:t>
      </w:r>
    </w:p>
    <w:p w14:paraId="22BC5FB3">
      <w:pPr>
        <w:keepNext w:val="0"/>
        <w:keepLines w:val="0"/>
        <w:widowControl/>
        <w:suppressLineNumbers w:val="0"/>
        <w:snapToGrid w:val="0"/>
        <w:spacing w:before="100" w:beforeAutospacing="0" w:after="100" w:afterAutospacing="0" w:line="600" w:lineRule="exact"/>
        <w:ind w:left="0" w:right="0" w:firstLine="640" w:firstLineChars="200"/>
        <w:jc w:val="left"/>
        <w:rPr>
          <w:rFonts w:hint="default" w:ascii="仿宋_GB2312" w:hAnsi="楷体" w:eastAsia="仿宋_GB2312" w:cs="仿宋_GB2312"/>
          <w:kern w:val="2"/>
          <w:sz w:val="32"/>
          <w:szCs w:val="32"/>
        </w:rPr>
      </w:pPr>
      <w:r>
        <w:rPr>
          <w:rFonts w:hint="default" w:ascii="仿宋_GB2312" w:hAnsi="楷体" w:eastAsia="仿宋_GB2312" w:cs="仿宋_GB2312"/>
          <w:kern w:val="2"/>
          <w:sz w:val="32"/>
          <w:szCs w:val="32"/>
          <w:lang w:val="en-US" w:eastAsia="zh-CN" w:bidi="ar"/>
        </w:rPr>
        <w:t xml:space="preserve">（二）一般公共预算财政拨款支出决算具体情况 </w:t>
      </w:r>
    </w:p>
    <w:p w14:paraId="1D22D352">
      <w:pPr>
        <w:keepNext w:val="0"/>
        <w:keepLines w:val="0"/>
        <w:widowControl/>
        <w:suppressLineNumbers w:val="0"/>
        <w:snapToGrid w:val="0"/>
        <w:spacing w:before="100" w:beforeAutospacing="0" w:after="100" w:afterAutospacing="0" w:line="600" w:lineRule="exact"/>
        <w:ind w:left="0" w:right="0" w:firstLine="640" w:firstLineChars="200"/>
        <w:jc w:val="left"/>
        <w:rPr>
          <w:rFonts w:hint="default" w:ascii="仿宋_GB2312" w:hAnsi="宋体" w:eastAsia="仿宋_GB2312" w:cs="Arial"/>
          <w:kern w:val="0"/>
          <w:sz w:val="32"/>
          <w:szCs w:val="32"/>
        </w:rPr>
      </w:pPr>
      <w:r>
        <w:rPr>
          <w:rFonts w:hint="default" w:ascii="仿宋_GB2312" w:hAnsi="宋体" w:eastAsia="仿宋_GB2312" w:cs="Arial"/>
          <w:kern w:val="0"/>
          <w:sz w:val="32"/>
          <w:szCs w:val="32"/>
          <w:lang w:val="en-US" w:eastAsia="zh-CN" w:bidi="ar"/>
        </w:rPr>
        <w:t>1.一般公共服务（类）支出150万元，</w:t>
      </w:r>
      <w:r>
        <w:rPr>
          <w:rFonts w:hint="default" w:ascii="仿宋_GB2312" w:hAnsi="Times New Roman" w:eastAsia="仿宋_GB2312" w:cs="仿宋_GB2312"/>
          <w:kern w:val="2"/>
          <w:sz w:val="32"/>
          <w:szCs w:val="32"/>
          <w:lang w:val="en-US" w:eastAsia="zh-CN" w:bidi="ar"/>
        </w:rPr>
        <w:t>占一般公共预算财政拨款总支出的100%。</w:t>
      </w:r>
      <w:r>
        <w:rPr>
          <w:rFonts w:hint="default" w:ascii="仿宋_GB2312" w:hAnsi="宋体" w:eastAsia="仿宋_GB2312" w:cs="仿宋_GB2312"/>
          <w:kern w:val="0"/>
          <w:sz w:val="32"/>
          <w:szCs w:val="32"/>
          <w:lang w:val="en-US" w:eastAsia="zh-CN" w:bidi="ar"/>
        </w:rPr>
        <w:t>主要用于人员经费支出</w:t>
      </w:r>
      <w:r>
        <w:rPr>
          <w:rFonts w:hint="default" w:ascii="仿宋_GB2312" w:hAnsi="宋体" w:eastAsia="仿宋_GB2312" w:cs="Arial"/>
          <w:kern w:val="0"/>
          <w:sz w:val="32"/>
          <w:szCs w:val="32"/>
          <w:lang w:val="en-US" w:eastAsia="zh-CN" w:bidi="ar"/>
        </w:rPr>
        <w:t>125.5万元，其中：工资福利支出90.55万元，对个人和家庭的补助34.95万元；商品和服务费支出24.5万元。</w:t>
      </w:r>
    </w:p>
    <w:p w14:paraId="4C99E350">
      <w:pPr>
        <w:keepNext w:val="0"/>
        <w:keepLines w:val="0"/>
        <w:widowControl/>
        <w:suppressLineNumbers w:val="0"/>
        <w:snapToGrid w:val="0"/>
        <w:spacing w:before="100" w:beforeAutospacing="0" w:after="100" w:afterAutospacing="0" w:line="600" w:lineRule="exact"/>
        <w:ind w:left="0" w:right="0" w:firstLine="640" w:firstLineChars="200"/>
        <w:jc w:val="left"/>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四、一般公共预算财政拨款“三公”经费支出决算情况说明</w:t>
      </w:r>
    </w:p>
    <w:p w14:paraId="5E85E683">
      <w:pPr>
        <w:keepNext w:val="0"/>
        <w:keepLines w:val="0"/>
        <w:widowControl/>
        <w:suppressLineNumbers w:val="0"/>
        <w:snapToGrid w:val="0"/>
        <w:spacing w:before="100" w:beforeAutospacing="0" w:after="100" w:afterAutospacing="0" w:line="600" w:lineRule="exact"/>
        <w:ind w:left="0" w:right="0" w:firstLine="640" w:firstLineChars="200"/>
        <w:jc w:val="left"/>
        <w:rPr>
          <w:rFonts w:hint="default" w:ascii="仿宋_GB2312" w:hAnsi="楷体" w:eastAsia="仿宋_GB2312" w:cs="仿宋_GB2312"/>
          <w:kern w:val="2"/>
          <w:sz w:val="32"/>
          <w:szCs w:val="32"/>
        </w:rPr>
      </w:pPr>
      <w:r>
        <w:rPr>
          <w:rFonts w:hint="default" w:ascii="仿宋_GB2312" w:hAnsi="楷体" w:eastAsia="仿宋_GB2312" w:cs="仿宋_GB2312"/>
          <w:kern w:val="2"/>
          <w:sz w:val="32"/>
          <w:szCs w:val="32"/>
          <w:lang w:val="en-US" w:eastAsia="zh-CN" w:bidi="ar"/>
        </w:rPr>
        <w:t>(一)“三公”经费财政拨款支出决算总体情况</w:t>
      </w:r>
    </w:p>
    <w:p w14:paraId="75176BC1">
      <w:pPr>
        <w:keepNext w:val="0"/>
        <w:keepLines w:val="0"/>
        <w:widowControl w:val="0"/>
        <w:suppressLineNumbers w:val="0"/>
        <w:adjustRightInd w:val="0"/>
        <w:snapToGrid w:val="0"/>
        <w:spacing w:before="0" w:beforeAutospacing="0" w:after="0" w:afterAutospacing="0" w:line="600" w:lineRule="exact"/>
        <w:ind w:left="0" w:right="0" w:firstLine="640" w:firstLineChars="200"/>
        <w:jc w:val="left"/>
        <w:rPr>
          <w:rFonts w:hint="default" w:ascii="仿宋_GB2312" w:hAnsi="Calibri" w:eastAsia="仿宋_GB2312" w:cs="宋体"/>
          <w:kern w:val="0"/>
          <w:sz w:val="32"/>
          <w:szCs w:val="32"/>
        </w:rPr>
      </w:pPr>
      <w:r>
        <w:rPr>
          <w:rFonts w:hint="default" w:ascii="仿宋_GB2312" w:hAnsi="Times New Roman" w:eastAsia="仿宋_GB2312" w:cs="仿宋_GB2312"/>
          <w:kern w:val="2"/>
          <w:sz w:val="32"/>
          <w:szCs w:val="32"/>
          <w:lang w:val="en-US" w:eastAsia="zh-CN" w:bidi="ar"/>
        </w:rPr>
        <w:t>芒市信访局2016年度“三公”经费财政拨款支出预算为5.9万元，支出决算为3.29万元，完成预算的55.76%。其中：因公出国（境）费支出决算为0万元；公务用车购置及运行费支出决算为2.55万元，完成预算的43.22%；公务接待费支出决算为0.74万元，完成预算的12.54%。2016年度“三公”经费支出决算数小于预算数的主要原因</w:t>
      </w:r>
      <w:r>
        <w:rPr>
          <w:rFonts w:hint="default" w:ascii="仿宋_GB2312" w:hAnsi="Calibri" w:eastAsia="仿宋_GB2312" w:cs="仿宋_GB2312"/>
          <w:kern w:val="0"/>
          <w:sz w:val="32"/>
          <w:szCs w:val="32"/>
          <w:lang w:val="en-US" w:eastAsia="zh-CN" w:bidi="ar"/>
        </w:rPr>
        <w:t>是我局深入贯彻落实中央</w:t>
      </w:r>
      <w:r>
        <w:rPr>
          <w:rFonts w:hint="default" w:ascii="仿宋_GB2312" w:hAnsi="Calibri" w:eastAsia="仿宋_GB2312" w:cs="宋体"/>
          <w:kern w:val="0"/>
          <w:sz w:val="32"/>
          <w:szCs w:val="32"/>
          <w:lang w:val="en-US" w:eastAsia="zh-CN" w:bidi="ar"/>
        </w:rPr>
        <w:t>八项规定及省委实施办法等厉行节约要求推动节约型机关建设的相关文件精神，狠抓落实，严控“三公经费”及各种预算外支出。</w:t>
      </w:r>
    </w:p>
    <w:p w14:paraId="3CDD9019">
      <w:pPr>
        <w:keepNext w:val="0"/>
        <w:keepLines w:val="0"/>
        <w:widowControl w:val="0"/>
        <w:suppressLineNumbers w:val="0"/>
        <w:snapToGrid w:val="0"/>
        <w:spacing w:before="0" w:beforeAutospacing="0" w:after="0" w:afterAutospacing="0" w:line="640" w:lineRule="exact"/>
        <w:ind w:left="0" w:right="0" w:firstLine="640" w:firstLineChars="200"/>
        <w:jc w:val="both"/>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2016年度“三公”经费财政拨款支出决算数3.29万元比2015年5.98万元减少2.69万元，下降55.02%。其中：因公出国（境）费支出决算0万元；公务用车购置及运行费支出决算减少0.4万元，下降86.44%。；公务接待费支出决算减少2.29万元，下降24.42%。2016年度“三公”经费支出决算减少的主要原因是我局深入贯彻落实中央八项规定及省委实施办法等厉行节约要求推动节约型机关建设的相关文件精神，狠抓落实，严控“三公经费”及各种预算外支出。</w:t>
      </w:r>
    </w:p>
    <w:p w14:paraId="188E29D3">
      <w:pPr>
        <w:keepNext w:val="0"/>
        <w:keepLines w:val="0"/>
        <w:widowControl/>
        <w:suppressLineNumbers w:val="0"/>
        <w:snapToGrid w:val="0"/>
        <w:spacing w:before="100" w:beforeAutospacing="0" w:after="100" w:afterAutospacing="0" w:line="600" w:lineRule="exact"/>
        <w:ind w:left="0" w:right="0" w:firstLine="640" w:firstLineChars="200"/>
        <w:jc w:val="left"/>
        <w:rPr>
          <w:rFonts w:hint="default" w:ascii="仿宋_GB2312" w:hAnsi="楷体" w:eastAsia="仿宋_GB2312" w:cs="仿宋_GB2312"/>
          <w:kern w:val="2"/>
          <w:sz w:val="32"/>
          <w:szCs w:val="32"/>
        </w:rPr>
      </w:pPr>
      <w:r>
        <w:rPr>
          <w:rFonts w:hint="default" w:ascii="仿宋_GB2312" w:hAnsi="楷体" w:eastAsia="仿宋_GB2312" w:cs="仿宋_GB2312"/>
          <w:kern w:val="2"/>
          <w:sz w:val="32"/>
          <w:szCs w:val="32"/>
          <w:lang w:val="en-US" w:eastAsia="zh-CN" w:bidi="ar"/>
        </w:rPr>
        <w:t>(二)“三公”经费财政拨款支出决算具体</w:t>
      </w:r>
      <w:bookmarkStart w:id="0" w:name="_GoBack"/>
      <w:bookmarkEnd w:id="0"/>
      <w:r>
        <w:rPr>
          <w:rFonts w:hint="default" w:ascii="仿宋_GB2312" w:hAnsi="楷体" w:eastAsia="仿宋_GB2312" w:cs="仿宋_GB2312"/>
          <w:kern w:val="2"/>
          <w:sz w:val="32"/>
          <w:szCs w:val="32"/>
          <w:lang w:val="en-US" w:eastAsia="zh-CN" w:bidi="ar"/>
        </w:rPr>
        <w:t>情况</w:t>
      </w:r>
    </w:p>
    <w:p w14:paraId="38DD81ED">
      <w:pPr>
        <w:keepNext w:val="0"/>
        <w:keepLines w:val="0"/>
        <w:widowControl/>
        <w:suppressLineNumbers w:val="0"/>
        <w:snapToGrid w:val="0"/>
        <w:spacing w:before="100" w:beforeAutospacing="0" w:after="100" w:afterAutospacing="0" w:line="600" w:lineRule="exact"/>
        <w:ind w:left="0" w:right="0" w:firstLine="640" w:firstLineChars="200"/>
        <w:jc w:val="left"/>
        <w:rPr>
          <w:rFonts w:hint="default" w:ascii="仿宋_GB2312" w:eastAsia="仿宋_GB2312" w:cs="仿宋_GB2312"/>
          <w:kern w:val="2"/>
          <w:sz w:val="32"/>
          <w:szCs w:val="32"/>
        </w:rPr>
      </w:pPr>
      <w:r>
        <w:rPr>
          <w:rFonts w:hint="default" w:ascii="仿宋_GB2312" w:hAnsi="Times New Roman" w:eastAsia="仿宋_GB2312" w:cs="仿宋_GB2312"/>
          <w:kern w:val="2"/>
          <w:sz w:val="32"/>
          <w:szCs w:val="32"/>
          <w:lang w:val="en-US" w:eastAsia="zh-CN" w:bidi="ar"/>
        </w:rPr>
        <w:t>2016年度“三公”经费财政拨款支出决算中，因公出国（境）费支出0万元；公务用车购置及运行维护费支出2.55万元，占77.51%；公务接待费支出0.74万元，占22.49%。具体情况如下：</w:t>
      </w:r>
    </w:p>
    <w:p w14:paraId="5D6DC5C7">
      <w:pPr>
        <w:keepNext w:val="0"/>
        <w:keepLines w:val="0"/>
        <w:widowControl/>
        <w:suppressLineNumbers w:val="0"/>
        <w:snapToGrid w:val="0"/>
        <w:spacing w:before="100" w:beforeAutospacing="0" w:after="100" w:afterAutospacing="0" w:line="600" w:lineRule="exact"/>
        <w:ind w:left="0" w:right="0" w:firstLine="643" w:firstLineChars="200"/>
        <w:jc w:val="left"/>
        <w:rPr>
          <w:rFonts w:hint="default" w:ascii="仿宋_GB2312" w:eastAsia="仿宋_GB2312" w:cs="仿宋_GB2312"/>
          <w:kern w:val="2"/>
          <w:sz w:val="32"/>
          <w:szCs w:val="32"/>
        </w:rPr>
      </w:pPr>
      <w:r>
        <w:rPr>
          <w:rFonts w:hint="default" w:ascii="仿宋_GB2312" w:hAnsi="Times New Roman" w:eastAsia="仿宋_GB2312" w:cs="仿宋_GB2312"/>
          <w:b/>
          <w:kern w:val="2"/>
          <w:sz w:val="32"/>
          <w:szCs w:val="32"/>
          <w:lang w:val="en-US" w:eastAsia="zh-CN" w:bidi="ar"/>
        </w:rPr>
        <w:t>1.因公出国（境）费</w:t>
      </w:r>
      <w:r>
        <w:rPr>
          <w:rFonts w:hint="default" w:ascii="仿宋_GB2312" w:hAnsi="Times New Roman" w:eastAsia="仿宋_GB2312" w:cs="仿宋_GB2312"/>
          <w:kern w:val="2"/>
          <w:sz w:val="32"/>
          <w:szCs w:val="32"/>
          <w:lang w:val="en-US" w:eastAsia="zh-CN" w:bidi="ar"/>
        </w:rPr>
        <w:t>支出0万元。全年未安排单位因公出国（境）。</w:t>
      </w:r>
    </w:p>
    <w:p w14:paraId="706F5404">
      <w:pPr>
        <w:keepNext w:val="0"/>
        <w:keepLines w:val="0"/>
        <w:widowControl/>
        <w:suppressLineNumbers w:val="0"/>
        <w:snapToGrid w:val="0"/>
        <w:spacing w:before="100" w:beforeAutospacing="0" w:after="100" w:afterAutospacing="0" w:line="600" w:lineRule="exact"/>
        <w:ind w:left="0" w:right="0" w:firstLine="643" w:firstLineChars="200"/>
        <w:jc w:val="left"/>
        <w:rPr>
          <w:rFonts w:hint="default" w:ascii="仿宋_GB2312" w:eastAsia="仿宋_GB2312" w:cs="仿宋_GB2312"/>
          <w:kern w:val="2"/>
          <w:sz w:val="32"/>
          <w:szCs w:val="32"/>
        </w:rPr>
      </w:pPr>
      <w:r>
        <w:rPr>
          <w:rFonts w:hint="default" w:ascii="仿宋_GB2312" w:hAnsi="Times New Roman" w:eastAsia="仿宋_GB2312" w:cs="仿宋_GB2312"/>
          <w:b/>
          <w:kern w:val="2"/>
          <w:sz w:val="32"/>
          <w:szCs w:val="32"/>
          <w:lang w:val="en-US" w:eastAsia="zh-CN" w:bidi="ar"/>
        </w:rPr>
        <w:t>2. 公务用车购置及运行维护费</w:t>
      </w:r>
      <w:r>
        <w:rPr>
          <w:rFonts w:hint="default" w:ascii="仿宋_GB2312" w:hAnsi="Times New Roman" w:eastAsia="仿宋_GB2312" w:cs="仿宋_GB2312"/>
          <w:kern w:val="2"/>
          <w:sz w:val="32"/>
          <w:szCs w:val="32"/>
          <w:lang w:val="en-US" w:eastAsia="zh-CN" w:bidi="ar"/>
        </w:rPr>
        <w:t>支出2.55万元。其中：</w:t>
      </w:r>
    </w:p>
    <w:p w14:paraId="6882FEC5">
      <w:pPr>
        <w:keepNext w:val="0"/>
        <w:keepLines w:val="0"/>
        <w:widowControl/>
        <w:suppressLineNumbers w:val="0"/>
        <w:snapToGrid w:val="0"/>
        <w:spacing w:before="100" w:beforeAutospacing="0" w:after="100" w:afterAutospacing="0" w:line="600" w:lineRule="exact"/>
        <w:ind w:left="0" w:right="0"/>
        <w:jc w:val="left"/>
        <w:rPr>
          <w:rFonts w:hint="default" w:ascii="仿宋_GB2312" w:eastAsia="仿宋_GB2312" w:cs="仿宋_GB2312"/>
          <w:kern w:val="2"/>
          <w:sz w:val="32"/>
          <w:szCs w:val="32"/>
        </w:rPr>
      </w:pPr>
      <w:r>
        <w:rPr>
          <w:rFonts w:hint="default" w:ascii="仿宋_GB2312" w:hAnsi="Times New Roman" w:eastAsia="仿宋_GB2312" w:cs="仿宋_GB2312"/>
          <w:b/>
          <w:kern w:val="2"/>
          <w:sz w:val="32"/>
          <w:szCs w:val="32"/>
          <w:lang w:val="en-US" w:eastAsia="zh-CN" w:bidi="ar"/>
        </w:rPr>
        <w:t>公务用车购置</w:t>
      </w:r>
      <w:r>
        <w:rPr>
          <w:rFonts w:hint="default" w:ascii="仿宋_GB2312" w:hAnsi="Times New Roman" w:eastAsia="仿宋_GB2312" w:cs="仿宋_GB2312"/>
          <w:kern w:val="2"/>
          <w:sz w:val="32"/>
          <w:szCs w:val="32"/>
          <w:lang w:val="en-US" w:eastAsia="zh-CN" w:bidi="ar"/>
        </w:rPr>
        <w:t>支出0万元。</w:t>
      </w:r>
    </w:p>
    <w:p w14:paraId="54684888">
      <w:pPr>
        <w:keepNext w:val="0"/>
        <w:keepLines w:val="0"/>
        <w:widowControl/>
        <w:suppressLineNumbers w:val="0"/>
        <w:snapToGrid w:val="0"/>
        <w:spacing w:before="100" w:beforeAutospacing="0" w:after="100" w:afterAutospacing="0" w:line="600" w:lineRule="exact"/>
        <w:ind w:left="0" w:right="0" w:firstLine="630" w:firstLineChars="196"/>
        <w:jc w:val="left"/>
        <w:rPr>
          <w:rFonts w:hint="default" w:ascii="仿宋_GB2312" w:eastAsia="仿宋_GB2312" w:cs="仿宋_GB2312"/>
          <w:kern w:val="2"/>
          <w:sz w:val="32"/>
          <w:szCs w:val="32"/>
        </w:rPr>
      </w:pPr>
      <w:r>
        <w:rPr>
          <w:rFonts w:hint="default" w:ascii="仿宋_GB2312" w:hAnsi="Times New Roman" w:eastAsia="仿宋_GB2312" w:cs="仿宋_GB2312"/>
          <w:b/>
          <w:kern w:val="2"/>
          <w:sz w:val="32"/>
          <w:szCs w:val="32"/>
          <w:lang w:val="en-US" w:eastAsia="zh-CN" w:bidi="ar"/>
        </w:rPr>
        <w:t>公务用车运行维护</w:t>
      </w:r>
      <w:r>
        <w:rPr>
          <w:rFonts w:hint="default" w:ascii="仿宋_GB2312" w:hAnsi="Times New Roman" w:eastAsia="仿宋_GB2312" w:cs="仿宋_GB2312"/>
          <w:kern w:val="2"/>
          <w:sz w:val="32"/>
          <w:szCs w:val="32"/>
          <w:lang w:val="en-US" w:eastAsia="zh-CN" w:bidi="ar"/>
        </w:rPr>
        <w:t>支出2.55万元。主要用于本单位所需车辆燃料费、维修费、过路过桥费、保险费等。2016年度，芒市信访局开支财政拨款的公务用车保有量为2辆。</w:t>
      </w:r>
    </w:p>
    <w:p w14:paraId="18842436">
      <w:pPr>
        <w:keepNext w:val="0"/>
        <w:keepLines w:val="0"/>
        <w:widowControl/>
        <w:suppressLineNumbers w:val="0"/>
        <w:snapToGrid w:val="0"/>
        <w:spacing w:before="100" w:beforeAutospacing="0" w:after="100" w:afterAutospacing="0" w:line="600" w:lineRule="exact"/>
        <w:ind w:left="0" w:right="0" w:firstLine="643" w:firstLineChars="200"/>
        <w:jc w:val="left"/>
        <w:rPr>
          <w:rFonts w:hint="default" w:ascii="仿宋_GB2312" w:eastAsia="仿宋_GB2312" w:cs="仿宋_GB2312"/>
          <w:kern w:val="2"/>
          <w:sz w:val="32"/>
          <w:szCs w:val="32"/>
        </w:rPr>
      </w:pPr>
      <w:r>
        <w:rPr>
          <w:rFonts w:hint="default" w:ascii="仿宋_GB2312" w:hAnsi="Times New Roman" w:eastAsia="仿宋_GB2312" w:cs="仿宋_GB2312"/>
          <w:b/>
          <w:kern w:val="2"/>
          <w:sz w:val="32"/>
          <w:szCs w:val="32"/>
          <w:lang w:val="en-US" w:eastAsia="zh-CN" w:bidi="ar"/>
        </w:rPr>
        <w:t>3.公务接待费</w:t>
      </w:r>
      <w:r>
        <w:rPr>
          <w:rFonts w:hint="default" w:ascii="仿宋_GB2312" w:hAnsi="Times New Roman" w:eastAsia="仿宋_GB2312" w:cs="仿宋_GB2312"/>
          <w:kern w:val="2"/>
          <w:sz w:val="32"/>
          <w:szCs w:val="32"/>
          <w:lang w:val="en-US" w:eastAsia="zh-CN" w:bidi="ar"/>
        </w:rPr>
        <w:t>支出0.74万元。其中：</w:t>
      </w:r>
    </w:p>
    <w:p w14:paraId="45836DBA">
      <w:pPr>
        <w:keepNext w:val="0"/>
        <w:keepLines w:val="0"/>
        <w:widowControl/>
        <w:suppressLineNumbers w:val="0"/>
        <w:snapToGrid w:val="0"/>
        <w:spacing w:before="100" w:beforeAutospacing="0" w:after="100" w:afterAutospacing="0" w:line="600" w:lineRule="exact"/>
        <w:ind w:left="0" w:right="0" w:firstLine="643" w:firstLineChars="200"/>
        <w:jc w:val="left"/>
        <w:rPr>
          <w:rFonts w:hint="default" w:ascii="仿宋_GB2312" w:eastAsia="仿宋_GB2312" w:cs="仿宋_GB2312"/>
          <w:kern w:val="2"/>
          <w:sz w:val="32"/>
          <w:szCs w:val="32"/>
        </w:rPr>
      </w:pPr>
      <w:r>
        <w:rPr>
          <w:rFonts w:hint="default" w:ascii="仿宋_GB2312" w:hAnsi="Times New Roman" w:eastAsia="仿宋_GB2312" w:cs="仿宋_GB2312"/>
          <w:b/>
          <w:kern w:val="2"/>
          <w:sz w:val="32"/>
          <w:szCs w:val="32"/>
          <w:lang w:val="en-US" w:eastAsia="zh-CN" w:bidi="ar"/>
        </w:rPr>
        <w:t>国内接待费</w:t>
      </w:r>
      <w:r>
        <w:rPr>
          <w:rFonts w:hint="default" w:ascii="仿宋_GB2312" w:hAnsi="Times New Roman" w:eastAsia="仿宋_GB2312" w:cs="仿宋_GB2312"/>
          <w:kern w:val="2"/>
          <w:sz w:val="32"/>
          <w:szCs w:val="32"/>
          <w:lang w:val="en-US" w:eastAsia="zh-CN" w:bidi="ar"/>
        </w:rPr>
        <w:t>支出0.74万元。主要用于本单位工作范围发生的接待支出。芒市信访局2016年国内公务接待10批次，接待人次60人，主要包括上级信访部门到州局开年终总结会议支出和零星相关对口单位支出。</w:t>
      </w:r>
    </w:p>
    <w:p w14:paraId="51D8B675">
      <w:pPr>
        <w:keepNext w:val="0"/>
        <w:keepLines w:val="0"/>
        <w:widowControl/>
        <w:suppressLineNumbers w:val="0"/>
        <w:snapToGrid w:val="0"/>
        <w:spacing w:before="100" w:beforeAutospacing="0" w:after="100" w:afterAutospacing="0" w:line="600" w:lineRule="exact"/>
        <w:ind w:left="0" w:right="0" w:firstLine="640" w:firstLineChars="200"/>
        <w:jc w:val="left"/>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五、其他重要事项及相关口径情况说明</w:t>
      </w:r>
    </w:p>
    <w:p w14:paraId="7692F414">
      <w:pPr>
        <w:keepNext w:val="0"/>
        <w:keepLines w:val="0"/>
        <w:widowControl w:val="0"/>
        <w:suppressLineNumbers w:val="0"/>
        <w:snapToGrid w:val="0"/>
        <w:spacing w:before="0" w:beforeAutospacing="0" w:after="0" w:afterAutospacing="0"/>
        <w:ind w:left="0" w:right="0" w:firstLine="640" w:firstLineChars="200"/>
        <w:jc w:val="both"/>
        <w:rPr>
          <w:rFonts w:hint="default" w:ascii="楷体_GB2312" w:eastAsia="楷体_GB2312" w:cs="楷体_GB2312"/>
          <w:kern w:val="2"/>
          <w:sz w:val="32"/>
          <w:szCs w:val="32"/>
        </w:rPr>
      </w:pPr>
      <w:r>
        <w:rPr>
          <w:rFonts w:hint="default" w:ascii="楷体_GB2312" w:hAnsi="Times New Roman" w:eastAsia="楷体_GB2312" w:cs="楷体_GB2312"/>
          <w:kern w:val="2"/>
          <w:sz w:val="32"/>
          <w:szCs w:val="32"/>
          <w:lang w:val="en-US" w:eastAsia="zh-CN" w:bidi="ar"/>
        </w:rPr>
        <w:t>(一)机关运行经费支出情况</w:t>
      </w:r>
    </w:p>
    <w:p w14:paraId="002626EF">
      <w:pPr>
        <w:keepNext w:val="0"/>
        <w:keepLines w:val="0"/>
        <w:widowControl w:val="0"/>
        <w:suppressLineNumbers w:val="0"/>
        <w:snapToGrid w:val="0"/>
        <w:spacing w:before="0" w:beforeAutospacing="0" w:after="0" w:afterAutospacing="0"/>
        <w:ind w:left="0" w:right="0" w:firstLine="640" w:firstLineChars="200"/>
        <w:jc w:val="both"/>
        <w:rPr>
          <w:rFonts w:hint="default" w:ascii="仿宋_GB2312" w:hAnsi="宋体" w:eastAsia="仿宋_GB2312" w:cs="Arial"/>
          <w:kern w:val="0"/>
          <w:sz w:val="32"/>
          <w:szCs w:val="32"/>
        </w:rPr>
      </w:pPr>
      <w:r>
        <w:rPr>
          <w:rFonts w:hint="default" w:ascii="仿宋_GB2312" w:hAnsi="Times New Roman" w:eastAsia="仿宋_GB2312" w:cs="仿宋_GB2312"/>
          <w:kern w:val="2"/>
          <w:sz w:val="32"/>
          <w:szCs w:val="32"/>
          <w:lang w:val="en-US" w:eastAsia="zh-CN" w:bidi="ar"/>
        </w:rPr>
        <w:t>芒市信访局2016年机关运行经费支出24.5万元，与上年23.08万元对比增加1.14万元，同比上升6.15万元,主要原因用于水电费用支出，培训差旅费支出。部门机关运行经费主要用于办公费、印刷费、水费、电费、邮电费、差旅费、会议费、培训费、劳务费、上缴工会经费、公务用车运行费、其他交通费用、其他商品和服务费支出</w:t>
      </w:r>
      <w:r>
        <w:rPr>
          <w:rFonts w:hint="default" w:ascii="仿宋_GB2312" w:hAnsi="宋体" w:eastAsia="仿宋_GB2312" w:cs="仿宋_GB2312"/>
          <w:kern w:val="0"/>
          <w:sz w:val="32"/>
          <w:szCs w:val="32"/>
          <w:lang w:val="en-US" w:eastAsia="zh-CN" w:bidi="ar"/>
        </w:rPr>
        <w:t>。</w:t>
      </w:r>
    </w:p>
    <w:p w14:paraId="3E5C47D6">
      <w:pPr>
        <w:keepNext w:val="0"/>
        <w:keepLines w:val="0"/>
        <w:widowControl/>
        <w:suppressLineNumbers w:val="0"/>
        <w:snapToGrid w:val="0"/>
        <w:spacing w:before="100" w:beforeAutospacing="0" w:after="100" w:afterAutospacing="0" w:line="600" w:lineRule="exact"/>
        <w:ind w:left="0" w:right="0" w:firstLine="640" w:firstLineChars="200"/>
        <w:jc w:val="left"/>
        <w:rPr>
          <w:rFonts w:hint="default" w:ascii="楷体_GB2312" w:hAnsi="楷体" w:eastAsia="楷体_GB2312" w:cs="楷体_GB2312"/>
          <w:kern w:val="2"/>
          <w:sz w:val="32"/>
          <w:szCs w:val="32"/>
        </w:rPr>
      </w:pPr>
      <w:r>
        <w:rPr>
          <w:rFonts w:hint="default" w:ascii="楷体_GB2312" w:hAnsi="楷体" w:eastAsia="楷体_GB2312" w:cs="楷体_GB2312"/>
          <w:kern w:val="2"/>
          <w:sz w:val="32"/>
          <w:szCs w:val="32"/>
          <w:lang w:val="en-US" w:eastAsia="zh-CN" w:bidi="ar"/>
        </w:rPr>
        <w:t>（二）其他重要事项情况说明</w:t>
      </w:r>
    </w:p>
    <w:p w14:paraId="60F46B02">
      <w:pPr>
        <w:keepNext w:val="0"/>
        <w:keepLines w:val="0"/>
        <w:widowControl w:val="0"/>
        <w:suppressLineNumbers w:val="0"/>
        <w:snapToGrid w:val="0"/>
        <w:spacing w:before="0" w:beforeAutospacing="0" w:after="0" w:afterAutospacing="0" w:line="600" w:lineRule="exact"/>
        <w:ind w:left="0" w:right="0" w:firstLine="640" w:firstLineChars="200"/>
        <w:jc w:val="both"/>
        <w:rPr>
          <w:rFonts w:hint="default" w:ascii="仿宋_GB2312" w:hAnsi="宋体" w:eastAsia="仿宋_GB2312" w:cs="仿宋_GB2312"/>
          <w:kern w:val="2"/>
          <w:sz w:val="32"/>
          <w:szCs w:val="32"/>
        </w:rPr>
      </w:pPr>
      <w:r>
        <w:rPr>
          <w:rFonts w:hint="default" w:ascii="仿宋_GB2312" w:hAnsi="宋体" w:eastAsia="仿宋_GB2312" w:cs="仿宋_GB2312"/>
          <w:kern w:val="2"/>
          <w:sz w:val="32"/>
          <w:szCs w:val="32"/>
          <w:lang w:val="en-US" w:eastAsia="zh-CN" w:bidi="ar"/>
        </w:rPr>
        <w:t>2016年芒市信访局无政府采购商品。</w:t>
      </w:r>
    </w:p>
    <w:p w14:paraId="1A7CC955"/>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KSOF4B1AA1F4">
    <w:panose1 w:val="020B0604020202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FCAE1">
    <w:pPr>
      <w:pStyle w:val="3"/>
      <w:widowControl/>
    </w:pPr>
    <w:r>
      <w:rPr>
        <w:rFonts w:hint="default" w:ascii="Times New Roman" w:hAnsi="Times New Roman" w:cs="Times New Roman"/>
        <w:kern w:val="2"/>
        <w:sz w:val="18"/>
        <w:szCs w:val="18"/>
      </w:rPr>
      <w:fldChar w:fldCharType="begin"/>
    </w:r>
    <w:r>
      <w:rPr>
        <w:rFonts w:hint="default" w:ascii="Times New Roman" w:hAnsi="Times New Roman" w:cs="Times New Roman"/>
        <w:kern w:val="2"/>
        <w:sz w:val="18"/>
        <w:szCs w:val="18"/>
      </w:rPr>
      <w:fldChar w:fldCharType="separate"/>
    </w:r>
    <w:r>
      <w:rPr>
        <w:rFonts w:hint="default" w:ascii="Times New Roman" w:hAnsi="Times New Roman" w:cs="Times New Roman"/>
        <w:kern w:val="2"/>
        <w:sz w:val="18"/>
        <w:szCs w:val="18"/>
      </w:rPr>
      <w:fldChar w:fldCharType="end"/>
    </w:r>
  </w:p>
  <w:p w14:paraId="4A92A06C">
    <w:pPr>
      <w:pStyle w:val="3"/>
      <w:widowControl/>
      <w:rPr>
        <w:rFonts w:hint="default" w:ascii="Times New Roman" w:hAnsi="Times New Roman" w:cs="Times New Roman"/>
        <w:sz w:val="28"/>
        <w:szCs w:val="28"/>
      </w:rPr>
    </w:pPr>
    <w:r>
      <w:rPr>
        <w:rFonts w:hint="default" w:ascii="Times New Roman" w:hAnsi="Times New Roman" w:cs="Times New Roman"/>
        <w:kern w:val="2"/>
        <w:sz w:val="28"/>
        <w:szCs w:val="28"/>
      </w:rPr>
      <w:fldChar w:fldCharType="begin"/>
    </w:r>
    <w:r>
      <w:rPr>
        <w:rStyle w:val="7"/>
        <w:rFonts w:hint="default" w:ascii="Times New Roman" w:hAnsi="Times New Roman" w:cs="Times New Roman"/>
        <w:sz w:val="28"/>
        <w:szCs w:val="28"/>
      </w:rPr>
      <w:instrText xml:space="preserve">PAGE  </w:instrText>
    </w:r>
    <w:r>
      <w:rPr>
        <w:rFonts w:hint="default" w:ascii="Times New Roman" w:hAnsi="Times New Roman" w:cs="Times New Roman"/>
        <w:kern w:val="2"/>
        <w:sz w:val="28"/>
        <w:szCs w:val="28"/>
      </w:rPr>
      <w:fldChar w:fldCharType="separate"/>
    </w:r>
    <w:r>
      <w:rPr>
        <w:rStyle w:val="7"/>
        <w:rFonts w:hint="default" w:ascii="Times New Roman" w:hAnsi="Times New Roman" w:cs="Times New Roman"/>
        <w:sz w:val="28"/>
        <w:szCs w:val="28"/>
      </w:rPr>
      <w:t>- 1 -</w:t>
    </w:r>
    <w:r>
      <w:rPr>
        <w:rFonts w:hint="default" w:ascii="Times New Roman" w:hAnsi="Times New Roman" w:cs="Times New Roman"/>
        <w:kern w:val="2"/>
        <w:sz w:val="28"/>
        <w:szCs w:val="28"/>
      </w:rPr>
      <w:fldChar w:fldCharType="end"/>
    </w:r>
  </w:p>
  <w:p w14:paraId="524E57C9">
    <w:pPr>
      <w:pStyle w:val="3"/>
      <w:widowControl/>
      <w:ind w:left="0" w:right="360" w:firstLine="360"/>
      <w:rPr>
        <w:rFonts w:hint="default" w:ascii="Times New Roman" w:hAnsi="Times New Roman" w:cs="Times New Roman"/>
        <w:kern w:val="2"/>
        <w:sz w:val="18"/>
        <w:szCs w:val="18"/>
      </w:rPr>
    </w:pPr>
    <w:r>
      <w:rPr>
        <w:rFonts w:hint="default" w:ascii="Times New Roman" w:hAnsi="Times New Roman" w:cs="Times New Roman"/>
        <w:kern w:val="2"/>
        <w:sz w:val="1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030E4">
    <w:pPr>
      <w:pStyle w:val="4"/>
      <w:widowControl/>
      <w:pBdr>
        <w:top w:val="none" w:color="auto" w:sz="0" w:space="0"/>
        <w:left w:val="none" w:color="auto" w:sz="0" w:space="0"/>
        <w:bottom w:val="none" w:color="auto" w:sz="0" w:space="0"/>
        <w:right w:val="none" w:color="auto" w:sz="0" w:space="0"/>
      </w:pBdr>
      <w:rPr>
        <w:rFonts w:hint="default" w:ascii="Times New Roman" w:hAnsi="Times New Roman" w:cs="Times New Roman"/>
        <w:kern w:val="2"/>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9E40D1"/>
    <w:rsid w:val="0FCC65C6"/>
    <w:rsid w:val="219E40D1"/>
    <w:rsid w:val="39F5730A"/>
    <w:rsid w:val="3CA01015"/>
    <w:rsid w:val="469D20E2"/>
    <w:rsid w:val="51B952F3"/>
    <w:rsid w:val="6EEB727F"/>
    <w:rsid w:val="76C43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keepNext w:val="0"/>
      <w:keepLines w:val="0"/>
      <w:widowControl w:val="0"/>
      <w:suppressLineNumbers w:val="0"/>
      <w:spacing w:before="93" w:beforeLines="30" w:beforeAutospacing="0"/>
      <w:jc w:val="both"/>
    </w:pPr>
    <w:rPr>
      <w:rFonts w:hint="default" w:ascii="仿宋_GB2312" w:hAnsi="宋体" w:eastAsia="仿宋_GB2312" w:cs="仿宋_GB2312"/>
      <w:kern w:val="2"/>
      <w:sz w:val="30"/>
      <w:szCs w:val="30"/>
      <w:lang w:val="en-US" w:eastAsia="zh-CN" w:bidi="ar"/>
    </w:rPr>
  </w:style>
  <w:style w:type="paragraph" w:styleId="3">
    <w:name w:val="footer"/>
    <w:basedOn w:val="1"/>
    <w:qFormat/>
    <w:uiPriority w:val="0"/>
    <w:pPr>
      <w:keepNext w:val="0"/>
      <w:keepLines w:val="0"/>
      <w:widowControl w:val="0"/>
      <w:suppressLineNumbers w:val="0"/>
      <w:snapToGrid w:val="0"/>
      <w:spacing w:before="0" w:beforeAutospacing="0" w:after="0" w:afterAutospacing="0"/>
      <w:ind w:left="0" w:right="0"/>
      <w:jc w:val="left"/>
    </w:pPr>
    <w:rPr>
      <w:rFonts w:hint="default" w:ascii="Times New Roman" w:hAnsi="Times New Roman" w:cs="Times New Roman"/>
      <w:kern w:val="2"/>
      <w:sz w:val="18"/>
      <w:szCs w:val="18"/>
      <w:lang w:val="en-US" w:eastAsia="zh-CN" w:bidi="ar"/>
    </w:rPr>
  </w:style>
  <w:style w:type="paragraph" w:styleId="4">
    <w:name w:val="header"/>
    <w:basedOn w:val="1"/>
    <w:qFormat/>
    <w:uiPriority w:val="0"/>
    <w:pPr>
      <w:keepNext w:val="0"/>
      <w:keepLines w:val="0"/>
      <w:widowControl w:val="0"/>
      <w:suppressLineNumbers w:val="0"/>
      <w:pBdr>
        <w:top w:val="none" w:color="auto" w:sz="0" w:space="0"/>
        <w:left w:val="none" w:color="auto" w:sz="0" w:space="0"/>
        <w:bottom w:val="single" w:color="auto" w:sz="6" w:space="1"/>
        <w:right w:val="none" w:color="auto" w:sz="0" w:space="0"/>
      </w:pBdr>
      <w:snapToGrid w:val="0"/>
      <w:spacing w:before="0" w:beforeAutospacing="0" w:after="0" w:afterAutospacing="0"/>
      <w:ind w:left="0" w:right="0"/>
      <w:jc w:val="center"/>
    </w:pPr>
    <w:rPr>
      <w:rFonts w:hint="default" w:ascii="Times New Roman" w:hAnsi="Times New Roman" w:cs="Times New Roman"/>
      <w:kern w:val="2"/>
      <w:sz w:val="18"/>
      <w:szCs w:val="18"/>
      <w:lang w:val="en-US" w:eastAsia="zh-CN" w:bidi="ar"/>
    </w:rPr>
  </w:style>
  <w:style w:type="character" w:customStyle="1" w:styleId="7">
    <w:name w:val="15"/>
    <w:basedOn w:val="6"/>
    <w:qFormat/>
    <w:uiPriority w:val="0"/>
    <w:rPr>
      <w:rFonts w:hint="default" w:ascii="Times New Roman" w:hAnsi="Times New Roman" w:cs="Times New Roman"/>
    </w:rPr>
  </w:style>
  <w:style w:type="character" w:customStyle="1" w:styleId="8">
    <w:name w:val="10"/>
    <w:basedOn w:val="6"/>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德宏州芒市党政机关单位</Company>
  <Pages>14</Pages>
  <Words>5903</Words>
  <Characters>6527</Characters>
  <Lines>0</Lines>
  <Paragraphs>0</Paragraphs>
  <TotalTime>3</TotalTime>
  <ScaleCrop>false</ScaleCrop>
  <LinksUpToDate>false</LinksUpToDate>
  <CharactersWithSpaces>6549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2023-09-05T01:48:00Z</dcterms:created>
  <dc:creator>Administrator</dc:creator>
  <cp:lastModifiedBy>冷雨寒星</cp:lastModifiedBy>
  <dcterms:modified xsi:type="dcterms:W3CDTF">2026-02-26T08:49:58Z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eyJoZGlkIjoiMmU3ODk5MGFjOTBiZWZhZmZjMDllNmZhNGFjZGZiNjEiLCJ1c2VySWQiOiIyNTA4NjU5NzgifQ==</vt:lpwstr>
  </property>
  <property fmtid="{D5CDD505-2E9C-101B-9397-08002B2CF9AE}" pid="4" name="ICV">
    <vt:lpwstr>B985091CDDC944F58461ABFE7433CD5A_12</vt:lpwstr>
  </property>
</Properties>
</file>