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8DB1F">
      <w:pPr>
        <w:widowControl/>
        <w:shd w:val="clear" w:color="auto" w:fill="FFFFFF"/>
        <w:spacing w:line="500" w:lineRule="exact"/>
        <w:jc w:val="left"/>
        <w:textAlignment w:val="baseline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芒市招商合作局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2018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年部门预算公开</w:t>
      </w:r>
    </w:p>
    <w:p w14:paraId="5BF1A5D4">
      <w:pPr>
        <w:widowControl/>
        <w:shd w:val="clear" w:color="auto" w:fill="FFFFFF"/>
        <w:spacing w:line="500" w:lineRule="exact"/>
        <w:ind w:firstLine="2640" w:firstLineChars="600"/>
        <w:jc w:val="left"/>
        <w:textAlignment w:val="baseline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补充说明</w:t>
      </w:r>
    </w:p>
    <w:bookmarkEnd w:id="0"/>
    <w:p w14:paraId="2A2A2D70">
      <w:pPr>
        <w:widowControl/>
        <w:shd w:val="clear" w:color="auto" w:fill="FFFFFF"/>
        <w:spacing w:line="27" w:lineRule="atLeast"/>
        <w:ind w:firstLine="320" w:firstLineChars="100"/>
        <w:jc w:val="left"/>
        <w:textAlignment w:val="baseline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一、“三公”经费增减变化原因说明</w:t>
      </w:r>
    </w:p>
    <w:p w14:paraId="6290D58C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2018</w:t>
      </w:r>
      <w:r>
        <w:rPr>
          <w:rFonts w:hint="eastAsia" w:ascii="仿宋" w:hAnsi="仿宋" w:eastAsia="仿宋" w:cs="仿宋"/>
          <w:kern w:val="0"/>
          <w:sz w:val="32"/>
          <w:szCs w:val="32"/>
        </w:rPr>
        <w:t>年本单位一般公共预算“三公”经费预算安排</w:t>
      </w:r>
      <w:r>
        <w:rPr>
          <w:rFonts w:ascii="仿宋" w:hAnsi="仿宋" w:eastAsia="仿宋" w:cs="仿宋"/>
          <w:kern w:val="0"/>
          <w:sz w:val="32"/>
          <w:szCs w:val="32"/>
        </w:rPr>
        <w:t>10.5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万元。其中，因公出国（境）费</w:t>
      </w:r>
      <w:r>
        <w:rPr>
          <w:rFonts w:ascii="仿宋" w:hAnsi="仿宋" w:eastAsia="仿宋" w:cs="仿宋"/>
          <w:kern w:val="0"/>
          <w:sz w:val="32"/>
          <w:szCs w:val="32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万元，公务接待费</w:t>
      </w:r>
      <w:r>
        <w:rPr>
          <w:rFonts w:ascii="仿宋" w:hAnsi="仿宋" w:eastAsia="仿宋" w:cs="仿宋"/>
          <w:kern w:val="0"/>
          <w:sz w:val="32"/>
          <w:szCs w:val="32"/>
        </w:rPr>
        <w:t>7.6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万元，公务用车购置和运行维护费</w:t>
      </w:r>
      <w:r>
        <w:rPr>
          <w:rFonts w:ascii="仿宋" w:hAnsi="仿宋" w:eastAsia="仿宋" w:cs="仿宋"/>
          <w:kern w:val="0"/>
          <w:sz w:val="32"/>
          <w:szCs w:val="32"/>
        </w:rPr>
        <w:t>2.9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万元（其中：公务用车运行费</w:t>
      </w:r>
      <w:r>
        <w:rPr>
          <w:rFonts w:ascii="仿宋" w:hAnsi="仿宋" w:eastAsia="仿宋" w:cs="仿宋"/>
          <w:kern w:val="0"/>
          <w:sz w:val="32"/>
          <w:szCs w:val="32"/>
        </w:rPr>
        <w:t>2.9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万元，公务用车购置</w:t>
      </w:r>
      <w:r>
        <w:rPr>
          <w:rFonts w:ascii="仿宋" w:hAnsi="仿宋" w:eastAsia="仿宋" w:cs="仿宋"/>
          <w:kern w:val="0"/>
          <w:sz w:val="32"/>
          <w:szCs w:val="32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万元）。与上年一般公共预算“三公”经费预算数</w:t>
      </w:r>
      <w:r>
        <w:rPr>
          <w:rFonts w:ascii="仿宋" w:hAnsi="仿宋" w:eastAsia="仿宋" w:cs="仿宋"/>
          <w:kern w:val="0"/>
          <w:sz w:val="32"/>
          <w:szCs w:val="32"/>
        </w:rPr>
        <w:t>10.8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万元相比，减少</w:t>
      </w:r>
      <w:r>
        <w:rPr>
          <w:rFonts w:ascii="仿宋" w:hAnsi="仿宋" w:eastAsia="仿宋" w:cs="仿宋"/>
          <w:kern w:val="0"/>
          <w:sz w:val="32"/>
          <w:szCs w:val="32"/>
        </w:rPr>
        <w:t>0.3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万元，下降</w:t>
      </w:r>
      <w:r>
        <w:rPr>
          <w:rFonts w:ascii="仿宋" w:hAnsi="仿宋" w:eastAsia="仿宋" w:cs="仿宋"/>
          <w:kern w:val="0"/>
          <w:sz w:val="32"/>
          <w:szCs w:val="32"/>
        </w:rPr>
        <w:t>2.77%</w:t>
      </w:r>
      <w:r>
        <w:rPr>
          <w:rFonts w:hint="eastAsia" w:ascii="仿宋" w:hAnsi="仿宋" w:eastAsia="仿宋" w:cs="仿宋"/>
          <w:kern w:val="0"/>
          <w:sz w:val="32"/>
          <w:szCs w:val="32"/>
        </w:rPr>
        <w:t>。其中，因公出国（境）费</w:t>
      </w:r>
      <w:r>
        <w:rPr>
          <w:rFonts w:ascii="仿宋" w:hAnsi="仿宋" w:eastAsia="仿宋" w:cs="仿宋"/>
          <w:kern w:val="0"/>
          <w:sz w:val="32"/>
          <w:szCs w:val="32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万元；下降或上升</w:t>
      </w:r>
      <w:r>
        <w:rPr>
          <w:rFonts w:ascii="仿宋" w:hAnsi="仿宋" w:eastAsia="仿宋" w:cs="仿宋"/>
          <w:kern w:val="0"/>
          <w:sz w:val="32"/>
          <w:szCs w:val="32"/>
        </w:rPr>
        <w:t>0%</w:t>
      </w:r>
      <w:r>
        <w:rPr>
          <w:rFonts w:hint="eastAsia" w:ascii="仿宋" w:hAnsi="仿宋" w:eastAsia="仿宋" w:cs="仿宋"/>
          <w:kern w:val="0"/>
          <w:sz w:val="32"/>
          <w:szCs w:val="32"/>
        </w:rPr>
        <w:t>；公务接待费减少</w:t>
      </w:r>
      <w:r>
        <w:rPr>
          <w:rFonts w:ascii="仿宋" w:hAnsi="仿宋" w:eastAsia="仿宋" w:cs="仿宋"/>
          <w:kern w:val="0"/>
          <w:sz w:val="32"/>
          <w:szCs w:val="32"/>
        </w:rPr>
        <w:t>0.2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</w:t>
      </w:r>
      <w:r>
        <w:rPr>
          <w:rFonts w:ascii="仿宋" w:hAnsi="仿宋" w:eastAsia="仿宋" w:cs="仿宋"/>
          <w:kern w:val="0"/>
          <w:sz w:val="32"/>
          <w:szCs w:val="32"/>
        </w:rPr>
        <w:t>,</w:t>
      </w:r>
      <w:r>
        <w:rPr>
          <w:rFonts w:hint="eastAsia" w:ascii="仿宋" w:hAnsi="仿宋" w:eastAsia="仿宋" w:cs="仿宋"/>
          <w:kern w:val="0"/>
          <w:sz w:val="32"/>
          <w:szCs w:val="32"/>
        </w:rPr>
        <w:t>下降</w:t>
      </w:r>
      <w:r>
        <w:rPr>
          <w:rFonts w:ascii="仿宋" w:hAnsi="仿宋" w:eastAsia="仿宋" w:cs="仿宋"/>
          <w:kern w:val="0"/>
          <w:sz w:val="32"/>
          <w:szCs w:val="32"/>
        </w:rPr>
        <w:t>2.56%</w:t>
      </w:r>
      <w:r>
        <w:rPr>
          <w:rFonts w:hint="eastAsia" w:ascii="仿宋" w:hAnsi="仿宋" w:eastAsia="仿宋" w:cs="仿宋"/>
          <w:kern w:val="0"/>
          <w:sz w:val="32"/>
          <w:szCs w:val="32"/>
        </w:rPr>
        <w:t>；（减少）的原因主要是按照中央八项规定，省、州、市相关要求积极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厉</w:t>
      </w:r>
      <w:r>
        <w:rPr>
          <w:rFonts w:hint="eastAsia" w:ascii="仿宋" w:hAnsi="仿宋" w:eastAsia="仿宋" w:cs="仿宋"/>
          <w:kern w:val="0"/>
          <w:sz w:val="32"/>
          <w:szCs w:val="32"/>
        </w:rPr>
        <w:t>行勤俭节约，严格控制公务接待范围和标准；公务用车购置及运行费</w:t>
      </w:r>
      <w:r>
        <w:rPr>
          <w:rFonts w:ascii="仿宋" w:hAnsi="仿宋" w:eastAsia="仿宋" w:cs="仿宋"/>
          <w:kern w:val="0"/>
          <w:sz w:val="32"/>
          <w:szCs w:val="32"/>
        </w:rPr>
        <w:t>2.9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万元，下降</w:t>
      </w:r>
      <w:r>
        <w:rPr>
          <w:rFonts w:ascii="仿宋" w:hAnsi="仿宋" w:eastAsia="仿宋" w:cs="仿宋"/>
          <w:kern w:val="0"/>
          <w:sz w:val="32"/>
          <w:szCs w:val="32"/>
        </w:rPr>
        <w:t>3.3%</w:t>
      </w:r>
      <w:r>
        <w:rPr>
          <w:rFonts w:hint="eastAsia" w:ascii="仿宋" w:hAnsi="仿宋" w:eastAsia="仿宋" w:cs="仿宋"/>
          <w:kern w:val="0"/>
          <w:sz w:val="32"/>
          <w:szCs w:val="32"/>
        </w:rPr>
        <w:t>（其中，公务用车运行费减少</w:t>
      </w:r>
      <w:r>
        <w:rPr>
          <w:rFonts w:ascii="仿宋" w:hAnsi="仿宋" w:eastAsia="仿宋" w:cs="仿宋"/>
          <w:kern w:val="0"/>
          <w:sz w:val="32"/>
          <w:szCs w:val="32"/>
        </w:rPr>
        <w:t>0.1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万元，下降</w:t>
      </w:r>
      <w:r>
        <w:rPr>
          <w:rFonts w:ascii="仿宋" w:hAnsi="仿宋" w:eastAsia="仿宋" w:cs="仿宋"/>
          <w:kern w:val="0"/>
          <w:sz w:val="32"/>
          <w:szCs w:val="32"/>
        </w:rPr>
        <w:t>3.3%</w:t>
      </w:r>
      <w:r>
        <w:rPr>
          <w:rFonts w:hint="eastAsia" w:ascii="仿宋" w:hAnsi="仿宋" w:eastAsia="仿宋" w:cs="仿宋"/>
          <w:kern w:val="0"/>
          <w:sz w:val="32"/>
          <w:szCs w:val="32"/>
        </w:rPr>
        <w:t>；公务用车购置</w:t>
      </w:r>
      <w:r>
        <w:rPr>
          <w:rFonts w:ascii="仿宋" w:hAnsi="仿宋" w:eastAsia="仿宋" w:cs="仿宋"/>
          <w:kern w:val="0"/>
          <w:sz w:val="32"/>
          <w:szCs w:val="32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万元，下降或上升</w:t>
      </w:r>
      <w:r>
        <w:rPr>
          <w:rFonts w:ascii="仿宋" w:hAnsi="仿宋" w:eastAsia="仿宋" w:cs="仿宋"/>
          <w:kern w:val="0"/>
          <w:sz w:val="32"/>
          <w:szCs w:val="32"/>
        </w:rPr>
        <w:t>0%</w:t>
      </w:r>
      <w:r>
        <w:rPr>
          <w:rFonts w:hint="eastAsia" w:ascii="仿宋" w:hAnsi="仿宋" w:eastAsia="仿宋" w:cs="仿宋"/>
          <w:kern w:val="0"/>
          <w:sz w:val="32"/>
          <w:szCs w:val="32"/>
        </w:rPr>
        <w:t>。公务用车运行费（减少）的原因主要是</w:t>
      </w:r>
      <w:r>
        <w:rPr>
          <w:rFonts w:ascii="仿宋" w:hAnsi="仿宋" w:eastAsia="仿宋" w:cs="仿宋"/>
          <w:kern w:val="0"/>
          <w:sz w:val="32"/>
          <w:szCs w:val="32"/>
        </w:rPr>
        <w:t>:</w:t>
      </w:r>
      <w:r>
        <w:rPr>
          <w:rFonts w:hint="eastAsia" w:ascii="仿宋" w:hAnsi="仿宋" w:eastAsia="仿宋" w:cs="仿宋"/>
          <w:kern w:val="0"/>
          <w:sz w:val="32"/>
          <w:szCs w:val="32"/>
        </w:rPr>
        <w:t>一是公务用车改革后，减少公车使用。二是加强公务用车日常管理，有效压减了运行维护费的支出。</w:t>
      </w:r>
    </w:p>
    <w:p w14:paraId="72E68589"/>
    <w:p w14:paraId="2B51B5DD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二、国有资产占用情况说明</w:t>
      </w:r>
    </w:p>
    <w:p w14:paraId="5E8253DE">
      <w:pPr>
        <w:pStyle w:val="2"/>
        <w:spacing w:line="44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截至</w:t>
      </w:r>
      <w:r>
        <w:rPr>
          <w:rFonts w:ascii="仿宋" w:hAnsi="仿宋" w:eastAsia="仿宋"/>
          <w:sz w:val="32"/>
          <w:szCs w:val="32"/>
        </w:rPr>
        <w:t>2017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12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31</w:t>
      </w:r>
      <w:r>
        <w:rPr>
          <w:rFonts w:hint="eastAsia" w:ascii="仿宋" w:hAnsi="仿宋" w:eastAsia="仿宋"/>
          <w:sz w:val="32"/>
          <w:szCs w:val="32"/>
        </w:rPr>
        <w:t>日，芒市招商合作局资产总额</w:t>
      </w:r>
      <w:r>
        <w:rPr>
          <w:rFonts w:ascii="仿宋" w:hAnsi="仿宋" w:eastAsia="仿宋"/>
          <w:sz w:val="32"/>
          <w:szCs w:val="32"/>
        </w:rPr>
        <w:t>46.98</w:t>
      </w:r>
      <w:r>
        <w:rPr>
          <w:rFonts w:hint="eastAsia" w:ascii="仿宋" w:hAnsi="仿宋" w:eastAsia="仿宋"/>
          <w:sz w:val="32"/>
          <w:szCs w:val="32"/>
        </w:rPr>
        <w:t>万元，其中</w:t>
      </w:r>
      <w:r>
        <w:rPr>
          <w:rFonts w:ascii="仿宋" w:hAnsi="仿宋" w:eastAsia="仿宋"/>
          <w:sz w:val="32"/>
          <w:szCs w:val="32"/>
        </w:rPr>
        <w:t>:</w:t>
      </w:r>
      <w:r>
        <w:rPr>
          <w:rFonts w:hint="eastAsia" w:ascii="仿宋" w:hAnsi="仿宋" w:eastAsia="仿宋"/>
          <w:sz w:val="32"/>
          <w:szCs w:val="32"/>
        </w:rPr>
        <w:t>流动资产</w:t>
      </w:r>
      <w:r>
        <w:rPr>
          <w:rFonts w:ascii="仿宋" w:hAnsi="仿宋" w:eastAsia="仿宋"/>
          <w:sz w:val="32"/>
          <w:szCs w:val="32"/>
        </w:rPr>
        <w:t>12.34</w:t>
      </w:r>
      <w:r>
        <w:rPr>
          <w:rFonts w:hint="eastAsia" w:ascii="仿宋" w:hAnsi="仿宋" w:eastAsia="仿宋"/>
          <w:sz w:val="32"/>
          <w:szCs w:val="32"/>
        </w:rPr>
        <w:t>万元，固定资产</w:t>
      </w:r>
      <w:r>
        <w:rPr>
          <w:rFonts w:ascii="仿宋" w:hAnsi="仿宋" w:eastAsia="仿宋"/>
          <w:sz w:val="32"/>
          <w:szCs w:val="32"/>
        </w:rPr>
        <w:t>34.64</w:t>
      </w:r>
      <w:r>
        <w:rPr>
          <w:rFonts w:hint="eastAsia" w:ascii="仿宋" w:hAnsi="仿宋" w:eastAsia="仿宋"/>
          <w:sz w:val="32"/>
          <w:szCs w:val="32"/>
        </w:rPr>
        <w:t>万元，对外投资及有价证券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万元，在建工程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万元，无形资产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万元，其他资产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万元（具体内容详见附表）。与上年相比，本年资产总额减少</w:t>
      </w:r>
      <w:r>
        <w:rPr>
          <w:rFonts w:ascii="仿宋" w:hAnsi="仿宋" w:eastAsia="仿宋"/>
          <w:sz w:val="32"/>
          <w:szCs w:val="32"/>
        </w:rPr>
        <w:t>2.20</w:t>
      </w:r>
      <w:r>
        <w:rPr>
          <w:rFonts w:hint="eastAsia" w:ascii="仿宋" w:hAnsi="仿宋" w:eastAsia="仿宋"/>
          <w:sz w:val="32"/>
          <w:szCs w:val="32"/>
        </w:rPr>
        <w:t>万元，其中</w:t>
      </w:r>
      <w:r>
        <w:rPr>
          <w:rFonts w:ascii="仿宋" w:hAnsi="仿宋" w:eastAsia="仿宋"/>
          <w:sz w:val="32"/>
          <w:szCs w:val="32"/>
        </w:rPr>
        <w:t>:</w:t>
      </w:r>
      <w:r>
        <w:rPr>
          <w:rFonts w:hint="eastAsia" w:ascii="仿宋" w:hAnsi="仿宋" w:eastAsia="仿宋"/>
          <w:sz w:val="32"/>
          <w:szCs w:val="32"/>
        </w:rPr>
        <w:t>流动资产总体比上年减少</w:t>
      </w:r>
      <w:r>
        <w:rPr>
          <w:rFonts w:ascii="仿宋" w:hAnsi="仿宋" w:eastAsia="仿宋"/>
          <w:sz w:val="32"/>
          <w:szCs w:val="32"/>
        </w:rPr>
        <w:t>9.2</w:t>
      </w:r>
      <w:r>
        <w:rPr>
          <w:rFonts w:hint="eastAsia" w:ascii="仿宋" w:hAnsi="仿宋" w:eastAsia="仿宋"/>
          <w:sz w:val="32"/>
          <w:szCs w:val="32"/>
        </w:rPr>
        <w:t>万元，固定资产增加减少</w:t>
      </w:r>
      <w:r>
        <w:rPr>
          <w:rFonts w:ascii="仿宋" w:hAnsi="仿宋" w:eastAsia="仿宋"/>
          <w:sz w:val="32"/>
          <w:szCs w:val="32"/>
        </w:rPr>
        <w:t>6.99</w:t>
      </w:r>
      <w:r>
        <w:rPr>
          <w:rFonts w:hint="eastAsia" w:ascii="仿宋" w:hAnsi="仿宋" w:eastAsia="仿宋"/>
          <w:sz w:val="32"/>
          <w:szCs w:val="32"/>
        </w:rPr>
        <w:t>万元。处置房屋建筑物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平方米，账面原值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万元；处置车辆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辆，账面原值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万元；报废报损资产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项，账面原值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万元，实现资产处置收入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万元；出租房屋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平方米，账面原值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万元，实现资产使用收入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万元。</w:t>
      </w:r>
    </w:p>
    <w:tbl>
      <w:tblPr>
        <w:tblStyle w:val="3"/>
        <w:tblpPr w:leftFromText="180" w:rightFromText="180" w:vertAnchor="text" w:horzAnchor="page" w:tblpX="534" w:tblpY="490"/>
        <w:tblOverlap w:val="never"/>
        <w:tblW w:w="1077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4"/>
        <w:gridCol w:w="481"/>
        <w:gridCol w:w="780"/>
        <w:gridCol w:w="735"/>
        <w:gridCol w:w="630"/>
        <w:gridCol w:w="498"/>
        <w:gridCol w:w="780"/>
        <w:gridCol w:w="113"/>
        <w:gridCol w:w="877"/>
        <w:gridCol w:w="291"/>
        <w:gridCol w:w="697"/>
        <w:gridCol w:w="153"/>
        <w:gridCol w:w="45"/>
        <w:gridCol w:w="947"/>
        <w:gridCol w:w="45"/>
        <w:gridCol w:w="948"/>
        <w:gridCol w:w="45"/>
        <w:gridCol w:w="947"/>
        <w:gridCol w:w="45"/>
        <w:gridCol w:w="947"/>
        <w:gridCol w:w="45"/>
      </w:tblGrid>
      <w:tr w14:paraId="27DB29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773" w:type="dxa"/>
            <w:gridSpan w:val="21"/>
            <w:shd w:val="clear" w:color="auto" w:fill="FFFFFF"/>
            <w:vAlign w:val="center"/>
          </w:tcPr>
          <w:p w14:paraId="08A455F4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方正小标宋_GBK" w:eastAsia="仿宋_GB2312" w:cs="方正小标宋_GBK"/>
                <w:b/>
                <w:sz w:val="32"/>
                <w:szCs w:val="32"/>
              </w:rPr>
            </w:pPr>
            <w:r>
              <w:rPr>
                <w:rFonts w:hint="eastAsia" w:ascii="仿宋_GB2312" w:hAnsi="方正小标宋_GBK" w:eastAsia="仿宋_GB2312" w:cs="方正小标宋_GBK"/>
                <w:b/>
                <w:kern w:val="0"/>
                <w:sz w:val="32"/>
                <w:szCs w:val="32"/>
              </w:rPr>
              <w:t>国有资产占有使用情况表</w:t>
            </w:r>
          </w:p>
        </w:tc>
      </w:tr>
      <w:tr w14:paraId="3F72B3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</w:trPr>
        <w:tc>
          <w:tcPr>
            <w:tcW w:w="4741" w:type="dxa"/>
            <w:gridSpan w:val="8"/>
            <w:tcBorders>
              <w:bottom w:val="single" w:color="808080" w:sz="4" w:space="0"/>
            </w:tcBorders>
            <w:shd w:val="clear" w:color="auto" w:fill="FFFFFF"/>
            <w:vAlign w:val="center"/>
          </w:tcPr>
          <w:p w14:paraId="3BBE5BFE">
            <w:pPr>
              <w:widowControl/>
              <w:tabs>
                <w:tab w:val="left" w:pos="1355"/>
              </w:tabs>
              <w:spacing w:line="560" w:lineRule="exact"/>
              <w:jc w:val="left"/>
              <w:textAlignment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sz w:val="32"/>
                <w:szCs w:val="32"/>
              </w:rPr>
              <w:tab/>
            </w:r>
          </w:p>
        </w:tc>
        <w:tc>
          <w:tcPr>
            <w:tcW w:w="877" w:type="dxa"/>
            <w:tcBorders>
              <w:bottom w:val="single" w:color="808080" w:sz="4" w:space="0"/>
            </w:tcBorders>
            <w:shd w:val="clear" w:color="auto" w:fill="FFFFFF"/>
            <w:vAlign w:val="center"/>
          </w:tcPr>
          <w:p w14:paraId="7976F455">
            <w:pPr>
              <w:spacing w:line="56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988" w:type="dxa"/>
            <w:gridSpan w:val="2"/>
            <w:tcBorders>
              <w:bottom w:val="single" w:color="808080" w:sz="4" w:space="0"/>
            </w:tcBorders>
            <w:shd w:val="clear" w:color="auto" w:fill="FFFFFF"/>
            <w:vAlign w:val="center"/>
          </w:tcPr>
          <w:p w14:paraId="6403C4C9">
            <w:pPr>
              <w:spacing w:line="56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98" w:type="dxa"/>
            <w:gridSpan w:val="2"/>
            <w:tcBorders>
              <w:bottom w:val="single" w:color="808080" w:sz="4" w:space="0"/>
            </w:tcBorders>
            <w:shd w:val="clear" w:color="auto" w:fill="FFFFFF"/>
            <w:vAlign w:val="center"/>
          </w:tcPr>
          <w:p w14:paraId="1E2B94AC">
            <w:pPr>
              <w:spacing w:line="56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bottom w:val="single" w:color="808080" w:sz="4" w:space="0"/>
            </w:tcBorders>
            <w:shd w:val="clear" w:color="auto" w:fill="FFFFFF"/>
            <w:vAlign w:val="center"/>
          </w:tcPr>
          <w:p w14:paraId="4D0B34CC">
            <w:pPr>
              <w:spacing w:line="56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tcBorders>
              <w:bottom w:val="single" w:color="808080" w:sz="4" w:space="0"/>
            </w:tcBorders>
            <w:shd w:val="clear" w:color="auto" w:fill="FFFFFF"/>
            <w:vAlign w:val="center"/>
          </w:tcPr>
          <w:p w14:paraId="0171147F">
            <w:pPr>
              <w:spacing w:line="56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984" w:type="dxa"/>
            <w:gridSpan w:val="4"/>
            <w:tcBorders>
              <w:bottom w:val="single" w:color="808080" w:sz="4" w:space="0"/>
            </w:tcBorders>
            <w:shd w:val="clear" w:color="auto" w:fill="FFFFFF"/>
            <w:vAlign w:val="center"/>
          </w:tcPr>
          <w:p w14:paraId="7DD1C0E8">
            <w:pPr>
              <w:widowControl/>
              <w:spacing w:line="560" w:lineRule="exact"/>
              <w:jc w:val="right"/>
              <w:textAlignment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单位：万元</w:t>
            </w:r>
          </w:p>
        </w:tc>
      </w:tr>
      <w:tr w14:paraId="006317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" w:type="dxa"/>
          <w:trHeight w:val="415" w:hRule="atLeast"/>
        </w:trPr>
        <w:tc>
          <w:tcPr>
            <w:tcW w:w="724" w:type="dxa"/>
            <w:vMerge w:val="restar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2D8F0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项目</w:t>
            </w:r>
          </w:p>
        </w:tc>
        <w:tc>
          <w:tcPr>
            <w:tcW w:w="481" w:type="dxa"/>
            <w:vMerge w:val="restar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4659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行次</w:t>
            </w:r>
          </w:p>
        </w:tc>
        <w:tc>
          <w:tcPr>
            <w:tcW w:w="780" w:type="dxa"/>
            <w:vMerge w:val="restar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051D1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资产总额</w:t>
            </w:r>
          </w:p>
        </w:tc>
        <w:tc>
          <w:tcPr>
            <w:tcW w:w="735" w:type="dxa"/>
            <w:vMerge w:val="restar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522D8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流动资产</w:t>
            </w:r>
          </w:p>
        </w:tc>
        <w:tc>
          <w:tcPr>
            <w:tcW w:w="4039" w:type="dxa"/>
            <w:gridSpan w:val="8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13AC2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固定资产</w:t>
            </w:r>
          </w:p>
        </w:tc>
        <w:tc>
          <w:tcPr>
            <w:tcW w:w="992" w:type="dxa"/>
            <w:gridSpan w:val="2"/>
            <w:vMerge w:val="restar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18E9E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对外投资</w:t>
            </w: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有价证券</w:t>
            </w:r>
          </w:p>
        </w:tc>
        <w:tc>
          <w:tcPr>
            <w:tcW w:w="993" w:type="dxa"/>
            <w:gridSpan w:val="2"/>
            <w:vMerge w:val="restar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0E57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在建工程</w:t>
            </w:r>
          </w:p>
        </w:tc>
        <w:tc>
          <w:tcPr>
            <w:tcW w:w="992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BA58C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无形资产</w:t>
            </w:r>
          </w:p>
        </w:tc>
        <w:tc>
          <w:tcPr>
            <w:tcW w:w="992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ED780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其他资产</w:t>
            </w:r>
          </w:p>
        </w:tc>
      </w:tr>
      <w:tr w14:paraId="43F67A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" w:type="dxa"/>
          <w:trHeight w:val="560" w:hRule="atLeast"/>
        </w:trPr>
        <w:tc>
          <w:tcPr>
            <w:tcW w:w="724" w:type="dxa"/>
            <w:vMerge w:val="continue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49715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481" w:type="dxa"/>
            <w:vMerge w:val="continue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CB917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780" w:type="dxa"/>
            <w:vMerge w:val="continue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8AE2F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735" w:type="dxa"/>
            <w:vMerge w:val="continue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F6D2A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98070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小计</w:t>
            </w:r>
          </w:p>
        </w:tc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72360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房屋构筑物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3F69D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汽车</w:t>
            </w:r>
          </w:p>
        </w:tc>
        <w:tc>
          <w:tcPr>
            <w:tcW w:w="128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0DF4D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单价</w:t>
            </w: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200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万以上大型设备</w:t>
            </w:r>
          </w:p>
        </w:tc>
        <w:tc>
          <w:tcPr>
            <w:tcW w:w="8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52804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其他固定资产</w:t>
            </w:r>
          </w:p>
        </w:tc>
        <w:tc>
          <w:tcPr>
            <w:tcW w:w="992" w:type="dxa"/>
            <w:gridSpan w:val="2"/>
            <w:vMerge w:val="continue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9E318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6CAD0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7FE18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1A2E9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 w14:paraId="44A05D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" w:type="dxa"/>
          <w:trHeight w:val="560" w:hRule="atLeast"/>
        </w:trPr>
        <w:tc>
          <w:tcPr>
            <w:tcW w:w="724" w:type="dxa"/>
            <w:vMerge w:val="continue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F2114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481" w:type="dxa"/>
            <w:vMerge w:val="continue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74565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780" w:type="dxa"/>
            <w:vMerge w:val="continue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7C5DA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735" w:type="dxa"/>
            <w:vMerge w:val="continue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76EE7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A1F7F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94453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8D31C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28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52437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ECD94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FCE5E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D306D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00312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78FC7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 w14:paraId="492966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" w:type="dxa"/>
          <w:trHeight w:val="358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AE1CD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栏次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FA059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A20C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6AB7C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8C4F6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F3766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722D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1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4E884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7080D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E6A2A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137D4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6C2B2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A8F4F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11</w:t>
            </w:r>
          </w:p>
        </w:tc>
      </w:tr>
      <w:tr w14:paraId="26DAE8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" w:type="dxa"/>
          <w:trHeight w:val="563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927D8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合计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73F11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09827">
            <w:pPr>
              <w:spacing w:line="560" w:lineRule="exact"/>
              <w:ind w:left="0" w:leftChars="-95" w:hanging="199" w:hangingChars="83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46.98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6BD80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ascii="仿宋_GB2312" w:hAnsi="宋体" w:eastAsia="仿宋_GB2312" w:cs="宋体"/>
                <w:sz w:val="24"/>
              </w:rPr>
              <w:t>12.34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1E4F0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ascii="仿宋_GB2312" w:hAnsi="宋体" w:eastAsia="仿宋_GB2312" w:cs="宋体"/>
                <w:sz w:val="24"/>
              </w:rPr>
              <w:t>34.64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00B5C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ascii="仿宋_GB2312" w:hAnsi="宋体" w:eastAsia="仿宋_GB2312" w:cs="宋体"/>
                <w:sz w:val="24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BA9AA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ascii="仿宋_GB2312" w:hAnsi="宋体" w:eastAsia="仿宋_GB2312" w:cs="宋体"/>
                <w:sz w:val="24"/>
              </w:rPr>
              <w:t>21.98</w:t>
            </w:r>
          </w:p>
        </w:tc>
        <w:tc>
          <w:tcPr>
            <w:tcW w:w="1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1CBE6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sz w:val="32"/>
                <w:szCs w:val="32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577EC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sz w:val="24"/>
              </w:rPr>
              <w:t>12.66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6C807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sz w:val="32"/>
                <w:szCs w:val="3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5E30A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sz w:val="32"/>
                <w:szCs w:val="32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B8CF3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sz w:val="32"/>
                <w:szCs w:val="32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B31A8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sz w:val="32"/>
                <w:szCs w:val="32"/>
              </w:rPr>
              <w:t>0</w:t>
            </w:r>
          </w:p>
        </w:tc>
      </w:tr>
      <w:tr w14:paraId="33586D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9" w:hRule="atLeast"/>
        </w:trPr>
        <w:tc>
          <w:tcPr>
            <w:tcW w:w="8789" w:type="dxa"/>
            <w:gridSpan w:val="17"/>
            <w:vAlign w:val="bottom"/>
          </w:tcPr>
          <w:p w14:paraId="451C3DFF">
            <w:pPr>
              <w:spacing w:line="560" w:lineRule="exact"/>
              <w:rPr>
                <w:rFonts w:ascii="仿宋_GB2312" w:hAnsi="Arial" w:eastAsia="仿宋_GB2312" w:cs="Arial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填报说明：　</w:t>
            </w: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1.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资产总额＝流动资产＋固定资产＋对外投资／有价证券＋在建工程＋无形资产＋其他资产</w:t>
            </w:r>
          </w:p>
        </w:tc>
        <w:tc>
          <w:tcPr>
            <w:tcW w:w="992" w:type="dxa"/>
            <w:gridSpan w:val="2"/>
            <w:vAlign w:val="bottom"/>
          </w:tcPr>
          <w:p w14:paraId="000320BB">
            <w:pPr>
              <w:spacing w:line="560" w:lineRule="exact"/>
              <w:rPr>
                <w:rFonts w:ascii="仿宋_GB2312" w:hAnsi="Arial" w:eastAsia="仿宋_GB2312" w:cs="Arial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vAlign w:val="bottom"/>
          </w:tcPr>
          <w:p w14:paraId="4AA75033">
            <w:pPr>
              <w:spacing w:line="560" w:lineRule="exact"/>
              <w:rPr>
                <w:rFonts w:ascii="仿宋_GB2312" w:hAnsi="Arial" w:eastAsia="仿宋_GB2312" w:cs="Arial"/>
                <w:sz w:val="32"/>
                <w:szCs w:val="32"/>
              </w:rPr>
            </w:pPr>
          </w:p>
        </w:tc>
      </w:tr>
      <w:tr w14:paraId="135634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781" w:type="dxa"/>
            <w:gridSpan w:val="19"/>
            <w:vAlign w:val="bottom"/>
          </w:tcPr>
          <w:p w14:paraId="7243994C">
            <w:pPr>
              <w:spacing w:line="560" w:lineRule="exact"/>
              <w:rPr>
                <w:rFonts w:ascii="仿宋_GB2312" w:hAnsi="Arial" w:eastAsia="仿宋_GB2312" w:cs="Arial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　　</w:t>
            </w:r>
            <w:r>
              <w:rPr>
                <w:rStyle w:val="5"/>
                <w:rFonts w:ascii="仿宋_GB2312" w:eastAsia="仿宋_GB2312"/>
                <w:color w:val="auto"/>
                <w:sz w:val="32"/>
                <w:szCs w:val="32"/>
              </w:rPr>
              <w:t>2.</w:t>
            </w:r>
            <w:r>
              <w:rPr>
                <w:rStyle w:val="6"/>
                <w:rFonts w:hint="eastAsia" w:ascii="仿宋_GB2312" w:eastAsia="仿宋_GB2312"/>
                <w:color w:val="auto"/>
                <w:sz w:val="32"/>
                <w:szCs w:val="32"/>
              </w:rPr>
              <w:t>固定资产＝房屋构筑物＋汽车＋单价</w:t>
            </w:r>
            <w:r>
              <w:rPr>
                <w:rStyle w:val="5"/>
                <w:rFonts w:ascii="仿宋_GB2312" w:eastAsia="仿宋_GB2312"/>
                <w:color w:val="auto"/>
                <w:sz w:val="32"/>
                <w:szCs w:val="32"/>
              </w:rPr>
              <w:t>200</w:t>
            </w:r>
            <w:r>
              <w:rPr>
                <w:rStyle w:val="6"/>
                <w:rFonts w:hint="eastAsia" w:ascii="仿宋_GB2312" w:eastAsia="仿宋_GB2312"/>
                <w:color w:val="auto"/>
                <w:sz w:val="32"/>
                <w:szCs w:val="32"/>
              </w:rPr>
              <w:t>万元以上大型设备＋其他固定资产</w:t>
            </w:r>
          </w:p>
        </w:tc>
        <w:tc>
          <w:tcPr>
            <w:tcW w:w="992" w:type="dxa"/>
            <w:gridSpan w:val="2"/>
            <w:vAlign w:val="bottom"/>
          </w:tcPr>
          <w:p w14:paraId="67E23B9C">
            <w:pPr>
              <w:spacing w:line="560" w:lineRule="exact"/>
              <w:rPr>
                <w:rFonts w:ascii="仿宋_GB2312" w:hAnsi="Arial" w:eastAsia="仿宋_GB2312" w:cs="Arial"/>
                <w:sz w:val="32"/>
                <w:szCs w:val="32"/>
              </w:rPr>
            </w:pPr>
          </w:p>
        </w:tc>
      </w:tr>
    </w:tbl>
    <w:p w14:paraId="3329C441">
      <w:pPr>
        <w:widowControl/>
        <w:shd w:val="clear" w:color="auto" w:fill="FFFFFF"/>
        <w:spacing w:line="27" w:lineRule="atLeast"/>
        <w:ind w:firstLine="5440" w:firstLineChars="1700"/>
        <w:jc w:val="left"/>
        <w:textAlignment w:val="baseline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芒市招商合作局</w:t>
      </w:r>
    </w:p>
    <w:p w14:paraId="49C53602">
      <w:pPr>
        <w:widowControl/>
        <w:shd w:val="clear" w:color="auto" w:fill="FFFFFF"/>
        <w:spacing w:line="27" w:lineRule="atLeast"/>
        <w:ind w:firstLine="960" w:firstLineChars="300"/>
        <w:jc w:val="left"/>
        <w:textAlignment w:val="baseline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 xml:space="preserve">                            2018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8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</w:p>
    <w:p w14:paraId="178AA9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mVjMWU2N2M0MDVjMTllNDMyYjA0MWE1MWQ1YWRiYTIifQ=="/>
  </w:docVars>
  <w:rsids>
    <w:rsidRoot w:val="001865E6"/>
    <w:rsid w:val="001865E6"/>
    <w:rsid w:val="006D1D4F"/>
    <w:rsid w:val="00A92689"/>
    <w:rsid w:val="00B84368"/>
    <w:rsid w:val="00C85E9A"/>
    <w:rsid w:val="0B9F51EA"/>
    <w:rsid w:val="120723E8"/>
    <w:rsid w:val="4B3D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widowControl/>
      <w:spacing w:beforeAutospacing="1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5">
    <w:name w:val="font01"/>
    <w:basedOn w:val="4"/>
    <w:uiPriority w:val="99"/>
    <w:rPr>
      <w:rFonts w:ascii="Arial" w:hAnsi="Arial" w:cs="Arial"/>
      <w:color w:val="000000"/>
      <w:sz w:val="20"/>
      <w:szCs w:val="20"/>
      <w:u w:val="none"/>
    </w:rPr>
  </w:style>
  <w:style w:type="character" w:customStyle="1" w:styleId="6">
    <w:name w:val="font11"/>
    <w:basedOn w:val="4"/>
    <w:uiPriority w:val="99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803</Words>
  <Characters>901</Characters>
  <Lines>0</Lines>
  <Paragraphs>0</Paragraphs>
  <TotalTime>3</TotalTime>
  <ScaleCrop>false</ScaleCrop>
  <LinksUpToDate>false</LinksUpToDate>
  <CharactersWithSpaces>934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zdf</cp:lastModifiedBy>
  <dcterms:modified xsi:type="dcterms:W3CDTF">2024-11-18T07:08:11Z</dcterms:modified>
  <dc:title>芒市招商合作局2018年部门预算公开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CF6C7A9DA0774A3780C215FB02C80838_12</vt:lpwstr>
  </property>
</Properties>
</file>