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勐戛镇人民政府勐戛村委会</w:t>
      </w:r>
    </w:p>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杨家场食品厂建设项目绩效评价报告</w:t>
      </w:r>
    </w:p>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w:t>
      </w:r>
      <w:bookmarkStart w:id="0" w:name="_GoBack"/>
      <w:r>
        <w:rPr>
          <w:rFonts w:hint="eastAsia" w:ascii="宋体" w:hAnsi="宋体" w:eastAsia="宋体" w:cs="宋体"/>
          <w:sz w:val="32"/>
          <w:szCs w:val="32"/>
        </w:rPr>
        <w:t>《</w:t>
      </w:r>
      <w:bookmarkEnd w:id="0"/>
      <w:r>
        <w:rPr>
          <w:rFonts w:hint="eastAsia" w:ascii="方正仿宋_GBK" w:hAnsi="方正仿宋_GBK" w:eastAsia="方正仿宋_GBK" w:cs="方正仿宋_GBK"/>
          <w:sz w:val="32"/>
          <w:szCs w:val="32"/>
        </w:rPr>
        <w:t>中共芒市委 芒市人民政府关于全面实施预算绩效管理的实施意见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17</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芒市项目支出预算绩效评价管理办法</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64</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 中共芒市委组织部 芒市审计局关于印发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芒市全面实施预算绩效管理工作推进方案</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75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芒市财政局关于开展</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年度绩效评价的通知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w:t>
      </w:r>
      <w:r>
        <w:rPr>
          <w:rFonts w:hint="eastAsia" w:ascii="宋体" w:hAnsi="宋体" w:eastAsia="宋体" w:cs="宋体"/>
          <w:sz w:val="32"/>
          <w:szCs w:val="32"/>
        </w:rPr>
        <w:t>115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云南永盛会计师事务所接受芒市财政局委托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于</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月至</w:t>
      </w:r>
      <w:r>
        <w:rPr>
          <w:rFonts w:hint="eastAsia" w:ascii="宋体" w:hAnsi="宋体" w:eastAsia="宋体" w:cs="宋体"/>
          <w:sz w:val="32"/>
          <w:szCs w:val="32"/>
        </w:rPr>
        <w:t>11</w:t>
      </w:r>
      <w:r>
        <w:rPr>
          <w:rFonts w:hint="eastAsia" w:ascii="方正仿宋_GBK" w:hAnsi="方正仿宋_GBK" w:eastAsia="方正仿宋_GBK" w:cs="方正仿宋_GBK"/>
          <w:sz w:val="32"/>
          <w:szCs w:val="32"/>
        </w:rPr>
        <w:t>月对勐戛镇人民政府勐戛村委会杨家场食品厂建设项目开展绩效评价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现将评价情况报告如下</w:t>
      </w:r>
      <w:r>
        <w:rPr>
          <w:rFonts w:hint="eastAsia" w:ascii="宋体" w:hAnsi="宋体" w:eastAsia="宋体" w:cs="宋体"/>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云南省建设现代化边境小康</w:t>
      </w:r>
      <w:r>
        <w:rPr>
          <w:rFonts w:hint="eastAsia" w:ascii="宋体" w:hAnsi="宋体" w:eastAsia="宋体" w:cs="宋体"/>
          <w:sz w:val="32"/>
          <w:szCs w:val="32"/>
        </w:rPr>
        <w:t>（2021—2025</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w:t>
      </w:r>
      <w:r>
        <w:rPr>
          <w:rFonts w:hint="eastAsia" w:ascii="方正仿宋_GBK" w:hAnsi="方正仿宋_GBK" w:eastAsia="方正仿宋_GBK" w:cs="方正仿宋_GBK"/>
          <w:sz w:val="32"/>
          <w:szCs w:val="32"/>
        </w:rPr>
        <w:t>文件精神</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进一步加快现代化边境小康村建设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引领农业适度规模经营发展</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6</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2</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经芒市人民政府批准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同意建设勐戛镇杨家场食品厂</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项目位于勐戛镇勐戛村委会四村松香厂</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规划总用地面积</w:t>
      </w:r>
      <w:r>
        <w:rPr>
          <w:rFonts w:hint="eastAsia" w:ascii="宋体" w:hAnsi="宋体" w:eastAsia="宋体" w:cs="宋体"/>
          <w:sz w:val="32"/>
          <w:szCs w:val="32"/>
        </w:rPr>
        <w:t>6255</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主要建设内容为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钢架厂房</w:t>
      </w:r>
      <w:r>
        <w:rPr>
          <w:rFonts w:hint="eastAsia" w:ascii="宋体" w:hAnsi="宋体" w:eastAsia="宋体" w:cs="宋体"/>
          <w:sz w:val="32"/>
          <w:szCs w:val="32"/>
        </w:rPr>
        <w:t>2245</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生产附属建筑</w:t>
      </w:r>
      <w:r>
        <w:rPr>
          <w:rFonts w:hint="eastAsia" w:ascii="宋体" w:hAnsi="宋体" w:eastAsia="宋体" w:cs="宋体"/>
          <w:sz w:val="32"/>
          <w:szCs w:val="32"/>
        </w:rPr>
        <w:t>400</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场地硬化</w:t>
      </w:r>
      <w:r>
        <w:rPr>
          <w:rFonts w:hint="eastAsia" w:ascii="宋体" w:hAnsi="宋体" w:eastAsia="宋体" w:cs="宋体"/>
          <w:sz w:val="32"/>
          <w:szCs w:val="32"/>
        </w:rPr>
        <w:t>1000</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采购食品加工设备一批等</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项目估算总投资</w:t>
      </w:r>
      <w:r>
        <w:rPr>
          <w:rFonts w:hint="eastAsia" w:ascii="宋体" w:hAnsi="宋体" w:eastAsia="宋体" w:cs="宋体"/>
          <w:sz w:val="32"/>
          <w:szCs w:val="32"/>
        </w:rPr>
        <w:t>910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18</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勐戛镇食品厂建设项目已按批复的建设内容完成建设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于</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5</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5</w:t>
      </w:r>
      <w:r>
        <w:rPr>
          <w:rFonts w:hint="eastAsia" w:ascii="方正仿宋_GBK" w:hAnsi="方正仿宋_GBK" w:eastAsia="方正仿宋_GBK" w:cs="方正仿宋_GBK"/>
          <w:sz w:val="32"/>
          <w:szCs w:val="32"/>
        </w:rPr>
        <w:t>日验收合格</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6</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4</w:t>
      </w:r>
      <w:r>
        <w:rPr>
          <w:rFonts w:hint="eastAsia" w:ascii="方正仿宋_GBK" w:hAnsi="方正仿宋_GBK" w:eastAsia="方正仿宋_GBK" w:cs="方正仿宋_GBK"/>
          <w:sz w:val="32"/>
          <w:szCs w:val="32"/>
        </w:rPr>
        <w:t>日完成工程结算</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结算总价</w:t>
      </w:r>
      <w:r>
        <w:rPr>
          <w:rFonts w:hint="eastAsia" w:ascii="宋体" w:hAnsi="宋体" w:eastAsia="宋体" w:cs="宋体"/>
          <w:sz w:val="32"/>
          <w:szCs w:val="32"/>
        </w:rPr>
        <w:t>912.79</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实际到位资金</w:t>
      </w:r>
      <w:r>
        <w:rPr>
          <w:rFonts w:hint="eastAsia" w:ascii="宋体" w:hAnsi="宋体" w:eastAsia="宋体" w:cs="宋体"/>
          <w:sz w:val="32"/>
          <w:szCs w:val="32"/>
        </w:rPr>
        <w:t>917.59</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支出资金</w:t>
      </w:r>
      <w:r>
        <w:rPr>
          <w:rFonts w:hint="eastAsia" w:ascii="宋体" w:hAnsi="宋体" w:eastAsia="宋体" w:cs="宋体"/>
          <w:sz w:val="32"/>
          <w:szCs w:val="32"/>
        </w:rPr>
        <w:t>906.66</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结转结余资金</w:t>
      </w:r>
      <w:r>
        <w:rPr>
          <w:rFonts w:hint="eastAsia" w:ascii="宋体" w:hAnsi="宋体" w:eastAsia="宋体" w:cs="宋体"/>
          <w:sz w:val="32"/>
          <w:szCs w:val="32"/>
        </w:rPr>
        <w:t>10.93</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绩效评价结论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本项目绩效评价得分</w:t>
      </w:r>
      <w:r>
        <w:rPr>
          <w:rFonts w:hint="eastAsia" w:ascii="宋体" w:hAnsi="宋体" w:eastAsia="宋体" w:cs="宋体"/>
          <w:sz w:val="32"/>
          <w:szCs w:val="32"/>
        </w:rPr>
        <w:t>80.32</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评价等级为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良</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评价综合结论为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勐戛镇食品厂建设项目立项依据充分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相关批复手续齐全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项目实施符合芒市乡村振兴发展规划和相关政策</w:t>
      </w:r>
      <w:r>
        <w:rPr>
          <w:rFonts w:hint="eastAsia" w:ascii="宋体" w:hAnsi="宋体" w:eastAsia="宋体" w:cs="宋体"/>
          <w:sz w:val="32"/>
          <w:szCs w:val="32"/>
        </w:rPr>
        <w:t>。</w:t>
      </w:r>
      <w:r>
        <w:rPr>
          <w:rFonts w:hint="eastAsia" w:ascii="方正仿宋_GBK" w:hAnsi="方正仿宋_GBK" w:eastAsia="方正仿宋_GBK" w:cs="方正仿宋_GBK"/>
          <w:sz w:val="32"/>
          <w:szCs w:val="32"/>
        </w:rPr>
        <w:t>勐戛镇人民政府制定了实施方案</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成立工作小组</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建立了联席会议制度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组织机构健全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项目建设管理及资金使用基本规范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工程质量验收合格</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截至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31</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钢架厂房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附属用房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室外工程及相关生产设备均以完成建设并投入使用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但还存在项目建设程序不规范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项目收益未达预期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档案资料归档不及时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资金支付审批不到位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绩效指标设置不完整</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自评工作有待提高等问题</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进一步提升运营管理</w:t>
      </w:r>
      <w:r>
        <w:rPr>
          <w:rFonts w:hint="eastAsia" w:ascii="宋体" w:hAnsi="宋体" w:eastAsia="宋体" w:cs="宋体"/>
          <w:sz w:val="32"/>
          <w:szCs w:val="32"/>
        </w:rPr>
        <w:t>，</w:t>
      </w:r>
      <w:r>
        <w:rPr>
          <w:rFonts w:hint="eastAsia" w:ascii="方正楷体_GBK" w:hAnsi="方正楷体_GBK" w:eastAsia="方正楷体_GBK" w:cs="方正楷体_GBK"/>
          <w:sz w:val="32"/>
          <w:szCs w:val="32"/>
        </w:rPr>
        <w:t>确保项目发挥预期效益</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建立后续跟踪问效监督机制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对项目未实现的预期效益</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积极督促落实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进一步加强与承租方的沟通协调</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确保实施方案预期绩效目标得以实现</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严格遵守基本建设程序</w:t>
      </w:r>
      <w:r>
        <w:rPr>
          <w:rFonts w:hint="eastAsia" w:ascii="宋体" w:hAnsi="宋体" w:eastAsia="宋体" w:cs="宋体"/>
          <w:sz w:val="32"/>
          <w:szCs w:val="32"/>
        </w:rPr>
        <w:t>，</w:t>
      </w:r>
      <w:r>
        <w:rPr>
          <w:rFonts w:hint="eastAsia" w:ascii="方正楷体_GBK" w:hAnsi="方正楷体_GBK" w:eastAsia="方正楷体_GBK" w:cs="方正楷体_GBK"/>
          <w:sz w:val="32"/>
          <w:szCs w:val="32"/>
        </w:rPr>
        <w:t>规范工程档案管理</w:t>
      </w:r>
      <w:r>
        <w:rPr>
          <w:rFonts w:hint="eastAsia" w:ascii="宋体" w:hAnsi="宋体" w:eastAsia="宋体" w:cs="宋体"/>
          <w:sz w:val="32"/>
          <w:szCs w:val="32"/>
        </w:rPr>
        <w:t>，</w:t>
      </w:r>
      <w:r>
        <w:rPr>
          <w:rFonts w:hint="eastAsia" w:ascii="方正楷体_GBK" w:hAnsi="方正楷体_GBK" w:eastAsia="方正楷体_GBK" w:cs="方正楷体_GBK"/>
          <w:sz w:val="32"/>
          <w:szCs w:val="32"/>
        </w:rPr>
        <w:t>建立健全建后管护机制</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政府投资项目应当严格执行基本建设程序</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未取得施工许可证的工程项目不得开工建设</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规范项目档案管理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做到清晰可查</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建立资产后期监督管理机制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定期对出租资产状态进行监督管理</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加强资金支付审批程序及报账资料复核</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加强对相关资金支付及报账材料复核</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确保资金支付有完整的审批程序</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落实项目款项支付与项目建设进度匹配情况</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严格按照合同约定拨付项目进度款</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夯实绩效管理基础</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w:t>
      </w:r>
      <w:r>
        <w:rPr>
          <w:rFonts w:hint="eastAsia" w:ascii="宋体" w:hAnsi="宋体" w:eastAsia="宋体" w:cs="宋体"/>
          <w:sz w:val="32"/>
          <w:szCs w:val="32"/>
        </w:rPr>
        <w:t>“</w:t>
      </w:r>
      <w:r>
        <w:rPr>
          <w:rFonts w:hint="eastAsia" w:ascii="方正楷体_GBK" w:hAnsi="方正楷体_GBK" w:eastAsia="方正楷体_GBK" w:cs="方正楷体_GBK"/>
          <w:sz w:val="32"/>
          <w:szCs w:val="32"/>
        </w:rPr>
        <w:t>绩效</w:t>
      </w:r>
      <w:r>
        <w:rPr>
          <w:rFonts w:hint="eastAsia" w:ascii="宋体" w:hAnsi="宋体" w:eastAsia="宋体" w:cs="宋体"/>
          <w:sz w:val="32"/>
          <w:szCs w:val="32"/>
        </w:rPr>
        <w:t>”</w:t>
      </w:r>
      <w:r>
        <w:rPr>
          <w:rFonts w:hint="eastAsia" w:ascii="方正楷体_GBK" w:hAnsi="方正楷体_GBK" w:eastAsia="方正楷体_GBK" w:cs="方正楷体_GBK"/>
          <w:sz w:val="32"/>
          <w:szCs w:val="32"/>
        </w:rPr>
        <w:t>管理质量</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严格落实绩效管理相关要求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提升工作人员</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w:t>
      </w:r>
      <w:r>
        <w:rPr>
          <w:rFonts w:hint="eastAsia" w:ascii="宋体" w:hAnsi="宋体" w:eastAsia="宋体" w:cs="宋体"/>
          <w:sz w:val="32"/>
          <w:szCs w:val="32"/>
        </w:rPr>
        <w:t>”</w:t>
      </w:r>
      <w:r>
        <w:rPr>
          <w:rFonts w:hint="eastAsia" w:ascii="方正仿宋_GBK" w:hAnsi="方正仿宋_GBK" w:eastAsia="方正仿宋_GBK" w:cs="方正仿宋_GBK"/>
          <w:sz w:val="32"/>
          <w:szCs w:val="32"/>
        </w:rPr>
        <w:t>意识</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强化</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w:t>
      </w:r>
      <w:r>
        <w:rPr>
          <w:rFonts w:hint="eastAsia" w:ascii="宋体" w:hAnsi="宋体" w:eastAsia="宋体" w:cs="宋体"/>
          <w:sz w:val="32"/>
          <w:szCs w:val="32"/>
        </w:rPr>
        <w:t>”</w:t>
      </w:r>
      <w:r>
        <w:rPr>
          <w:rFonts w:hint="eastAsia" w:ascii="方正仿宋_GBK" w:hAnsi="方正仿宋_GBK" w:eastAsia="方正仿宋_GBK" w:cs="方正仿宋_GBK"/>
          <w:sz w:val="32"/>
          <w:szCs w:val="32"/>
        </w:rPr>
        <w:t>管理</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做好项目指标完成情况相关证明材料的收集整理工作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确保各项指标评分有据可依</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自评结果可追溯</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2154" w:right="1417" w:bottom="2041"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165B3CD4"/>
    <w:rsid w:val="2B9915CF"/>
    <w:rsid w:val="364A603E"/>
    <w:rsid w:val="39884F38"/>
    <w:rsid w:val="48152B8A"/>
    <w:rsid w:val="4A310416"/>
    <w:rsid w:val="7D19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dhmk85</cp:lastModifiedBy>
  <dcterms:modified xsi:type="dcterms:W3CDTF">2024-09-23T09:31:24Z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