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芒市政协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  <w:bookmarkStart w:id="0" w:name="_GoBack"/>
      <w:bookmarkEnd w:id="0"/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人民政协是中国共产党领导的多党合作和政治协商的重要机构，</w:t>
      </w:r>
      <w:r>
        <w:rPr>
          <w:rFonts w:hint="eastAsia" w:ascii="仿宋_GB2312" w:eastAsia="仿宋_GB2312"/>
          <w:sz w:val="30"/>
          <w:szCs w:val="30"/>
          <w:lang w:eastAsia="zh-CN"/>
        </w:rPr>
        <w:t>十九大报告指出：人民政协是具有中国特色的制度安排，是社会主义协商民主的重要渠道和专门协商机构。人民政协工作要聚焦党和国家中心任务，围绕团结和民主两大主题，把协商民主贯穿</w:t>
      </w:r>
      <w:r>
        <w:rPr>
          <w:rFonts w:hint="eastAsia" w:ascii="仿宋_GB2312" w:eastAsia="仿宋_GB2312"/>
          <w:sz w:val="30"/>
          <w:szCs w:val="30"/>
        </w:rPr>
        <w:t>政治协商、民主监督、参政议政</w:t>
      </w:r>
      <w:r>
        <w:rPr>
          <w:rFonts w:hint="eastAsia" w:ascii="仿宋_GB2312" w:eastAsia="仿宋_GB2312"/>
          <w:sz w:val="30"/>
          <w:szCs w:val="30"/>
          <w:lang w:eastAsia="zh-CN"/>
        </w:rPr>
        <w:t>全过程，完善协商议政内容和形式，着力增进共识、促进团结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napToGrid w:val="0"/>
        <w:spacing w:line="600" w:lineRule="exact"/>
        <w:ind w:firstLine="600" w:firstLineChars="200"/>
        <w:outlineLvl w:val="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2018年芒市政协机构无变化。</w:t>
      </w:r>
      <w:r>
        <w:rPr>
          <w:rFonts w:hint="eastAsia" w:ascii="仿宋_GB2312" w:eastAsia="仿宋_GB2312"/>
          <w:sz w:val="30"/>
          <w:szCs w:val="30"/>
        </w:rPr>
        <w:t>机关编制数23个，其中行政编制数19 个，工勤编制数4个， 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年末实有人数3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人，其中行政人员3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 xml:space="preserve"> 人，工勤人员 4 人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本年调入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人，其中行政公务员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人；调出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人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。有公益性岗位1人，大学生志愿者1人。</w:t>
      </w:r>
      <w:r>
        <w:rPr>
          <w:rFonts w:hint="eastAsia" w:ascii="仿宋_GB2312" w:eastAsia="仿宋_GB2312"/>
          <w:sz w:val="30"/>
          <w:szCs w:val="30"/>
          <w:lang w:eastAsia="zh-CN"/>
        </w:rPr>
        <w:t>退休人员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33人已全部纳入社保管理。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一年来市政协机关围绕市委、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市</w:t>
      </w:r>
      <w:r>
        <w:rPr>
          <w:rFonts w:hint="eastAsia" w:ascii="仿宋_GB2312" w:eastAsia="仿宋_GB2312"/>
          <w:sz w:val="30"/>
          <w:szCs w:val="30"/>
        </w:rPr>
        <w:t>政府中心工作开展政协工作，围绕团结和民主两大主题，认真开展政治协商、民主监督、参政议政，积极发挥政协委员团结各族各界，联系基层群众的作用，较好地履行了协调关系、汇聚力量、建言献策、服务大局、促进发展的作用。全年组织政协委员开展调研视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次，组织民主评议部门工作1次，召开政协全会1次，召开常委会</w:t>
      </w:r>
      <w:r>
        <w:rPr>
          <w:rFonts w:hint="eastAsia" w:ascii="仿宋_GB2312" w:eastAsia="仿宋_GB2312"/>
          <w:sz w:val="30"/>
          <w:szCs w:val="30"/>
          <w:lang w:eastAsia="zh-CN"/>
        </w:rPr>
        <w:t>会</w:t>
      </w:r>
      <w:r>
        <w:rPr>
          <w:rFonts w:hint="eastAsia" w:ascii="仿宋_GB2312" w:eastAsia="仿宋_GB2312"/>
          <w:sz w:val="30"/>
          <w:szCs w:val="30"/>
        </w:rPr>
        <w:t>议4次，主席会议4次，组织</w:t>
      </w:r>
      <w:r>
        <w:rPr>
          <w:rFonts w:hint="eastAsia" w:ascii="仿宋_GB2312" w:eastAsia="仿宋_GB2312"/>
          <w:sz w:val="30"/>
          <w:szCs w:val="30"/>
          <w:lang w:eastAsia="zh-CN"/>
        </w:rPr>
        <w:t>政协</w:t>
      </w:r>
      <w:r>
        <w:rPr>
          <w:rFonts w:hint="eastAsia" w:ascii="仿宋_GB2312" w:eastAsia="仿宋_GB2312"/>
          <w:sz w:val="30"/>
          <w:szCs w:val="30"/>
        </w:rPr>
        <w:t>委员</w:t>
      </w:r>
      <w:r>
        <w:rPr>
          <w:rFonts w:hint="eastAsia" w:ascii="仿宋_GB2312" w:eastAsia="仿宋_GB2312"/>
          <w:sz w:val="30"/>
          <w:szCs w:val="30"/>
          <w:lang w:eastAsia="zh-CN"/>
        </w:rPr>
        <w:t>脱贫攻坚</w:t>
      </w:r>
      <w:r>
        <w:rPr>
          <w:rFonts w:hint="eastAsia" w:ascii="仿宋_GB2312" w:eastAsia="仿宋_GB2312"/>
          <w:sz w:val="30"/>
          <w:szCs w:val="30"/>
        </w:rPr>
        <w:t>培训1次。征集委员提案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233</w:t>
      </w:r>
      <w:r>
        <w:rPr>
          <w:rFonts w:hint="eastAsia" w:ascii="仿宋_GB2312" w:eastAsia="仿宋_GB2312"/>
          <w:sz w:val="30"/>
          <w:szCs w:val="30"/>
        </w:rPr>
        <w:t>件，立案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231</w:t>
      </w:r>
      <w:r>
        <w:rPr>
          <w:rFonts w:hint="eastAsia" w:ascii="仿宋_GB2312" w:eastAsia="仿宋_GB2312"/>
          <w:sz w:val="30"/>
          <w:szCs w:val="30"/>
        </w:rPr>
        <w:t>件，已全部</w:t>
      </w:r>
      <w:r>
        <w:rPr>
          <w:rFonts w:hint="eastAsia" w:ascii="仿宋_GB2312" w:eastAsia="仿宋_GB2312"/>
          <w:sz w:val="30"/>
          <w:szCs w:val="30"/>
          <w:lang w:eastAsia="zh-CN"/>
        </w:rPr>
        <w:t>进行交办</w:t>
      </w:r>
      <w:r>
        <w:rPr>
          <w:rFonts w:hint="eastAsia" w:ascii="仿宋_GB2312" w:eastAsia="仿宋_GB2312"/>
          <w:sz w:val="30"/>
          <w:szCs w:val="30"/>
        </w:rPr>
        <w:t>。完成了《</w:t>
      </w:r>
      <w:r>
        <w:rPr>
          <w:rFonts w:hint="eastAsia" w:ascii="仿宋_GB2312" w:eastAsia="仿宋_GB2312"/>
          <w:sz w:val="30"/>
          <w:szCs w:val="30"/>
          <w:lang w:eastAsia="zh-CN"/>
        </w:rPr>
        <w:t>芒市政协优秀提案选编</w:t>
      </w:r>
      <w:r>
        <w:rPr>
          <w:rFonts w:hint="eastAsia" w:ascii="仿宋_GB2312" w:eastAsia="仿宋_GB2312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  <w:lang w:eastAsia="zh-CN"/>
        </w:rPr>
        <w:t>《芒市政协调研视察报告汇编》两本文史资料的出版发行工作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spacing w:line="560" w:lineRule="exact"/>
        <w:ind w:firstLine="600" w:firstLineChars="200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我部门编制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年部门预算单位共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个。其中：财政全供给单位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在职人员编制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人，其中：行政编制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人。在职实有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退休人员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车辆编制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辆，实有车辆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年部门财务总收入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万元，其中：一般公共预算财政拨款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年部门财政拨款收入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万元，其中:本年收入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万元（本级财力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年部门预算总支出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万元。财政拨款安排支出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524.24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万元，其中，基本支出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384.24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万元，项目支出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功能科目分组，主要用于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444.02万元，文化体育支出15万元，社会保障和就业支出28.71万元，住房保障36.51万元。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384.24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基本支出用于工资福利支出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359.14万元，用于商品和服务支出22.21万元，用于对个人和家庭补助2.89万元。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项目支出用于商品和服务支出107万元，用于对个人和家庭补助25万元，用于其他资本性支出（办公设备购置）8万元。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本单位没有</w:t>
      </w:r>
      <w:r>
        <w:rPr>
          <w:rFonts w:eastAsia="仿宋_GB2312"/>
          <w:kern w:val="0"/>
          <w:sz w:val="30"/>
          <w:szCs w:val="30"/>
        </w:rPr>
        <w:t>省对下专项转移支付</w:t>
      </w:r>
      <w:r>
        <w:rPr>
          <w:rFonts w:hint="eastAsia" w:eastAsia="仿宋_GB2312"/>
          <w:kern w:val="0"/>
          <w:sz w:val="30"/>
          <w:szCs w:val="30"/>
          <w:lang w:eastAsia="zh-CN"/>
        </w:rPr>
        <w:t>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  <w:lang w:eastAsia="zh-CN"/>
        </w:rPr>
        <w:t>本单位在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  <w:lang w:eastAsia="zh-CN"/>
        </w:rPr>
        <w:t>预算报表时虽未填报</w:t>
      </w:r>
      <w:r>
        <w:rPr>
          <w:rFonts w:eastAsia="仿宋_GB2312"/>
          <w:kern w:val="0"/>
          <w:sz w:val="30"/>
          <w:szCs w:val="30"/>
        </w:rPr>
        <w:t>政府采购预算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表（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6-13表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但在项目支出中安排了办公设备购置</w:t>
      </w:r>
      <w:r>
        <w:rPr>
          <w:rFonts w:eastAsia="仿宋_GB2312"/>
          <w:kern w:val="0"/>
          <w:sz w:val="30"/>
          <w:szCs w:val="30"/>
        </w:rPr>
        <w:t>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七</w:t>
      </w:r>
      <w:r>
        <w:rPr>
          <w:rFonts w:hint="eastAsia" w:ascii="黑体" w:hAnsi="黑体" w:eastAsia="黑体"/>
          <w:kern w:val="0"/>
          <w:sz w:val="30"/>
          <w:szCs w:val="30"/>
        </w:rPr>
        <w:t>、预算收支增减变化情况说明</w:t>
      </w:r>
    </w:p>
    <w:p>
      <w:pPr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基本支出本年预算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384.24万元，比上年731.67万元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347.43万元，减幅47.5%</w:t>
      </w:r>
      <w:r>
        <w:rPr>
          <w:rFonts w:hint="eastAsia" w:eastAsia="仿宋_GB2312"/>
          <w:kern w:val="0"/>
          <w:sz w:val="30"/>
          <w:szCs w:val="30"/>
          <w:lang w:eastAsia="zh-CN"/>
        </w:rPr>
        <w:t>，主要原因是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一是根据财政部门及社会保障部门要求，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</w:rPr>
        <w:t>从2017年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val="en-US" w:eastAsia="zh-CN"/>
        </w:rPr>
        <w:t>1月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</w:rPr>
        <w:t>起，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eastAsia="zh-CN"/>
        </w:rPr>
        <w:t>除提前退休人员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val="en-US" w:eastAsia="zh-CN"/>
        </w:rPr>
        <w:t>1 人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eastAsia="zh-CN"/>
        </w:rPr>
        <w:t>由单位发放工资至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val="en-US" w:eastAsia="zh-CN"/>
        </w:rPr>
        <w:t>6月份外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</w:rPr>
        <w:t>退休人员工资统一由市人社局发放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eastAsia="zh-CN"/>
        </w:rPr>
        <w:t>，退休费不列入本年预算编制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val="en-US" w:eastAsia="zh-CN"/>
        </w:rPr>
        <w:t>。二是2017年除建设经费列入项目经费以外，其他经费均列入基本支出中核算，如政协委员活动费、培训费、会议费等业务经费。2018年除公用经费列入基本支出核算，其他经费均列入项目支出核算。</w:t>
      </w:r>
    </w:p>
    <w:p>
      <w:pPr>
        <w:ind w:firstLine="600" w:firstLineChars="200"/>
        <w:rPr>
          <w:rFonts w:hint="eastAsia" w:eastAsia="仿宋_GB2312"/>
          <w:b w:val="0"/>
          <w:bCs/>
          <w:kern w:val="0"/>
          <w:sz w:val="30"/>
          <w:szCs w:val="30"/>
          <w:lang w:eastAsia="zh-CN"/>
        </w:rPr>
      </w:pPr>
      <w:r>
        <w:rPr>
          <w:rFonts w:eastAsia="仿宋_GB2312"/>
          <w:b w:val="0"/>
          <w:bCs/>
          <w:kern w:val="0"/>
          <w:sz w:val="30"/>
          <w:szCs w:val="30"/>
        </w:rPr>
        <w:t>（二）</w:t>
      </w:r>
      <w:r>
        <w:rPr>
          <w:rFonts w:hint="eastAsia" w:eastAsia="仿宋_GB2312"/>
          <w:b w:val="0"/>
          <w:bCs/>
          <w:kern w:val="0"/>
          <w:sz w:val="30"/>
          <w:szCs w:val="30"/>
          <w:lang w:eastAsia="zh-CN"/>
        </w:rPr>
        <w:t>项目支出本年预算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，比上年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13.6万元126.4万元，</w:t>
      </w:r>
      <w:r>
        <w:rPr>
          <w:rFonts w:hint="eastAsia" w:eastAsia="仿宋_GB2312"/>
          <w:b w:val="0"/>
          <w:bCs/>
          <w:kern w:val="0"/>
          <w:sz w:val="30"/>
          <w:szCs w:val="30"/>
          <w:lang w:eastAsia="zh-CN"/>
        </w:rPr>
        <w:t>增幅</w:t>
      </w:r>
      <w:r>
        <w:rPr>
          <w:rFonts w:hint="eastAsia" w:eastAsia="仿宋_GB2312"/>
          <w:b w:val="0"/>
          <w:bCs/>
          <w:kern w:val="0"/>
          <w:sz w:val="30"/>
          <w:szCs w:val="30"/>
          <w:lang w:val="en-US" w:eastAsia="zh-CN"/>
        </w:rPr>
        <w:t>92.9%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主要原因：</w:t>
      </w:r>
      <w:r>
        <w:rPr>
          <w:rFonts w:hint="eastAsia" w:ascii="仿宋_GB2312" w:hAnsi="宋体" w:eastAsia="仿宋_GB2312" w:cs="仿宋_GB2312"/>
          <w:bCs/>
          <w:kern w:val="0"/>
          <w:sz w:val="30"/>
          <w:szCs w:val="30"/>
          <w:lang w:val="en-US" w:eastAsia="zh-CN"/>
        </w:rPr>
        <w:t>2017年除建设经费列入项目经费编制以外，其他经费均列入基本支出中核算，如政协委员活动费、培训费、会议费等业务经费。2018年除公用经费列入基本支出核算，其他经费均列入项目支出核算。</w:t>
      </w:r>
      <w:r>
        <w:rPr>
          <w:rFonts w:hint="eastAsia" w:eastAsia="仿宋_GB2312"/>
          <w:b w:val="0"/>
          <w:bCs/>
          <w:kern w:val="0"/>
          <w:sz w:val="30"/>
          <w:szCs w:val="30"/>
          <w:lang w:eastAsia="zh-CN"/>
        </w:rPr>
        <w:t>同时，由于芒市民族文化体育康乐谷转型升级指挥部设在政协，开展项目协调推进工作经费也列入政协项目支出。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八、</w:t>
      </w:r>
      <w:r>
        <w:rPr>
          <w:rFonts w:ascii="黑体" w:hAnsi="黑体" w:eastAsia="黑体"/>
          <w:kern w:val="0"/>
          <w:sz w:val="30"/>
          <w:szCs w:val="30"/>
        </w:rPr>
        <w:t>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numPr>
          <w:ilvl w:val="0"/>
          <w:numId w:val="0"/>
        </w:numPr>
        <w:snapToGrid w:val="0"/>
        <w:spacing w:line="600" w:lineRule="exact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政府采购：指国家各级政府为从事日常的政务活动或为了满足公共服务的目的，利用国家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"https://baike.so.com/doc/5716834-5929560.html" \t "_blank"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财政性资金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和政府借款购买货物、工程和服务的行为。政府采购不仅是指具体的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"https://baike.so.com/doc/4796448-5012566.html" \t "_blank"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采购过程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，而且是采购政策、采购程序、采购过程及采购管理的总称，是一种对公共采购管理的制度。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0"/>
          <w:szCs w:val="30"/>
        </w:rPr>
        <w:t>机关运行经费: 指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机关运行经费安排</w:t>
      </w:r>
    </w:p>
    <w:p>
      <w:pPr>
        <w:ind w:firstLine="600" w:firstLineChars="200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机关运行经费安排103.84万元，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主要安排用于：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机关工作需要的各类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办公费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22.64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万元，业务费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培训费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5万元，公务接待费6万元，公务用车运行维护费10.2万元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用于保障机关正常开展工作必备的支出。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鉴于截至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年度部门决算时一并公开部门截至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年12月31日的国有资产占有使用情况。</w:t>
      </w:r>
    </w:p>
    <w:p>
      <w:pPr>
        <w:ind w:firstLine="1500" w:firstLineChars="5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芒市政协办公室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  <w:r>
        <w:rPr>
          <w:rFonts w:hint="eastAsia" w:ascii="黑体" w:hAnsi="黑体" w:eastAsia="黑体"/>
          <w:sz w:val="30"/>
          <w:szCs w:val="30"/>
          <w:lang w:eastAsia="zh-CN"/>
        </w:rPr>
        <w:t>目录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ind w:firstLine="600" w:firstLineChars="200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ind w:firstLine="600" w:firstLineChars="200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198D5"/>
    <w:multiLevelType w:val="singleLevel"/>
    <w:tmpl w:val="C04198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0E3AEA"/>
    <w:rsid w:val="05590BF4"/>
    <w:rsid w:val="0F424FEC"/>
    <w:rsid w:val="114A32D5"/>
    <w:rsid w:val="16E81180"/>
    <w:rsid w:val="1EF47DA3"/>
    <w:rsid w:val="29B10750"/>
    <w:rsid w:val="43803B24"/>
    <w:rsid w:val="44A25C7D"/>
    <w:rsid w:val="4B770784"/>
    <w:rsid w:val="58412781"/>
    <w:rsid w:val="63E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DELL</cp:lastModifiedBy>
  <cp:lastPrinted>2018-02-11T05:21:00Z</cp:lastPrinted>
  <dcterms:modified xsi:type="dcterms:W3CDTF">2024-08-07T03:14:23Z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