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kern w:val="0"/>
          <w:sz w:val="24"/>
          <w:szCs w:val="24"/>
          <w:lang w:val="en-US" w:eastAsia="zh-CN" w:bidi="ar"/>
        </w:rPr>
        <w:t>监督索引号</w:t>
      </w:r>
      <w:r>
        <w:rPr>
          <w:rFonts w:ascii="Arial" w:hAnsi="Arial" w:eastAsia="微软雅黑" w:cs="Arial"/>
          <w:b/>
          <w:i w:val="0"/>
          <w:caps w:val="0"/>
          <w:color w:val="333333"/>
          <w:spacing w:val="0"/>
          <w:kern w:val="0"/>
          <w:sz w:val="36"/>
          <w:szCs w:val="36"/>
          <w:lang w:val="en-US" w:eastAsia="zh-CN" w:bidi="ar"/>
        </w:rPr>
        <w:t>53310300432400000</w:t>
      </w:r>
    </w:p>
    <w:p>
      <w:pPr>
        <w:widowControl/>
        <w:jc w:val="both"/>
        <w:rPr>
          <w:rFonts w:hint="default" w:ascii="Times New Roman" w:hAnsi="Times New Roman" w:eastAsia="方正小标宋简体" w:cs="Times New Roman"/>
          <w:sz w:val="36"/>
          <w:szCs w:val="36"/>
        </w:rPr>
      </w:pPr>
    </w:p>
    <w:p>
      <w:pPr>
        <w:widowControl/>
        <w:jc w:val="center"/>
        <w:rPr>
          <w:rFonts w:hint="default" w:ascii="Times New Roman" w:hAnsi="Times New Roman" w:eastAsia="黑体" w:cs="Times New Roman"/>
          <w:sz w:val="30"/>
          <w:szCs w:val="30"/>
          <w:lang w:eastAsia="zh-CN"/>
        </w:rPr>
      </w:pPr>
      <w:r>
        <w:rPr>
          <w:rFonts w:hint="default" w:ascii="Times New Roman" w:hAnsi="Times New Roman" w:eastAsia="方正小标宋简体" w:cs="Times New Roman"/>
          <w:sz w:val="36"/>
          <w:szCs w:val="36"/>
        </w:rPr>
        <w:t>目录</w:t>
      </w:r>
    </w:p>
    <w:p>
      <w:pPr>
        <w:widowControl/>
        <w:jc w:val="left"/>
        <w:rPr>
          <w:rFonts w:hint="default" w:ascii="Times New Roman" w:hAnsi="Times New Roman" w:eastAsia="黑体" w:cs="Times New Roman"/>
          <w:kern w:val="0"/>
          <w:sz w:val="30"/>
          <w:szCs w:val="30"/>
        </w:rPr>
      </w:pPr>
      <w:r>
        <w:rPr>
          <w:rFonts w:hint="default" w:ascii="Times New Roman" w:hAnsi="Times New Roman" w:eastAsia="黑体" w:cs="Times New Roman"/>
          <w:sz w:val="30"/>
          <w:szCs w:val="30"/>
        </w:rPr>
        <w:t>第一部分 芒市</w:t>
      </w:r>
      <w:r>
        <w:rPr>
          <w:rFonts w:hint="eastAsia" w:eastAsia="黑体" w:cs="Times New Roman"/>
          <w:sz w:val="30"/>
          <w:szCs w:val="30"/>
          <w:lang w:eastAsia="zh-CN"/>
        </w:rPr>
        <w:t>国土资源</w:t>
      </w:r>
      <w:r>
        <w:rPr>
          <w:rFonts w:hint="default" w:ascii="Times New Roman" w:hAnsi="Times New Roman" w:eastAsia="黑体" w:cs="Times New Roman"/>
          <w:sz w:val="30"/>
          <w:szCs w:val="30"/>
        </w:rPr>
        <w:t>局2019年部门预算编制说明</w:t>
      </w:r>
    </w:p>
    <w:p>
      <w:pPr>
        <w:widowControl/>
        <w:jc w:val="left"/>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一、基本职能及主要工作</w:t>
      </w:r>
    </w:p>
    <w:p>
      <w:pPr>
        <w:widowControl/>
        <w:jc w:val="left"/>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二、预算单位基本情况</w:t>
      </w:r>
    </w:p>
    <w:p>
      <w:pPr>
        <w:widowControl/>
        <w:jc w:val="left"/>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三、预算单位收入情况</w:t>
      </w:r>
    </w:p>
    <w:p>
      <w:pPr>
        <w:widowControl/>
        <w:jc w:val="left"/>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四、预算单位支出情况</w:t>
      </w:r>
    </w:p>
    <w:p>
      <w:pPr>
        <w:widowControl/>
        <w:jc w:val="left"/>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五、省对下转项转移支付情况</w:t>
      </w:r>
    </w:p>
    <w:p>
      <w:pPr>
        <w:widowControl/>
        <w:jc w:val="left"/>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六、政府采购预算情况</w:t>
      </w:r>
    </w:p>
    <w:p>
      <w:pPr>
        <w:widowControl/>
        <w:jc w:val="left"/>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七、预算收支增减变化情况说明</w:t>
      </w:r>
    </w:p>
    <w:p>
      <w:pPr>
        <w:widowControl/>
        <w:jc w:val="left"/>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八、部门一般公共预算“三公”经费支出公开信息</w:t>
      </w:r>
    </w:p>
    <w:p>
      <w:pPr>
        <w:widowControl/>
        <w:numPr>
          <w:ilvl w:val="0"/>
          <w:numId w:val="0"/>
        </w:numPr>
        <w:jc w:val="left"/>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lang w:eastAsia="zh-CN"/>
        </w:rPr>
        <w:t>九</w:t>
      </w:r>
      <w:r>
        <w:rPr>
          <w:rFonts w:hint="default" w:ascii="Times New Roman" w:hAnsi="Times New Roman" w:eastAsia="仿宋" w:cs="Times New Roman"/>
          <w:kern w:val="0"/>
          <w:sz w:val="30"/>
          <w:szCs w:val="30"/>
        </w:rPr>
        <w:t>、其他公开信息</w:t>
      </w:r>
      <w:r>
        <w:rPr>
          <w:rFonts w:hint="default" w:ascii="Times New Roman" w:hAnsi="Times New Roman" w:eastAsia="仿宋" w:cs="Times New Roman"/>
          <w:kern w:val="0"/>
          <w:sz w:val="30"/>
          <w:szCs w:val="30"/>
          <w:lang w:eastAsia="zh-CN"/>
        </w:rPr>
        <w:t>（含名词解释、</w:t>
      </w:r>
      <w:r>
        <w:rPr>
          <w:rFonts w:hint="default" w:ascii="Times New Roman" w:hAnsi="Times New Roman" w:eastAsia="仿宋" w:cs="Times New Roman"/>
          <w:kern w:val="0"/>
          <w:sz w:val="30"/>
          <w:szCs w:val="30"/>
        </w:rPr>
        <w:t>机</w:t>
      </w:r>
      <w:r>
        <w:rPr>
          <w:rFonts w:hint="default" w:ascii="Times New Roman" w:hAnsi="Times New Roman" w:eastAsia="仿宋" w:cs="Times New Roman"/>
          <w:kern w:val="0"/>
          <w:sz w:val="30"/>
          <w:szCs w:val="30"/>
          <w:lang w:eastAsia="zh-CN"/>
        </w:rPr>
        <w:t>关运行经费、国有资产占用情况、本部门预算绩效情况说明）</w:t>
      </w:r>
    </w:p>
    <w:p>
      <w:pPr>
        <w:widowControl/>
        <w:jc w:val="left"/>
        <w:rPr>
          <w:rFonts w:hint="default" w:ascii="Times New Roman" w:hAnsi="Times New Roman" w:eastAsia="仿宋_GB2312" w:cs="Times New Roman"/>
          <w:kern w:val="0"/>
          <w:sz w:val="30"/>
          <w:szCs w:val="30"/>
        </w:rPr>
      </w:pPr>
    </w:p>
    <w:p>
      <w:pPr>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第二部分 芒市</w:t>
      </w:r>
      <w:r>
        <w:rPr>
          <w:rFonts w:hint="eastAsia" w:eastAsia="黑体" w:cs="Times New Roman"/>
          <w:sz w:val="30"/>
          <w:szCs w:val="30"/>
          <w:lang w:eastAsia="zh-CN"/>
        </w:rPr>
        <w:t>国土资源</w:t>
      </w:r>
      <w:r>
        <w:rPr>
          <w:rFonts w:hint="default" w:ascii="Times New Roman" w:hAnsi="Times New Roman" w:eastAsia="黑体" w:cs="Times New Roman"/>
          <w:sz w:val="30"/>
          <w:szCs w:val="30"/>
        </w:rPr>
        <w:t>局2019年部门预算表</w:t>
      </w:r>
    </w:p>
    <w:p>
      <w:pPr>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一、部门财务收支总体情况表</w:t>
      </w:r>
    </w:p>
    <w:p>
      <w:pPr>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二、部门收入总体情况表</w:t>
      </w:r>
    </w:p>
    <w:p>
      <w:pPr>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三、部门支出总体情况表</w:t>
      </w:r>
    </w:p>
    <w:p>
      <w:pPr>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四、部门财政拨款收支总体情况表</w:t>
      </w:r>
    </w:p>
    <w:p>
      <w:pPr>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五、部门一般公共预算本级财力安排支出情况表</w:t>
      </w:r>
    </w:p>
    <w:p>
      <w:pPr>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六、部门基本支出情况表</w:t>
      </w:r>
    </w:p>
    <w:p>
      <w:pPr>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七、部门政府性基金预算支出情况表</w:t>
      </w:r>
    </w:p>
    <w:p>
      <w:pPr>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八、财政拨款支出明细表（按经济科目分类）</w:t>
      </w:r>
    </w:p>
    <w:p>
      <w:pPr>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九、部门一般公共预算“三公”经费支出情况表</w:t>
      </w:r>
    </w:p>
    <w:p>
      <w:pPr>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十、</w:t>
      </w:r>
      <w:r>
        <w:rPr>
          <w:rFonts w:hint="default" w:ascii="Times New Roman" w:hAnsi="Times New Roman" w:eastAsia="仿宋_GB2312" w:cs="Times New Roman"/>
          <w:sz w:val="30"/>
          <w:szCs w:val="30"/>
          <w:lang w:eastAsia="zh-CN"/>
        </w:rPr>
        <w:t>县</w:t>
      </w:r>
      <w:r>
        <w:rPr>
          <w:rFonts w:hint="default" w:ascii="Times New Roman" w:hAnsi="Times New Roman" w:eastAsia="仿宋_GB2312" w:cs="Times New Roman"/>
          <w:sz w:val="30"/>
          <w:szCs w:val="30"/>
        </w:rPr>
        <w:t>本级项目支出绩效目标表（本次下达）</w:t>
      </w:r>
    </w:p>
    <w:p>
      <w:pPr>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十一、</w:t>
      </w:r>
      <w:r>
        <w:rPr>
          <w:rFonts w:hint="default" w:ascii="Times New Roman" w:hAnsi="Times New Roman" w:eastAsia="仿宋_GB2312" w:cs="Times New Roman"/>
          <w:sz w:val="30"/>
          <w:szCs w:val="30"/>
          <w:lang w:eastAsia="zh-CN"/>
        </w:rPr>
        <w:t>县</w:t>
      </w:r>
      <w:r>
        <w:rPr>
          <w:rFonts w:hint="default" w:ascii="Times New Roman" w:hAnsi="Times New Roman" w:eastAsia="仿宋_GB2312" w:cs="Times New Roman"/>
          <w:sz w:val="30"/>
          <w:szCs w:val="30"/>
        </w:rPr>
        <w:t>本级项目支出绩效目标表（另文下达）</w:t>
      </w:r>
    </w:p>
    <w:p>
      <w:pPr>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十二、对下转移支付绩效目标表</w:t>
      </w:r>
    </w:p>
    <w:p>
      <w:pPr>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十三、部门政府采购情况表</w:t>
      </w:r>
    </w:p>
    <w:p>
      <w:pPr>
        <w:jc w:val="left"/>
        <w:rPr>
          <w:rFonts w:hint="default"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lang w:eastAsia="zh-CN"/>
        </w:rPr>
        <w:t>十四、行政事业单位国有资产占有使用情况表</w:t>
      </w:r>
    </w:p>
    <w:p>
      <w:pPr>
        <w:jc w:val="left"/>
        <w:rPr>
          <w:rFonts w:hint="default" w:ascii="Times New Roman" w:hAnsi="Times New Roman" w:eastAsia="黑体" w:cs="Times New Roman"/>
          <w:sz w:val="30"/>
          <w:szCs w:val="30"/>
          <w:lang w:eastAsia="zh-CN"/>
        </w:rPr>
      </w:pPr>
    </w:p>
    <w:p>
      <w:pPr>
        <w:jc w:val="left"/>
        <w:rPr>
          <w:rFonts w:hint="default" w:ascii="Times New Roman" w:hAnsi="Times New Roman" w:eastAsia="黑体" w:cs="Times New Roman"/>
          <w:sz w:val="30"/>
          <w:szCs w:val="30"/>
        </w:rPr>
      </w:pPr>
    </w:p>
    <w:p>
      <w:pPr>
        <w:widowControl/>
        <w:jc w:val="center"/>
        <w:rPr>
          <w:rFonts w:ascii="方正小标宋简体" w:eastAsia="方正小标宋简体"/>
          <w:kern w:val="0"/>
          <w:sz w:val="36"/>
          <w:szCs w:val="36"/>
        </w:rPr>
      </w:pPr>
      <w:r>
        <w:rPr>
          <w:rFonts w:hint="eastAsia" w:ascii="方正小标宋简体" w:eastAsia="方正小标宋简体"/>
          <w:kern w:val="0"/>
          <w:sz w:val="36"/>
          <w:szCs w:val="36"/>
          <w:lang w:eastAsia="zh-CN"/>
        </w:rPr>
        <w:t>芒市国土资源局</w:t>
      </w:r>
      <w:r>
        <w:rPr>
          <w:rFonts w:hint="eastAsia" w:ascii="方正小标宋简体" w:eastAsia="方正小标宋简体"/>
          <w:kern w:val="0"/>
          <w:sz w:val="36"/>
          <w:szCs w:val="36"/>
          <w:lang w:val="en-US" w:eastAsia="zh-CN"/>
        </w:rPr>
        <w:t>2019</w:t>
      </w:r>
      <w:r>
        <w:rPr>
          <w:rFonts w:hint="eastAsia" w:ascii="方正小标宋简体" w:eastAsia="方正小标宋简体"/>
          <w:kern w:val="0"/>
          <w:sz w:val="36"/>
          <w:szCs w:val="36"/>
        </w:rPr>
        <w:t>年部门预算编制说明</w:t>
      </w:r>
    </w:p>
    <w:p>
      <w:pPr>
        <w:widowControl/>
        <w:jc w:val="left"/>
        <w:rPr>
          <w:rFonts w:ascii="黑体" w:hAnsi="黑体" w:eastAsia="黑体"/>
          <w:kern w:val="0"/>
          <w:sz w:val="30"/>
          <w:szCs w:val="30"/>
        </w:rPr>
      </w:pPr>
    </w:p>
    <w:p>
      <w:pPr>
        <w:widowControl/>
        <w:ind w:firstLine="450" w:firstLineChars="150"/>
        <w:jc w:val="left"/>
        <w:rPr>
          <w:rFonts w:ascii="黑体" w:hAnsi="黑体" w:eastAsia="黑体"/>
          <w:kern w:val="0"/>
          <w:sz w:val="30"/>
          <w:szCs w:val="30"/>
        </w:rPr>
      </w:pPr>
      <w:r>
        <w:rPr>
          <w:rFonts w:ascii="黑体" w:hAnsi="黑体" w:eastAsia="黑体"/>
          <w:kern w:val="0"/>
          <w:sz w:val="30"/>
          <w:szCs w:val="30"/>
        </w:rPr>
        <w:t>一、基本职能及主要工作</w:t>
      </w:r>
    </w:p>
    <w:p>
      <w:pPr>
        <w:widowControl/>
        <w:ind w:firstLine="300" w:firstLineChars="100"/>
        <w:jc w:val="left"/>
        <w:rPr>
          <w:rFonts w:hint="eastAsia" w:ascii="仿宋" w:hAnsi="仿宋" w:eastAsia="仿宋" w:cs="仿宋"/>
          <w:b/>
          <w:kern w:val="0"/>
          <w:sz w:val="30"/>
          <w:szCs w:val="30"/>
        </w:rPr>
      </w:pPr>
      <w:r>
        <w:rPr>
          <w:rFonts w:hint="eastAsia" w:ascii="仿宋" w:hAnsi="仿宋" w:eastAsia="仿宋" w:cs="仿宋"/>
          <w:kern w:val="0"/>
          <w:sz w:val="30"/>
          <w:szCs w:val="30"/>
        </w:rPr>
        <w:t>（一）部门主要职责</w:t>
      </w:r>
    </w:p>
    <w:p>
      <w:pPr>
        <w:widowControl/>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lang w:val="en-US" w:eastAsia="zh-CN" w:bidi="ar-SA"/>
        </w:rPr>
        <w:t>芒市国土资源局属政府工作部门，主要职责是贯彻执行《中华人民共和国土地管理法》及有关国土资源管理法规政策；负责编制实施土地利用总体规划、矿产资源规划和其它相关专项规划；严格保护耕地，特别是基本农田；依法查处国土资源违法案件；承办农用地转用、征收及土地供应；组织土地资源和地籍调查、土地登记发证等工作；组织实施国有土地使用权划拨、出让、转让等工作；负责初审本辖区内矿产资源勘查、开采及采矿权、探矿权、年检；做好地质灾害防治、监测、宣传、预警等工作。</w:t>
      </w:r>
    </w:p>
    <w:p>
      <w:pPr>
        <w:widowControl/>
        <w:ind w:firstLine="300" w:firstLineChars="100"/>
        <w:jc w:val="left"/>
        <w:rPr>
          <w:rFonts w:hint="eastAsia" w:ascii="仿宋" w:hAnsi="仿宋" w:eastAsia="仿宋" w:cs="仿宋"/>
          <w:kern w:val="0"/>
          <w:sz w:val="30"/>
          <w:szCs w:val="30"/>
        </w:rPr>
      </w:pPr>
      <w:r>
        <w:rPr>
          <w:rFonts w:hint="eastAsia" w:ascii="仿宋" w:hAnsi="仿宋" w:eastAsia="仿宋" w:cs="仿宋"/>
          <w:kern w:val="0"/>
          <w:sz w:val="30"/>
          <w:szCs w:val="30"/>
        </w:rPr>
        <w:t>（二）机构设置情况</w:t>
      </w:r>
    </w:p>
    <w:p>
      <w:pPr>
        <w:widowControl/>
        <w:ind w:firstLine="600" w:firstLineChars="200"/>
        <w:jc w:val="left"/>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下设不动产登记管理局、不动产登记中心；内设局办公室、纪检监察室、耕地保护股、土地规划股、土地征转利用股、地籍管理股、测绘管理股、地质环境股、政策法规股、土地收购储备中心、矿产资源管理股、土地执法监察大队，派出13个乡镇国土资源所。</w:t>
      </w:r>
    </w:p>
    <w:p>
      <w:pPr>
        <w:widowControl/>
        <w:ind w:firstLine="600" w:firstLineChars="200"/>
        <w:jc w:val="left"/>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（三）重点工作概述</w:t>
      </w:r>
    </w:p>
    <w:p>
      <w:pPr>
        <w:widowControl/>
        <w:ind w:firstLine="600" w:firstLineChars="200"/>
        <w:jc w:val="left"/>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1.严格耕地保护，大力实施土地整治项目</w:t>
      </w:r>
    </w:p>
    <w:p>
      <w:pPr>
        <w:widowControl/>
        <w:ind w:firstLine="600" w:firstLineChars="200"/>
        <w:jc w:val="left"/>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严守耕地红线，加强耕地管控，建立耕地保护长效机制。市政府与各乡镇签订耕地保护目标责任制，全面履行耕地保护主体责任，将耕地保护纳入市乡党委政府综合考核内容。严禁占用耕地从事非农业建设，确需占用的，补充同等数量、质量的耕地，把耕地保护责任纳入村规民约试点，真正把耕地保护目标责任落到实处。</w:t>
      </w:r>
      <w:r>
        <w:rPr>
          <w:rFonts w:hint="eastAsia" w:ascii="仿宋" w:hAnsi="仿宋" w:eastAsia="仿宋" w:cs="仿宋"/>
          <w:kern w:val="0"/>
          <w:sz w:val="30"/>
          <w:szCs w:val="30"/>
          <w:lang w:val="zh-CN" w:eastAsia="zh-CN" w:bidi="ar-SA"/>
        </w:rPr>
        <w:t>上级下达芒市永久基本农田划定面积</w:t>
      </w:r>
      <w:r>
        <w:rPr>
          <w:rFonts w:hint="eastAsia" w:ascii="仿宋" w:hAnsi="仿宋" w:eastAsia="仿宋" w:cs="仿宋"/>
          <w:kern w:val="0"/>
          <w:sz w:val="30"/>
          <w:szCs w:val="30"/>
          <w:lang w:val="en-US" w:eastAsia="zh-CN" w:bidi="ar-SA"/>
        </w:rPr>
        <w:t>48755公顷，实际划定48773.14公顷。</w:t>
      </w:r>
      <w:r>
        <w:rPr>
          <w:rFonts w:hint="eastAsia" w:ascii="仿宋" w:hAnsi="仿宋" w:eastAsia="仿宋" w:cs="仿宋"/>
          <w:kern w:val="0"/>
          <w:sz w:val="30"/>
          <w:szCs w:val="30"/>
          <w:lang w:val="zh-CN" w:eastAsia="zh-CN" w:bidi="ar-SA"/>
        </w:rPr>
        <w:t>组织实施土地整治项目</w:t>
      </w:r>
      <w:r>
        <w:rPr>
          <w:rFonts w:hint="eastAsia" w:ascii="仿宋" w:hAnsi="仿宋" w:eastAsia="仿宋" w:cs="仿宋"/>
          <w:kern w:val="0"/>
          <w:sz w:val="30"/>
          <w:szCs w:val="30"/>
          <w:lang w:val="en-US" w:eastAsia="zh-CN" w:bidi="ar-SA"/>
        </w:rPr>
        <w:t>8</w:t>
      </w:r>
      <w:r>
        <w:rPr>
          <w:rFonts w:hint="eastAsia" w:ascii="仿宋" w:hAnsi="仿宋" w:eastAsia="仿宋" w:cs="仿宋"/>
          <w:kern w:val="0"/>
          <w:sz w:val="30"/>
          <w:szCs w:val="30"/>
          <w:lang w:val="zh-CN" w:eastAsia="zh-CN" w:bidi="ar-SA"/>
        </w:rPr>
        <w:t>个</w:t>
      </w:r>
      <w:r>
        <w:rPr>
          <w:rFonts w:hint="eastAsia" w:ascii="仿宋" w:hAnsi="仿宋" w:eastAsia="仿宋" w:cs="仿宋"/>
          <w:kern w:val="0"/>
          <w:sz w:val="30"/>
          <w:szCs w:val="30"/>
          <w:lang w:val="en-US" w:eastAsia="zh-CN" w:bidi="ar-SA"/>
        </w:rPr>
        <w:t>2091.8192公顷，</w:t>
      </w:r>
      <w:r>
        <w:rPr>
          <w:rFonts w:hint="eastAsia" w:ascii="仿宋" w:hAnsi="仿宋" w:eastAsia="仿宋" w:cs="仿宋"/>
          <w:kern w:val="0"/>
          <w:sz w:val="30"/>
          <w:szCs w:val="30"/>
          <w:lang w:val="zh-CN" w:eastAsia="zh-CN" w:bidi="ar-SA"/>
        </w:rPr>
        <w:t>总投资</w:t>
      </w:r>
      <w:r>
        <w:rPr>
          <w:rFonts w:hint="eastAsia" w:ascii="仿宋" w:hAnsi="仿宋" w:eastAsia="仿宋" w:cs="仿宋"/>
          <w:kern w:val="0"/>
          <w:sz w:val="30"/>
          <w:szCs w:val="30"/>
          <w:lang w:val="en-US" w:eastAsia="zh-CN" w:bidi="ar-SA"/>
        </w:rPr>
        <w:t>9748.08</w:t>
      </w:r>
      <w:r>
        <w:rPr>
          <w:rFonts w:hint="eastAsia" w:ascii="仿宋" w:hAnsi="仿宋" w:eastAsia="仿宋" w:cs="仿宋"/>
          <w:kern w:val="0"/>
          <w:sz w:val="30"/>
          <w:szCs w:val="30"/>
          <w:lang w:val="zh-CN" w:eastAsia="zh-CN" w:bidi="ar-SA"/>
        </w:rPr>
        <w:t>万元，新增耕地</w:t>
      </w:r>
      <w:r>
        <w:rPr>
          <w:rFonts w:hint="eastAsia" w:ascii="仿宋" w:hAnsi="仿宋" w:eastAsia="仿宋" w:cs="仿宋"/>
          <w:kern w:val="0"/>
          <w:sz w:val="30"/>
          <w:szCs w:val="30"/>
          <w:lang w:val="en-US" w:eastAsia="zh-CN" w:bidi="ar-SA"/>
        </w:rPr>
        <w:t>345.855公顷，4个已基本完工，其余4个下在实施。</w:t>
      </w:r>
      <w:r>
        <w:rPr>
          <w:rFonts w:hint="eastAsia" w:ascii="仿宋" w:hAnsi="仿宋" w:eastAsia="仿宋" w:cs="仿宋"/>
          <w:kern w:val="0"/>
          <w:sz w:val="30"/>
          <w:szCs w:val="30"/>
          <w:lang w:val="zh-CN" w:eastAsia="zh-CN" w:bidi="ar-SA"/>
        </w:rPr>
        <w:t>其中：高标准农田建设项目</w:t>
      </w:r>
      <w:r>
        <w:rPr>
          <w:rFonts w:hint="eastAsia" w:ascii="仿宋" w:hAnsi="仿宋" w:eastAsia="仿宋" w:cs="仿宋"/>
          <w:kern w:val="0"/>
          <w:sz w:val="30"/>
          <w:szCs w:val="30"/>
          <w:lang w:val="en-US" w:eastAsia="zh-CN" w:bidi="ar-SA"/>
        </w:rPr>
        <w:t>5个，补充耕地项目1个，提质改造项目2个。项目的实施增加有效耕地面积，确保了全市耕地占补平衡。</w:t>
      </w:r>
    </w:p>
    <w:p>
      <w:pPr>
        <w:widowControl/>
        <w:ind w:firstLine="600" w:firstLineChars="200"/>
        <w:jc w:val="left"/>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2.用好用活增减挂钩支持脱贫攻坚政策</w:t>
      </w:r>
    </w:p>
    <w:p>
      <w:pPr>
        <w:widowControl/>
        <w:ind w:firstLine="600" w:firstLineChars="200"/>
        <w:jc w:val="left"/>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根据《云南省国土资源厅关于贯彻落实城乡建设用地增减挂钩政策支持脱贫攻坚的实施意见》等文件要求，为认真贯彻落实、用好用活增减挂钩支持脱贫攻坚的相关政策，结合《芒市易地扶贫搬迁三年行动计划》，对全市易地扶贫搬迁居民点、农村废弃地和闲置工矿用地进行复垦。2018年编制完成增减挂钩实施方案15个1.13亿元，涉及11个乡镇105个搬迁村民小组、125个工矿用地地块，拆旧区建设规模506.43公顷（农村居民点440.47公顷，工矿用地65.96公顷），可复垦耕地面积326.81公顷。现省厅已批复13个，其中已完成招投标4个，正在招投标9个，其余2个已上报待省厅批准。项目实施后既保障71个易地扶贫搬迁安置点217.98公顷的建设用地，又破解了全市重点建设项目用地指标不足的问题。</w:t>
      </w:r>
    </w:p>
    <w:p>
      <w:pPr>
        <w:widowControl/>
        <w:ind w:firstLine="600" w:firstLineChars="200"/>
        <w:jc w:val="left"/>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3.加强规划管控，严格执行土地利用总体规划</w:t>
      </w:r>
    </w:p>
    <w:p>
      <w:pPr>
        <w:widowControl/>
        <w:ind w:firstLine="600" w:firstLineChars="200"/>
        <w:jc w:val="left"/>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zh-CN" w:eastAsia="zh-CN" w:bidi="ar-SA"/>
        </w:rPr>
        <w:t>加大土地利用规划计划管控力度，严格执行土地利用总体规划、土地利用年度计划和其他专项规划。</w:t>
      </w:r>
      <w:r>
        <w:rPr>
          <w:rFonts w:hint="eastAsia" w:ascii="仿宋" w:hAnsi="仿宋" w:eastAsia="仿宋" w:cs="仿宋"/>
          <w:kern w:val="0"/>
          <w:sz w:val="30"/>
          <w:szCs w:val="30"/>
          <w:lang w:val="en-US" w:eastAsia="zh-CN" w:bidi="ar-SA"/>
        </w:rPr>
        <w:t>完成了芒市镇芒核村委会、风平镇风平村委会、芒赛村委会村级规划（2015-2020年），2018年3月13日通过州局审查。开展了芒市、风平、遮放、轩岗、三台山5个乡镇土地利用总体规划评估修改，方案已通过州级审查，正在进一步完善规划修改数据库建设。完成芒市至梁河高速公路、瑞丽至孟连高速公路（芒市段）2个重点项目的规划修改和基本农田补划使用方案编制，已经省厅审查后报自然资源部审查待批准。完成芒市至梁河高速公路等4个项目的用地预审，并出具预审意见，参与选址项目用地35个，并出具选址意见。编制完成芒市“十三五”土地整治规划和第三轮矿产资源规划，2个专业规划</w:t>
      </w:r>
      <w:r>
        <w:rPr>
          <w:rFonts w:hint="eastAsia" w:ascii="仿宋" w:hAnsi="仿宋" w:eastAsia="仿宋" w:cs="仿宋"/>
          <w:kern w:val="0"/>
          <w:sz w:val="30"/>
          <w:szCs w:val="30"/>
          <w:lang w:val="zh-CN" w:eastAsia="zh-CN" w:bidi="ar-SA"/>
        </w:rPr>
        <w:t>成果报告、数据库建设均已通过州级审查验收。</w:t>
      </w:r>
    </w:p>
    <w:p>
      <w:pPr>
        <w:widowControl/>
        <w:ind w:firstLine="600" w:firstLineChars="200"/>
        <w:jc w:val="left"/>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4.强化矿产资源开发利用，加强地质环境保护</w:t>
      </w:r>
    </w:p>
    <w:p>
      <w:pPr>
        <w:widowControl/>
        <w:ind w:firstLine="600" w:firstLineChars="200"/>
        <w:jc w:val="left"/>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完善矿政管理制度，做好矿山储量动态测量管理及矿产资源储量备案登记工作，建立了储量申报制度、台账制度、开发利用统计制度。严格实行矿业权联勘联审依法审批，由政府牵头，相关部门联勘联审，实行“一票否决”，做到事前规划管控、事中联合审查、事后有效监管。完成46个采矿权和18个探矿权网上信息公示；</w:t>
      </w:r>
      <w:r>
        <w:rPr>
          <w:rFonts w:hint="eastAsia" w:ascii="仿宋" w:hAnsi="仿宋" w:eastAsia="仿宋" w:cs="仿宋"/>
          <w:kern w:val="0"/>
          <w:sz w:val="30"/>
          <w:szCs w:val="30"/>
          <w:lang w:val="zh-CN" w:eastAsia="zh-CN" w:bidi="ar-SA"/>
        </w:rPr>
        <w:t>通过三级联网审批办理</w:t>
      </w:r>
      <w:r>
        <w:rPr>
          <w:rFonts w:hint="eastAsia" w:ascii="仿宋" w:hAnsi="仿宋" w:eastAsia="仿宋" w:cs="仿宋"/>
          <w:kern w:val="0"/>
          <w:sz w:val="30"/>
          <w:szCs w:val="30"/>
          <w:lang w:val="en-US" w:eastAsia="zh-CN" w:bidi="ar-SA"/>
        </w:rPr>
        <w:t>9个矿权报件</w:t>
      </w:r>
      <w:r>
        <w:rPr>
          <w:rFonts w:hint="eastAsia" w:ascii="仿宋" w:hAnsi="仿宋" w:eastAsia="仿宋" w:cs="仿宋"/>
          <w:kern w:val="0"/>
          <w:sz w:val="30"/>
          <w:szCs w:val="30"/>
          <w:lang w:val="zh-CN" w:eastAsia="zh-CN" w:bidi="ar-SA"/>
        </w:rPr>
        <w:t>，</w:t>
      </w:r>
      <w:r>
        <w:rPr>
          <w:rFonts w:hint="eastAsia" w:ascii="仿宋" w:hAnsi="仿宋" w:eastAsia="仿宋" w:cs="仿宋"/>
          <w:kern w:val="0"/>
          <w:sz w:val="30"/>
          <w:szCs w:val="30"/>
          <w:lang w:val="en-US" w:eastAsia="zh-CN" w:bidi="ar-SA"/>
        </w:rPr>
        <w:t>办结6个；完成采矿权延续变更登记14个，非煤矿山转型升级10个；收缴采矿权使用费2.95万元、采矿权出让金50万元，预存2个矿权出让收益保证金53.28万元。完成18家矿山储量动态测量。完成矿产资源储量评审备案9个，项目建设用地压覆矿产资源查询4个。对勐戛砂子坡、拱岭木艾新立矿权2个采矿点开展现场联合勘查。制定《2018年安全生产工作方案》，与各矿山企业签订《安全生产目标责任书》44份，监督完成3个采矿权恢复治理工作，复绿复垦17.33公顷，监督21家生产矿山复绿19.33公顷，制定《非煤矿山企业大气污染防治工作实施方案》，督促企业开展矿山除尘降尘技术改造。制定《严厉打击私挖盗采行为深化矿产资源“打非治违”工作实施方案》，开展非法开采巡查排查6次，对无证开采行为下发《责令停止违法行为通知书》14份。</w:t>
      </w:r>
    </w:p>
    <w:p>
      <w:pPr>
        <w:widowControl/>
        <w:ind w:firstLine="600" w:firstLineChars="200"/>
        <w:jc w:val="left"/>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5.加强用地保障，全力做好用地报批及供地工作</w:t>
      </w:r>
    </w:p>
    <w:p>
      <w:pPr>
        <w:widowControl/>
        <w:ind w:firstLine="600" w:firstLineChars="200"/>
        <w:jc w:val="left"/>
        <w:rPr>
          <w:rFonts w:hint="eastAsia" w:ascii="仿宋" w:hAnsi="仿宋" w:eastAsia="仿宋" w:cs="仿宋"/>
          <w:kern w:val="0"/>
          <w:sz w:val="30"/>
          <w:szCs w:val="30"/>
          <w:lang w:val="zh-CN" w:eastAsia="zh-CN" w:bidi="ar-SA"/>
        </w:rPr>
      </w:pPr>
      <w:r>
        <w:rPr>
          <w:rFonts w:hint="eastAsia" w:ascii="仿宋" w:hAnsi="仿宋" w:eastAsia="仿宋" w:cs="仿宋"/>
          <w:kern w:val="0"/>
          <w:sz w:val="30"/>
          <w:szCs w:val="30"/>
          <w:lang w:val="en-US" w:eastAsia="zh-CN" w:bidi="ar-SA"/>
        </w:rPr>
        <w:t>全力保障建设用地需求，依法依规及时组织</w:t>
      </w:r>
      <w:r>
        <w:rPr>
          <w:rFonts w:hint="eastAsia" w:ascii="仿宋" w:hAnsi="仿宋" w:eastAsia="仿宋" w:cs="仿宋"/>
          <w:kern w:val="0"/>
          <w:sz w:val="30"/>
          <w:szCs w:val="30"/>
          <w:lang w:val="zh-CN" w:eastAsia="zh-CN" w:bidi="ar-SA"/>
        </w:rPr>
        <w:t>农用地转用征收报批工作，确保重点项目、民生项目及时落地。</w:t>
      </w:r>
      <w:r>
        <w:rPr>
          <w:rFonts w:hint="eastAsia" w:ascii="仿宋" w:hAnsi="仿宋" w:eastAsia="仿宋" w:cs="仿宋"/>
          <w:kern w:val="0"/>
          <w:sz w:val="30"/>
          <w:szCs w:val="30"/>
          <w:lang w:val="en-US" w:eastAsia="zh-CN" w:bidi="ar-SA"/>
        </w:rPr>
        <w:t>紧紧围绕重点项目和易地扶贫搬迁，积极做好用地报批服务工作。</w:t>
      </w:r>
      <w:r>
        <w:rPr>
          <w:rFonts w:hint="eastAsia" w:ascii="仿宋" w:hAnsi="仿宋" w:eastAsia="仿宋" w:cs="仿宋"/>
          <w:kern w:val="0"/>
          <w:sz w:val="30"/>
          <w:szCs w:val="30"/>
          <w:lang w:val="zh-CN" w:eastAsia="zh-CN" w:bidi="ar-SA"/>
        </w:rPr>
        <w:t>2018年组织农用地转用征收报批</w:t>
      </w:r>
      <w:r>
        <w:rPr>
          <w:rFonts w:hint="eastAsia" w:ascii="仿宋" w:hAnsi="仿宋" w:eastAsia="仿宋" w:cs="仿宋"/>
          <w:kern w:val="0"/>
          <w:sz w:val="30"/>
          <w:szCs w:val="30"/>
          <w:lang w:val="en-US" w:eastAsia="zh-CN" w:bidi="ar-SA"/>
        </w:rPr>
        <w:t>6</w:t>
      </w:r>
      <w:r>
        <w:rPr>
          <w:rFonts w:hint="eastAsia" w:ascii="仿宋" w:hAnsi="仿宋" w:eastAsia="仿宋" w:cs="仿宋"/>
          <w:kern w:val="0"/>
          <w:sz w:val="30"/>
          <w:szCs w:val="30"/>
          <w:lang w:val="zh-CN" w:eastAsia="zh-CN" w:bidi="ar-SA"/>
        </w:rPr>
        <w:t>个</w:t>
      </w:r>
      <w:r>
        <w:rPr>
          <w:rFonts w:hint="eastAsia" w:ascii="仿宋" w:hAnsi="仿宋" w:eastAsia="仿宋" w:cs="仿宋"/>
          <w:kern w:val="0"/>
          <w:sz w:val="30"/>
          <w:szCs w:val="30"/>
          <w:lang w:val="en-US" w:eastAsia="zh-CN" w:bidi="ar-SA"/>
        </w:rPr>
        <w:t>1566.63</w:t>
      </w:r>
      <w:r>
        <w:rPr>
          <w:rFonts w:hint="eastAsia" w:ascii="仿宋" w:hAnsi="仿宋" w:eastAsia="仿宋" w:cs="仿宋"/>
          <w:kern w:val="0"/>
          <w:sz w:val="30"/>
          <w:szCs w:val="30"/>
          <w:lang w:val="zh-CN" w:eastAsia="zh-CN" w:bidi="ar-SA"/>
        </w:rPr>
        <w:t>公顷，其中</w:t>
      </w:r>
      <w:r>
        <w:rPr>
          <w:rFonts w:hint="eastAsia" w:ascii="仿宋" w:hAnsi="仿宋" w:eastAsia="仿宋" w:cs="仿宋"/>
          <w:kern w:val="0"/>
          <w:sz w:val="30"/>
          <w:szCs w:val="30"/>
          <w:lang w:val="en-US" w:eastAsia="zh-CN" w:bidi="ar-SA"/>
        </w:rPr>
        <w:t>4个</w:t>
      </w:r>
      <w:r>
        <w:rPr>
          <w:rFonts w:hint="eastAsia" w:ascii="仿宋" w:hAnsi="仿宋" w:eastAsia="仿宋" w:cs="仿宋"/>
          <w:kern w:val="0"/>
          <w:sz w:val="30"/>
          <w:szCs w:val="30"/>
          <w:lang w:val="zh-CN" w:eastAsia="zh-CN" w:bidi="ar-SA"/>
        </w:rPr>
        <w:t>批次用地</w:t>
      </w:r>
      <w:r>
        <w:rPr>
          <w:rFonts w:hint="eastAsia" w:ascii="仿宋" w:hAnsi="仿宋" w:eastAsia="仿宋" w:cs="仿宋"/>
          <w:kern w:val="0"/>
          <w:sz w:val="30"/>
          <w:szCs w:val="30"/>
          <w:lang w:val="en-US" w:eastAsia="zh-CN" w:bidi="ar-SA"/>
        </w:rPr>
        <w:t>和1个单独选址项目因占补平衡指标问题未能上报省国土厅，1个增减挂钩已批复</w:t>
      </w:r>
      <w:r>
        <w:rPr>
          <w:rFonts w:hint="eastAsia" w:ascii="仿宋" w:hAnsi="仿宋" w:eastAsia="仿宋" w:cs="仿宋"/>
          <w:kern w:val="0"/>
          <w:sz w:val="30"/>
          <w:szCs w:val="30"/>
          <w:lang w:val="zh-CN" w:eastAsia="zh-CN" w:bidi="ar-SA"/>
        </w:rPr>
        <w:t>。</w:t>
      </w:r>
      <w:r>
        <w:rPr>
          <w:rFonts w:hint="eastAsia" w:ascii="仿宋" w:hAnsi="仿宋" w:eastAsia="仿宋" w:cs="仿宋"/>
          <w:kern w:val="0"/>
          <w:sz w:val="30"/>
          <w:szCs w:val="30"/>
          <w:lang w:val="en-US" w:eastAsia="zh-CN" w:bidi="ar-SA"/>
        </w:rPr>
        <w:t>省厅批复2017年上报的农用地转用及土地征收报件4个22.33公顷（耕地15.31公顷） ，涉及2个增减挂钩项目及2个批次；报批农民建房用地37户0.79公顷。完成供地21</w:t>
      </w:r>
      <w:r>
        <w:rPr>
          <w:rFonts w:hint="eastAsia" w:ascii="仿宋" w:hAnsi="仿宋" w:eastAsia="仿宋" w:cs="仿宋"/>
          <w:kern w:val="0"/>
          <w:sz w:val="30"/>
          <w:szCs w:val="30"/>
          <w:lang w:val="zh-CN" w:eastAsia="zh-CN" w:bidi="ar-SA"/>
        </w:rPr>
        <w:t>宗45.46公顷，其中划拨</w:t>
      </w:r>
      <w:r>
        <w:rPr>
          <w:rFonts w:hint="eastAsia" w:ascii="仿宋" w:hAnsi="仿宋" w:eastAsia="仿宋" w:cs="仿宋"/>
          <w:kern w:val="0"/>
          <w:sz w:val="30"/>
          <w:szCs w:val="30"/>
          <w:lang w:val="en-US" w:eastAsia="zh-CN" w:bidi="ar-SA"/>
        </w:rPr>
        <w:t>5</w:t>
      </w:r>
      <w:r>
        <w:rPr>
          <w:rFonts w:hint="eastAsia" w:ascii="仿宋" w:hAnsi="仿宋" w:eastAsia="仿宋" w:cs="仿宋"/>
          <w:kern w:val="0"/>
          <w:sz w:val="30"/>
          <w:szCs w:val="30"/>
          <w:lang w:val="zh-CN" w:eastAsia="zh-CN" w:bidi="ar-SA"/>
        </w:rPr>
        <w:t>宗14.43公顷，招标拍卖挂牌出让</w:t>
      </w:r>
      <w:r>
        <w:rPr>
          <w:rFonts w:hint="eastAsia" w:ascii="仿宋" w:hAnsi="仿宋" w:eastAsia="仿宋" w:cs="仿宋"/>
          <w:kern w:val="0"/>
          <w:sz w:val="30"/>
          <w:szCs w:val="30"/>
          <w:lang w:val="en-US" w:eastAsia="zh-CN" w:bidi="ar-SA"/>
        </w:rPr>
        <w:t>16</w:t>
      </w:r>
      <w:r>
        <w:rPr>
          <w:rFonts w:hint="eastAsia" w:ascii="仿宋" w:hAnsi="仿宋" w:eastAsia="仿宋" w:cs="仿宋"/>
          <w:kern w:val="0"/>
          <w:sz w:val="30"/>
          <w:szCs w:val="30"/>
          <w:lang w:val="zh-CN" w:eastAsia="zh-CN" w:bidi="ar-SA"/>
        </w:rPr>
        <w:t>宗</w:t>
      </w:r>
      <w:r>
        <w:rPr>
          <w:rFonts w:hint="eastAsia" w:ascii="仿宋" w:hAnsi="仿宋" w:eastAsia="仿宋" w:cs="仿宋"/>
          <w:kern w:val="0"/>
          <w:sz w:val="30"/>
          <w:szCs w:val="30"/>
          <w:lang w:val="en-US" w:eastAsia="zh-CN" w:bidi="ar-SA"/>
        </w:rPr>
        <w:t>31.03</w:t>
      </w:r>
      <w:r>
        <w:rPr>
          <w:rFonts w:hint="eastAsia" w:ascii="仿宋" w:hAnsi="仿宋" w:eastAsia="仿宋" w:cs="仿宋"/>
          <w:kern w:val="0"/>
          <w:sz w:val="30"/>
          <w:szCs w:val="30"/>
          <w:lang w:val="zh-CN" w:eastAsia="zh-CN" w:bidi="ar-SA"/>
        </w:rPr>
        <w:t>公顷，成交价</w:t>
      </w:r>
      <w:r>
        <w:rPr>
          <w:rFonts w:hint="eastAsia" w:ascii="仿宋" w:hAnsi="仿宋" w:eastAsia="仿宋" w:cs="仿宋"/>
          <w:kern w:val="0"/>
          <w:sz w:val="30"/>
          <w:szCs w:val="30"/>
          <w:lang w:val="en-US" w:eastAsia="zh-CN" w:bidi="ar-SA"/>
        </w:rPr>
        <w:t>23119.12</w:t>
      </w:r>
      <w:r>
        <w:rPr>
          <w:rFonts w:hint="eastAsia" w:ascii="仿宋" w:hAnsi="仿宋" w:eastAsia="仿宋" w:cs="仿宋"/>
          <w:kern w:val="0"/>
          <w:sz w:val="30"/>
          <w:szCs w:val="30"/>
          <w:lang w:val="zh-CN" w:eastAsia="zh-CN" w:bidi="ar-SA"/>
        </w:rPr>
        <w:t>万元。确保了全市重点项目和民生项目及时落地。继续深入开展批而未供和闲置土地清理处置，</w:t>
      </w:r>
      <w:r>
        <w:rPr>
          <w:rFonts w:hint="eastAsia" w:ascii="仿宋" w:hAnsi="仿宋" w:eastAsia="仿宋" w:cs="仿宋"/>
          <w:kern w:val="0"/>
          <w:sz w:val="30"/>
          <w:szCs w:val="30"/>
          <w:lang w:val="en-US" w:eastAsia="zh-CN" w:bidi="ar-SA"/>
        </w:rPr>
        <w:t>清理批而未供土地200.51公顷（其中2018年批复5.55公顷）。完成土地供应4公顷，正在组织供地65公顷，占清理出已批未供总数的34.4%。经初步核查，全市范围内疑似闲置土地37宗94.01公顷。初步认定因政府原因造成闲置29宗，企业原因造成闲置6宗，政府及企业双方原因造成闲置2宗。组成了专门清理小组，积极采取加快供地、实地巡查、下发履约通知书等方式依法处置</w:t>
      </w:r>
      <w:r>
        <w:rPr>
          <w:rFonts w:hint="eastAsia" w:ascii="仿宋" w:hAnsi="仿宋" w:eastAsia="仿宋" w:cs="仿宋"/>
          <w:kern w:val="0"/>
          <w:sz w:val="30"/>
          <w:szCs w:val="30"/>
          <w:lang w:val="zh-CN" w:eastAsia="zh-CN" w:bidi="ar-SA"/>
        </w:rPr>
        <w:t>。</w:t>
      </w:r>
    </w:p>
    <w:p>
      <w:pPr>
        <w:widowControl/>
        <w:ind w:firstLine="600" w:firstLineChars="200"/>
        <w:jc w:val="left"/>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6.严格规范征地程序，切实维护农民合法权益</w:t>
      </w:r>
    </w:p>
    <w:p>
      <w:pPr>
        <w:widowControl/>
        <w:ind w:firstLine="600" w:firstLineChars="200"/>
        <w:jc w:val="left"/>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规范征地程序，严格实行“告知、确认、听证”及“两公告一登记”制度，及时更新并严格执行省州市征地统一年产值标准和区片综合地价，主动公开征地信息，规范公开内容，切实保障被征地农民的合法权益。认真落实省州被征地农民基本养老保障办法，及时足额兑现征地补偿费及被征地农民养老保障金，共配合完成土地征收并签订协议1808.614亩，兑付征地补偿费兑付款14533.73万元，未出现拖欠、截留、挪用等现象。在安置途径上，除货币补偿方式外，还采取留地安置、养老保障等安置途径，制定了《芒市中心城区综合管廊征地补偿安置实施方案》，</w:t>
      </w:r>
      <w:r>
        <w:rPr>
          <w:rFonts w:hint="eastAsia" w:ascii="仿宋" w:hAnsi="仿宋" w:eastAsia="仿宋" w:cs="仿宋"/>
          <w:kern w:val="0"/>
          <w:sz w:val="30"/>
          <w:szCs w:val="30"/>
          <w:lang w:val="zh-CN" w:eastAsia="zh-CN" w:bidi="ar-SA"/>
        </w:rPr>
        <w:t>及时公开征地补偿标准和土地征收方案，确保被征地群众信息公开，</w:t>
      </w:r>
      <w:r>
        <w:rPr>
          <w:rFonts w:hint="eastAsia" w:ascii="仿宋" w:hAnsi="仿宋" w:eastAsia="仿宋" w:cs="仿宋"/>
          <w:kern w:val="0"/>
          <w:sz w:val="30"/>
          <w:szCs w:val="30"/>
          <w:lang w:val="en-US" w:eastAsia="zh-CN" w:bidi="ar-SA"/>
        </w:rPr>
        <w:t>共享资源开发收益。严格执行征地社保资金相关规定，足额落实被征地农民社保资金，切实维护群众合法权益。</w:t>
      </w:r>
    </w:p>
    <w:p>
      <w:pPr>
        <w:widowControl/>
        <w:ind w:firstLine="600" w:firstLineChars="200"/>
        <w:jc w:val="left"/>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7.加强地质灾害防治工作，确保人民群众生命财产安全</w:t>
      </w:r>
    </w:p>
    <w:p>
      <w:pPr>
        <w:widowControl/>
        <w:ind w:firstLine="600" w:firstLineChars="200"/>
        <w:jc w:val="left"/>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在地质灾害防治工作中，坚持以人为本，预防为主，避让与治理相结合和全面规划、突出重点的原则，扎实抓好地质灾害防治工作。市人民政府与各乡镇签订地质灾害防治责任书12份，各乡镇与监测人员签订地质灾害防治责任书331份。排查出地质灾害隐患点176个，威胁群众5155户23199人，威胁财产31199万元，其中严重隐患点33个，安排监测人员331人，发放地质灾害工作明白卡176份，发放地质灾害工作避险卡4551份。广泛宣传地质灾害防治知识，发放资料8600份；开展地质灾害应急演练5次，参加人员800余人，举办地质灾害监测人员培训12次1100人，投入5万元为监测人员配备雨衣、雨靴、手电、书、笔、钢尺等监测工具。认真落实汛期气象预报和群测群防“十项制度”， 从5月1日开始实行24小时值班制。投资2020万元实施治理工程5个，治理隐患点18个。年底启动实施板过河、风平镇上东村葫芦口2个大型泥石流地质灾害治理工程项目1800万元。积极做好芒市三年易地扶贫搬迁行动计划受地质灾害威胁群众搬迁避让工作，编制新搬迁点地质灾害适用性报告49个，按照市政府整合部门资金工作方案逐步实施搬迁，2018年向上争取因灾搬迁资金800万元，搬迁农户400户。</w:t>
      </w:r>
    </w:p>
    <w:p>
      <w:pPr>
        <w:widowControl/>
        <w:ind w:firstLine="600" w:firstLineChars="200"/>
        <w:jc w:val="left"/>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8.加快不动产统一登记，巩固登记工作成果</w:t>
      </w:r>
    </w:p>
    <w:p>
      <w:pPr>
        <w:widowControl/>
        <w:ind w:firstLine="600" w:firstLineChars="200"/>
        <w:jc w:val="left"/>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加快推进不动产统一登记工作，进一步巩固和扩大登记成果，提高工作效率。按照上级主管部门要求，及时开展完成了坐标系统转换工作，正式启用2000国家大地坐标系转换工作。完成存量城镇宗地数据整合16200宗，完成率95.3%；完成存量房屋数据整合36120件，完成率78.3%；补充外业调查1527件，存量房数据工作共投入经费530.25万元。开展创建“全国百佳不动产登记便民利民示范窗口”，开通芒市不动产登记业务办理进度查询，向政务服务+互联网时代迈进，实现了房屋交易和不动产登记并行办理，取消房屋交易和产权状况告知书，减少登记申请材料。9月10日实现了交易、缴税、登记一窗受理，并行办理，材料清单一次性告知，一次性收件，有效压缩办理时限，改变了群众办证两头跑的问题。完成不动产登薄7479件，颁发不动产权证书5105本，不动产登记证明2374份。</w:t>
      </w:r>
    </w:p>
    <w:p>
      <w:pPr>
        <w:widowControl/>
        <w:ind w:firstLine="600" w:firstLineChars="200"/>
        <w:jc w:val="left"/>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9.强化执法监管，严肃查处国土资源违法案件</w:t>
      </w:r>
    </w:p>
    <w:p>
      <w:pPr>
        <w:widowControl/>
        <w:ind w:firstLine="600" w:firstLineChars="200"/>
        <w:jc w:val="left"/>
        <w:rPr>
          <w:rFonts w:hint="eastAsia" w:ascii="仿宋_GB2312" w:eastAsia="仿宋_GB2312" w:cs="宋体"/>
          <w:kern w:val="0"/>
          <w:sz w:val="30"/>
          <w:szCs w:val="30"/>
          <w:lang w:val="en-US" w:eastAsia="zh-CN" w:bidi="ar-SA"/>
        </w:rPr>
      </w:pPr>
      <w:r>
        <w:rPr>
          <w:rFonts w:hint="eastAsia" w:ascii="仿宋" w:hAnsi="仿宋" w:eastAsia="仿宋" w:cs="仿宋"/>
          <w:kern w:val="0"/>
          <w:sz w:val="30"/>
          <w:szCs w:val="30"/>
          <w:lang w:val="en-US" w:eastAsia="zh-CN" w:bidi="ar-SA"/>
        </w:rPr>
        <w:t>立案查处国土资源违法案件21宗，结案15宗，涉及刑事案件移送公安机关6宗（破坏农用地案件4宗，买卖土地</w:t>
      </w:r>
      <w:r>
        <w:rPr>
          <w:rFonts w:hint="eastAsia" w:ascii="仿宋_GB2312" w:eastAsia="仿宋_GB2312" w:cs="宋体"/>
          <w:kern w:val="0"/>
          <w:sz w:val="30"/>
          <w:szCs w:val="30"/>
          <w:lang w:val="en-US" w:eastAsia="zh-CN" w:bidi="ar-SA"/>
        </w:rPr>
        <w:t>案件2宗），收缴罚款51万元。开展动态巡查100余次，制止违法行为150余起，下发《责令停止违法行为通知》103份。开展农用地转用征收、供地、临时用地踏勘57余次。完成2017年芒市土地矿产卫片执法检查违法图斑57个，对6宗违法图斑进行立案查处，结案3宗，申请法院强制执行2宗，正在调查取证1宗。卫片执法检查数据填报和数据汇总已完成并上报省厅审核。核实定性2018重点区域遥感监测违法图斑13个，目前已立案2宗，结案1宗。制定“七五”普法规划和依法行政工作计划，利用4.22“地球日”、6.25“土地日”、科技三下乡、安全生产月等契机，认真开展国土资源法规宣传，设立宣传咨询点7次，展出宣传板24块，发放资料15000多份，利用电视台、电子显示屏、短信、微信平台宣传标语1000多条次。</w:t>
      </w:r>
    </w:p>
    <w:p>
      <w:pPr>
        <w:widowControl/>
        <w:ind w:firstLine="600" w:firstLineChars="200"/>
        <w:jc w:val="left"/>
        <w:rPr>
          <w:rFonts w:hint="eastAsia" w:ascii="仿宋_GB2312" w:eastAsia="仿宋_GB2312" w:cs="宋体"/>
          <w:kern w:val="0"/>
          <w:sz w:val="30"/>
          <w:szCs w:val="30"/>
          <w:lang w:val="en-US" w:eastAsia="zh-CN" w:bidi="ar-SA"/>
        </w:rPr>
      </w:pPr>
      <w:r>
        <w:rPr>
          <w:rFonts w:hint="eastAsia" w:ascii="仿宋_GB2312" w:eastAsia="仿宋_GB2312" w:cs="宋体"/>
          <w:kern w:val="0"/>
          <w:sz w:val="30"/>
          <w:szCs w:val="30"/>
          <w:lang w:val="en-US" w:eastAsia="zh-CN" w:bidi="ar-SA"/>
        </w:rPr>
        <w:t>10.土地储备专项债券发行工作</w:t>
      </w:r>
    </w:p>
    <w:p>
      <w:pPr>
        <w:widowControl/>
        <w:ind w:firstLine="600" w:firstLineChars="200"/>
        <w:jc w:val="left"/>
        <w:rPr>
          <w:rFonts w:hint="eastAsia" w:ascii="仿宋_GB2312" w:eastAsia="仿宋_GB2312" w:cs="宋体"/>
          <w:kern w:val="0"/>
          <w:sz w:val="30"/>
          <w:szCs w:val="30"/>
          <w:lang w:val="en-US" w:eastAsia="zh-CN" w:bidi="ar-SA"/>
        </w:rPr>
      </w:pPr>
      <w:r>
        <w:rPr>
          <w:rFonts w:hint="eastAsia" w:ascii="仿宋_GB2312" w:eastAsia="仿宋_GB2312" w:cs="宋体"/>
          <w:kern w:val="0"/>
          <w:sz w:val="30"/>
          <w:szCs w:val="30"/>
          <w:lang w:val="en-US" w:eastAsia="zh-CN" w:bidi="ar-SA"/>
        </w:rPr>
        <w:t>为加快芒市经济发展，破解土地收储资金难问题，芒市平台公司（市城投公司）、州宏康公司共同与省土储中心成立了德宏宏泰鑫开发投资有限公司。</w:t>
      </w:r>
      <w:bookmarkStart w:id="0" w:name="OLE_LINK6"/>
      <w:r>
        <w:rPr>
          <w:rFonts w:hint="eastAsia" w:ascii="仿宋_GB2312" w:eastAsia="仿宋_GB2312" w:cs="宋体"/>
          <w:kern w:val="0"/>
          <w:sz w:val="30"/>
          <w:szCs w:val="30"/>
          <w:lang w:val="en-US" w:eastAsia="zh-CN" w:bidi="ar-SA"/>
        </w:rPr>
        <w:t>2018年芒市土地储备专项债券</w:t>
      </w:r>
      <w:bookmarkEnd w:id="0"/>
      <w:r>
        <w:rPr>
          <w:rFonts w:hint="eastAsia" w:ascii="仿宋_GB2312" w:eastAsia="仿宋_GB2312" w:cs="宋体"/>
          <w:kern w:val="0"/>
          <w:sz w:val="30"/>
          <w:szCs w:val="30"/>
          <w:lang w:val="en-US" w:eastAsia="zh-CN" w:bidi="ar-SA"/>
        </w:rPr>
        <w:t>（芒市傣族古镇）已于2018年9月19日在上海证券交易所发行成功，共发行人民币2亿元。截至10月底，已到市国土收储中心账户4000万元。</w:t>
      </w:r>
      <w:bookmarkStart w:id="1" w:name="OLE_LINK17"/>
      <w:r>
        <w:rPr>
          <w:rFonts w:hint="eastAsia" w:ascii="仿宋_GB2312" w:eastAsia="仿宋_GB2312" w:cs="宋体"/>
          <w:kern w:val="0"/>
          <w:sz w:val="30"/>
          <w:szCs w:val="30"/>
          <w:lang w:val="en-US" w:eastAsia="zh-CN" w:bidi="ar-SA"/>
        </w:rPr>
        <w:t>2019年芒市土地储备专项债券</w:t>
      </w:r>
      <w:bookmarkEnd w:id="1"/>
      <w:r>
        <w:rPr>
          <w:rFonts w:hint="eastAsia" w:ascii="仿宋_GB2312" w:eastAsia="仿宋_GB2312" w:cs="宋体"/>
          <w:kern w:val="0"/>
          <w:sz w:val="30"/>
          <w:szCs w:val="30"/>
          <w:lang w:val="en-US" w:eastAsia="zh-CN" w:bidi="ar-SA"/>
        </w:rPr>
        <w:t>拟上报3个土地储备专项债券项目</w:t>
      </w:r>
      <w:bookmarkStart w:id="2" w:name="OLE_LINK4"/>
      <w:r>
        <w:rPr>
          <w:rFonts w:hint="eastAsia" w:ascii="仿宋_GB2312" w:eastAsia="仿宋_GB2312" w:cs="宋体"/>
          <w:kern w:val="0"/>
          <w:sz w:val="30"/>
          <w:szCs w:val="30"/>
          <w:lang w:val="en-US" w:eastAsia="zh-CN" w:bidi="ar-SA"/>
        </w:rPr>
        <w:t>（德宏国际旅游健康小镇一期、芒市大河东片区、芒市火车站片区一期土地储备项目）</w:t>
      </w:r>
      <w:bookmarkEnd w:id="2"/>
      <w:r>
        <w:rPr>
          <w:rFonts w:hint="eastAsia" w:ascii="仿宋_GB2312" w:eastAsia="仿宋_GB2312" w:cs="宋体"/>
          <w:kern w:val="0"/>
          <w:sz w:val="30"/>
          <w:szCs w:val="30"/>
          <w:lang w:val="en-US" w:eastAsia="zh-CN" w:bidi="ar-SA"/>
        </w:rPr>
        <w:t>。目前，已委托昆明市规划设计研究院编制完成</w:t>
      </w:r>
      <w:bookmarkStart w:id="3" w:name="OLE_LINK18"/>
      <w:r>
        <w:rPr>
          <w:rFonts w:hint="eastAsia" w:ascii="仿宋_GB2312" w:eastAsia="仿宋_GB2312" w:cs="宋体"/>
          <w:kern w:val="0"/>
          <w:sz w:val="30"/>
          <w:szCs w:val="30"/>
          <w:lang w:val="en-US" w:eastAsia="zh-CN" w:bidi="ar-SA"/>
        </w:rPr>
        <w:t>专项债券实施方案</w:t>
      </w:r>
      <w:bookmarkEnd w:id="3"/>
      <w:r>
        <w:rPr>
          <w:rFonts w:hint="eastAsia" w:ascii="仿宋_GB2312" w:eastAsia="仿宋_GB2312" w:cs="宋体"/>
          <w:kern w:val="0"/>
          <w:sz w:val="30"/>
          <w:szCs w:val="30"/>
          <w:lang w:val="en-US" w:eastAsia="zh-CN" w:bidi="ar-SA"/>
        </w:rPr>
        <w:t>，并上报省财政厅。盘活占用征地资金，梳理各乡镇从收储账户共借支资金74899.3289万元，市政府已组织相关部门及乡镇召开土地征用过程拨付资金管理问题专题会议，安排部署征地资金清查工作。同时，下发了《芒市人民政府办公室关于开展征地资金清查工作的通知》。</w:t>
      </w:r>
    </w:p>
    <w:p>
      <w:pPr>
        <w:widowControl/>
        <w:ind w:firstLine="600" w:firstLineChars="200"/>
        <w:jc w:val="left"/>
        <w:rPr>
          <w:rFonts w:hint="eastAsia" w:ascii="仿宋_GB2312" w:eastAsia="仿宋_GB2312" w:cs="宋体"/>
          <w:kern w:val="0"/>
          <w:sz w:val="30"/>
          <w:szCs w:val="30"/>
          <w:lang w:val="en-US" w:eastAsia="zh-CN" w:bidi="ar-SA"/>
        </w:rPr>
      </w:pPr>
      <w:r>
        <w:rPr>
          <w:rFonts w:hint="eastAsia" w:ascii="仿宋_GB2312" w:eastAsia="仿宋_GB2312" w:cs="宋体"/>
          <w:kern w:val="0"/>
          <w:sz w:val="30"/>
          <w:szCs w:val="30"/>
          <w:lang w:val="en-US" w:eastAsia="zh-CN" w:bidi="ar-SA"/>
        </w:rPr>
        <w:t>二、预算单位基本情况</w:t>
      </w:r>
    </w:p>
    <w:p>
      <w:pPr>
        <w:widowControl/>
        <w:ind w:firstLine="600" w:firstLineChars="200"/>
        <w:jc w:val="left"/>
        <w:rPr>
          <w:rFonts w:hint="eastAsia" w:ascii="仿宋_GB2312" w:eastAsia="仿宋_GB2312" w:cs="宋体"/>
          <w:kern w:val="0"/>
          <w:sz w:val="30"/>
          <w:szCs w:val="30"/>
          <w:lang w:val="en-US" w:eastAsia="zh-CN" w:bidi="ar-SA"/>
        </w:rPr>
      </w:pPr>
      <w:r>
        <w:rPr>
          <w:rFonts w:hint="eastAsia" w:ascii="仿宋_GB2312" w:eastAsia="仿宋_GB2312" w:cs="宋体"/>
          <w:kern w:val="0"/>
          <w:sz w:val="30"/>
          <w:szCs w:val="30"/>
          <w:lang w:val="en-US" w:eastAsia="zh-CN" w:bidi="ar-SA"/>
        </w:rPr>
        <w:t>我部门编制2019年部门预算单位共1个。其中：财政全供给单位1个；部分供给单位0个；特殊供给单位0个；自收自支单位0个。财政全供给单位中行政单位1个；参公管理事业单位0个；非参公管理事业单位0个。截至2018年12月统计，部门基本情况如下：</w:t>
      </w:r>
    </w:p>
    <w:p>
      <w:pPr>
        <w:widowControl/>
        <w:ind w:firstLine="600" w:firstLineChars="200"/>
        <w:jc w:val="left"/>
        <w:rPr>
          <w:rFonts w:hint="eastAsia" w:ascii="仿宋_GB2312" w:eastAsia="仿宋_GB2312" w:cs="宋体"/>
          <w:kern w:val="0"/>
          <w:sz w:val="30"/>
          <w:szCs w:val="30"/>
          <w:lang w:val="en-US" w:eastAsia="zh-CN" w:bidi="ar-SA"/>
        </w:rPr>
      </w:pPr>
      <w:r>
        <w:rPr>
          <w:rFonts w:hint="eastAsia" w:ascii="仿宋_GB2312" w:eastAsia="仿宋_GB2312" w:cs="宋体"/>
          <w:kern w:val="0"/>
          <w:sz w:val="30"/>
          <w:szCs w:val="30"/>
          <w:lang w:val="en-US" w:eastAsia="zh-CN" w:bidi="ar-SA"/>
        </w:rPr>
        <w:t>在职人员编制69人，其中：行政编制 51人，事业编制18人。在职实有81人，其中： 财政全供养 81人，财政部分供养0人，非财政供养0人。</w:t>
      </w:r>
    </w:p>
    <w:p>
      <w:pPr>
        <w:widowControl/>
        <w:ind w:firstLine="600" w:firstLineChars="200"/>
        <w:jc w:val="left"/>
        <w:rPr>
          <w:rFonts w:hint="eastAsia" w:ascii="仿宋_GB2312" w:eastAsia="仿宋_GB2312" w:cs="宋体"/>
          <w:kern w:val="0"/>
          <w:sz w:val="30"/>
          <w:szCs w:val="30"/>
          <w:lang w:val="en-US" w:eastAsia="zh-CN" w:bidi="ar-SA"/>
        </w:rPr>
      </w:pPr>
      <w:r>
        <w:rPr>
          <w:rFonts w:hint="eastAsia" w:ascii="仿宋_GB2312" w:eastAsia="仿宋_GB2312" w:cs="宋体"/>
          <w:kern w:val="0"/>
          <w:sz w:val="30"/>
          <w:szCs w:val="30"/>
          <w:lang w:val="en-US" w:eastAsia="zh-CN" w:bidi="ar-SA"/>
        </w:rPr>
        <w:t>离退休人员 32人，其中： 离休 1人，退休 31人。</w:t>
      </w:r>
    </w:p>
    <w:p>
      <w:pPr>
        <w:widowControl/>
        <w:ind w:firstLine="600" w:firstLineChars="200"/>
        <w:jc w:val="left"/>
        <w:rPr>
          <w:rFonts w:hint="eastAsia" w:ascii="仿宋_GB2312" w:eastAsia="仿宋_GB2312" w:cs="宋体"/>
          <w:kern w:val="0"/>
          <w:sz w:val="30"/>
          <w:szCs w:val="30"/>
          <w:lang w:val="en-US" w:eastAsia="zh-CN" w:bidi="ar-SA"/>
        </w:rPr>
      </w:pPr>
      <w:r>
        <w:rPr>
          <w:rFonts w:hint="eastAsia" w:ascii="仿宋_GB2312" w:eastAsia="仿宋_GB2312" w:cs="宋体"/>
          <w:kern w:val="0"/>
          <w:sz w:val="30"/>
          <w:szCs w:val="30"/>
          <w:lang w:val="en-US" w:eastAsia="zh-CN" w:bidi="ar-SA"/>
        </w:rPr>
        <w:t>车辆编制2辆，实有车辆2辆。</w:t>
      </w:r>
    </w:p>
    <w:p>
      <w:pPr>
        <w:widowControl/>
        <w:ind w:firstLine="600" w:firstLineChars="200"/>
        <w:jc w:val="left"/>
        <w:rPr>
          <w:rFonts w:hint="eastAsia" w:ascii="仿宋_GB2312" w:eastAsia="仿宋_GB2312" w:cs="宋体"/>
          <w:kern w:val="0"/>
          <w:sz w:val="30"/>
          <w:szCs w:val="30"/>
          <w:lang w:val="en-US" w:eastAsia="zh-CN" w:bidi="ar-SA"/>
        </w:rPr>
      </w:pPr>
      <w:r>
        <w:rPr>
          <w:rFonts w:hint="eastAsia" w:ascii="仿宋_GB2312" w:eastAsia="仿宋_GB2312" w:cs="宋体"/>
          <w:kern w:val="0"/>
          <w:sz w:val="30"/>
          <w:szCs w:val="30"/>
          <w:lang w:val="en-US" w:eastAsia="zh-CN" w:bidi="ar-SA"/>
        </w:rPr>
        <w:t>三、预算单位收入情况</w:t>
      </w:r>
    </w:p>
    <w:p>
      <w:pPr>
        <w:widowControl/>
        <w:ind w:firstLine="600" w:firstLineChars="200"/>
        <w:jc w:val="left"/>
        <w:rPr>
          <w:rFonts w:hint="eastAsia" w:ascii="仿宋_GB2312" w:eastAsia="仿宋_GB2312" w:cs="宋体"/>
          <w:kern w:val="0"/>
          <w:sz w:val="30"/>
          <w:szCs w:val="30"/>
          <w:lang w:val="en-US" w:eastAsia="zh-CN" w:bidi="ar-SA"/>
        </w:rPr>
      </w:pPr>
      <w:r>
        <w:rPr>
          <w:rFonts w:hint="eastAsia" w:ascii="仿宋_GB2312" w:eastAsia="仿宋_GB2312" w:cs="宋体"/>
          <w:kern w:val="0"/>
          <w:sz w:val="30"/>
          <w:szCs w:val="30"/>
          <w:lang w:val="en-US" w:eastAsia="zh-CN" w:bidi="ar-SA"/>
        </w:rPr>
        <w:t>（一）部门财务收入情况</w:t>
      </w:r>
    </w:p>
    <w:p>
      <w:pPr>
        <w:widowControl/>
        <w:ind w:firstLine="600" w:firstLineChars="200"/>
        <w:jc w:val="left"/>
        <w:rPr>
          <w:rFonts w:hint="eastAsia" w:ascii="仿宋_GB2312" w:eastAsia="仿宋_GB2312" w:cs="宋体"/>
          <w:kern w:val="0"/>
          <w:sz w:val="30"/>
          <w:szCs w:val="30"/>
          <w:lang w:val="en-US" w:eastAsia="zh-CN" w:bidi="ar-SA"/>
        </w:rPr>
      </w:pPr>
      <w:r>
        <w:rPr>
          <w:rFonts w:hint="eastAsia" w:ascii="仿宋_GB2312" w:eastAsia="仿宋_GB2312" w:cs="宋体"/>
          <w:kern w:val="0"/>
          <w:sz w:val="30"/>
          <w:szCs w:val="30"/>
          <w:lang w:val="en-US" w:eastAsia="zh-CN" w:bidi="ar-SA"/>
        </w:rPr>
        <w:t>2019年部门财务总收入 1459.44万元，其中：一般公共预算财政拨款1459.44万元，政府性基金预算财政拨款0万元，国有资本经营预算财政拨款0万元，事业收入0万元，事业单位经营收入0万元，其他收入0万元，上年结转0万元。</w:t>
      </w:r>
    </w:p>
    <w:p>
      <w:pPr>
        <w:widowControl/>
        <w:ind w:firstLine="600" w:firstLineChars="200"/>
        <w:jc w:val="left"/>
        <w:rPr>
          <w:rFonts w:hint="eastAsia" w:ascii="仿宋_GB2312" w:eastAsia="仿宋_GB2312" w:cs="宋体"/>
          <w:kern w:val="0"/>
          <w:sz w:val="30"/>
          <w:szCs w:val="30"/>
          <w:lang w:val="en-US" w:eastAsia="zh-CN" w:bidi="ar-SA"/>
        </w:rPr>
      </w:pPr>
      <w:r>
        <w:rPr>
          <w:rFonts w:hint="eastAsia" w:ascii="仿宋_GB2312" w:eastAsia="仿宋_GB2312" w:cs="宋体"/>
          <w:kern w:val="0"/>
          <w:sz w:val="30"/>
          <w:szCs w:val="30"/>
          <w:lang w:val="en-US" w:eastAsia="zh-CN" w:bidi="ar-SA"/>
        </w:rPr>
        <w:t>（二）财政拨款收入情况</w:t>
      </w:r>
    </w:p>
    <w:p>
      <w:pPr>
        <w:widowControl/>
        <w:ind w:firstLine="600" w:firstLineChars="200"/>
        <w:jc w:val="left"/>
        <w:rPr>
          <w:rFonts w:hint="eastAsia" w:ascii="仿宋_GB2312" w:eastAsia="仿宋_GB2312" w:cs="宋体"/>
          <w:kern w:val="0"/>
          <w:sz w:val="30"/>
          <w:szCs w:val="30"/>
          <w:lang w:val="en-US" w:eastAsia="zh-CN" w:bidi="ar-SA"/>
        </w:rPr>
      </w:pPr>
      <w:r>
        <w:rPr>
          <w:rFonts w:hint="eastAsia" w:ascii="仿宋_GB2312" w:eastAsia="仿宋_GB2312" w:cs="宋体"/>
          <w:kern w:val="0"/>
          <w:sz w:val="30"/>
          <w:szCs w:val="30"/>
          <w:lang w:val="en-US" w:eastAsia="zh-CN" w:bidi="ar-SA"/>
        </w:rPr>
        <w:t>2019年部门财政拨款收入 1459.44万元，其中:本年收入1459.44万元，上年结转0万元。本年收入中，一般公共预算财政拨款1459.44万元（本级财力1199.44万元，非税收入260万元，专项收入0万元，执法办案补助0万元，收费成本补偿0万元，财政专户管理的收入0万元，国有资源（资产）有偿使用成本补偿0万元），政府性基金预算财政拨款0万元，国有资本经营预算财政拨款0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四、预算单位支出情况</w:t>
      </w:r>
    </w:p>
    <w:p>
      <w:pPr>
        <w:widowControl/>
        <w:ind w:firstLine="600" w:firstLineChars="200"/>
        <w:jc w:val="left"/>
        <w:rPr>
          <w:rFonts w:hint="eastAsia" w:ascii="仿宋_GB2312" w:eastAsia="仿宋_GB2312" w:cs="宋体"/>
          <w:kern w:val="0"/>
          <w:sz w:val="30"/>
          <w:szCs w:val="30"/>
          <w:lang w:val="en-US" w:eastAsia="zh-CN" w:bidi="ar-SA"/>
        </w:rPr>
      </w:pPr>
      <w:r>
        <w:rPr>
          <w:rFonts w:hint="eastAsia" w:ascii="仿宋_GB2312" w:eastAsia="仿宋_GB2312" w:cs="宋体"/>
          <w:kern w:val="0"/>
          <w:sz w:val="30"/>
          <w:szCs w:val="30"/>
          <w:lang w:val="en-US" w:eastAsia="zh-CN" w:bidi="ar-SA"/>
        </w:rPr>
        <w:t>2019年部门预算总支出 1459.44万元。财政拨款安排支出 1459.44万元，其中，基本支出1439.44万元，项目支出20万元。</w:t>
      </w:r>
    </w:p>
    <w:p>
      <w:pPr>
        <w:widowControl/>
        <w:ind w:firstLine="600" w:firstLineChars="200"/>
        <w:jc w:val="left"/>
        <w:rPr>
          <w:rFonts w:hint="eastAsia" w:ascii="仿宋_GB2312" w:eastAsia="仿宋_GB2312" w:cs="宋体"/>
          <w:kern w:val="0"/>
          <w:sz w:val="30"/>
          <w:szCs w:val="30"/>
          <w:lang w:val="en-US" w:eastAsia="zh-CN" w:bidi="ar-SA"/>
        </w:rPr>
      </w:pPr>
      <w:r>
        <w:rPr>
          <w:rFonts w:hint="eastAsia" w:ascii="仿宋_GB2312" w:eastAsia="仿宋_GB2312" w:cs="宋体"/>
          <w:kern w:val="0"/>
          <w:sz w:val="30"/>
          <w:szCs w:val="30"/>
          <w:lang w:val="en-US" w:eastAsia="zh-CN" w:bidi="ar-SA"/>
        </w:rPr>
        <w:t>（一）财政拨款安排支出按功能科目分类情况</w:t>
      </w:r>
    </w:p>
    <w:p>
      <w:pPr>
        <w:widowControl/>
        <w:ind w:firstLine="600" w:firstLineChars="200"/>
        <w:jc w:val="left"/>
        <w:rPr>
          <w:rFonts w:hint="eastAsia" w:ascii="仿宋_GB2312" w:eastAsia="仿宋_GB2312" w:cs="宋体"/>
          <w:kern w:val="0"/>
          <w:sz w:val="30"/>
          <w:szCs w:val="30"/>
          <w:lang w:val="en-US" w:eastAsia="zh-CN" w:bidi="ar-SA"/>
        </w:rPr>
      </w:pPr>
      <w:r>
        <w:rPr>
          <w:rFonts w:hint="eastAsia" w:ascii="仿宋_GB2312" w:eastAsia="仿宋_GB2312" w:cs="宋体"/>
          <w:kern w:val="0"/>
          <w:sz w:val="30"/>
          <w:szCs w:val="30"/>
          <w:lang w:val="en-US" w:eastAsia="zh-CN" w:bidi="ar-SA"/>
        </w:rPr>
        <w:t>主要用于208.社会保障和就业支出130.07万元，其中：2080501.归口管理的行政单位离退休11.32万元，2080502.事业单位离退休0.18万元，2080505.机关事业单位基本养老保险缴费支出116.07万元，2080506.机关事业单位职业年金缴费支出2.50万元；</w:t>
      </w:r>
    </w:p>
    <w:p>
      <w:pPr>
        <w:widowControl/>
        <w:ind w:firstLine="600" w:firstLineChars="200"/>
        <w:jc w:val="left"/>
        <w:rPr>
          <w:rFonts w:hint="eastAsia" w:ascii="仿宋_GB2312" w:eastAsia="仿宋_GB2312" w:cs="宋体"/>
          <w:kern w:val="0"/>
          <w:sz w:val="30"/>
          <w:szCs w:val="30"/>
          <w:lang w:val="en-US" w:eastAsia="zh-CN" w:bidi="ar-SA"/>
        </w:rPr>
      </w:pPr>
      <w:r>
        <w:rPr>
          <w:rFonts w:hint="eastAsia" w:ascii="仿宋_GB2312" w:eastAsia="仿宋_GB2312" w:cs="宋体"/>
          <w:kern w:val="0"/>
          <w:sz w:val="30"/>
          <w:szCs w:val="30"/>
          <w:lang w:val="en-US" w:eastAsia="zh-CN" w:bidi="ar-SA"/>
        </w:rPr>
        <w:t>用于220.自然资源海洋气象等支出1003.50万元，其中：2200101.行政运行983.50万元，2200102.一般行政管理事务280万元；</w:t>
      </w:r>
    </w:p>
    <w:p>
      <w:pPr>
        <w:widowControl/>
        <w:ind w:firstLine="600" w:firstLineChars="200"/>
        <w:jc w:val="left"/>
        <w:rPr>
          <w:rFonts w:hint="eastAsia" w:ascii="仿宋_GB2312" w:eastAsia="仿宋_GB2312" w:cs="宋体"/>
          <w:kern w:val="0"/>
          <w:sz w:val="30"/>
          <w:szCs w:val="30"/>
          <w:lang w:val="en-US" w:eastAsia="zh-CN" w:bidi="ar-SA"/>
        </w:rPr>
      </w:pPr>
      <w:r>
        <w:rPr>
          <w:rFonts w:hint="eastAsia" w:ascii="仿宋_GB2312" w:eastAsia="仿宋_GB2312" w:cs="宋体"/>
          <w:kern w:val="0"/>
          <w:sz w:val="30"/>
          <w:szCs w:val="30"/>
          <w:lang w:val="en-US" w:eastAsia="zh-CN" w:bidi="ar-SA"/>
        </w:rPr>
        <w:t>用于221.住房保障支出65.87万元，其中：2210201.住房公积金65.87万元。</w:t>
      </w:r>
    </w:p>
    <w:p>
      <w:pPr>
        <w:widowControl/>
        <w:ind w:firstLine="600" w:firstLineChars="200"/>
        <w:jc w:val="left"/>
        <w:rPr>
          <w:rFonts w:hint="eastAsia" w:ascii="仿宋_GB2312" w:eastAsia="仿宋_GB2312" w:cs="宋体"/>
          <w:kern w:val="0"/>
          <w:sz w:val="30"/>
          <w:szCs w:val="30"/>
          <w:lang w:val="en-US" w:eastAsia="zh-CN" w:bidi="ar-SA"/>
        </w:rPr>
      </w:pPr>
      <w:r>
        <w:rPr>
          <w:rFonts w:hint="eastAsia" w:ascii="仿宋_GB2312" w:eastAsia="仿宋_GB2312" w:cs="宋体"/>
          <w:kern w:val="0"/>
          <w:sz w:val="30"/>
          <w:szCs w:val="30"/>
          <w:lang w:val="en-US" w:eastAsia="zh-CN" w:bidi="ar-SA"/>
        </w:rPr>
        <w:t>（二）财政拨款安排支出按经济科目分类情况</w:t>
      </w:r>
    </w:p>
    <w:p>
      <w:pPr>
        <w:widowControl/>
        <w:ind w:firstLine="600" w:firstLineChars="200"/>
        <w:jc w:val="left"/>
        <w:rPr>
          <w:rFonts w:hint="eastAsia" w:ascii="仿宋_GB2312" w:eastAsia="仿宋_GB2312" w:cs="宋体"/>
          <w:kern w:val="0"/>
          <w:sz w:val="30"/>
          <w:szCs w:val="30"/>
          <w:lang w:val="en-US" w:eastAsia="zh-CN" w:bidi="ar-SA"/>
        </w:rPr>
      </w:pPr>
      <w:r>
        <w:rPr>
          <w:rFonts w:hint="eastAsia" w:ascii="仿宋_GB2312" w:eastAsia="仿宋_GB2312" w:cs="宋体"/>
          <w:kern w:val="0"/>
          <w:sz w:val="30"/>
          <w:szCs w:val="30"/>
          <w:lang w:val="en-US" w:eastAsia="zh-CN" w:bidi="ar-SA"/>
        </w:rPr>
        <w:t>2019年部门财政拨款支出共1459.44万元，其中：基本支出1439.44万元，主要用于工资福利支出1053.26万元，商品和福利支出376.4万元，对个人和家庭补助9.78万元；项目支出20万元，全部为商品和服务支出。</w:t>
      </w:r>
    </w:p>
    <w:p>
      <w:pPr>
        <w:widowControl/>
        <w:ind w:firstLine="600" w:firstLineChars="200"/>
        <w:jc w:val="left"/>
        <w:rPr>
          <w:rFonts w:hint="default" w:ascii="Times New Roman" w:hAnsi="Times New Roman" w:eastAsia="黑体" w:cs="Times New Roman"/>
          <w:kern w:val="0"/>
          <w:sz w:val="30"/>
          <w:szCs w:val="30"/>
        </w:rPr>
      </w:pPr>
      <w:r>
        <w:rPr>
          <w:rFonts w:hint="default" w:ascii="Times New Roman" w:hAnsi="Times New Roman" w:eastAsia="黑体" w:cs="Times New Roman"/>
          <w:kern w:val="0"/>
          <w:sz w:val="30"/>
          <w:szCs w:val="30"/>
        </w:rPr>
        <w:t>五、</w:t>
      </w:r>
      <w:r>
        <w:rPr>
          <w:rFonts w:hint="eastAsia" w:eastAsia="黑体" w:cs="Times New Roman"/>
          <w:kern w:val="0"/>
          <w:sz w:val="30"/>
          <w:szCs w:val="30"/>
          <w:lang w:eastAsia="zh-CN"/>
        </w:rPr>
        <w:t>市</w:t>
      </w:r>
      <w:r>
        <w:rPr>
          <w:rFonts w:hint="default" w:ascii="Times New Roman" w:hAnsi="Times New Roman" w:eastAsia="黑体" w:cs="Times New Roman"/>
          <w:kern w:val="0"/>
          <w:sz w:val="30"/>
          <w:szCs w:val="30"/>
        </w:rPr>
        <w:t>对下</w:t>
      </w:r>
      <w:r>
        <w:rPr>
          <w:rFonts w:hint="default" w:ascii="Times New Roman" w:hAnsi="Times New Roman" w:eastAsia="黑体" w:cs="Times New Roman"/>
          <w:kern w:val="0"/>
          <w:sz w:val="30"/>
          <w:szCs w:val="30"/>
          <w:lang w:eastAsia="zh-CN"/>
        </w:rPr>
        <w:t>专</w:t>
      </w:r>
      <w:r>
        <w:rPr>
          <w:rFonts w:hint="default" w:ascii="Times New Roman" w:hAnsi="Times New Roman" w:eastAsia="黑体" w:cs="Times New Roman"/>
          <w:kern w:val="0"/>
          <w:sz w:val="30"/>
          <w:szCs w:val="30"/>
        </w:rPr>
        <w:t>项转移支付情况</w:t>
      </w:r>
    </w:p>
    <w:p>
      <w:pPr>
        <w:widowControl/>
        <w:ind w:firstLine="450" w:firstLineChars="150"/>
        <w:jc w:val="left"/>
        <w:rPr>
          <w:rFonts w:hint="default" w:ascii="Times New Roman" w:hAnsi="Times New Roman" w:eastAsia="楷体_GB2312" w:cs="Times New Roman"/>
          <w:kern w:val="0"/>
          <w:sz w:val="30"/>
          <w:szCs w:val="30"/>
        </w:rPr>
      </w:pPr>
      <w:r>
        <w:rPr>
          <w:rFonts w:hint="default" w:ascii="Times New Roman" w:hAnsi="Times New Roman" w:eastAsia="楷体_GB2312" w:cs="Times New Roman"/>
          <w:kern w:val="0"/>
          <w:sz w:val="30"/>
          <w:szCs w:val="30"/>
        </w:rPr>
        <w:t>（一）列入省对下专项转移支付项目清单项目情况</w:t>
      </w:r>
    </w:p>
    <w:p>
      <w:pPr>
        <w:widowControl/>
        <w:ind w:firstLine="600" w:firstLineChars="200"/>
        <w:jc w:val="left"/>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部门列入省对下专项转移支付项目清单项目为：  金额0万元。</w:t>
      </w:r>
    </w:p>
    <w:p>
      <w:pPr>
        <w:widowControl/>
        <w:ind w:firstLine="450" w:firstLineChars="150"/>
        <w:jc w:val="left"/>
        <w:rPr>
          <w:rFonts w:hint="default" w:ascii="Times New Roman" w:hAnsi="Times New Roman" w:eastAsia="楷体_GB2312" w:cs="Times New Roman"/>
          <w:kern w:val="0"/>
          <w:sz w:val="30"/>
          <w:szCs w:val="30"/>
        </w:rPr>
      </w:pPr>
      <w:r>
        <w:rPr>
          <w:rFonts w:hint="default" w:ascii="Times New Roman" w:hAnsi="Times New Roman" w:eastAsia="楷体_GB2312" w:cs="Times New Roman"/>
          <w:kern w:val="0"/>
          <w:sz w:val="30"/>
          <w:szCs w:val="30"/>
        </w:rPr>
        <w:t>（二）与中央配套事项</w:t>
      </w:r>
    </w:p>
    <w:p>
      <w:pPr>
        <w:widowControl/>
        <w:ind w:firstLine="600" w:firstLineChars="200"/>
        <w:jc w:val="left"/>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功能科目分组，</w:t>
      </w:r>
      <w:r>
        <w:rPr>
          <w:rFonts w:hint="default" w:ascii="Times New Roman" w:hAnsi="Times New Roman" w:eastAsia="仿宋_GB2312" w:cs="Times New Roman"/>
          <w:kern w:val="0"/>
          <w:sz w:val="30"/>
          <w:szCs w:val="30"/>
          <w:lang w:eastAsia="zh-CN"/>
        </w:rPr>
        <w:t>无</w:t>
      </w:r>
      <w:r>
        <w:rPr>
          <w:rFonts w:hint="default" w:ascii="Times New Roman" w:hAnsi="Times New Roman" w:eastAsia="仿宋_GB2312" w:cs="Times New Roman"/>
          <w:kern w:val="0"/>
          <w:sz w:val="30"/>
          <w:szCs w:val="30"/>
        </w:rPr>
        <w:t>。</w:t>
      </w:r>
    </w:p>
    <w:p>
      <w:pPr>
        <w:widowControl/>
        <w:ind w:firstLine="602" w:firstLineChars="200"/>
        <w:jc w:val="left"/>
        <w:rPr>
          <w:rFonts w:hint="default" w:ascii="Times New Roman" w:hAnsi="Times New Roman" w:eastAsia="仿宋_GB2312" w:cs="Times New Roman"/>
          <w:b/>
          <w:kern w:val="0"/>
          <w:sz w:val="30"/>
          <w:szCs w:val="30"/>
        </w:rPr>
      </w:pPr>
      <w:r>
        <w:rPr>
          <w:rFonts w:hint="default" w:ascii="Times New Roman" w:hAnsi="Times New Roman" w:eastAsia="仿宋_GB2312" w:cs="Times New Roman"/>
          <w:b/>
          <w:kern w:val="0"/>
          <w:sz w:val="30"/>
          <w:szCs w:val="30"/>
        </w:rPr>
        <w:t>（</w:t>
      </w:r>
      <w:r>
        <w:rPr>
          <w:rFonts w:hint="default" w:ascii="Times New Roman" w:hAnsi="Times New Roman" w:eastAsia="楷体_GB2312" w:cs="Times New Roman"/>
          <w:kern w:val="0"/>
          <w:sz w:val="30"/>
          <w:szCs w:val="30"/>
        </w:rPr>
        <w:t>三）按既定政策标准测算补助事项</w:t>
      </w:r>
    </w:p>
    <w:p>
      <w:pPr>
        <w:widowControl/>
        <w:ind w:firstLine="600" w:firstLineChars="200"/>
        <w:jc w:val="left"/>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功能科目分组，</w:t>
      </w:r>
      <w:r>
        <w:rPr>
          <w:rFonts w:hint="default" w:ascii="Times New Roman" w:hAnsi="Times New Roman" w:eastAsia="仿宋_GB2312" w:cs="Times New Roman"/>
          <w:kern w:val="0"/>
          <w:sz w:val="30"/>
          <w:szCs w:val="30"/>
          <w:lang w:eastAsia="zh-CN"/>
        </w:rPr>
        <w:t>无</w:t>
      </w:r>
      <w:r>
        <w:rPr>
          <w:rFonts w:hint="default" w:ascii="Times New Roman" w:hAnsi="Times New Roman" w:eastAsia="仿宋_GB2312" w:cs="Times New Roman"/>
          <w:kern w:val="0"/>
          <w:sz w:val="30"/>
          <w:szCs w:val="30"/>
        </w:rPr>
        <w:t>。</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六、政府采购预算情况</w:t>
      </w:r>
    </w:p>
    <w:p>
      <w:pPr>
        <w:widowControl/>
        <w:jc w:val="left"/>
        <w:rPr>
          <w:rFonts w:hint="eastAsia" w:ascii="黑体" w:hAnsi="黑体" w:eastAsia="黑体"/>
          <w:kern w:val="0"/>
          <w:sz w:val="30"/>
          <w:szCs w:val="30"/>
        </w:rPr>
      </w:pPr>
      <w:r>
        <w:rPr>
          <w:rFonts w:eastAsia="仿宋_GB2312"/>
          <w:kern w:val="0"/>
          <w:sz w:val="30"/>
          <w:szCs w:val="30"/>
        </w:rPr>
        <w:t xml:space="preserve">    </w:t>
      </w:r>
      <w:r>
        <w:rPr>
          <w:rFonts w:hint="eastAsia" w:ascii="仿宋_GB2312" w:eastAsia="仿宋_GB2312" w:cs="宋体"/>
          <w:kern w:val="0"/>
          <w:sz w:val="30"/>
          <w:szCs w:val="30"/>
          <w:lang w:val="en-US" w:eastAsia="zh-CN" w:bidi="ar-SA"/>
        </w:rPr>
        <w:t>根据《中华人民共和国政府采购法》的有关规定，编制了政府采购预算，共涉及采购项目0个，采购预算资金0万元。</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七、预算收支增减变化情况说明</w:t>
      </w:r>
    </w:p>
    <w:p>
      <w:pPr>
        <w:widowControl/>
        <w:ind w:firstLine="960" w:firstLineChars="300"/>
        <w:jc w:val="left"/>
        <w:rPr>
          <w:rFonts w:hint="eastAsia" w:eastAsia="仿宋_GB2312"/>
          <w:kern w:val="0"/>
          <w:sz w:val="30"/>
          <w:szCs w:val="30"/>
          <w:lang w:val="en-US" w:eastAsia="zh-CN"/>
        </w:rPr>
      </w:pPr>
      <w:r>
        <w:rPr>
          <w:rFonts w:hint="eastAsia" w:ascii="仿宋_GB2312" w:eastAsia="仿宋_GB2312" w:cs="宋体"/>
          <w:kern w:val="0"/>
          <w:sz w:val="32"/>
          <w:szCs w:val="32"/>
          <w:lang w:val="en-US" w:eastAsia="zh-CN" w:bidi="ar-SA"/>
        </w:rPr>
        <w:t>2019年部门预算总收入1459.44万元，比上年1346.48万元增加112.96万元，增加8.39%，总支出1459.44万元，比上年1346.48万元增加112.96万元，增加8.39%。</w:t>
      </w:r>
    </w:p>
    <w:p>
      <w:pPr>
        <w:widowControl/>
        <w:ind w:firstLine="900" w:firstLineChars="300"/>
        <w:jc w:val="left"/>
        <w:rPr>
          <w:rFonts w:hint="eastAsia" w:eastAsia="仿宋_GB2312"/>
          <w:kern w:val="0"/>
          <w:sz w:val="30"/>
          <w:szCs w:val="30"/>
          <w:lang w:val="en-US" w:eastAsia="zh-CN"/>
        </w:rPr>
      </w:pPr>
      <w:r>
        <w:rPr>
          <w:rFonts w:hint="eastAsia" w:eastAsia="仿宋_GB2312"/>
          <w:kern w:val="0"/>
          <w:sz w:val="30"/>
          <w:szCs w:val="30"/>
          <w:lang w:val="en-US" w:eastAsia="zh-CN"/>
        </w:rPr>
        <w:t>（一）2019年用于工资福利支出1053.26万元，比上年854.91万元增加198.35万元，增加23.20%，增加原因为工资标准调整，因此工资福利支出加大。</w:t>
      </w:r>
    </w:p>
    <w:p>
      <w:pPr>
        <w:widowControl/>
        <w:numPr>
          <w:ilvl w:val="0"/>
          <w:numId w:val="1"/>
        </w:numPr>
        <w:ind w:firstLine="900" w:firstLineChars="300"/>
        <w:jc w:val="left"/>
        <w:rPr>
          <w:rFonts w:hint="eastAsia" w:eastAsia="仿宋_GB2312"/>
          <w:kern w:val="0"/>
          <w:sz w:val="30"/>
          <w:szCs w:val="30"/>
          <w:lang w:val="en-US" w:eastAsia="zh-CN"/>
        </w:rPr>
      </w:pPr>
      <w:r>
        <w:rPr>
          <w:rFonts w:hint="eastAsia" w:eastAsia="仿宋_GB2312"/>
          <w:kern w:val="0"/>
          <w:sz w:val="30"/>
          <w:szCs w:val="30"/>
          <w:lang w:val="en-US" w:eastAsia="zh-CN"/>
        </w:rPr>
        <w:t>商品和服务支出376.4万元，比上年155.96万元增加220.44万元，增加141.34%，原因为临时工人数增加，劳务费增多以及非税收入安排数增加。</w:t>
      </w:r>
    </w:p>
    <w:p>
      <w:pPr>
        <w:widowControl/>
        <w:numPr>
          <w:ilvl w:val="0"/>
          <w:numId w:val="1"/>
        </w:numPr>
        <w:ind w:firstLine="900" w:firstLineChars="300"/>
        <w:jc w:val="left"/>
        <w:rPr>
          <w:rFonts w:hint="eastAsia" w:eastAsia="仿宋_GB2312"/>
          <w:kern w:val="0"/>
          <w:sz w:val="30"/>
          <w:szCs w:val="30"/>
          <w:lang w:val="en-US" w:eastAsia="zh-CN"/>
        </w:rPr>
      </w:pPr>
      <w:r>
        <w:rPr>
          <w:rFonts w:hint="eastAsia" w:eastAsia="仿宋_GB2312"/>
          <w:kern w:val="0"/>
          <w:sz w:val="30"/>
          <w:szCs w:val="30"/>
          <w:lang w:val="en-US" w:eastAsia="zh-CN"/>
        </w:rPr>
        <w:t>对个人和家庭补助9.78万元，比上年10.61万元减少0.83万元，减少7.82%，减少原因为对个人补助金额减少。</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八</w:t>
      </w:r>
      <w:r>
        <w:rPr>
          <w:rFonts w:ascii="黑体" w:hAnsi="黑体" w:eastAsia="黑体"/>
          <w:kern w:val="0"/>
          <w:sz w:val="30"/>
          <w:szCs w:val="30"/>
        </w:rPr>
        <w:t>、</w:t>
      </w:r>
      <w:r>
        <w:rPr>
          <w:rFonts w:hint="eastAsia" w:ascii="黑体" w:hAnsi="黑体" w:eastAsia="黑体"/>
          <w:kern w:val="0"/>
          <w:sz w:val="30"/>
          <w:szCs w:val="30"/>
        </w:rPr>
        <w:t>部门一般公共预算“三公”经费支出</w:t>
      </w:r>
      <w:r>
        <w:rPr>
          <w:rFonts w:ascii="黑体" w:hAnsi="黑体" w:eastAsia="黑体"/>
          <w:kern w:val="0"/>
          <w:sz w:val="30"/>
          <w:szCs w:val="30"/>
        </w:rPr>
        <w:t>公开信息</w:t>
      </w:r>
    </w:p>
    <w:p>
      <w:pPr>
        <w:widowControl/>
        <w:ind w:firstLine="600" w:firstLineChars="200"/>
        <w:jc w:val="left"/>
        <w:rPr>
          <w:rFonts w:hint="eastAsia" w:ascii="仿宋_GB2312" w:eastAsia="仿宋_GB2312" w:cs="宋体"/>
          <w:kern w:val="0"/>
          <w:sz w:val="30"/>
          <w:szCs w:val="30"/>
          <w:lang w:val="en-US" w:eastAsia="zh-CN" w:bidi="ar-SA"/>
        </w:rPr>
      </w:pPr>
      <w:r>
        <w:rPr>
          <w:rFonts w:hint="eastAsia" w:ascii="仿宋_GB2312" w:eastAsia="仿宋_GB2312" w:cs="宋体"/>
          <w:kern w:val="0"/>
          <w:sz w:val="30"/>
          <w:szCs w:val="30"/>
          <w:lang w:val="en-US" w:eastAsia="zh-CN" w:bidi="ar-SA"/>
        </w:rPr>
        <w:t>2019年本单位一般公共预算“三公”经费预算安排8.5万元。其中，因公出国（境）费0万元，公务接待费3.5万元，公务用车购置和运行维护费5万元（其中：公务用车运行费5万元，公务用车购置0万元）。与上年一般公共预算“三公”经费决算数7.24万元相比，增加1.26万元，上升17.40%。其中，因公出国（境）费0万元；公务接待费减少1.30万元,下降2.7%；减少的原因主要是公务接待减少；公务用车购置及运行费增加2.56万元，上升105%（其中，公务用车运行费增加2.56万元，上升105%；公务用车购置0万元。公务用车运行费增加的原因主要是项目点较多，外出勘察次数增多。</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lang w:eastAsia="zh-CN"/>
        </w:rPr>
        <w:t>九</w:t>
      </w:r>
      <w:r>
        <w:rPr>
          <w:rFonts w:ascii="黑体" w:hAnsi="黑体" w:eastAsia="黑体"/>
          <w:kern w:val="0"/>
          <w:sz w:val="30"/>
          <w:szCs w:val="30"/>
        </w:rPr>
        <w:t>、其他公开信息</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（一）专业名词解释</w:t>
      </w:r>
    </w:p>
    <w:p>
      <w:pPr>
        <w:widowControl/>
        <w:ind w:firstLine="640" w:firstLineChars="200"/>
        <w:jc w:val="left"/>
        <w:rPr>
          <w:rFonts w:eastAsia="仿宋_GB2312"/>
          <w:kern w:val="0"/>
          <w:sz w:val="30"/>
          <w:szCs w:val="30"/>
        </w:rPr>
      </w:pPr>
      <w:r>
        <w:rPr>
          <w:rFonts w:hint="eastAsia" w:ascii="仿宋" w:hAnsi="仿宋" w:eastAsia="仿宋" w:cs="仿宋"/>
          <w:sz w:val="32"/>
          <w:szCs w:val="32"/>
          <w:lang w:val="en-US" w:eastAsia="zh-CN"/>
        </w:rPr>
        <w:t>1、</w:t>
      </w:r>
      <w:r>
        <w:rPr>
          <w:rFonts w:hint="eastAsia" w:eastAsia="仿宋_GB2312"/>
          <w:kern w:val="0"/>
          <w:sz w:val="30"/>
          <w:szCs w:val="30"/>
        </w:rPr>
        <w:t>政府性基金：指各级人民政府及其所属部门根据法律、国家行政法规和中共中央、国务院有关文件的规定，为支持某项事业发展，按照国家规定程序批准，向公民、法人和其他组织征收的具有专项用途的资金。包括各种基金、资金、附加和专项收费。</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2、</w:t>
      </w:r>
      <w:r>
        <w:rPr>
          <w:rFonts w:hint="eastAsia" w:eastAsia="仿宋_GB2312"/>
          <w:kern w:val="0"/>
          <w:sz w:val="30"/>
          <w:szCs w:val="30"/>
        </w:rPr>
        <w:t>政府采购：指国家各级政府为从事日常的政务活动或为了满足公共服务的目的，利用国家</w:t>
      </w:r>
      <w:r>
        <w:rPr>
          <w:rFonts w:eastAsia="仿宋_GB2312"/>
          <w:kern w:val="0"/>
          <w:sz w:val="30"/>
          <w:szCs w:val="30"/>
        </w:rPr>
        <w:fldChar w:fldCharType="begin"/>
      </w:r>
      <w:r>
        <w:rPr>
          <w:rFonts w:eastAsia="仿宋_GB2312"/>
          <w:kern w:val="0"/>
          <w:sz w:val="30"/>
          <w:szCs w:val="30"/>
        </w:rPr>
        <w:instrText xml:space="preserve"> HYPERLINK "https://baike.so.com/doc/5716834-5929560.html" \t "_blank" </w:instrText>
      </w:r>
      <w:r>
        <w:rPr>
          <w:rFonts w:eastAsia="仿宋_GB2312"/>
          <w:kern w:val="0"/>
          <w:sz w:val="30"/>
          <w:szCs w:val="30"/>
        </w:rPr>
        <w:fldChar w:fldCharType="separate"/>
      </w:r>
      <w:r>
        <w:rPr>
          <w:rFonts w:hint="eastAsia" w:eastAsia="仿宋_GB2312"/>
          <w:kern w:val="0"/>
          <w:sz w:val="30"/>
          <w:szCs w:val="30"/>
        </w:rPr>
        <w:t>财政性资金</w:t>
      </w:r>
      <w:r>
        <w:rPr>
          <w:rFonts w:hint="eastAsia" w:eastAsia="仿宋_GB2312"/>
          <w:kern w:val="0"/>
          <w:sz w:val="30"/>
          <w:szCs w:val="30"/>
        </w:rPr>
        <w:fldChar w:fldCharType="end"/>
      </w:r>
      <w:r>
        <w:rPr>
          <w:rFonts w:hint="eastAsia" w:eastAsia="仿宋_GB2312"/>
          <w:kern w:val="0"/>
          <w:sz w:val="30"/>
          <w:szCs w:val="30"/>
        </w:rPr>
        <w:t>和政府借款购买货物、工程和服务的行为。政府采购不仅是指具体的</w:t>
      </w:r>
      <w:r>
        <w:rPr>
          <w:rFonts w:eastAsia="仿宋_GB2312"/>
          <w:kern w:val="0"/>
          <w:sz w:val="30"/>
          <w:szCs w:val="30"/>
        </w:rPr>
        <w:fldChar w:fldCharType="begin"/>
      </w:r>
      <w:r>
        <w:rPr>
          <w:rFonts w:eastAsia="仿宋_GB2312"/>
          <w:kern w:val="0"/>
          <w:sz w:val="30"/>
          <w:szCs w:val="30"/>
        </w:rPr>
        <w:instrText xml:space="preserve"> HYPERLINK "https://baike.so.com/doc/4796448-5012566.html" \t "_blank" </w:instrText>
      </w:r>
      <w:r>
        <w:rPr>
          <w:rFonts w:eastAsia="仿宋_GB2312"/>
          <w:kern w:val="0"/>
          <w:sz w:val="30"/>
          <w:szCs w:val="30"/>
        </w:rPr>
        <w:fldChar w:fldCharType="separate"/>
      </w:r>
      <w:r>
        <w:rPr>
          <w:rFonts w:hint="eastAsia" w:eastAsia="仿宋_GB2312"/>
          <w:kern w:val="0"/>
          <w:sz w:val="30"/>
          <w:szCs w:val="30"/>
        </w:rPr>
        <w:t>采购过程</w:t>
      </w:r>
      <w:r>
        <w:rPr>
          <w:rFonts w:hint="eastAsia" w:eastAsia="仿宋_GB2312"/>
          <w:kern w:val="0"/>
          <w:sz w:val="30"/>
          <w:szCs w:val="30"/>
        </w:rPr>
        <w:fldChar w:fldCharType="end"/>
      </w:r>
      <w:r>
        <w:rPr>
          <w:rFonts w:hint="eastAsia" w:eastAsia="仿宋_GB2312"/>
          <w:kern w:val="0"/>
          <w:sz w:val="30"/>
          <w:szCs w:val="30"/>
        </w:rPr>
        <w:t>，而且是采购政策、采购程序、采购过程及采购管理的总称，是一种对公共采购管理的制度。</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3、</w:t>
      </w:r>
      <w:r>
        <w:rPr>
          <w:rFonts w:hint="eastAsia" w:eastAsia="仿宋_GB2312"/>
          <w:kern w:val="0"/>
          <w:sz w:val="30"/>
          <w:szCs w:val="30"/>
        </w:rPr>
        <w:t>财政拨款收入</w:t>
      </w:r>
      <w:r>
        <w:rPr>
          <w:rFonts w:eastAsia="仿宋_GB2312"/>
          <w:kern w:val="0"/>
          <w:sz w:val="30"/>
          <w:szCs w:val="30"/>
        </w:rPr>
        <w:t xml:space="preserve">: </w:t>
      </w:r>
      <w:r>
        <w:rPr>
          <w:rFonts w:hint="eastAsia" w:eastAsia="仿宋_GB2312"/>
          <w:kern w:val="0"/>
          <w:sz w:val="30"/>
          <w:szCs w:val="30"/>
        </w:rPr>
        <w:t>指本级财政当年拨付的资金。</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4、</w:t>
      </w:r>
      <w:r>
        <w:rPr>
          <w:rFonts w:hint="eastAsia" w:eastAsia="仿宋_GB2312"/>
          <w:kern w:val="0"/>
          <w:sz w:val="30"/>
          <w:szCs w:val="30"/>
        </w:rPr>
        <w:t>事业收入</w:t>
      </w:r>
      <w:r>
        <w:rPr>
          <w:rFonts w:eastAsia="仿宋_GB2312"/>
          <w:kern w:val="0"/>
          <w:sz w:val="30"/>
          <w:szCs w:val="30"/>
        </w:rPr>
        <w:t xml:space="preserve">: </w:t>
      </w:r>
      <w:r>
        <w:rPr>
          <w:rFonts w:hint="eastAsia" w:eastAsia="仿宋_GB2312"/>
          <w:kern w:val="0"/>
          <w:sz w:val="30"/>
          <w:szCs w:val="30"/>
        </w:rPr>
        <w:t>指事业单位开展专业业务活动及辅助活动取得的收入。</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5、</w:t>
      </w:r>
      <w:r>
        <w:rPr>
          <w:rFonts w:hint="eastAsia" w:eastAsia="仿宋_GB2312"/>
          <w:kern w:val="0"/>
          <w:sz w:val="30"/>
          <w:szCs w:val="30"/>
        </w:rPr>
        <w:t>其他收入</w:t>
      </w:r>
      <w:r>
        <w:rPr>
          <w:rFonts w:eastAsia="仿宋_GB2312"/>
          <w:kern w:val="0"/>
          <w:sz w:val="30"/>
          <w:szCs w:val="30"/>
        </w:rPr>
        <w:t xml:space="preserve">: </w:t>
      </w:r>
      <w:r>
        <w:rPr>
          <w:rFonts w:hint="eastAsia" w:eastAsia="仿宋_GB2312"/>
          <w:kern w:val="0"/>
          <w:sz w:val="30"/>
          <w:szCs w:val="30"/>
        </w:rPr>
        <w:t>指除上述</w:t>
      </w:r>
      <w:r>
        <w:rPr>
          <w:rFonts w:eastAsia="仿宋_GB2312"/>
          <w:kern w:val="0"/>
          <w:sz w:val="30"/>
          <w:szCs w:val="30"/>
        </w:rPr>
        <w:t>"</w:t>
      </w:r>
      <w:r>
        <w:rPr>
          <w:rFonts w:hint="eastAsia" w:eastAsia="仿宋_GB2312"/>
          <w:kern w:val="0"/>
          <w:sz w:val="30"/>
          <w:szCs w:val="30"/>
        </w:rPr>
        <w:t>财政拨款收入</w:t>
      </w:r>
      <w:r>
        <w:rPr>
          <w:rFonts w:eastAsia="仿宋_GB2312"/>
          <w:kern w:val="0"/>
          <w:sz w:val="30"/>
          <w:szCs w:val="30"/>
        </w:rPr>
        <w:t>"</w:t>
      </w:r>
      <w:r>
        <w:rPr>
          <w:rFonts w:hint="eastAsia" w:eastAsia="仿宋_GB2312"/>
          <w:kern w:val="0"/>
          <w:sz w:val="30"/>
          <w:szCs w:val="30"/>
        </w:rPr>
        <w:t>、</w:t>
      </w:r>
      <w:r>
        <w:rPr>
          <w:rFonts w:eastAsia="仿宋_GB2312"/>
          <w:kern w:val="0"/>
          <w:sz w:val="30"/>
          <w:szCs w:val="30"/>
        </w:rPr>
        <w:t>"</w:t>
      </w:r>
      <w:r>
        <w:rPr>
          <w:rFonts w:hint="eastAsia" w:eastAsia="仿宋_GB2312"/>
          <w:kern w:val="0"/>
          <w:sz w:val="30"/>
          <w:szCs w:val="30"/>
        </w:rPr>
        <w:t>事业收入</w:t>
      </w:r>
      <w:r>
        <w:rPr>
          <w:rFonts w:eastAsia="仿宋_GB2312"/>
          <w:kern w:val="0"/>
          <w:sz w:val="30"/>
          <w:szCs w:val="30"/>
        </w:rPr>
        <w:t>"</w:t>
      </w:r>
      <w:r>
        <w:rPr>
          <w:rFonts w:hint="eastAsia" w:eastAsia="仿宋_GB2312"/>
          <w:kern w:val="0"/>
          <w:sz w:val="30"/>
          <w:szCs w:val="30"/>
        </w:rPr>
        <w:t>、等以外的收入。</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6、</w:t>
      </w:r>
      <w:r>
        <w:rPr>
          <w:rFonts w:hint="eastAsia" w:eastAsia="仿宋_GB2312"/>
          <w:kern w:val="0"/>
          <w:sz w:val="30"/>
          <w:szCs w:val="30"/>
        </w:rPr>
        <w:t>用事业基金弥补收支差额</w:t>
      </w:r>
      <w:r>
        <w:rPr>
          <w:rFonts w:eastAsia="仿宋_GB2312"/>
          <w:kern w:val="0"/>
          <w:sz w:val="30"/>
          <w:szCs w:val="30"/>
        </w:rPr>
        <w:t xml:space="preserve">: </w:t>
      </w:r>
      <w:r>
        <w:rPr>
          <w:rFonts w:hint="eastAsia" w:eastAsia="仿宋_GB2312"/>
          <w:kern w:val="0"/>
          <w:sz w:val="30"/>
          <w:szCs w:val="30"/>
        </w:rPr>
        <w:t>指事业单位在当年的</w:t>
      </w:r>
      <w:r>
        <w:rPr>
          <w:rFonts w:eastAsia="仿宋_GB2312"/>
          <w:kern w:val="0"/>
          <w:sz w:val="30"/>
          <w:szCs w:val="30"/>
        </w:rPr>
        <w:t>"</w:t>
      </w:r>
      <w:r>
        <w:rPr>
          <w:rFonts w:hint="eastAsia" w:eastAsia="仿宋_GB2312"/>
          <w:kern w:val="0"/>
          <w:sz w:val="30"/>
          <w:szCs w:val="30"/>
        </w:rPr>
        <w:t>财政拨款收入</w:t>
      </w:r>
      <w:r>
        <w:rPr>
          <w:rFonts w:eastAsia="仿宋_GB2312"/>
          <w:kern w:val="0"/>
          <w:sz w:val="30"/>
          <w:szCs w:val="30"/>
        </w:rPr>
        <w:t>"</w:t>
      </w:r>
      <w:r>
        <w:rPr>
          <w:rFonts w:hint="eastAsia" w:eastAsia="仿宋_GB2312"/>
          <w:kern w:val="0"/>
          <w:sz w:val="30"/>
          <w:szCs w:val="30"/>
        </w:rPr>
        <w:t>、</w:t>
      </w:r>
      <w:r>
        <w:rPr>
          <w:rFonts w:eastAsia="仿宋_GB2312"/>
          <w:kern w:val="0"/>
          <w:sz w:val="30"/>
          <w:szCs w:val="30"/>
        </w:rPr>
        <w:t>"</w:t>
      </w:r>
      <w:r>
        <w:rPr>
          <w:rFonts w:hint="eastAsia" w:eastAsia="仿宋_GB2312"/>
          <w:kern w:val="0"/>
          <w:sz w:val="30"/>
          <w:szCs w:val="30"/>
        </w:rPr>
        <w:t>事业收入</w:t>
      </w:r>
      <w:r>
        <w:rPr>
          <w:rFonts w:eastAsia="仿宋_GB2312"/>
          <w:kern w:val="0"/>
          <w:sz w:val="30"/>
          <w:szCs w:val="30"/>
        </w:rPr>
        <w:t>"</w:t>
      </w:r>
      <w:r>
        <w:rPr>
          <w:rFonts w:hint="eastAsia" w:eastAsia="仿宋_GB2312"/>
          <w:kern w:val="0"/>
          <w:sz w:val="30"/>
          <w:szCs w:val="30"/>
        </w:rPr>
        <w:t>、</w:t>
      </w:r>
      <w:r>
        <w:rPr>
          <w:rFonts w:eastAsia="仿宋_GB2312"/>
          <w:kern w:val="0"/>
          <w:sz w:val="30"/>
          <w:szCs w:val="30"/>
        </w:rPr>
        <w:t>"</w:t>
      </w:r>
      <w:r>
        <w:rPr>
          <w:rFonts w:hint="eastAsia" w:eastAsia="仿宋_GB2312"/>
          <w:kern w:val="0"/>
          <w:sz w:val="30"/>
          <w:szCs w:val="30"/>
        </w:rPr>
        <w:t>其他收入</w:t>
      </w:r>
      <w:r>
        <w:rPr>
          <w:rFonts w:eastAsia="仿宋_GB2312"/>
          <w:kern w:val="0"/>
          <w:sz w:val="30"/>
          <w:szCs w:val="30"/>
        </w:rPr>
        <w:t>"</w:t>
      </w:r>
      <w:r>
        <w:rPr>
          <w:rFonts w:hint="eastAsia" w:eastAsia="仿宋_GB2312"/>
          <w:kern w:val="0"/>
          <w:sz w:val="30"/>
          <w:szCs w:val="30"/>
        </w:rPr>
        <w:t>不足以安排当年支出的情况下，使用以前年度积累的事业基金</w:t>
      </w:r>
      <w:r>
        <w:rPr>
          <w:rFonts w:eastAsia="仿宋_GB2312"/>
          <w:kern w:val="0"/>
          <w:sz w:val="30"/>
          <w:szCs w:val="30"/>
        </w:rPr>
        <w:t>(</w:t>
      </w:r>
      <w:r>
        <w:rPr>
          <w:rFonts w:hint="eastAsia" w:eastAsia="仿宋_GB2312"/>
          <w:kern w:val="0"/>
          <w:sz w:val="30"/>
          <w:szCs w:val="30"/>
        </w:rPr>
        <w:t>事业单位当年收支相抵后按国家规定提取、用于弥补以后年度收支差额的基金</w:t>
      </w:r>
      <w:r>
        <w:rPr>
          <w:rFonts w:eastAsia="仿宋_GB2312"/>
          <w:kern w:val="0"/>
          <w:sz w:val="30"/>
          <w:szCs w:val="30"/>
        </w:rPr>
        <w:t>)</w:t>
      </w:r>
      <w:r>
        <w:rPr>
          <w:rFonts w:hint="eastAsia" w:eastAsia="仿宋_GB2312"/>
          <w:kern w:val="0"/>
          <w:sz w:val="30"/>
          <w:szCs w:val="30"/>
        </w:rPr>
        <w:t>弥补本年度收支缺口的资金。</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7、</w:t>
      </w:r>
      <w:r>
        <w:rPr>
          <w:rFonts w:hint="eastAsia" w:eastAsia="仿宋_GB2312"/>
          <w:kern w:val="0"/>
          <w:sz w:val="30"/>
          <w:szCs w:val="30"/>
        </w:rPr>
        <w:t>年初结转和结余</w:t>
      </w:r>
      <w:r>
        <w:rPr>
          <w:rFonts w:eastAsia="仿宋_GB2312"/>
          <w:kern w:val="0"/>
          <w:sz w:val="30"/>
          <w:szCs w:val="30"/>
        </w:rPr>
        <w:t xml:space="preserve">: </w:t>
      </w:r>
      <w:r>
        <w:rPr>
          <w:rFonts w:hint="eastAsia" w:eastAsia="仿宋_GB2312"/>
          <w:kern w:val="0"/>
          <w:sz w:val="30"/>
          <w:szCs w:val="30"/>
        </w:rPr>
        <w:t>指以前年度尚未完成、结转到本年按有关规定继续使用的资金。</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8、</w:t>
      </w:r>
      <w:r>
        <w:rPr>
          <w:rFonts w:hint="eastAsia" w:eastAsia="仿宋_GB2312"/>
          <w:kern w:val="0"/>
          <w:sz w:val="30"/>
          <w:szCs w:val="30"/>
        </w:rPr>
        <w:t>结余分配</w:t>
      </w:r>
      <w:r>
        <w:rPr>
          <w:rFonts w:eastAsia="仿宋_GB2312"/>
          <w:kern w:val="0"/>
          <w:sz w:val="30"/>
          <w:szCs w:val="30"/>
        </w:rPr>
        <w:t xml:space="preserve">: </w:t>
      </w:r>
      <w:r>
        <w:rPr>
          <w:rFonts w:hint="eastAsia" w:eastAsia="仿宋_GB2312"/>
          <w:kern w:val="0"/>
          <w:sz w:val="30"/>
          <w:szCs w:val="30"/>
        </w:rPr>
        <w:t>指事业单位按规定提取的职工福利基金、事业基金和缴纳的所得税，以及建设单位按规定应交回的基本建设竣工项目结余资金。</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9、</w:t>
      </w:r>
      <w:r>
        <w:rPr>
          <w:rFonts w:hint="eastAsia" w:eastAsia="仿宋_GB2312"/>
          <w:kern w:val="0"/>
          <w:sz w:val="30"/>
          <w:szCs w:val="30"/>
        </w:rPr>
        <w:t>年末结转和结余</w:t>
      </w:r>
      <w:r>
        <w:rPr>
          <w:rFonts w:eastAsia="仿宋_GB2312"/>
          <w:kern w:val="0"/>
          <w:sz w:val="30"/>
          <w:szCs w:val="30"/>
        </w:rPr>
        <w:t xml:space="preserve">: </w:t>
      </w:r>
      <w:r>
        <w:rPr>
          <w:rFonts w:hint="eastAsia" w:eastAsia="仿宋_GB2312"/>
          <w:kern w:val="0"/>
          <w:sz w:val="30"/>
          <w:szCs w:val="30"/>
        </w:rPr>
        <w:t>指本年度或以前年度预算安排、因客观条件发生变化无法按原计划实施，需要延迟到以后年度按有关规定继续使用的资金。</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10、</w:t>
      </w:r>
      <w:r>
        <w:rPr>
          <w:rFonts w:hint="eastAsia" w:eastAsia="仿宋_GB2312"/>
          <w:kern w:val="0"/>
          <w:sz w:val="30"/>
          <w:szCs w:val="30"/>
        </w:rPr>
        <w:t>基本支出</w:t>
      </w:r>
      <w:r>
        <w:rPr>
          <w:rFonts w:eastAsia="仿宋_GB2312"/>
          <w:kern w:val="0"/>
          <w:sz w:val="30"/>
          <w:szCs w:val="30"/>
        </w:rPr>
        <w:t xml:space="preserve">: </w:t>
      </w:r>
      <w:r>
        <w:rPr>
          <w:rFonts w:hint="eastAsia" w:eastAsia="仿宋_GB2312"/>
          <w:kern w:val="0"/>
          <w:sz w:val="30"/>
          <w:szCs w:val="30"/>
        </w:rPr>
        <w:t>指为保障机构正常运转、完成日常工作任务而发生的人员支出和公用支出。</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11、</w:t>
      </w:r>
      <w:r>
        <w:rPr>
          <w:rFonts w:hint="eastAsia" w:eastAsia="仿宋_GB2312"/>
          <w:kern w:val="0"/>
          <w:sz w:val="30"/>
          <w:szCs w:val="30"/>
        </w:rPr>
        <w:t>项目支出</w:t>
      </w:r>
      <w:r>
        <w:rPr>
          <w:rFonts w:eastAsia="仿宋_GB2312"/>
          <w:kern w:val="0"/>
          <w:sz w:val="30"/>
          <w:szCs w:val="30"/>
        </w:rPr>
        <w:t xml:space="preserve">: </w:t>
      </w:r>
      <w:r>
        <w:rPr>
          <w:rFonts w:hint="eastAsia" w:eastAsia="仿宋_GB2312"/>
          <w:kern w:val="0"/>
          <w:sz w:val="30"/>
          <w:szCs w:val="30"/>
        </w:rPr>
        <w:t>指在基本支出之外为完成特定行政任务和事业发展目标所发生的支出。</w:t>
      </w:r>
    </w:p>
    <w:p>
      <w:pPr>
        <w:widowControl/>
        <w:ind w:firstLine="600" w:firstLineChars="200"/>
        <w:jc w:val="left"/>
        <w:rPr>
          <w:rFonts w:hint="eastAsia" w:eastAsia="仿宋_GB2312"/>
          <w:kern w:val="0"/>
          <w:sz w:val="30"/>
          <w:szCs w:val="30"/>
        </w:rPr>
      </w:pPr>
      <w:r>
        <w:rPr>
          <w:rFonts w:hint="eastAsia" w:eastAsia="仿宋_GB2312"/>
          <w:kern w:val="0"/>
          <w:sz w:val="30"/>
          <w:szCs w:val="30"/>
          <w:lang w:val="en-US" w:eastAsia="zh-CN"/>
        </w:rPr>
        <w:t>12、</w:t>
      </w:r>
      <w:r>
        <w:rPr>
          <w:rFonts w:eastAsia="仿宋_GB2312"/>
          <w:kern w:val="0"/>
          <w:sz w:val="30"/>
          <w:szCs w:val="30"/>
        </w:rPr>
        <w:t>"</w:t>
      </w:r>
      <w:r>
        <w:rPr>
          <w:rFonts w:hint="eastAsia" w:eastAsia="仿宋_GB2312"/>
          <w:kern w:val="0"/>
          <w:sz w:val="30"/>
          <w:szCs w:val="30"/>
        </w:rPr>
        <w:t>三公</w:t>
      </w:r>
      <w:r>
        <w:rPr>
          <w:rFonts w:eastAsia="仿宋_GB2312"/>
          <w:kern w:val="0"/>
          <w:sz w:val="30"/>
          <w:szCs w:val="30"/>
        </w:rPr>
        <w:t>"</w:t>
      </w:r>
      <w:r>
        <w:rPr>
          <w:rFonts w:hint="eastAsia" w:eastAsia="仿宋_GB2312"/>
          <w:kern w:val="0"/>
          <w:sz w:val="30"/>
          <w:szCs w:val="30"/>
        </w:rPr>
        <w:t>经费</w:t>
      </w:r>
      <w:r>
        <w:rPr>
          <w:rFonts w:eastAsia="仿宋_GB2312"/>
          <w:kern w:val="0"/>
          <w:sz w:val="30"/>
          <w:szCs w:val="30"/>
        </w:rPr>
        <w:t xml:space="preserve">: </w:t>
      </w:r>
      <w:r>
        <w:rPr>
          <w:rFonts w:hint="eastAsia" w:eastAsia="仿宋_GB2312"/>
          <w:kern w:val="0"/>
          <w:sz w:val="30"/>
          <w:szCs w:val="30"/>
        </w:rPr>
        <w:t>指纳入本级财政预决算管理的</w:t>
      </w:r>
      <w:r>
        <w:rPr>
          <w:rFonts w:eastAsia="仿宋_GB2312"/>
          <w:kern w:val="0"/>
          <w:sz w:val="30"/>
          <w:szCs w:val="30"/>
        </w:rPr>
        <w:t>"</w:t>
      </w:r>
      <w:r>
        <w:rPr>
          <w:rFonts w:hint="eastAsia" w:eastAsia="仿宋_GB2312"/>
          <w:kern w:val="0"/>
          <w:sz w:val="30"/>
          <w:szCs w:val="30"/>
        </w:rPr>
        <w:t>三公</w:t>
      </w:r>
      <w:r>
        <w:rPr>
          <w:rFonts w:eastAsia="仿宋_GB2312"/>
          <w:kern w:val="0"/>
          <w:sz w:val="30"/>
          <w:szCs w:val="30"/>
        </w:rPr>
        <w:t>"</w:t>
      </w:r>
      <w:r>
        <w:rPr>
          <w:rFonts w:hint="eastAsia" w:eastAsia="仿宋_GB2312"/>
          <w:kern w:val="0"/>
          <w:sz w:val="30"/>
          <w:szCs w:val="30"/>
        </w:rPr>
        <w:t>经费，是指本级部门用财政拨款安排的因公出国</w:t>
      </w:r>
      <w:r>
        <w:rPr>
          <w:rFonts w:eastAsia="仿宋_GB2312"/>
          <w:kern w:val="0"/>
          <w:sz w:val="30"/>
          <w:szCs w:val="30"/>
        </w:rPr>
        <w:t>(</w:t>
      </w:r>
      <w:r>
        <w:rPr>
          <w:rFonts w:hint="eastAsia" w:eastAsia="仿宋_GB2312"/>
          <w:kern w:val="0"/>
          <w:sz w:val="30"/>
          <w:szCs w:val="30"/>
        </w:rPr>
        <w:t>境</w:t>
      </w:r>
      <w:r>
        <w:rPr>
          <w:rFonts w:eastAsia="仿宋_GB2312"/>
          <w:kern w:val="0"/>
          <w:sz w:val="30"/>
          <w:szCs w:val="30"/>
        </w:rPr>
        <w:t>)</w:t>
      </w:r>
      <w:r>
        <w:rPr>
          <w:rFonts w:hint="eastAsia" w:eastAsia="仿宋_GB2312"/>
          <w:kern w:val="0"/>
          <w:sz w:val="30"/>
          <w:szCs w:val="30"/>
        </w:rPr>
        <w:t>费、公务用车购置及运行费和公务接待费。其中，因公出国</w:t>
      </w:r>
      <w:r>
        <w:rPr>
          <w:rFonts w:eastAsia="仿宋_GB2312"/>
          <w:kern w:val="0"/>
          <w:sz w:val="30"/>
          <w:szCs w:val="30"/>
        </w:rPr>
        <w:t>(</w:t>
      </w:r>
      <w:r>
        <w:rPr>
          <w:rFonts w:hint="eastAsia" w:eastAsia="仿宋_GB2312"/>
          <w:kern w:val="0"/>
          <w:sz w:val="30"/>
          <w:szCs w:val="30"/>
        </w:rPr>
        <w:t>境</w:t>
      </w:r>
      <w:r>
        <w:rPr>
          <w:rFonts w:eastAsia="仿宋_GB2312"/>
          <w:kern w:val="0"/>
          <w:sz w:val="30"/>
          <w:szCs w:val="30"/>
        </w:rPr>
        <w:t>)</w:t>
      </w:r>
      <w:r>
        <w:rPr>
          <w:rFonts w:hint="eastAsia" w:eastAsia="仿宋_GB2312"/>
          <w:kern w:val="0"/>
          <w:sz w:val="30"/>
          <w:szCs w:val="30"/>
        </w:rPr>
        <w:t>费反映单位公务出国</w:t>
      </w:r>
      <w:r>
        <w:rPr>
          <w:rFonts w:eastAsia="仿宋_GB2312"/>
          <w:kern w:val="0"/>
          <w:sz w:val="30"/>
          <w:szCs w:val="30"/>
        </w:rPr>
        <w:t>(</w:t>
      </w:r>
      <w:r>
        <w:rPr>
          <w:rFonts w:hint="eastAsia" w:eastAsia="仿宋_GB2312"/>
          <w:kern w:val="0"/>
          <w:sz w:val="30"/>
          <w:szCs w:val="30"/>
        </w:rPr>
        <w:t>境</w:t>
      </w:r>
      <w:r>
        <w:rPr>
          <w:rFonts w:eastAsia="仿宋_GB2312"/>
          <w:kern w:val="0"/>
          <w:sz w:val="30"/>
          <w:szCs w:val="30"/>
        </w:rPr>
        <w:t>)</w:t>
      </w:r>
      <w:r>
        <w:rPr>
          <w:rFonts w:hint="eastAsia" w:eastAsia="仿宋_GB2312"/>
          <w:kern w:val="0"/>
          <w:sz w:val="30"/>
          <w:szCs w:val="30"/>
        </w:rPr>
        <w:t>的国际旅费、国外城市间交通费、住宿费、伙食费、培训费、公杂费等支出</w:t>
      </w:r>
      <w:r>
        <w:rPr>
          <w:rFonts w:eastAsia="仿宋_GB2312"/>
          <w:kern w:val="0"/>
          <w:sz w:val="30"/>
          <w:szCs w:val="30"/>
        </w:rPr>
        <w:t>;</w:t>
      </w:r>
      <w:r>
        <w:rPr>
          <w:rFonts w:hint="eastAsia" w:eastAsia="仿宋_GB2312"/>
          <w:kern w:val="0"/>
          <w:sz w:val="30"/>
          <w:szCs w:val="30"/>
        </w:rPr>
        <w:t>公务用车购置及运行费反映单位公务用车车辆购置支出</w:t>
      </w:r>
      <w:r>
        <w:rPr>
          <w:rFonts w:eastAsia="仿宋_GB2312"/>
          <w:kern w:val="0"/>
          <w:sz w:val="30"/>
          <w:szCs w:val="30"/>
        </w:rPr>
        <w:t>(</w:t>
      </w:r>
      <w:r>
        <w:rPr>
          <w:rFonts w:hint="eastAsia" w:eastAsia="仿宋_GB2312"/>
          <w:kern w:val="0"/>
          <w:sz w:val="30"/>
          <w:szCs w:val="30"/>
        </w:rPr>
        <w:t>含车辆购置税</w:t>
      </w:r>
      <w:r>
        <w:rPr>
          <w:rFonts w:eastAsia="仿宋_GB2312"/>
          <w:kern w:val="0"/>
          <w:sz w:val="30"/>
          <w:szCs w:val="30"/>
        </w:rPr>
        <w:t>)</w:t>
      </w:r>
      <w:r>
        <w:rPr>
          <w:rFonts w:hint="eastAsia" w:eastAsia="仿宋_GB2312"/>
          <w:kern w:val="0"/>
          <w:sz w:val="30"/>
          <w:szCs w:val="30"/>
        </w:rPr>
        <w:t>及租用费、燃料费、维修费、过路过桥费、保险费、安全奖励费用等支出</w:t>
      </w:r>
      <w:r>
        <w:rPr>
          <w:rFonts w:eastAsia="仿宋_GB2312"/>
          <w:kern w:val="0"/>
          <w:sz w:val="30"/>
          <w:szCs w:val="30"/>
        </w:rPr>
        <w:t>;</w:t>
      </w:r>
      <w:r>
        <w:rPr>
          <w:rFonts w:hint="eastAsia" w:eastAsia="仿宋_GB2312"/>
          <w:kern w:val="0"/>
          <w:sz w:val="30"/>
          <w:szCs w:val="30"/>
        </w:rPr>
        <w:t>公务接待费反映单位按规定开支的各类公务接待</w:t>
      </w:r>
      <w:r>
        <w:rPr>
          <w:rFonts w:eastAsia="仿宋_GB2312"/>
          <w:kern w:val="0"/>
          <w:sz w:val="30"/>
          <w:szCs w:val="30"/>
        </w:rPr>
        <w:t>(</w:t>
      </w:r>
      <w:r>
        <w:rPr>
          <w:rFonts w:hint="eastAsia" w:eastAsia="仿宋_GB2312"/>
          <w:kern w:val="0"/>
          <w:sz w:val="30"/>
          <w:szCs w:val="30"/>
        </w:rPr>
        <w:t>含外宾接待</w:t>
      </w:r>
      <w:r>
        <w:rPr>
          <w:rFonts w:eastAsia="仿宋_GB2312"/>
          <w:kern w:val="0"/>
          <w:sz w:val="30"/>
          <w:szCs w:val="30"/>
        </w:rPr>
        <w:t>)</w:t>
      </w:r>
      <w:r>
        <w:rPr>
          <w:rFonts w:hint="eastAsia" w:eastAsia="仿宋_GB2312"/>
          <w:kern w:val="0"/>
          <w:sz w:val="30"/>
          <w:szCs w:val="30"/>
        </w:rPr>
        <w:t>支出。</w:t>
      </w:r>
    </w:p>
    <w:p>
      <w:pPr>
        <w:widowControl/>
        <w:ind w:firstLine="600" w:firstLineChars="200"/>
        <w:jc w:val="left"/>
        <w:rPr>
          <w:rFonts w:hint="eastAsia" w:eastAsia="仿宋_GB2312"/>
          <w:kern w:val="0"/>
          <w:sz w:val="30"/>
          <w:szCs w:val="30"/>
        </w:rPr>
      </w:pPr>
      <w:r>
        <w:rPr>
          <w:rFonts w:ascii="楷体_GB2312" w:eastAsia="楷体_GB2312"/>
          <w:kern w:val="0"/>
          <w:sz w:val="30"/>
          <w:szCs w:val="30"/>
        </w:rPr>
        <w:t>（二）机关运行经费安排</w:t>
      </w:r>
    </w:p>
    <w:p>
      <w:pPr>
        <w:widowControl/>
        <w:jc w:val="left"/>
        <w:rPr>
          <w:rFonts w:hint="eastAsia" w:eastAsia="仿宋_GB2312"/>
          <w:kern w:val="0"/>
          <w:sz w:val="30"/>
          <w:szCs w:val="30"/>
          <w:lang w:val="en-US" w:eastAsia="zh-CN"/>
        </w:rPr>
      </w:pPr>
      <w:r>
        <w:rPr>
          <w:rFonts w:hint="eastAsia" w:eastAsia="仿宋_GB2312"/>
          <w:kern w:val="0"/>
          <w:sz w:val="30"/>
          <w:szCs w:val="30"/>
          <w:lang w:val="en-US" w:eastAsia="zh-CN"/>
        </w:rPr>
        <w:t xml:space="preserve">    机关运行经费321.44万元，其中离退休公用经费2.08万元，办公费60万元，水费0.5万元，电费0.5万元，邮电费10万元，差旅费26万元，公务接待费3万元，公车运行维护费5万元，工会经费18.36万元，其他商品和服务支出71万元，维护费20万元，培训费5万元，劳务费35万元，委托业务费20万元，其他社会保障缴费20万元，其他对个人和家庭补助5万元，办公设备购置20万元。2019年机关运行维护费较2018年增加165.48万元，原因为2019年外业项目增多，出差次数增加，委托业务费增大；其次人员数量增加，加大了办公费、办公设备购置等的支出，因此2019年加大了办公费、工会经费、委托业务费、其他社会保障缴费、办公设备购置费、其他商品和服务费的支出，但同时减少了培训费的支出。</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（三）国有资产占用情况</w:t>
      </w:r>
    </w:p>
    <w:p>
      <w:pPr>
        <w:widowControl/>
        <w:ind w:firstLine="600" w:firstLineChars="200"/>
        <w:jc w:val="left"/>
        <w:rPr>
          <w:rFonts w:hint="eastAsia" w:eastAsia="仿宋_GB2312"/>
          <w:kern w:val="0"/>
          <w:sz w:val="30"/>
          <w:szCs w:val="30"/>
        </w:rPr>
      </w:pPr>
      <w:r>
        <w:rPr>
          <w:rFonts w:hint="eastAsia" w:eastAsia="仿宋_GB2312"/>
          <w:kern w:val="0"/>
          <w:sz w:val="30"/>
          <w:szCs w:val="30"/>
        </w:rPr>
        <w:t>鉴于</w:t>
      </w:r>
      <w:bookmarkStart w:id="4" w:name="_GoBack"/>
      <w:bookmarkEnd w:id="4"/>
      <w:r>
        <w:rPr>
          <w:rFonts w:hint="eastAsia" w:eastAsia="仿宋_GB2312"/>
          <w:kern w:val="0"/>
          <w:sz w:val="30"/>
          <w:szCs w:val="30"/>
        </w:rPr>
        <w:t>截至</w:t>
      </w:r>
      <w:r>
        <w:rPr>
          <w:rFonts w:hint="eastAsia" w:eastAsia="仿宋_GB2312"/>
          <w:kern w:val="0"/>
          <w:sz w:val="30"/>
          <w:szCs w:val="30"/>
          <w:lang w:val="en-US" w:eastAsia="zh-CN"/>
        </w:rPr>
        <w:t>2018</w:t>
      </w:r>
      <w:r>
        <w:rPr>
          <w:rFonts w:hint="eastAsia" w:eastAsia="仿宋_GB2312"/>
          <w:kern w:val="0"/>
          <w:sz w:val="30"/>
          <w:szCs w:val="30"/>
        </w:rPr>
        <w:t>年12月31日的国有资产占有使用情况需在完成</w:t>
      </w:r>
      <w:r>
        <w:rPr>
          <w:rFonts w:hint="eastAsia" w:eastAsia="仿宋_GB2312"/>
          <w:kern w:val="0"/>
          <w:sz w:val="30"/>
          <w:szCs w:val="30"/>
          <w:lang w:val="en-US" w:eastAsia="zh-CN"/>
        </w:rPr>
        <w:t>2018</w:t>
      </w:r>
      <w:r>
        <w:rPr>
          <w:rFonts w:hint="eastAsia" w:eastAsia="仿宋_GB2312"/>
          <w:kern w:val="0"/>
          <w:sz w:val="30"/>
          <w:szCs w:val="30"/>
        </w:rPr>
        <w:t>年决算编制后才能统计汇总相关数据，因此，将在公开</w:t>
      </w:r>
      <w:r>
        <w:rPr>
          <w:rFonts w:hint="eastAsia" w:eastAsia="仿宋_GB2312"/>
          <w:kern w:val="0"/>
          <w:sz w:val="30"/>
          <w:szCs w:val="30"/>
          <w:lang w:val="en-US" w:eastAsia="zh-CN"/>
        </w:rPr>
        <w:t>2018</w:t>
      </w:r>
      <w:r>
        <w:rPr>
          <w:rFonts w:hint="eastAsia" w:eastAsia="仿宋_GB2312"/>
          <w:kern w:val="0"/>
          <w:sz w:val="30"/>
          <w:szCs w:val="30"/>
        </w:rPr>
        <w:t>年度部门决算时一并公开部门截至</w:t>
      </w:r>
      <w:r>
        <w:rPr>
          <w:rFonts w:hint="eastAsia" w:eastAsia="仿宋_GB2312"/>
          <w:kern w:val="0"/>
          <w:sz w:val="30"/>
          <w:szCs w:val="30"/>
          <w:lang w:val="en-US" w:eastAsia="zh-CN"/>
        </w:rPr>
        <w:t>2018</w:t>
      </w:r>
      <w:r>
        <w:rPr>
          <w:rFonts w:hint="eastAsia" w:eastAsia="仿宋_GB2312"/>
          <w:kern w:val="0"/>
          <w:sz w:val="30"/>
          <w:szCs w:val="30"/>
        </w:rPr>
        <w:t>年12月31日的国有资产占有使用情况。</w:t>
      </w:r>
    </w:p>
    <w:p>
      <w:pPr>
        <w:widowControl/>
        <w:numPr>
          <w:ilvl w:val="0"/>
          <w:numId w:val="0"/>
        </w:numPr>
        <w:ind w:firstLine="600" w:firstLineChars="200"/>
        <w:jc w:val="left"/>
        <w:rPr>
          <w:rFonts w:ascii="楷体_GB2312" w:eastAsia="楷体_GB2312"/>
          <w:kern w:val="0"/>
          <w:sz w:val="30"/>
          <w:szCs w:val="30"/>
        </w:rPr>
      </w:pPr>
      <w:r>
        <w:rPr>
          <w:rFonts w:hint="eastAsia" w:ascii="楷体_GB2312" w:eastAsia="楷体_GB2312"/>
          <w:kern w:val="0"/>
          <w:sz w:val="30"/>
          <w:szCs w:val="30"/>
          <w:lang w:val="en-US" w:eastAsia="zh-CN"/>
        </w:rPr>
        <w:t>(四)</w:t>
      </w:r>
      <w:r>
        <w:rPr>
          <w:rFonts w:hint="eastAsia" w:ascii="楷体_GB2312" w:eastAsia="楷体_GB2312"/>
          <w:kern w:val="0"/>
          <w:sz w:val="30"/>
          <w:szCs w:val="30"/>
          <w:lang w:eastAsia="zh-CN"/>
        </w:rPr>
        <w:t>本部门预算绩效情况说明</w:t>
      </w:r>
    </w:p>
    <w:p>
      <w:pPr>
        <w:widowControl/>
        <w:numPr>
          <w:ilvl w:val="0"/>
          <w:numId w:val="0"/>
        </w:numPr>
        <w:ind w:firstLine="600"/>
        <w:jc w:val="left"/>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rPr>
        <w:t>加快推进基础业务工作。深化农村集体土地使用制度改革，加快完成农村集体土地所有权、建设用地使用权和宅基地使用权确权登记发证工作任务，尽快申请州级验收。推进不动产统一登记工作，尽快完成土地、房产、林权、土地承包经营权的资料移交和数据整合工作。积极探索土地、房产、林权、土地承包经营权“四权合一”的不动产登记发证试点工作</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不断强化执法监察工作。认真完成每年的土地矿产卫片执法监督检查工作任务。严肃查处国土资源违法违规行为，对违法占用破坏耕地（特别是基本农田）、违法批地批矿、侵害农民权益等违法行为，加大查办力度，坚决遏制违法违规反弹势头，实现违法违规用地明显减少，国土资源市场秩序根本好转</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加强依法行政和干部队伍建设。全面推进依法行政，加强法制国土建设，深入开展国土资源系统依法行政和“七五”普法规划，做好规划期间的各项普法工作。继续加强普法宣传教育和干部队伍建设。加强干部培训教育管理，加大政策理论、法律法规和业务知识的培训学习，着力提高干部综合能力素质</w:t>
      </w:r>
      <w:r>
        <w:rPr>
          <w:rFonts w:hint="eastAsia" w:ascii="仿宋" w:hAnsi="仿宋" w:eastAsia="仿宋" w:cs="仿宋"/>
          <w:b w:val="0"/>
          <w:bCs w:val="0"/>
          <w:sz w:val="30"/>
          <w:szCs w:val="30"/>
          <w:lang w:eastAsia="zh-CN"/>
        </w:rPr>
        <w:t>。</w:t>
      </w:r>
    </w:p>
    <w:p>
      <w:pPr>
        <w:widowControl/>
        <w:numPr>
          <w:ilvl w:val="0"/>
          <w:numId w:val="0"/>
        </w:numPr>
        <w:jc w:val="left"/>
        <w:rPr>
          <w:rFonts w:hint="eastAsia" w:ascii="仿宋" w:hAnsi="仿宋" w:eastAsia="仿宋" w:cs="仿宋"/>
          <w:b w:val="0"/>
          <w:bCs w:val="0"/>
          <w:sz w:val="30"/>
          <w:szCs w:val="30"/>
          <w:lang w:val="en-US" w:eastAsia="zh-CN"/>
        </w:rPr>
      </w:pPr>
    </w:p>
    <w:p>
      <w:pPr>
        <w:widowControl/>
        <w:numPr>
          <w:ilvl w:val="0"/>
          <w:numId w:val="0"/>
        </w:numPr>
        <w:jc w:val="left"/>
        <w:rPr>
          <w:rFonts w:hint="eastAsia" w:ascii="仿宋" w:hAnsi="仿宋" w:eastAsia="仿宋" w:cs="仿宋"/>
          <w:b w:val="0"/>
          <w:bCs w:val="0"/>
          <w:sz w:val="30"/>
          <w:szCs w:val="30"/>
          <w:lang w:val="en-US" w:eastAsia="zh-CN"/>
        </w:rPr>
      </w:pPr>
    </w:p>
    <w:p>
      <w:pPr>
        <w:widowControl/>
        <w:numPr>
          <w:ilvl w:val="0"/>
          <w:numId w:val="0"/>
        </w:numPr>
        <w:jc w:val="left"/>
        <w:rPr>
          <w:rFonts w:hint="eastAsia" w:ascii="仿宋" w:hAnsi="仿宋" w:eastAsia="仿宋" w:cs="仿宋"/>
          <w:b w:val="0"/>
          <w:bCs w:val="0"/>
          <w:sz w:val="30"/>
          <w:szCs w:val="30"/>
          <w:lang w:val="en-US" w:eastAsia="zh-CN"/>
        </w:rPr>
      </w:pPr>
    </w:p>
    <w:p>
      <w:pPr>
        <w:widowControl/>
        <w:numPr>
          <w:ilvl w:val="0"/>
          <w:numId w:val="0"/>
        </w:numPr>
        <w:jc w:val="left"/>
        <w:rPr>
          <w:rFonts w:hint="eastAsia" w:ascii="仿宋" w:hAnsi="仿宋" w:eastAsia="仿宋" w:cs="仿宋"/>
          <w:b w:val="0"/>
          <w:bCs w:val="0"/>
          <w:sz w:val="30"/>
          <w:szCs w:val="30"/>
          <w:lang w:val="en-US" w:eastAsia="zh-CN"/>
        </w:rPr>
      </w:pPr>
    </w:p>
    <w:p>
      <w:pPr>
        <w:widowControl/>
        <w:numPr>
          <w:ilvl w:val="0"/>
          <w:numId w:val="0"/>
        </w:numPr>
        <w:jc w:val="left"/>
        <w:rPr>
          <w:rFonts w:hint="eastAsia" w:ascii="仿宋" w:hAnsi="仿宋" w:eastAsia="仿宋" w:cs="仿宋"/>
          <w:b w:val="0"/>
          <w:bCs w:val="0"/>
          <w:sz w:val="30"/>
          <w:szCs w:val="30"/>
          <w:lang w:val="en-US" w:eastAsia="zh-CN"/>
        </w:rPr>
      </w:pPr>
    </w:p>
    <w:p>
      <w:pPr>
        <w:widowControl/>
        <w:numPr>
          <w:ilvl w:val="0"/>
          <w:numId w:val="0"/>
        </w:numPr>
        <w:jc w:val="left"/>
        <w:rPr>
          <w:rFonts w:hint="eastAsia" w:ascii="仿宋" w:hAnsi="仿宋" w:eastAsia="仿宋" w:cs="仿宋"/>
          <w:b w:val="0"/>
          <w:bCs w:val="0"/>
          <w:sz w:val="30"/>
          <w:szCs w:val="30"/>
          <w:lang w:val="en-US" w:eastAsia="zh-CN"/>
        </w:rPr>
      </w:pPr>
    </w:p>
    <w:p>
      <w:pPr>
        <w:widowControl/>
        <w:numPr>
          <w:ilvl w:val="0"/>
          <w:numId w:val="0"/>
        </w:numPr>
        <w:jc w:val="left"/>
        <w:rPr>
          <w:rFonts w:hint="eastAsia" w:ascii="仿宋" w:hAnsi="仿宋" w:eastAsia="仿宋" w:cs="仿宋"/>
          <w:b w:val="0"/>
          <w:bCs w:val="0"/>
          <w:sz w:val="30"/>
          <w:szCs w:val="30"/>
          <w:lang w:val="en-US" w:eastAsia="zh-CN"/>
        </w:rPr>
      </w:pPr>
    </w:p>
    <w:p>
      <w:pPr>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第二部分 芒市</w:t>
      </w:r>
      <w:r>
        <w:rPr>
          <w:rFonts w:hint="eastAsia" w:eastAsia="黑体" w:cs="Times New Roman"/>
          <w:sz w:val="30"/>
          <w:szCs w:val="30"/>
          <w:lang w:eastAsia="zh-CN"/>
        </w:rPr>
        <w:t>国土资源</w:t>
      </w:r>
      <w:r>
        <w:rPr>
          <w:rFonts w:hint="default" w:ascii="Times New Roman" w:hAnsi="Times New Roman" w:eastAsia="黑体" w:cs="Times New Roman"/>
          <w:sz w:val="30"/>
          <w:szCs w:val="30"/>
        </w:rPr>
        <w:t>局2019年部门预算表</w:t>
      </w:r>
    </w:p>
    <w:p>
      <w:pPr>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一、部门财务收支总体情况表</w:t>
      </w:r>
    </w:p>
    <w:p>
      <w:pPr>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二、部门收入总体情况表</w:t>
      </w:r>
    </w:p>
    <w:p>
      <w:pPr>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三、部门支出总体情况表</w:t>
      </w:r>
    </w:p>
    <w:p>
      <w:pPr>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四、部门财政拨款收支总体情况表</w:t>
      </w:r>
    </w:p>
    <w:p>
      <w:pPr>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五、部门一般公共预算本级财力安排支出情况表</w:t>
      </w:r>
    </w:p>
    <w:p>
      <w:pPr>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六、部门基本支出情况表</w:t>
      </w:r>
    </w:p>
    <w:p>
      <w:pPr>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七、部门政府性基金预算支出情况表</w:t>
      </w:r>
    </w:p>
    <w:p>
      <w:pPr>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八、财政拨款支出明细表（按经济科目分类）</w:t>
      </w:r>
    </w:p>
    <w:p>
      <w:pPr>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九、部门一般公共预算“三公”经费支出情况表</w:t>
      </w:r>
    </w:p>
    <w:p>
      <w:pPr>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十、</w:t>
      </w:r>
      <w:r>
        <w:rPr>
          <w:rFonts w:hint="default" w:ascii="Times New Roman" w:hAnsi="Times New Roman" w:eastAsia="仿宋_GB2312" w:cs="Times New Roman"/>
          <w:sz w:val="30"/>
          <w:szCs w:val="30"/>
          <w:lang w:eastAsia="zh-CN"/>
        </w:rPr>
        <w:t>县</w:t>
      </w:r>
      <w:r>
        <w:rPr>
          <w:rFonts w:hint="default" w:ascii="Times New Roman" w:hAnsi="Times New Roman" w:eastAsia="仿宋_GB2312" w:cs="Times New Roman"/>
          <w:sz w:val="30"/>
          <w:szCs w:val="30"/>
        </w:rPr>
        <w:t>本级项目支出绩效目标表（本次下达）</w:t>
      </w:r>
    </w:p>
    <w:p>
      <w:pPr>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十一、</w:t>
      </w:r>
      <w:r>
        <w:rPr>
          <w:rFonts w:hint="default" w:ascii="Times New Roman" w:hAnsi="Times New Roman" w:eastAsia="仿宋_GB2312" w:cs="Times New Roman"/>
          <w:sz w:val="30"/>
          <w:szCs w:val="30"/>
          <w:lang w:eastAsia="zh-CN"/>
        </w:rPr>
        <w:t>县</w:t>
      </w:r>
      <w:r>
        <w:rPr>
          <w:rFonts w:hint="default" w:ascii="Times New Roman" w:hAnsi="Times New Roman" w:eastAsia="仿宋_GB2312" w:cs="Times New Roman"/>
          <w:sz w:val="30"/>
          <w:szCs w:val="30"/>
        </w:rPr>
        <w:t>本级项目支出绩效目标表（另文下达）</w:t>
      </w:r>
    </w:p>
    <w:p>
      <w:pPr>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十二、对下转移支付绩效目标表</w:t>
      </w:r>
    </w:p>
    <w:p>
      <w:pPr>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十三、部门政府采购情况表</w:t>
      </w:r>
    </w:p>
    <w:p>
      <w:pPr>
        <w:jc w:val="left"/>
        <w:rPr>
          <w:rFonts w:hint="default"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lang w:eastAsia="zh-CN"/>
        </w:rPr>
        <w:t>十四、行政事业单位国有资产占有使用情况表</w:t>
      </w:r>
    </w:p>
    <w:p>
      <w:pPr>
        <w:widowControl/>
        <w:numPr>
          <w:ilvl w:val="0"/>
          <w:numId w:val="0"/>
        </w:numPr>
        <w:jc w:val="left"/>
        <w:rPr>
          <w:rFonts w:hint="eastAsia" w:ascii="仿宋" w:hAnsi="仿宋" w:eastAsia="仿宋" w:cs="仿宋"/>
          <w:b w:val="0"/>
          <w:bCs w:val="0"/>
          <w:sz w:val="30"/>
          <w:szCs w:val="30"/>
          <w:lang w:val="en-US" w:eastAsia="zh-CN"/>
        </w:rPr>
      </w:pP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kern w:val="0"/>
          <w:sz w:val="24"/>
          <w:szCs w:val="24"/>
          <w:lang w:val="en-US" w:eastAsia="zh-CN" w:bidi="ar"/>
        </w:rPr>
        <w:t>监督索引号</w:t>
      </w:r>
      <w:r>
        <w:rPr>
          <w:rFonts w:hint="default" w:ascii="Arial" w:hAnsi="Arial" w:eastAsia="微软雅黑" w:cs="Arial"/>
          <w:b/>
          <w:i w:val="0"/>
          <w:caps w:val="0"/>
          <w:color w:val="333333"/>
          <w:spacing w:val="0"/>
          <w:kern w:val="0"/>
          <w:sz w:val="36"/>
          <w:szCs w:val="36"/>
          <w:lang w:val="en-US" w:eastAsia="zh-CN" w:bidi="ar"/>
        </w:rPr>
        <w:t>53310300432400111</w:t>
      </w:r>
    </w:p>
    <w:p>
      <w:pPr>
        <w:widowControl/>
        <w:jc w:val="left"/>
        <w:rPr>
          <w:rFonts w:hint="eastAsia" w:eastAsia="仿宋_GB2312"/>
          <w:b w:val="0"/>
          <w:bCs w:val="0"/>
          <w:kern w:val="0"/>
          <w:sz w:val="30"/>
          <w:szCs w:val="30"/>
        </w:rPr>
      </w:pP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楷体_GB2312"/>
    <w:panose1 w:val="02010600040101010101"/>
    <w:charset w:val="86"/>
    <w:family w:val="auto"/>
    <w:pitch w:val="default"/>
    <w:sig w:usb0="00000000" w:usb1="00000000" w:usb2="00000000" w:usb3="00000000" w:csb0="0004009F" w:csb1="DFD70000"/>
  </w:font>
  <w:font w:name="LF_Kai">
    <w:altName w:val="宋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638B37"/>
    <w:multiLevelType w:val="singleLevel"/>
    <w:tmpl w:val="5C638B37"/>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1BB6C7A"/>
    <w:rsid w:val="04784CDF"/>
    <w:rsid w:val="0ACC16BD"/>
    <w:rsid w:val="10A96832"/>
    <w:rsid w:val="158473A5"/>
    <w:rsid w:val="171622C5"/>
    <w:rsid w:val="172E7E2C"/>
    <w:rsid w:val="176C61FD"/>
    <w:rsid w:val="1A4F5FFD"/>
    <w:rsid w:val="1AF17123"/>
    <w:rsid w:val="1AF766CF"/>
    <w:rsid w:val="1D8E6EE0"/>
    <w:rsid w:val="1DB3742C"/>
    <w:rsid w:val="20E35030"/>
    <w:rsid w:val="213D137C"/>
    <w:rsid w:val="24E8401C"/>
    <w:rsid w:val="27253D06"/>
    <w:rsid w:val="27722720"/>
    <w:rsid w:val="3348778D"/>
    <w:rsid w:val="37D0715B"/>
    <w:rsid w:val="3B0B614A"/>
    <w:rsid w:val="3C53236B"/>
    <w:rsid w:val="402E6B3D"/>
    <w:rsid w:val="446A6879"/>
    <w:rsid w:val="46A93CDB"/>
    <w:rsid w:val="48DE3D5A"/>
    <w:rsid w:val="51FA035C"/>
    <w:rsid w:val="60A55E29"/>
    <w:rsid w:val="61A34B8F"/>
    <w:rsid w:val="6EE35624"/>
    <w:rsid w:val="72A91A7F"/>
    <w:rsid w:val="73CB6FD7"/>
    <w:rsid w:val="743D3327"/>
    <w:rsid w:val="7A6C4CF4"/>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ody Text"/>
    <w:basedOn w:val="1"/>
    <w:unhideWhenUsed/>
    <w:qFormat/>
    <w:uiPriority w:val="0"/>
    <w:pPr>
      <w:widowControl/>
      <w:adjustRightInd w:val="0"/>
      <w:snapToGrid w:val="0"/>
      <w:spacing w:before="150" w:after="150" w:line="264" w:lineRule="auto"/>
      <w:ind w:firstLine="567"/>
    </w:pPr>
    <w:rPr>
      <w:rFonts w:ascii="华文楷体" w:hAnsi="华文楷体" w:eastAsia="LF_Kai"/>
      <w:kern w:val="0"/>
      <w:sz w:val="24"/>
      <w:szCs w:val="20"/>
      <w:lang w:val="en-GB"/>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semiHidden/>
    <w:qFormat/>
    <w:uiPriority w:val="0"/>
    <w:rPr>
      <w:b/>
      <w:bCs/>
    </w:rPr>
  </w:style>
  <w:style w:type="character" w:styleId="10">
    <w:name w:val="annotation reference"/>
    <w:semiHidden/>
    <w:qFormat/>
    <w:uiPriority w:val="0"/>
    <w:rPr>
      <w:sz w:val="21"/>
      <w:szCs w:val="21"/>
    </w:rPr>
  </w:style>
  <w:style w:type="paragraph" w:customStyle="1" w:styleId="11">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3</Pages>
  <Words>178</Words>
  <Characters>1020</Characters>
  <Lines>8</Lines>
  <Paragraphs>2</Paragraphs>
  <TotalTime>3</TotalTime>
  <ScaleCrop>false</ScaleCrop>
  <LinksUpToDate>false</LinksUpToDate>
  <CharactersWithSpaces>1196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dhmk1</cp:lastModifiedBy>
  <cp:lastPrinted>2018-01-31T03:32:00Z</cp:lastPrinted>
  <dcterms:modified xsi:type="dcterms:W3CDTF">2024-08-06T02:52:27Z</dcterms:modified>
  <dc:title>年部门预算编制说明</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