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val="en-US" w:eastAsia="zh-CN"/>
        </w:rPr>
        <w:t>芒市交通运输局2018</w:t>
      </w:r>
      <w:r>
        <w:rPr>
          <w:rFonts w:hint="eastAsia" w:ascii="黑体" w:hAnsi="黑体" w:eastAsia="黑体"/>
          <w:sz w:val="30"/>
          <w:szCs w:val="30"/>
        </w:rPr>
        <w:t>年部门预算编制说明</w:t>
      </w:r>
    </w:p>
    <w:p>
      <w:pPr>
        <w:jc w:val="left"/>
        <w:rPr>
          <w:rFonts w:ascii="黑体" w:hAnsi="黑体" w:eastAsia="黑体"/>
          <w:sz w:val="30"/>
          <w:szCs w:val="30"/>
        </w:rPr>
      </w:pPr>
      <w:r>
        <w:rPr>
          <w:rFonts w:hint="eastAsia" w:ascii="黑体" w:hAnsi="黑体" w:eastAsia="黑体"/>
          <w:sz w:val="30"/>
          <w:szCs w:val="30"/>
        </w:rPr>
        <w:t>第二部分</w:t>
      </w:r>
      <w:r>
        <w:rPr>
          <w:rFonts w:hint="eastAsia" w:ascii="黑体" w:hAnsi="黑体" w:eastAsia="黑体"/>
          <w:sz w:val="30"/>
          <w:szCs w:val="30"/>
          <w:lang w:val="en-US" w:eastAsia="zh-CN"/>
        </w:rPr>
        <w:t xml:space="preserve"> 芒市交通运输局2018</w:t>
      </w:r>
      <w:r>
        <w:rPr>
          <w:rFonts w:hint="eastAsia" w:ascii="黑体" w:hAnsi="黑体" w:eastAsia="黑体"/>
          <w:sz w:val="30"/>
          <w:szCs w:val="30"/>
        </w:rPr>
        <w:t>年部门预算表</w:t>
      </w:r>
    </w:p>
    <w:p>
      <w:pPr>
        <w:jc w:val="left"/>
        <w:rPr>
          <w:rFonts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jc w:val="left"/>
        <w:rPr>
          <w:rFonts w:ascii="Times New Roman" w:hAnsi="Times New Roman" w:eastAsia="仿宋_GB2312"/>
          <w:sz w:val="30"/>
          <w:szCs w:val="30"/>
        </w:rPr>
      </w:pPr>
    </w:p>
    <w:p>
      <w:pPr>
        <w:spacing w:line="600" w:lineRule="exact"/>
        <w:jc w:val="center"/>
        <w:rPr>
          <w:rFonts w:ascii="方正小标宋简体" w:hAnsi="方正小标宋简体" w:eastAsia="方正小标宋简体" w:cs="方正小标宋简体"/>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芒市交通运输局2018年部门预算编制说明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一、基本职能及主要工作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（一）部门主要职责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1.贯彻执行国家有关交通行业发展战略方针、政策和法规，根据全市经济和社会发展需要，研究制定本市交通运输政策和实施细则，并监督执行。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2.组织编制并实施全市公路和水路交通行业发展规划和年度计划；参与全市客运有关设施的规划，参与指导交通运输枢纽规划，负责交通行业统计工作，指导全市交通战备工作。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3.组织编制全市总和运输体系规划，组织拟订并监督实施公路、港口、航道、地方铁路和交通运输领域物流发展等行业规划。</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全市道路交通运输、水路交通运输等服务业的行业管理，会同有关部门培育和管理运输市场，对全市公路、水路交通运输供求进行宏观调控，组织关系国计民生的抢险救灾等重点、紧急物资运输和特种运输。</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5.负责全市公路、水路及有关的交通基础设施规划、建设、养护和管理，负责公路标志、 标线和航标及交通监控、通讯等附属设施的设置和管理，检查监督交通建设工程质量，会同有关部门培育和管理交通基础设施建设市场。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6.负责全市内河水上港航监督、船舶修造、船舶检验（含船用产品、水上设施、船舶和船员证照发放、救助打捞）的管理工作，会同有关部门审批港口码头、航道和港航设施的建设使用岸线。</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7.负责全市车辆维修市场、机动车驾驶学校及驾驶员培训、车辆综合性能检测及车站、经营性停车场的行业管理。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8.负责全市交通对外合作和交流，做好融资、吸引外资工作，为交通发展筹集资金。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9.负责编制并实施交通行业科技、教育发展规划和年度计划，引进和培养专业人才，指导和管理全市交通技术进步、科技攻关、技术推广、技术鉴定、信息交流及交通工业产品开发等行业管理工作。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10.指导交通行业行政执法和行业体制改革，负责局直属单位国有资产的管理。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11.承担市国防动员委员会交通战备办公室工作。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12.指导交通行业内部审计工作，负责局机关和局直属单位的组织、纪检监察、机构编制、人事、劳动工资及群团等工作。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13.承办市委、市政府交办的其他事项。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1.芒市交通运输局预算编报的单位1个，行政单位1个。</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内设7个股（室、局）。其中：副科级1个，股所级6个，纳入2018年部门预算编报的单位共1个，部门编40人,其中：行政编制16人（含机关工勤人员1人）、事业编制24人；2018年编制在职实有人数43人，其中：行政在职人员17人、事业在职人员26人，财政全供养43人；超编3人；在编实有车辆3辆。占单位总数的100%；与上年比较减少3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3.机构人员当年变动情况及原因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2017年末实有人数43人，在职人员43人，其中：行政人员17人（含工勤2人)工勤人员超编一人；事业人员26人，超编2人。行政人员调出2人，调入1人，事业人员退休1人，调入1人。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实有车辆编制3辆，在编实有车辆3辆。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（三）重点工作概述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全力推进项目前期工作。一是继续配合州交通运输局、州铁建办及上级有关部门开展好芒市至梁河高速公路、芒市至孟连高速公路（芒市至象达段）、芒市至腾冲猴桥铁路、芒市至临沧铁路前期工作。二是继续推进龙江航运基础设施建设项目前期工作。目前，项目工可报告已经获得批复，项目初步设计正在进行招投标工作。三是加快推进省道S339线芒市遮放至芒海段公路改扩建工程建设前期工作。目前，该项目环评、水保、地灾、文物、项目选址等前期工作已完成，工可报告已获省发改委（云发改基础［2017］433号）批复，初步设计已获省发改委（云发改基础［2017］732号）批复。施工图设计、林地手续及用地手续已经完成报批工作，根据项目建设报批程序，项目前期工作已基本完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加快推进省道S236线老木场垭口至芒里段公路（印金至芒里段）建设。新改线路段的征地工作基本完成，共完成土地丈量面积（水田）167亩，已经兑付征地补偿款140.5亩，兑付征地补偿资金1240万元，目前施工单位已进场施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3.全力推进大瑞铁路芒市段征地拆迁地方服务保障工作。目前，大瑞铁路芒市段应供地共6797亩，</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9月份，共征收土地5686.46亩，其中征收永久性用地4038.42亩，达到应供地的90%；协调租用临时性用地1681.84亩。迁移坟墓1304冢，迁移庙房5座，拆迁房屋面积15742.5㎡。兑付补偿资金3.28亿元（含临时用地租金）。协调项目部驻地（含水、电）14处，拌和站（加工厂等）7处，施工便道46条，炸药仓库2处，国道开口7个，弃土场选址27个，取土场1个，完成了1681.84亩临时用地各项报批手续并经国土部门批复，完成了芒市镇、遮放镇、遮放农场大部分房屋丈量、登计。完成了芒崃、江莲新村、遮放糖厂、芒允、东相5个统规自建村组的安置点规划方案，完成了芒市车站1︰500地形图测绘和站前高铁小镇片区策划和站前枢纽概念方案设计，正在开展芒市火车站片区控制性规划方案设计。芒市境内已全线进场施工，为大瑞铁路建设创造了良好的施工环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继续推进芒瑞大道建设。芒瑞大道一期工程路线全长38.66公里，概算总投资34.93亿元。设计桥梁58座、隧道3座，工程分5个合同段实施。目前，全线工程完成99%，累计完成投资349300万元，其中2017年1-9月完成35062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5.继续推进农村公路建设工作。2017年 ，计划实施农村公路建设项目91个里程438.207公里，计划总投资27335万元。1-10月，已经开工项目74个，涉及里程338公里，已经完成投资20105万元。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抓好运输市场监管。一是道路运输业快速稳定增长。目前，芒市共有道路运输经营业户6186户，拥有营运车辆7047辆，从业人员16400人。公交线路20条（城市公交9条、城乡公交11条），客运班线75条（含7条城乡公交），实现乡镇通班车率达100%，行政村通班车率达100%。1-9月共完成客运量205.37万人、客运周转量24646.64万人公里，货运量538.22万吨，货运周转量5894.22万吨公里，较去年同期相比分别增长15%。二是提高行业服务质量。圆满完成了元旦、春运、五一、“爱心送考”、十一和十九大等运输组织保障工作。认真做好道路运输行业稳定工作,按时下拨2015年燃油补贴资金1224.57万元（2017年5月27日已全部兑付完毕）。加强12328云南交通服务监督电话管理，确保接听规范、畅通。三是深化行业改革，推进行业创新。深化出租车行业改革，认真落实省、州关于出租车改革实施意见，《芒市网络预约出租汽车经营服务管理实施细则》将于2017年11月1日正式实施。建成营运车辆综合性能检测联网系统平台，实现货运车辆在全省综合性能检测站均能进行等级评定检测并电子签章，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目前，通过异地联网检测车辆3629辆次。全省道路客运联网售票系统建成运营，于3月1日实现三级以上客运站联网及实名制售票。四是加强行业监管，维护运输市场稳定。严把道路运输市场准入关，严格按照《中华人民共和国道路运输条例》及配套细则规定的开业条件实施行政许可，对不符合条件的坚决不予许可，从源头上确保道路运输行业安全生产。截至10月，共受理道路运输经营申请783件(其中：货运771件、机动车维修12件)，同意许可783件。五是落实优先发展公共交通政策。2017年芒市益民公共汽车公司投入22辆公交车，新开通芒核至松树寨公交线。六是全面开展道路客运企业、危化品运输企业、汽车维修企业质量信誉考核和道路运输证年度审验工作,对辖区5家客运企业、4家出租车企业、2个客运站、2个危货运输企业，5所驾校和25户维修经营户开展2016年度的道路运输企业质量信誉考核、服务规范资料进行认真初审。加强出租汽车计价器管理，确保计价器量值准确可靠,对全市4户出租汽车经营企业的379辆出租车计价器进行强制检定，现已全部通过检定并粘贴了强检标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继续提升农村公路养护管理水平。一是推进2016年大中修工程。芒市2016年大中修工程于2017年2月24日全部完工，5月15日通过州市级验收，4个项目共完成投资385.1万元。二是推进2017年大中修工程。2017年下达我市大中修工程4个，计划投资684.61万元（其中：中央补助618.65万元，地方自筹65.96万元），目前1个已基本完工，其余3个正按施工组织计划有序推进中，计划于12月20日全部完工。三是推进2017年灾毁恢复重建项目建设，项目于2017年5月15日开工，计划2017年11月10日完工，计划完成投资693.31万元。四是推进2017年生命防护工程建设。2017年生命防护工程7个，建设里程148.65公里，整治安全隐患里程116.476公里，现7个项目全部完成公开招投标，计划投资826.49万元，并于2017年8月4日开工，计划11月20日完工。五是加强日常小修保养。根据“县道县管、乡村道乡管”的原则，市人民政府分别与11个乡镇人民政府签订了《芒市2017年农村公路养护管理工作目标责任书》。市交通运输局与地方公路管理段签订了《养护管理责任书》。地方公路管理段与24个养护个人和强龙公路养护公司签订养护合同，做到“层层签订责任、层层抓好落实”和“有路必养、养必有责”。1-10月共投入小修保养资金555.18万元。六是加强预防性养护，</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 xml:space="preserve">10月共投入日常养护资金196万元。七是做好应急保通准备工作。修改完善了《芒市交通运输局水毁抢险和安全保通应急预案》、《领导24小时带班值班制度》、《抢险机械备班制度》等各种制度。并按要求分别在中山乡、勐戛镇、西山乡、五岔路乡、江东乡等5个乡镇，各储备1台装载机，在勐戛镇、遮放镇、五岔路乡由强龙公路工程公司各储备1台挖掘机的方式布点储备。同时储备防洪沙袋2万条，彩带5000米，做到防患于未然。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加强路政管理工作。2017年来，芒市交通运输局坚持依靠群众、克服困难，结合建设“四好农村路”，努力探索一条适宜农村公路路政管理的路子。一是依法监管，确保重点项目建设与农村公路管养相互促进，共同发展。针对农村公路超限超载难治理，损毁快的问题，对重点项目签订农村公路修复协议，缴纳修复保证金，确保被损坏的农村公路能及时修复。二是采用公路巡查与路政巡查相结合的方式，加强路政管理工作力度。1-10月累计公路巡查8000多公里，出动执法人员108人次，出动执法车辆33辆次，发现违法违规行为29起，其中说服处理违规行为26起，发出限期整改通知2份，签订协议1件。三是加强路政法规宣传，不断提高群众爱路护路意识。1-10月份共出动宣传车辆12辆次，工作人员48人次，发放《农村公路安全通行告知书》、《农机安全手册》等各种交通安全宣传资料、道路运输知识宣传资料等各种宣传单、本4100余份，悬挂宣传展板30幅，现场解答群众释疑230余人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扎实抓好海事监管工作。一是落实船舶安全管理责任承包书制度，加强渡口安全检查监督管理。督促签订了市、乡（镇）、村、渡（船）四级船舶安全管理责任承包书，签订责任承包书14份，签订率100%，并对四级责任承包书的执行和落实情况进行督促检查，把安全责任落到实处，确保了辖区内水上交通运输的安全稳定。二是认真做好春运及春节、汛期、十一黄金周的水运监管工作。为保证辖区内的水上交通安全，对有渡船的渡口开展全面安全生产检查，加强值班制度，认真做好春运及春节、汛期、十一黄金周的值班安排，与各渡口及船员保持联系，及时掌握春运及春节、汛期、十一黄金周的客、货运及安全渡运情况，1-9月份，客运量为2.6195万人，货运量4.1486万吨。三是认真做好渡口渡船安全监管。认真做好常规性的安全检查工作，做到及时发现问题及时整改；四是做好汛期灾害防御中的水路运输保障工作，提高应对汛期洪涝及山体滑坡、泥石流等灾害的应急能力。五是结合我市水上交通实际，重点加强对龙江库区渡口渡船的现场检查、巡查，渡口源头安全管理的督查，严厉打击渡船超载运输，冒险航行的行为，累计组织检查25人次，出动车辆8辆次，检查渡船7艘次，检查渡口6个。六是加强统计工作，重点是按规定做好运输量和燃油消耗量的统计上报工作，依法依规进行燃油补贴的发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加强安全监管工作。2017年来，芒市交通运输局严格落实“党政同责、一岗双责”要求，认真履行安全生产监管职责，以辖区工地、路、车、船、从业人员和站点、码头等为重点，全面加强公路、水路、在建项目的安全监管。一是通过开展专项行动，进一步对路面修复、加强治超管理，有效的保障管理的完好和畅通；二是做好公路、    水路安全急隐患排查，切实加强重点路段的畅通状况监测，做到排查一起，治理一起，切实将隐患消灭在萌芽状态，确保水路、公路安全畅通。</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10月份，对在管公路巡查30批次，出动车辆30辆次，人员30人，投入养护资金115万元，清理边沟、过坡和路肩安全隐患1980千平方米，修补路基安全隐患42000平方米，修补坑洼等路面安全隐患1250平方米，清理桥涵安全陷患460处。水路安全检查6次，发放宣传单120份。三是加强对重点项目的安全监管。将安全生产合同做为施工合同的一部分与施工单位一并签订，在施工过程中通过企业自查自纠，业务门部定期不定期的联合检查，坚决将安全事故遏制在萌芽状态。四是加强辖区工地、车站、码头等重点部位的安全检查。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 xml:space="preserve">目前，共出动车辆18辆次，人员54人次，检查在建项目6批次，工地12个，发现一般安全隐患19起，处理19起。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11.严抓党风廉政建设工作。不折不扣贯彻落实</w:t>
      </w:r>
      <w:r>
        <w:rPr>
          <w:rFonts w:hint="eastAsia" w:ascii="仿宋_GB2312" w:hAnsi="仿宋_GB2312" w:eastAsia="仿宋_GB2312" w:cs="仿宋_GB2312"/>
          <w:sz w:val="32"/>
          <w:szCs w:val="32"/>
          <w:lang w:eastAsia="zh-CN"/>
        </w:rPr>
        <w:t>中央八项规定</w:t>
      </w:r>
      <w:r>
        <w:rPr>
          <w:rFonts w:hint="eastAsia" w:ascii="仿宋_GB2312" w:hAnsi="仿宋_GB2312" w:eastAsia="仿宋_GB2312" w:cs="仿宋_GB2312"/>
          <w:sz w:val="32"/>
          <w:szCs w:val="32"/>
        </w:rPr>
        <w:t>及反腐倡廉一系列部署，党风、政风、行风建设不断深入。大力加强党建工作，提升党建工作水平，认真落实“三会一课”制度，开展好批评与自我批评，落实好民主生活会制度。通过深入开展 “三严三实”、</w:t>
      </w:r>
      <w:r>
        <w:rPr>
          <w:rFonts w:hint="eastAsia" w:ascii="仿宋_GB2312" w:hAnsi="仿宋_GB2312" w:eastAsia="仿宋_GB2312" w:cs="仿宋_GB2312"/>
          <w:sz w:val="32"/>
          <w:szCs w:val="32"/>
          <w:lang w:eastAsia="zh-CN"/>
        </w:rPr>
        <w:t>“两学一做”等主题教育</w:t>
      </w:r>
      <w:r>
        <w:rPr>
          <w:rFonts w:hint="eastAsia" w:ascii="仿宋_GB2312" w:hAnsi="仿宋_GB2312" w:eastAsia="仿宋_GB2312" w:cs="仿宋_GB2312"/>
          <w:sz w:val="32"/>
          <w:szCs w:val="32"/>
        </w:rPr>
        <w:t>，全局干部立党为公、执政为民的意识明显增强。严格落实党风</w:t>
      </w:r>
      <w:r>
        <w:rPr>
          <w:rFonts w:hint="eastAsia" w:ascii="仿宋_GB2312" w:hAnsi="仿宋_GB2312" w:eastAsia="仿宋_GB2312" w:cs="仿宋_GB2312"/>
          <w:sz w:val="32"/>
          <w:szCs w:val="32"/>
          <w:lang w:val="en-US" w:eastAsia="zh-CN"/>
        </w:rPr>
        <w:t>廉政</w:t>
      </w:r>
      <w:r>
        <w:rPr>
          <w:rFonts w:hint="eastAsia" w:ascii="仿宋_GB2312" w:hAnsi="仿宋_GB2312" w:eastAsia="仿宋_GB2312" w:cs="仿宋_GB2312"/>
          <w:sz w:val="32"/>
          <w:szCs w:val="32"/>
        </w:rPr>
        <w:t>建设责任制,把党风廉政建设与各项业务工作同布署、同检查、同落实。在建设项目上，认真实施建设项目招投标制度，规范程序，增强透明度，杜绝暗箱操作；强化项目法人责任制，增强企业法人的责任意识，严禁私自分包工程；健全项目监理制，对建设项目进行全过程监理。在资资金管理上，主动与纪检、监察部门对接联系，接受监督，确保项目资金安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此外，在精神文明、老干部、综治、档案、工青妇、驻村工作等方面也取得了较好的成绩。</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二、预算单位基本情况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我部门编制2018年部门预算单位共1个。其中：财政全供给单位1个；部分供给单位 0 个；特殊供给单位 0 个；自收自支单位  0个。财政全供给单位中行政单位1个；参公管理事业单位 0 个；非参公管理事业单位  0个。</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2017年11月统计，部门基本情况如下：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在职人员编制40人，其中：行政编制 16人，事业编制24人。在职实有43人，其中： 财政全供养 43人，财政部分供养 0 人，非财政供养  0 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离退休人员 42人，其中： 离休  0 人，退休 42人。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车辆编制3辆，实有车辆3辆。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三、预算单位收入情况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（一）部门财务收入情况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2018年部门财务总收入1288.55万元，其中：一般公共预算财政拨款1288.55万元，政府性基金预算财政拨款   万元，国有资本经营预算财政拨款  万元，事业收入  万元，事业单位经营收入  万元，其他收入  万元，上年结转  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（二）财政拨款收入情况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2018年部门财政拨款收入1288.55万元，其中:本年收入1288.55万元，上年结转  万元。本年收入中，一般公共预算财政拨款1288.55万元（本级财力1288.55万元，专项收入  万元，执法办案补助  万元，收费成本补偿     万元，财政专户管理的收入 120万元，国有资源（资产）有偿使用成本补偿    万元），政府性基金预算财政拨款    万元，国有资本经营预算财政拨款  万元。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四、预算单位支出情况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2018年部门预算总支出1288.55万元。财政拨款安排支出 1288.55万元，其中，基本支出521.02万元，项目支出767.53 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（一）财政拨款安排支出按功能科目分类情况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功能科目分组，主要用于2080501项归口管理的行政单位离退休1.08万元；2080502项事业单位退休1.44万元；2080505项机关事业单位基本养老保险缴费支出61.20万元；2082502项其他农村生活救助0.22万元；2140101项公路运输（行政运行）421.63万元；2140102公路运输（一般行政管理事务）60万元；2140104项公路建设707.53万元；2210201项住房保障支出35.45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（二）财政拨款安排支出按经济科目分类情况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经济科目分组（其中：基本支出521.02万元，项目支出767.53万元）。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基本支出521.02万元。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（1）工资福利支出安排 459.85万元；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（2）商品和服务支出安排 71.72万元；其中：办公费 43.97 万元，水费0.2万元，电费0.8万元，邮电费3万元，差旅费4万元，日常维修费0.5万元，培训费0.6万元，公务接待费0.8万元，劳务费0.2万元，公务用车运行维护费5万元，其他交通费3万元，其他1.22万元，工会费 5.91 万元、退休公用经费2.52万元。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（3）个人和家庭补助支出安排 49.45万元；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2、项目支出767.53万元，其他支出767.53万元。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五、省对下</w:t>
      </w:r>
      <w:r>
        <w:rPr>
          <w:rFonts w:hint="eastAsia" w:ascii="黑体" w:hAnsi="黑体" w:eastAsia="黑体"/>
          <w:kern w:val="0"/>
          <w:sz w:val="30"/>
          <w:szCs w:val="30"/>
          <w:lang w:val="en-US" w:eastAsia="zh-CN"/>
        </w:rPr>
        <w:t>专</w:t>
      </w:r>
      <w:r>
        <w:rPr>
          <w:rFonts w:hint="eastAsia" w:ascii="黑体" w:hAnsi="黑体" w:eastAsia="黑体"/>
          <w:kern w:val="0"/>
          <w:sz w:val="30"/>
          <w:szCs w:val="30"/>
        </w:rPr>
        <w:t>项转移支付情况</w:t>
      </w:r>
    </w:p>
    <w:p>
      <w:pPr>
        <w:widowControl/>
        <w:ind w:firstLine="450" w:firstLineChars="150"/>
        <w:jc w:val="left"/>
        <w:rPr>
          <w:rFonts w:hint="eastAsia" w:ascii="楷体_GB2312" w:hAnsi="Times New Roman" w:eastAsia="楷体_GB2312"/>
          <w:kern w:val="0"/>
          <w:sz w:val="30"/>
          <w:szCs w:val="30"/>
        </w:rPr>
      </w:pPr>
      <w:r>
        <w:rPr>
          <w:rFonts w:hint="eastAsia" w:ascii="楷体_GB2312" w:eastAsia="楷体_GB2312"/>
          <w:kern w:val="0"/>
          <w:sz w:val="30"/>
          <w:szCs w:val="30"/>
        </w:rPr>
        <w:t>（一）列入省对下专项转移支付项目清单项目情况</w:t>
      </w:r>
    </w:p>
    <w:p>
      <w:pPr>
        <w:widowControl/>
        <w:ind w:firstLine="600" w:firstLineChars="200"/>
        <w:jc w:val="left"/>
        <w:rPr>
          <w:rFonts w:hint="eastAsia" w:ascii="Times New Roman" w:eastAsia="仿宋_GB2312"/>
          <w:kern w:val="0"/>
          <w:sz w:val="30"/>
          <w:szCs w:val="30"/>
        </w:rPr>
      </w:pPr>
      <w:r>
        <w:rPr>
          <w:rFonts w:hint="eastAsia" w:eastAsia="仿宋_GB2312"/>
          <w:kern w:val="0"/>
          <w:sz w:val="30"/>
          <w:szCs w:val="30"/>
        </w:rPr>
        <w:t>部门列入省对下专项转移支付项目清单项目为：</w:t>
      </w:r>
      <w:r>
        <w:rPr>
          <w:rFonts w:eastAsia="仿宋_GB2312"/>
          <w:kern w:val="0"/>
          <w:sz w:val="30"/>
          <w:szCs w:val="30"/>
        </w:rPr>
        <w:t xml:space="preserve">  </w:t>
      </w:r>
      <w:r>
        <w:rPr>
          <w:rFonts w:hint="eastAsia" w:eastAsia="仿宋_GB2312"/>
          <w:kern w:val="0"/>
          <w:sz w:val="30"/>
          <w:szCs w:val="30"/>
        </w:rPr>
        <w:t>金额</w:t>
      </w:r>
      <w:r>
        <w:rPr>
          <w:rFonts w:eastAsia="仿宋_GB2312"/>
          <w:kern w:val="0"/>
          <w:sz w:val="30"/>
          <w:szCs w:val="30"/>
        </w:rPr>
        <w:t>XXX</w:t>
      </w:r>
      <w:r>
        <w:rPr>
          <w:rFonts w:hint="eastAsia" w:eastAsia="仿宋_GB2312"/>
          <w:kern w:val="0"/>
          <w:sz w:val="30"/>
          <w:szCs w:val="30"/>
        </w:rPr>
        <w:t>万元，主要用于</w:t>
      </w:r>
      <w:r>
        <w:rPr>
          <w:rFonts w:eastAsia="仿宋_GB2312"/>
          <w:kern w:val="0"/>
          <w:sz w:val="30"/>
          <w:szCs w:val="30"/>
        </w:rPr>
        <w:t>……</w:t>
      </w:r>
      <w:r>
        <w:rPr>
          <w:rFonts w:hint="eastAsia" w:eastAsia="仿宋_GB2312"/>
          <w:kern w:val="0"/>
          <w:sz w:val="30"/>
          <w:szCs w:val="30"/>
        </w:rPr>
        <w:t>。</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（二）与中央配套事项</w:t>
      </w:r>
    </w:p>
    <w:p>
      <w:pPr>
        <w:widowControl/>
        <w:ind w:firstLine="600" w:firstLineChars="200"/>
        <w:jc w:val="left"/>
        <w:rPr>
          <w:rFonts w:hint="eastAsia" w:ascii="Times New Roman" w:eastAsia="仿宋_GB2312"/>
          <w:kern w:val="0"/>
          <w:sz w:val="30"/>
          <w:szCs w:val="30"/>
        </w:rPr>
      </w:pPr>
      <w:r>
        <w:rPr>
          <w:rFonts w:hint="eastAsia" w:eastAsia="仿宋_GB2312"/>
          <w:kern w:val="0"/>
          <w:sz w:val="30"/>
          <w:szCs w:val="30"/>
        </w:rPr>
        <w:t>功能科目分组，主要用于</w:t>
      </w:r>
      <w:r>
        <w:rPr>
          <w:rFonts w:eastAsia="仿宋_GB2312"/>
          <w:kern w:val="0"/>
          <w:sz w:val="30"/>
          <w:szCs w:val="30"/>
        </w:rPr>
        <w:t>……</w:t>
      </w:r>
      <w:r>
        <w:rPr>
          <w:rFonts w:hint="eastAsia" w:eastAsia="仿宋_GB2312"/>
          <w:kern w:val="0"/>
          <w:sz w:val="30"/>
          <w:szCs w:val="30"/>
        </w:rPr>
        <w:t>。</w:t>
      </w:r>
    </w:p>
    <w:p>
      <w:pPr>
        <w:widowControl/>
        <w:ind w:firstLine="602" w:firstLineChars="200"/>
        <w:jc w:val="left"/>
        <w:rPr>
          <w:rFonts w:eastAsia="仿宋_GB2312"/>
          <w:b/>
          <w:kern w:val="0"/>
          <w:sz w:val="30"/>
          <w:szCs w:val="30"/>
        </w:rPr>
      </w:pPr>
      <w:r>
        <w:rPr>
          <w:rFonts w:hint="eastAsia" w:eastAsia="仿宋_GB2312"/>
          <w:b/>
          <w:kern w:val="0"/>
          <w:sz w:val="30"/>
          <w:szCs w:val="30"/>
        </w:rPr>
        <w:t>（</w:t>
      </w:r>
      <w:r>
        <w:rPr>
          <w:rFonts w:hint="eastAsia"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rPr>
        <w:t>功能科目分组，主要用于</w:t>
      </w:r>
      <w:r>
        <w:rPr>
          <w:rFonts w:eastAsia="仿宋_GB2312"/>
          <w:kern w:val="0"/>
          <w:sz w:val="30"/>
          <w:szCs w:val="30"/>
        </w:rPr>
        <w:t>……</w:t>
      </w:r>
      <w:r>
        <w:rPr>
          <w:rFonts w:hint="eastAsia" w:eastAsia="仿宋_GB2312"/>
          <w:kern w:val="0"/>
          <w:sz w:val="30"/>
          <w:szCs w:val="30"/>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此条我局无预算</w:t>
      </w:r>
    </w:p>
    <w:p>
      <w:pPr>
        <w:spacing w:line="600" w:lineRule="exact"/>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六、政府采购预算情况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根据《中华人民共和国政府采购法》的有关规定，编制了政府采购预算，共涉及采购项目  个，采购预算资金   万元。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七、预算收支增减变化情况说明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（本条主要填写基本支出预算和项目支出预算变动的主要原因）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（一）收支预算安排情况说明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2018年部门预算总收入 1288.55万元，全部为财政预算安排资金，比上年增长20%，增加214.33万元。增加原因：主要为人员工资增长。</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2018年部门预算总支出安排1288.55万元，比去年增加212.53万元。其中：基本支出安排521.02万元，项目支出安排767.53 万元（项目支出安排707.53万元，业务费安排60万元）。增加原因：工资增长、项目增多，资金增大。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（二）支出预算明细说明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2018年用于人员工资、保障机构正常运转的日常支出安排521.02万元，占总支出的59%。</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（1）工资福利支出安排 459.85万元，比去年增长23%，增长原因：工资增长。</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即人员工资由基本工资、津贴补贴、机关工作人员年终一次性奖、社会保障缴费、临时人员工资等构成；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核定标准：在职人员工资依据市人力资源和社会保障局工资审核批复按档次、分级别核定到人；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（2）商品和服务支出安排 71.72万元，比去年增长144%，增长原因：工作业务增多，随之经费安排增多；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其中：办公费 43.97 万元，水费0.2万元，电费0.8万元，邮电费3万元，差旅费4万元，日常维修费0.5万元，培训费0.6万元，公务接待费0.8万元，劳务费0.2万元，公务用车运行维护费5万元，其他交通费3万元，其他1.22万元，工会费 5.91 万元、退休公用经费2.52万元。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核定标准：公用经费核定在编每人年均 3000元，超编每人900元，在职人员工会费核定在职人员应发工资总额的2％，退休公用经费核定退休人员每人年均600元。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（3）个人和家庭补助支出安排 49.45万元，比去年减少82%，减少原因：退休人员工资由人力资源和社会保障局发放，局机关不在核算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核定标准：遗属补助2996元，住房公积金按2017年应发工资总额12核定。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其他项目类开支说明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2018年度开展工作中，安排建设项目资金支出 707.53万元，主要用于道路建设的路基改扩建、整齐块石路面铺筑及涵洞配套工程707.53万元。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八、其他公开信息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（一）专业名词解释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 指本级财政当年安排拨付的资金；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 指为保障机构正常运转、完成日常工作任务 而发生的人员支出和公用支出。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3.项目支出: 指在基本支出之外为完成特定行政任务和事业发展目标所发生的支出。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（二）机关运行经费安排</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商品和服务支出安排 71.72万元，其中：办公费 43.97 万元，水费0.2万元，电费0.8万元，邮电费3万元，差旅费4万元，日常维修费0.5万元，培训费0.6万元，公务接待费0.8万元，劳务费0.2万元，公务用车运行维护费5万元，其他交通费3万元，其他1.22万元，工会费 5.91 万元、退休公用经费2.52万元。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（三）国有资产占用情况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鉴于截至xx年xx月xx日的国有资产占有使用情况需在完成xx年决算编制后才能统计汇总相关数据，因此，将在公开xx年度部门决算时一并公开部门截至xx年12月31日的国有资产占有使用情况。（无）</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芒市交通运输局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2018年2月8日</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TUxYzJmMzBiNjYwMmIxMzNhNGNmZjQ5ZDk2OWU2MTkifQ=="/>
  </w:docVars>
  <w:rsids>
    <w:rsidRoot w:val="00880DE0"/>
    <w:rsid w:val="001006D3"/>
    <w:rsid w:val="00252FA9"/>
    <w:rsid w:val="0037033D"/>
    <w:rsid w:val="00370B92"/>
    <w:rsid w:val="0041398D"/>
    <w:rsid w:val="004B3CF0"/>
    <w:rsid w:val="00641E43"/>
    <w:rsid w:val="00657CDD"/>
    <w:rsid w:val="0066395A"/>
    <w:rsid w:val="00784C6E"/>
    <w:rsid w:val="007D0ED0"/>
    <w:rsid w:val="007E02FB"/>
    <w:rsid w:val="00880DE0"/>
    <w:rsid w:val="008F22C1"/>
    <w:rsid w:val="00940C9A"/>
    <w:rsid w:val="009D0779"/>
    <w:rsid w:val="00A015B3"/>
    <w:rsid w:val="00A01789"/>
    <w:rsid w:val="00A96A47"/>
    <w:rsid w:val="00AB6013"/>
    <w:rsid w:val="00B1152D"/>
    <w:rsid w:val="00B60F57"/>
    <w:rsid w:val="00BD7FE9"/>
    <w:rsid w:val="00C064AD"/>
    <w:rsid w:val="00C32668"/>
    <w:rsid w:val="00DF63EF"/>
    <w:rsid w:val="00E35A6B"/>
    <w:rsid w:val="017068E6"/>
    <w:rsid w:val="0443100D"/>
    <w:rsid w:val="049A2EB8"/>
    <w:rsid w:val="05C62AC2"/>
    <w:rsid w:val="06382975"/>
    <w:rsid w:val="09354CC2"/>
    <w:rsid w:val="0B973364"/>
    <w:rsid w:val="0D8A4C9C"/>
    <w:rsid w:val="13880DE0"/>
    <w:rsid w:val="146034F2"/>
    <w:rsid w:val="14D870FD"/>
    <w:rsid w:val="16433B2D"/>
    <w:rsid w:val="1658337A"/>
    <w:rsid w:val="16595271"/>
    <w:rsid w:val="16956EB8"/>
    <w:rsid w:val="19950AD4"/>
    <w:rsid w:val="1AFB23E7"/>
    <w:rsid w:val="1BF14C5F"/>
    <w:rsid w:val="1C4250FF"/>
    <w:rsid w:val="1DD748A0"/>
    <w:rsid w:val="1E6C1550"/>
    <w:rsid w:val="207740AF"/>
    <w:rsid w:val="24DB3037"/>
    <w:rsid w:val="26016180"/>
    <w:rsid w:val="27485FDA"/>
    <w:rsid w:val="2ADA3730"/>
    <w:rsid w:val="2B9F6900"/>
    <w:rsid w:val="2BD07CD6"/>
    <w:rsid w:val="2CD37DDB"/>
    <w:rsid w:val="2CED75AA"/>
    <w:rsid w:val="312B3298"/>
    <w:rsid w:val="33C458A4"/>
    <w:rsid w:val="377D1CD3"/>
    <w:rsid w:val="37AC2A78"/>
    <w:rsid w:val="3BB03F3F"/>
    <w:rsid w:val="3BEA6F9A"/>
    <w:rsid w:val="3C096385"/>
    <w:rsid w:val="3DD81A23"/>
    <w:rsid w:val="43D1561F"/>
    <w:rsid w:val="444E34F2"/>
    <w:rsid w:val="45513114"/>
    <w:rsid w:val="473F3F81"/>
    <w:rsid w:val="49837B02"/>
    <w:rsid w:val="49F00D86"/>
    <w:rsid w:val="4A3620A8"/>
    <w:rsid w:val="4A8C7AD7"/>
    <w:rsid w:val="4BF27179"/>
    <w:rsid w:val="4C18639E"/>
    <w:rsid w:val="4D9864DC"/>
    <w:rsid w:val="4E946B47"/>
    <w:rsid w:val="52E2395B"/>
    <w:rsid w:val="534F0D68"/>
    <w:rsid w:val="55754042"/>
    <w:rsid w:val="55970EBF"/>
    <w:rsid w:val="56E7156F"/>
    <w:rsid w:val="5D3466DF"/>
    <w:rsid w:val="5DA1409D"/>
    <w:rsid w:val="5E580B7D"/>
    <w:rsid w:val="5F702D67"/>
    <w:rsid w:val="61461A90"/>
    <w:rsid w:val="63A75BEC"/>
    <w:rsid w:val="66C02945"/>
    <w:rsid w:val="6A187AFA"/>
    <w:rsid w:val="6AA20515"/>
    <w:rsid w:val="6D1673EC"/>
    <w:rsid w:val="6D9A671D"/>
    <w:rsid w:val="6E6744E6"/>
    <w:rsid w:val="72DC2B91"/>
    <w:rsid w:val="73B65A24"/>
    <w:rsid w:val="741F6100"/>
    <w:rsid w:val="75462CAE"/>
    <w:rsid w:val="77B63582"/>
    <w:rsid w:val="785F6067"/>
    <w:rsid w:val="79A56636"/>
    <w:rsid w:val="7A0055CD"/>
    <w:rsid w:val="7B3E4D0E"/>
    <w:rsid w:val="7C5B11AA"/>
    <w:rsid w:val="7C7D26AA"/>
    <w:rsid w:val="7DB86CF5"/>
    <w:rsid w:val="7FCB5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7981</Words>
  <Characters>1236</Characters>
  <Lines>10</Lines>
  <Paragraphs>18</Paragraphs>
  <TotalTime>1</TotalTime>
  <ScaleCrop>false</ScaleCrop>
  <LinksUpToDate>false</LinksUpToDate>
  <CharactersWithSpaces>9199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zdf</cp:lastModifiedBy>
  <dcterms:modified xsi:type="dcterms:W3CDTF">2024-07-18T07:56:10Z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A9C43D4F50344630AA3EEE6A80215B78_12</vt:lpwstr>
  </property>
</Properties>
</file>