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19" w:lineRule="exact"/>
        <w:ind w:firstLine="2891" w:firstLineChars="800"/>
        <w:jc w:val="left"/>
        <w:rPr>
          <w:rFonts w:hint="eastAsia" w:ascii="方正小标宋简体" w:hAnsi="方正小标宋简体" w:eastAsia="方正小标宋简体" w:cs="方正小标宋简体"/>
          <w:b/>
          <w:bCs/>
          <w:color w:val="000000"/>
          <w:spacing w:val="0"/>
          <w:position w:val="0"/>
          <w:sz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outlineLvl w:val="9"/>
        <w:rPr>
          <w:rFonts w:hint="eastAsia" w:ascii="宋体" w:hAnsi="宋体" w:cs="宋体"/>
          <w:color w:val="000000"/>
          <w:spacing w:val="0"/>
          <w:position w:val="0"/>
          <w:sz w:val="24"/>
          <w:u w:val="none"/>
          <w:lang w:eastAsia="zh-CN"/>
        </w:rPr>
      </w:pPr>
      <w:r>
        <w:rPr>
          <w:rFonts w:hint="eastAsia" w:ascii="方正小标宋简体" w:hAnsi="方正小标宋简体" w:eastAsia="方正小标宋简体" w:cs="方正小标宋简体"/>
          <w:b/>
          <w:bCs/>
          <w:color w:val="000000"/>
          <w:spacing w:val="0"/>
          <w:position w:val="0"/>
          <w:sz w:val="36"/>
          <w:u w:val="none"/>
          <w:lang w:val="en-US" w:eastAsia="zh-CN"/>
        </w:rPr>
        <w:t>2022年</w:t>
      </w:r>
      <w:r>
        <w:rPr>
          <w:rFonts w:hint="eastAsia" w:ascii="方正小标宋简体" w:hAnsi="方正小标宋简体" w:eastAsia="方正小标宋简体" w:cs="方正小标宋简体"/>
          <w:b/>
          <w:bCs/>
          <w:color w:val="000000"/>
          <w:spacing w:val="0"/>
          <w:position w:val="0"/>
          <w:sz w:val="36"/>
          <w:u w:val="none"/>
        </w:rPr>
        <w:t>重点工作情况解释说明汇总表</w:t>
      </w:r>
    </w:p>
    <w:tbl>
      <w:tblPr>
        <w:tblStyle w:val="5"/>
        <w:tblpPr w:leftFromText="180" w:rightFromText="180" w:vertAnchor="page" w:horzAnchor="page" w:tblpX="657" w:tblpY="1723"/>
        <w:tblW w:w="10763" w:type="dxa"/>
        <w:tblInd w:w="0" w:type="dxa"/>
        <w:tblLayout w:type="fixed"/>
        <w:tblCellMar>
          <w:top w:w="0" w:type="dxa"/>
          <w:left w:w="108" w:type="dxa"/>
          <w:bottom w:w="0" w:type="dxa"/>
          <w:right w:w="108" w:type="dxa"/>
        </w:tblCellMar>
      </w:tblPr>
      <w:tblGrid>
        <w:gridCol w:w="2242"/>
        <w:gridCol w:w="8521"/>
      </w:tblGrid>
      <w:tr>
        <w:tblPrEx>
          <w:tblCellMar>
            <w:top w:w="0" w:type="dxa"/>
            <w:left w:w="108" w:type="dxa"/>
            <w:bottom w:w="0" w:type="dxa"/>
            <w:right w:w="108" w:type="dxa"/>
          </w:tblCellMar>
        </w:tblPrEx>
        <w:trPr>
          <w:trHeight w:val="487"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重点工作</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20</w:t>
            </w:r>
            <w:r>
              <w:rPr>
                <w:rFonts w:hint="eastAsia" w:ascii="宋体" w:hAnsi="宋体" w:cs="宋体"/>
                <w:color w:val="000000"/>
                <w:spacing w:val="0"/>
                <w:position w:val="0"/>
                <w:sz w:val="24"/>
                <w:u w:val="none"/>
                <w:lang w:val="en-US" w:eastAsia="zh-CN"/>
              </w:rPr>
              <w:t>22</w:t>
            </w:r>
            <w:r>
              <w:rPr>
                <w:rFonts w:hint="eastAsia" w:ascii="宋体" w:hAnsi="宋体" w:cs="宋体"/>
                <w:color w:val="000000"/>
                <w:spacing w:val="0"/>
                <w:position w:val="0"/>
                <w:sz w:val="24"/>
                <w:u w:val="none"/>
                <w:lang w:eastAsia="zh-CN"/>
              </w:rPr>
              <w:t>年工作重点及工作情况</w:t>
            </w:r>
          </w:p>
        </w:tc>
      </w:tr>
      <w:tr>
        <w:tblPrEx>
          <w:tblCellMar>
            <w:top w:w="0" w:type="dxa"/>
            <w:left w:w="108" w:type="dxa"/>
            <w:bottom w:w="0" w:type="dxa"/>
            <w:right w:w="108" w:type="dxa"/>
          </w:tblCellMar>
        </w:tblPrEx>
        <w:trPr>
          <w:trHeight w:val="3278"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转移支付安排情况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pacing w:val="0"/>
                <w:position w:val="0"/>
                <w:sz w:val="24"/>
                <w:szCs w:val="32"/>
                <w:highlight w:val="none"/>
                <w:u w:val="none"/>
                <w:lang w:eastAsia="zh-CN"/>
              </w:rPr>
            </w:pPr>
            <w:r>
              <w:rPr>
                <w:rFonts w:hint="eastAsia" w:asciiTheme="minorEastAsia" w:hAnsiTheme="minorEastAsia" w:eastAsiaTheme="minorEastAsia" w:cstheme="minorEastAsia"/>
                <w:color w:val="000000"/>
                <w:spacing w:val="0"/>
                <w:position w:val="0"/>
                <w:sz w:val="24"/>
                <w:szCs w:val="32"/>
                <w:highlight w:val="none"/>
                <w:u w:val="none"/>
                <w:lang w:val="en-US" w:eastAsia="zh-CN"/>
              </w:rPr>
              <w:t xml:space="preserve">2022年，芒市转移性收入313846万元。其中：一般性转移支付199246万元，增长0.6%，占转移支付比重63.5%；专项转移支付47379万元，增长31.1%，占转移支付比重15.1%。一般性转移支付中，均衡性转移支付27025万元，增长11%；县级基本财力保障机制奖补资金16288万元，增长16.3%；民族地区转移支付3698万元，下降5.3%；边境地区转移支付18902万元，增长7.9%；共同事权转移支付66849万元，下降19.9%。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p>
        </w:tc>
      </w:tr>
      <w:tr>
        <w:tblPrEx>
          <w:tblCellMar>
            <w:top w:w="0" w:type="dxa"/>
            <w:left w:w="108" w:type="dxa"/>
            <w:bottom w:w="0" w:type="dxa"/>
            <w:right w:w="108" w:type="dxa"/>
          </w:tblCellMar>
        </w:tblPrEx>
        <w:trPr>
          <w:trHeight w:val="10597"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sz w:val="24"/>
              </w:rPr>
            </w:pPr>
            <w:r>
              <w:rPr>
                <w:rFonts w:hint="eastAsia" w:ascii="宋体" w:hAnsi="宋体" w:eastAsia="宋体"/>
                <w:sz w:val="24"/>
              </w:rPr>
              <w:t>预算绩效工作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eastAsia="宋体"/>
                <w:sz w:val="24"/>
              </w:rPr>
              <w:t>开展情况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firstLine="422" w:firstLineChars="200"/>
              <w:jc w:val="both"/>
              <w:textAlignment w:val="auto"/>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b/>
                <w:bCs/>
                <w:sz w:val="21"/>
                <w:szCs w:val="21"/>
                <w:highlight w:val="none"/>
                <w:lang w:val="en-US" w:eastAsia="zh-CN"/>
              </w:rPr>
              <w:t>（一）完成2022年度部门整体支出预算绩效目标工作。</w:t>
            </w:r>
            <w:r>
              <w:rPr>
                <w:rFonts w:hint="eastAsia" w:asciiTheme="minorEastAsia" w:hAnsiTheme="minorEastAsia" w:eastAsiaTheme="minorEastAsia" w:cstheme="minorEastAsia"/>
                <w:color w:val="auto"/>
                <w:kern w:val="0"/>
                <w:sz w:val="21"/>
                <w:szCs w:val="21"/>
                <w:highlight w:val="none"/>
                <w:lang w:val="en-US" w:eastAsia="zh-CN"/>
              </w:rPr>
              <w:t>在</w:t>
            </w:r>
            <w:r>
              <w:rPr>
                <w:rFonts w:hint="eastAsia" w:asciiTheme="minorEastAsia" w:hAnsiTheme="minorEastAsia" w:eastAsiaTheme="minorEastAsia" w:cstheme="minorEastAsia"/>
                <w:kern w:val="2"/>
                <w:sz w:val="21"/>
                <w:szCs w:val="21"/>
                <w:highlight w:val="none"/>
                <w:lang w:val="en-US" w:eastAsia="zh-CN" w:bidi="ar"/>
              </w:rPr>
              <w:t>云南省地方财政标准化平台的预算绩效管理系统对部门和单位绩效目标进行填报，在各预算单位高度重视，局业务股室的密切配合下，于2022年2月21日完成了全市2022年预算绩效目标工作任务。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50" w:after="50" w:line="560" w:lineRule="exact"/>
              <w:ind w:left="0" w:firstLine="422"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kern w:val="2"/>
                <w:sz w:val="21"/>
                <w:szCs w:val="21"/>
                <w:highlight w:val="none"/>
                <w:lang w:val="en-US" w:eastAsia="zh-CN" w:bidi="ar"/>
              </w:rPr>
              <w:t>（二）完成</w:t>
            </w:r>
            <w:r>
              <w:rPr>
                <w:rFonts w:hint="eastAsia" w:asciiTheme="minorEastAsia" w:hAnsiTheme="minorEastAsia" w:eastAsiaTheme="minorEastAsia" w:cstheme="minorEastAsia"/>
                <w:b/>
                <w:bCs/>
                <w:color w:val="000000"/>
                <w:kern w:val="0"/>
                <w:sz w:val="21"/>
                <w:szCs w:val="21"/>
                <w:highlight w:val="none"/>
                <w:lang w:val="en-US" w:eastAsia="zh-CN" w:bidi="ar"/>
              </w:rPr>
              <w:t>2021年度预算绩效管理考核。</w:t>
            </w:r>
            <w:r>
              <w:rPr>
                <w:rFonts w:hint="eastAsia" w:asciiTheme="minorEastAsia" w:hAnsiTheme="minorEastAsia" w:eastAsiaTheme="minorEastAsia" w:cstheme="minorEastAsia"/>
                <w:b w:val="0"/>
                <w:bCs w:val="0"/>
                <w:color w:val="000000"/>
                <w:kern w:val="0"/>
                <w:sz w:val="21"/>
                <w:szCs w:val="21"/>
                <w:highlight w:val="none"/>
                <w:lang w:val="en-US" w:eastAsia="zh-CN" w:bidi="ar"/>
              </w:rPr>
              <w:t>根据</w:t>
            </w:r>
            <w:r>
              <w:rPr>
                <w:rFonts w:hint="eastAsia" w:asciiTheme="minorEastAsia" w:hAnsiTheme="minorEastAsia" w:eastAsiaTheme="minorEastAsia" w:cstheme="minorEastAsia"/>
                <w:b w:val="0"/>
                <w:bCs w:val="0"/>
                <w:kern w:val="2"/>
                <w:sz w:val="21"/>
                <w:szCs w:val="21"/>
                <w:highlight w:val="none"/>
                <w:lang w:val="en-US" w:eastAsia="zh-CN" w:bidi="ar"/>
              </w:rPr>
              <w:t>《</w:t>
            </w:r>
            <w:r>
              <w:rPr>
                <w:rFonts w:hint="eastAsia" w:asciiTheme="minorEastAsia" w:hAnsiTheme="minorEastAsia" w:eastAsiaTheme="minorEastAsia" w:cstheme="minorEastAsia"/>
                <w:kern w:val="2"/>
                <w:sz w:val="21"/>
                <w:szCs w:val="21"/>
                <w:highlight w:val="none"/>
                <w:lang w:val="en-US" w:eastAsia="zh-CN" w:bidi="ar"/>
              </w:rPr>
              <w:t>芒市人民政府办公室关于印发&lt;芒市2021年度综合考评实施方案的通知&gt;芒办通（2022）18号的通知》，结合芒市实，对62家单位进行考核。考核结果为</w:t>
            </w:r>
            <w:r>
              <w:rPr>
                <w:rFonts w:hint="eastAsia" w:asciiTheme="minorEastAsia" w:hAnsiTheme="minorEastAsia" w:eastAsiaTheme="minorEastAsia" w:cstheme="minorEastAsia"/>
                <w:sz w:val="21"/>
                <w:szCs w:val="21"/>
                <w:highlight w:val="none"/>
                <w:lang w:val="en-US" w:eastAsia="zh-CN"/>
              </w:rPr>
              <w:t>4家单位评分在90-100分（优秀），58家单位评分在80-90分（良好）。</w:t>
            </w:r>
          </w:p>
          <w:p>
            <w:pPr>
              <w:keepNext w:val="0"/>
              <w:keepLines w:val="0"/>
              <w:pageBreakBefore w:val="0"/>
              <w:widowControl w:val="0"/>
              <w:numPr>
                <w:ilvl w:val="0"/>
                <w:numId w:val="0"/>
              </w:numPr>
              <w:suppressLineNumbers w:val="0"/>
              <w:kinsoku/>
              <w:overflowPunct/>
              <w:topLinePunct w:val="0"/>
              <w:autoSpaceDE w:val="0"/>
              <w:autoSpaceDN/>
              <w:bidi w:val="0"/>
              <w:snapToGrid w:val="0"/>
              <w:spacing w:before="0" w:beforeAutospacing="0" w:after="0" w:afterAutospacing="0" w:line="560" w:lineRule="exact"/>
              <w:ind w:right="0" w:rightChars="0" w:firstLine="422" w:firstLineChars="200"/>
              <w:jc w:val="both"/>
              <w:rPr>
                <w:rFonts w:hint="eastAsia" w:asciiTheme="minorEastAsia" w:hAnsiTheme="minorEastAsia" w:eastAsiaTheme="minorEastAsia" w:cstheme="minorEastAsia"/>
                <w:i w:val="0"/>
                <w:caps w:val="0"/>
                <w:color w:val="000000"/>
                <w:spacing w:val="0"/>
                <w:kern w:val="0"/>
                <w:sz w:val="21"/>
                <w:szCs w:val="21"/>
                <w:highlight w:val="none"/>
                <w:lang w:val="en-US" w:eastAsia="zh-CN" w:bidi="ar"/>
              </w:rPr>
            </w:pPr>
            <w:r>
              <w:rPr>
                <w:rFonts w:hint="eastAsia" w:asciiTheme="minorEastAsia" w:hAnsiTheme="minorEastAsia" w:eastAsiaTheme="minorEastAsia" w:cstheme="minorEastAsia"/>
                <w:b/>
                <w:bCs/>
                <w:kern w:val="2"/>
                <w:sz w:val="21"/>
                <w:szCs w:val="21"/>
                <w:highlight w:val="none"/>
                <w:lang w:val="en-US" w:eastAsia="zh-CN" w:bidi="ar"/>
              </w:rPr>
              <w:t>（三）完成2021年度部门整体支出和项目支出绩效自评工作。</w:t>
            </w:r>
            <w:r>
              <w:rPr>
                <w:rFonts w:hint="eastAsia" w:asciiTheme="minorEastAsia" w:hAnsiTheme="minorEastAsia" w:eastAsiaTheme="minorEastAsia" w:cstheme="minorEastAsia"/>
                <w:kern w:val="2"/>
                <w:sz w:val="21"/>
                <w:szCs w:val="21"/>
                <w:highlight w:val="none"/>
                <w:lang w:val="en-US" w:eastAsia="zh-CN" w:bidi="ar"/>
              </w:rPr>
              <w:t>财政局对全市预算单位开展2021年度部门整体支出和项目支出绩效自评工作。通过开展绩效自评工作，促使项目承担单位根据绩效自评中发现的问题，认真加以整改，及时调整完善单位的工作计划和绩效目标，加强管理，真正把</w:t>
            </w:r>
            <w:r>
              <w:rPr>
                <w:rFonts w:hint="eastAsia" w:asciiTheme="minorEastAsia" w:hAnsiTheme="minorEastAsia" w:eastAsiaTheme="minorEastAsia" w:cstheme="minorEastAsia"/>
                <w:i w:val="0"/>
                <w:caps w:val="0"/>
                <w:color w:val="000000"/>
                <w:spacing w:val="0"/>
                <w:kern w:val="0"/>
                <w:sz w:val="21"/>
                <w:szCs w:val="21"/>
                <w:highlight w:val="none"/>
                <w:lang w:val="en-US" w:eastAsia="zh-CN" w:bidi="ar"/>
              </w:rPr>
              <w:t>“花钱必问效，无效必问责”落到实处。</w:t>
            </w:r>
          </w:p>
          <w:p>
            <w:pPr>
              <w:keepNext w:val="0"/>
              <w:keepLines w:val="0"/>
              <w:pageBreakBefore w:val="0"/>
              <w:widowControl/>
              <w:suppressLineNumbers w:val="0"/>
              <w:kinsoku/>
              <w:overflowPunct/>
              <w:topLinePunct w:val="0"/>
              <w:autoSpaceDE w:val="0"/>
              <w:autoSpaceDN/>
              <w:bidi w:val="0"/>
              <w:snapToGrid w:val="0"/>
              <w:spacing w:before="0" w:beforeAutospacing="0" w:after="0" w:afterAutospacing="0" w:line="560" w:lineRule="exact"/>
              <w:ind w:left="0" w:right="0" w:firstLine="422"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（四）完成对部门整体和重点项目的绩效评价工作。</w:t>
            </w:r>
            <w:r>
              <w:rPr>
                <w:rFonts w:hint="eastAsia" w:asciiTheme="minorEastAsia" w:hAnsiTheme="minorEastAsia" w:eastAsiaTheme="minorEastAsia" w:cstheme="minorEastAsia"/>
                <w:color w:val="auto"/>
                <w:kern w:val="0"/>
                <w:sz w:val="21"/>
                <w:szCs w:val="21"/>
                <w:highlight w:val="none"/>
                <w:lang w:val="en-US" w:eastAsia="zh-CN"/>
              </w:rPr>
              <w:t>财政</w:t>
            </w:r>
            <w:r>
              <w:rPr>
                <w:rFonts w:hint="eastAsia" w:asciiTheme="minorEastAsia" w:hAnsiTheme="minorEastAsia" w:eastAsiaTheme="minorEastAsia" w:cstheme="minorEastAsia"/>
                <w:b w:val="0"/>
                <w:i w:val="0"/>
                <w:caps w:val="0"/>
                <w:spacing w:val="0"/>
                <w:w w:val="100"/>
                <w:kern w:val="2"/>
                <w:sz w:val="21"/>
                <w:szCs w:val="21"/>
                <w:highlight w:val="none"/>
                <w:lang w:val="en-US" w:eastAsia="zh-CN" w:bidi="ar"/>
              </w:rPr>
              <w:t>聘请第三方云南永胜会计事务所对发展和改革局</w:t>
            </w:r>
            <w:r>
              <w:rPr>
                <w:rFonts w:hint="eastAsia" w:asciiTheme="minorEastAsia" w:hAnsiTheme="minorEastAsia" w:eastAsiaTheme="minorEastAsia" w:cstheme="minorEastAsia"/>
                <w:sz w:val="21"/>
                <w:szCs w:val="21"/>
                <w:highlight w:val="none"/>
                <w:lang w:val="en-US" w:eastAsia="zh-CN"/>
              </w:rPr>
              <w:t>进行</w:t>
            </w:r>
            <w:r>
              <w:rPr>
                <w:rFonts w:hint="eastAsia" w:asciiTheme="minorEastAsia" w:hAnsiTheme="minorEastAsia" w:eastAsiaTheme="minorEastAsia" w:cstheme="minorEastAsia"/>
                <w:sz w:val="21"/>
                <w:szCs w:val="21"/>
                <w:highlight w:val="none"/>
              </w:rPr>
              <w:t>部门整体</w:t>
            </w:r>
            <w:r>
              <w:rPr>
                <w:rFonts w:hint="eastAsia" w:asciiTheme="minorEastAsia" w:hAnsiTheme="minorEastAsia" w:eastAsiaTheme="minorEastAsia" w:cstheme="minorEastAsia"/>
                <w:sz w:val="21"/>
                <w:szCs w:val="21"/>
                <w:highlight w:val="none"/>
                <w:lang w:val="en-US" w:eastAsia="zh-CN"/>
              </w:rPr>
              <w:t>绩效</w:t>
            </w:r>
            <w:r>
              <w:rPr>
                <w:rFonts w:hint="eastAsia" w:asciiTheme="minorEastAsia" w:hAnsiTheme="minorEastAsia" w:eastAsiaTheme="minorEastAsia" w:cstheme="minorEastAsia"/>
                <w:sz w:val="21"/>
                <w:szCs w:val="21"/>
                <w:highlight w:val="none"/>
              </w:rPr>
              <w:t>评价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整体评价金额为1626.57万元。</w:t>
            </w:r>
            <w:r>
              <w:rPr>
                <w:rFonts w:hint="eastAsia" w:asciiTheme="minorEastAsia" w:hAnsiTheme="minorEastAsia" w:eastAsiaTheme="minorEastAsia" w:cstheme="minorEastAsia"/>
                <w:b w:val="0"/>
                <w:i w:val="0"/>
                <w:caps w:val="0"/>
                <w:spacing w:val="0"/>
                <w:w w:val="100"/>
                <w:kern w:val="2"/>
                <w:sz w:val="21"/>
                <w:szCs w:val="21"/>
                <w:highlight w:val="none"/>
                <w:lang w:val="en-US" w:eastAsia="zh-CN" w:bidi="ar"/>
              </w:rPr>
              <w:t>农业农村局、交通运输局、三台山乡、人力资源和社会保障局、搬迁办5家单位进行</w:t>
            </w:r>
            <w:r>
              <w:rPr>
                <w:rFonts w:hint="eastAsia" w:asciiTheme="minorEastAsia" w:hAnsiTheme="minorEastAsia" w:eastAsiaTheme="minorEastAsia" w:cstheme="minorEastAsia"/>
                <w:sz w:val="21"/>
                <w:szCs w:val="21"/>
                <w:highlight w:val="none"/>
                <w:lang w:val="en-US" w:eastAsia="zh-CN"/>
              </w:rPr>
              <w:t>重点评价，评价结果均为80分以上。</w:t>
            </w:r>
          </w:p>
          <w:p>
            <w:pPr>
              <w:pStyle w:val="2"/>
              <w:keepNext w:val="0"/>
              <w:keepLines w:val="0"/>
              <w:pageBreakBefore w:val="0"/>
              <w:numPr>
                <w:ilvl w:val="0"/>
                <w:numId w:val="0"/>
              </w:numPr>
              <w:kinsoku/>
              <w:overflowPunct/>
              <w:topLinePunct w:val="0"/>
              <w:autoSpaceDN/>
              <w:bidi w:val="0"/>
              <w:spacing w:line="560" w:lineRule="exact"/>
              <w:ind w:firstLine="422" w:firstLineChars="200"/>
              <w:rPr>
                <w:rFonts w:hint="eastAsia" w:asciiTheme="minorEastAsia" w:hAnsiTheme="minorEastAsia" w:eastAsiaTheme="minorEastAsia" w:cstheme="minorEastAsia"/>
                <w:b w:val="0"/>
                <w:spacing w:val="0"/>
                <w:kern w:val="2"/>
                <w:sz w:val="32"/>
                <w:szCs w:val="32"/>
                <w:highlight w:val="none"/>
                <w:lang w:val="en-US" w:eastAsia="zh-CN" w:bidi="ar"/>
              </w:rPr>
            </w:pPr>
            <w:r>
              <w:rPr>
                <w:rFonts w:hint="eastAsia" w:asciiTheme="minorEastAsia" w:hAnsiTheme="minorEastAsia" w:eastAsiaTheme="minorEastAsia" w:cstheme="minorEastAsia"/>
                <w:b/>
                <w:bCs/>
                <w:kern w:val="2"/>
                <w:sz w:val="21"/>
                <w:szCs w:val="21"/>
                <w:highlight w:val="none"/>
                <w:lang w:val="en-US" w:eastAsia="zh-CN" w:bidi="ar-SA"/>
              </w:rPr>
              <w:t>（五）做好2022年度市级预算安排项目绩效运行监控工作。</w:t>
            </w:r>
            <w:r>
              <w:rPr>
                <w:rFonts w:hint="eastAsia" w:asciiTheme="minorEastAsia" w:hAnsiTheme="minorEastAsia" w:eastAsiaTheme="minorEastAsia" w:cstheme="minorEastAsia"/>
                <w:color w:val="auto"/>
                <w:kern w:val="0"/>
                <w:sz w:val="21"/>
                <w:szCs w:val="21"/>
                <w:highlight w:val="none"/>
                <w:lang w:val="en-US" w:eastAsia="zh-CN" w:bidi="ar-SA"/>
              </w:rPr>
              <w:t xml:space="preserve">市级部门及其所属单位负责开展预算绩效日常监控，定期对绩效监控信息进行收集、审核、分析、汇总、填报，并对填报信息真实、准确性负责；分析偏离绩效目标的原因，并及时采取纠偏措施，确保绩效目标如期实现。 </w:t>
            </w:r>
            <w:r>
              <w:rPr>
                <w:rFonts w:hint="eastAsia" w:asciiTheme="minorEastAsia" w:hAnsiTheme="minorEastAsia" w:eastAsiaTheme="minorEastAsia" w:cstheme="minorEastAsia"/>
                <w:b w:val="0"/>
                <w:spacing w:val="0"/>
                <w:kern w:val="2"/>
                <w:sz w:val="32"/>
                <w:szCs w:val="32"/>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lang w:eastAsia="zh-CN"/>
              </w:rPr>
            </w:pPr>
          </w:p>
          <w:p>
            <w:pPr>
              <w:pStyle w:val="4"/>
              <w:rPr>
                <w:rFonts w:hint="eastAsia"/>
                <w:lang w:eastAsia="zh-CN"/>
              </w:rPr>
            </w:pPr>
          </w:p>
        </w:tc>
      </w:tr>
      <w:tr>
        <w:tblPrEx>
          <w:tblCellMar>
            <w:top w:w="0" w:type="dxa"/>
            <w:left w:w="108" w:type="dxa"/>
            <w:bottom w:w="0" w:type="dxa"/>
            <w:right w:w="108" w:type="dxa"/>
          </w:tblCellMar>
        </w:tblPrEx>
        <w:trPr>
          <w:trHeight w:val="4422"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1572" w:lineRule="exact"/>
              <w:ind w:firstLine="240" w:firstLineChars="100"/>
              <w:rPr>
                <w:rFonts w:ascii="宋体" w:hAnsi="宋体" w:cs="宋体"/>
                <w:color w:val="000000"/>
                <w:spacing w:val="0"/>
                <w:position w:val="0"/>
                <w:sz w:val="24"/>
                <w:u w:val="none"/>
              </w:rPr>
            </w:pPr>
            <w:r>
              <w:rPr>
                <w:rFonts w:ascii="宋体" w:hAnsi="宋体" w:cs="宋体"/>
                <w:color w:val="000000"/>
                <w:spacing w:val="0"/>
                <w:position w:val="0"/>
                <w:sz w:val="24"/>
                <w:u w:val="none"/>
              </w:rPr>
              <w:t>举借政府债务</w:t>
            </w:r>
            <w:r>
              <w:rPr>
                <w:rFonts w:hint="eastAsia" w:ascii="宋体" w:hAnsi="宋体" w:cs="宋体"/>
                <w:color w:val="000000"/>
                <w:spacing w:val="0"/>
                <w:position w:val="0"/>
                <w:sz w:val="24"/>
                <w:u w:val="none"/>
                <w:lang w:eastAsia="zh-CN"/>
              </w:rPr>
              <w:t>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widowControl w:val="0"/>
              <w:suppressLineNumbers w:val="0"/>
              <w:pBdr>
                <w:top w:val="none" w:color="auto" w:sz="0" w:space="0"/>
                <w:left w:val="none" w:color="auto" w:sz="0" w:space="0"/>
                <w:bottom w:val="none" w:color="auto" w:sz="0" w:space="0"/>
                <w:right w:val="none" w:color="auto" w:sz="0" w:space="0"/>
              </w:pBdr>
              <w:wordWrap w:val="0"/>
              <w:autoSpaceDE w:val="0"/>
              <w:autoSpaceDN/>
              <w:snapToGrid w:val="0"/>
              <w:spacing w:before="0" w:beforeAutospacing="0" w:after="0" w:afterAutospacing="0" w:line="580" w:lineRule="exact"/>
              <w:ind w:left="0" w:right="0" w:rightChars="0" w:firstLine="480" w:firstLineChars="200"/>
              <w:jc w:val="both"/>
              <w:rPr>
                <w:rFonts w:hint="eastAsia" w:asciiTheme="majorEastAsia" w:hAnsiTheme="majorEastAsia" w:eastAsiaTheme="majorEastAsia" w:cstheme="majorEastAsia"/>
                <w:sz w:val="24"/>
                <w:szCs w:val="24"/>
              </w:rPr>
            </w:pPr>
            <w:r>
              <w:rPr>
                <w:rFonts w:hint="eastAsia" w:asciiTheme="minorEastAsia" w:hAnsiTheme="minorEastAsia" w:eastAsiaTheme="minorEastAsia" w:cstheme="minorEastAsia"/>
                <w:color w:val="auto"/>
                <w:spacing w:val="0"/>
                <w:position w:val="0"/>
                <w:sz w:val="24"/>
                <w:szCs w:val="32"/>
                <w:u w:val="none"/>
                <w:lang w:eastAsia="zh-CN"/>
              </w:rPr>
              <w:t>德宏州财政局核定芒市202</w:t>
            </w:r>
            <w:r>
              <w:rPr>
                <w:rFonts w:hint="eastAsia" w:asciiTheme="minorEastAsia" w:hAnsiTheme="minorEastAsia" w:eastAsiaTheme="minorEastAsia" w:cstheme="minorEastAsia"/>
                <w:color w:val="auto"/>
                <w:spacing w:val="0"/>
                <w:position w:val="0"/>
                <w:sz w:val="24"/>
                <w:szCs w:val="32"/>
                <w:u w:val="none"/>
                <w:lang w:val="en-US" w:eastAsia="zh-CN"/>
              </w:rPr>
              <w:t>2</w:t>
            </w:r>
            <w:r>
              <w:rPr>
                <w:rFonts w:hint="eastAsia" w:asciiTheme="minorEastAsia" w:hAnsiTheme="minorEastAsia" w:eastAsiaTheme="minorEastAsia" w:cstheme="minorEastAsia"/>
                <w:color w:val="auto"/>
                <w:spacing w:val="0"/>
                <w:position w:val="0"/>
                <w:sz w:val="24"/>
                <w:szCs w:val="32"/>
                <w:u w:val="none"/>
                <w:lang w:eastAsia="zh-CN"/>
              </w:rPr>
              <w:t>年地方政府债务限额</w:t>
            </w:r>
            <w:r>
              <w:rPr>
                <w:rFonts w:hint="eastAsia" w:asciiTheme="minorEastAsia" w:hAnsiTheme="minorEastAsia" w:cstheme="minorEastAsia"/>
                <w:color w:val="auto"/>
                <w:spacing w:val="0"/>
                <w:position w:val="0"/>
                <w:sz w:val="24"/>
                <w:szCs w:val="32"/>
                <w:u w:val="none"/>
                <w:lang w:val="en-US" w:eastAsia="zh-CN"/>
              </w:rPr>
              <w:t>118.29</w:t>
            </w:r>
            <w:r>
              <w:rPr>
                <w:rFonts w:hint="eastAsia" w:asciiTheme="minorEastAsia" w:hAnsiTheme="minorEastAsia" w:eastAsiaTheme="minorEastAsia" w:cstheme="minorEastAsia"/>
                <w:color w:val="auto"/>
                <w:spacing w:val="0"/>
                <w:position w:val="0"/>
                <w:sz w:val="24"/>
                <w:szCs w:val="32"/>
                <w:u w:val="none"/>
                <w:lang w:eastAsia="zh-CN"/>
              </w:rPr>
              <w:t>亿元，经市人大常委会批准，当年新增地方政府债务限额</w:t>
            </w:r>
            <w:r>
              <w:rPr>
                <w:rFonts w:hint="eastAsia" w:asciiTheme="minorEastAsia" w:hAnsiTheme="minorEastAsia" w:eastAsiaTheme="minorEastAsia" w:cstheme="minorEastAsia"/>
                <w:color w:val="auto"/>
                <w:spacing w:val="0"/>
                <w:position w:val="0"/>
                <w:sz w:val="24"/>
                <w:szCs w:val="32"/>
                <w:u w:val="none"/>
                <w:lang w:val="en-US" w:eastAsia="zh-CN"/>
              </w:rPr>
              <w:t>5</w:t>
            </w:r>
            <w:r>
              <w:rPr>
                <w:rFonts w:hint="eastAsia" w:asciiTheme="minorEastAsia" w:hAnsiTheme="minorEastAsia" w:eastAsiaTheme="minorEastAsia" w:cstheme="minorEastAsia"/>
                <w:color w:val="auto"/>
                <w:spacing w:val="0"/>
                <w:position w:val="0"/>
                <w:sz w:val="24"/>
                <w:szCs w:val="32"/>
                <w:u w:val="none"/>
                <w:lang w:eastAsia="zh-CN"/>
              </w:rPr>
              <w:t>亿元，</w:t>
            </w:r>
            <w:r>
              <w:rPr>
                <w:rFonts w:hint="eastAsia" w:asciiTheme="minorEastAsia" w:hAnsiTheme="minorEastAsia" w:eastAsiaTheme="minorEastAsia" w:cstheme="minorEastAsia"/>
                <w:color w:val="auto"/>
                <w:spacing w:val="0"/>
                <w:position w:val="0"/>
                <w:sz w:val="24"/>
                <w:szCs w:val="32"/>
                <w:u w:val="none"/>
                <w:lang w:val="en-US" w:eastAsia="zh-CN"/>
              </w:rPr>
              <w:t>均为专项债</w:t>
            </w:r>
            <w:r>
              <w:rPr>
                <w:rFonts w:hint="eastAsia" w:asciiTheme="minorEastAsia" w:hAnsiTheme="minorEastAsia" w:eastAsiaTheme="minorEastAsia" w:cstheme="minorEastAsia"/>
                <w:color w:val="auto"/>
                <w:spacing w:val="0"/>
                <w:position w:val="0"/>
                <w:sz w:val="24"/>
                <w:szCs w:val="32"/>
                <w:u w:val="none"/>
                <w:lang w:eastAsia="zh-CN"/>
              </w:rPr>
              <w:t>。202</w:t>
            </w:r>
            <w:r>
              <w:rPr>
                <w:rFonts w:hint="eastAsia" w:asciiTheme="minorEastAsia" w:hAnsiTheme="minorEastAsia" w:eastAsiaTheme="minorEastAsia" w:cstheme="minorEastAsia"/>
                <w:color w:val="auto"/>
                <w:spacing w:val="0"/>
                <w:position w:val="0"/>
                <w:sz w:val="24"/>
                <w:szCs w:val="32"/>
                <w:u w:val="none"/>
                <w:lang w:val="en-US" w:eastAsia="zh-CN"/>
              </w:rPr>
              <w:t>2</w:t>
            </w:r>
            <w:r>
              <w:rPr>
                <w:rFonts w:hint="eastAsia" w:asciiTheme="minorEastAsia" w:hAnsiTheme="minorEastAsia" w:eastAsiaTheme="minorEastAsia" w:cstheme="minorEastAsia"/>
                <w:color w:val="auto"/>
                <w:spacing w:val="0"/>
                <w:position w:val="0"/>
                <w:sz w:val="24"/>
                <w:szCs w:val="32"/>
                <w:u w:val="none"/>
                <w:lang w:eastAsia="zh-CN"/>
              </w:rPr>
              <w:t>年</w:t>
            </w:r>
            <w:r>
              <w:rPr>
                <w:rFonts w:hint="eastAsia" w:asciiTheme="minorEastAsia" w:hAnsiTheme="minorEastAsia" w:eastAsiaTheme="minorEastAsia" w:cstheme="minorEastAsia"/>
                <w:sz w:val="24"/>
                <w:szCs w:val="24"/>
                <w:lang w:val="en-US" w:eastAsia="zh-CN"/>
              </w:rPr>
              <w:t>上级</w:t>
            </w:r>
            <w:r>
              <w:rPr>
                <w:rFonts w:hint="eastAsia" w:asciiTheme="minorEastAsia" w:hAnsiTheme="minorEastAsia" w:eastAsiaTheme="minorEastAsia" w:cstheme="minorEastAsia"/>
                <w:color w:val="auto"/>
                <w:spacing w:val="0"/>
                <w:position w:val="0"/>
                <w:sz w:val="24"/>
                <w:szCs w:val="32"/>
                <w:u w:val="none"/>
                <w:lang w:eastAsia="zh-CN"/>
              </w:rPr>
              <w:t>转贷地方政府债券</w:t>
            </w:r>
            <w:r>
              <w:rPr>
                <w:rFonts w:hint="eastAsia" w:asciiTheme="minorEastAsia" w:hAnsiTheme="minorEastAsia" w:eastAsiaTheme="minorEastAsia" w:cstheme="minorEastAsia"/>
                <w:color w:val="auto"/>
                <w:spacing w:val="0"/>
                <w:position w:val="0"/>
                <w:sz w:val="24"/>
                <w:szCs w:val="32"/>
                <w:u w:val="none"/>
                <w:lang w:val="en-US" w:eastAsia="zh-CN"/>
              </w:rPr>
              <w:t>31.24</w:t>
            </w:r>
            <w:r>
              <w:rPr>
                <w:rFonts w:hint="eastAsia" w:asciiTheme="minorEastAsia" w:hAnsiTheme="minorEastAsia" w:eastAsiaTheme="minorEastAsia" w:cstheme="minorEastAsia"/>
                <w:color w:val="auto"/>
                <w:spacing w:val="0"/>
                <w:position w:val="0"/>
                <w:sz w:val="24"/>
                <w:szCs w:val="32"/>
                <w:u w:val="none"/>
                <w:lang w:eastAsia="zh-CN"/>
              </w:rPr>
              <w:t>亿元，其中：新增债券</w:t>
            </w:r>
            <w:r>
              <w:rPr>
                <w:rFonts w:hint="eastAsia" w:asciiTheme="minorEastAsia" w:hAnsiTheme="minorEastAsia" w:eastAsiaTheme="minorEastAsia" w:cstheme="minorEastAsia"/>
                <w:color w:val="auto"/>
                <w:spacing w:val="0"/>
                <w:position w:val="0"/>
                <w:sz w:val="24"/>
                <w:szCs w:val="32"/>
                <w:u w:val="none"/>
                <w:lang w:val="en-US" w:eastAsia="zh-CN"/>
              </w:rPr>
              <w:t>5</w:t>
            </w:r>
            <w:r>
              <w:rPr>
                <w:rFonts w:hint="eastAsia" w:asciiTheme="minorEastAsia" w:hAnsiTheme="minorEastAsia" w:eastAsiaTheme="minorEastAsia" w:cstheme="minorEastAsia"/>
                <w:color w:val="auto"/>
                <w:spacing w:val="0"/>
                <w:position w:val="0"/>
                <w:sz w:val="24"/>
                <w:szCs w:val="32"/>
                <w:u w:val="none"/>
                <w:lang w:eastAsia="zh-CN"/>
              </w:rPr>
              <w:t>亿元，再融资债券</w:t>
            </w:r>
            <w:r>
              <w:rPr>
                <w:rFonts w:hint="eastAsia" w:asciiTheme="minorEastAsia" w:hAnsiTheme="minorEastAsia" w:eastAsiaTheme="minorEastAsia" w:cstheme="minorEastAsia"/>
                <w:color w:val="auto"/>
                <w:spacing w:val="0"/>
                <w:position w:val="0"/>
                <w:sz w:val="24"/>
                <w:szCs w:val="32"/>
                <w:u w:val="none"/>
                <w:lang w:val="en-US" w:eastAsia="zh-CN"/>
              </w:rPr>
              <w:t>26.24</w:t>
            </w:r>
            <w:r>
              <w:rPr>
                <w:rFonts w:hint="eastAsia" w:asciiTheme="minorEastAsia" w:hAnsiTheme="minorEastAsia" w:eastAsiaTheme="minorEastAsia" w:cstheme="minorEastAsia"/>
                <w:color w:val="auto"/>
                <w:spacing w:val="0"/>
                <w:position w:val="0"/>
                <w:sz w:val="24"/>
                <w:szCs w:val="32"/>
                <w:u w:val="none"/>
                <w:lang w:eastAsia="zh-CN"/>
              </w:rPr>
              <w:t>亿元。新增债券资金主要用于重点领域。202</w:t>
            </w:r>
            <w:r>
              <w:rPr>
                <w:rFonts w:hint="eastAsia" w:asciiTheme="minorEastAsia" w:hAnsiTheme="minorEastAsia" w:eastAsiaTheme="minorEastAsia" w:cstheme="minorEastAsia"/>
                <w:color w:val="auto"/>
                <w:spacing w:val="0"/>
                <w:position w:val="0"/>
                <w:sz w:val="24"/>
                <w:szCs w:val="32"/>
                <w:u w:val="none"/>
                <w:lang w:val="en-US" w:eastAsia="zh-CN"/>
              </w:rPr>
              <w:t>2</w:t>
            </w:r>
            <w:r>
              <w:rPr>
                <w:rFonts w:hint="eastAsia" w:asciiTheme="minorEastAsia" w:hAnsiTheme="minorEastAsia" w:eastAsiaTheme="minorEastAsia" w:cstheme="minorEastAsia"/>
                <w:color w:val="auto"/>
                <w:spacing w:val="0"/>
                <w:position w:val="0"/>
                <w:sz w:val="24"/>
                <w:szCs w:val="32"/>
                <w:u w:val="none"/>
                <w:lang w:eastAsia="zh-CN"/>
              </w:rPr>
              <w:t>年末政府债务余额</w:t>
            </w:r>
            <w:r>
              <w:rPr>
                <w:rFonts w:hint="eastAsia" w:asciiTheme="minorEastAsia" w:hAnsiTheme="minorEastAsia" w:eastAsiaTheme="minorEastAsia" w:cstheme="minorEastAsia"/>
                <w:color w:val="auto"/>
                <w:spacing w:val="0"/>
                <w:position w:val="0"/>
                <w:sz w:val="24"/>
                <w:szCs w:val="32"/>
                <w:u w:val="none"/>
                <w:lang w:val="en-US" w:eastAsia="zh-CN"/>
              </w:rPr>
              <w:t>111.19</w:t>
            </w:r>
            <w:r>
              <w:rPr>
                <w:rFonts w:hint="eastAsia" w:asciiTheme="minorEastAsia" w:hAnsiTheme="minorEastAsia" w:eastAsiaTheme="minorEastAsia" w:cstheme="minorEastAsia"/>
                <w:color w:val="auto"/>
                <w:spacing w:val="0"/>
                <w:position w:val="0"/>
                <w:sz w:val="24"/>
                <w:szCs w:val="32"/>
                <w:u w:val="none"/>
                <w:lang w:eastAsia="zh-CN"/>
              </w:rPr>
              <w:t>亿元，低于限额</w:t>
            </w:r>
            <w:r>
              <w:rPr>
                <w:rFonts w:hint="eastAsia" w:asciiTheme="minorEastAsia" w:hAnsiTheme="minorEastAsia" w:eastAsiaTheme="minorEastAsia" w:cstheme="minorEastAsia"/>
                <w:color w:val="auto"/>
                <w:spacing w:val="0"/>
                <w:position w:val="0"/>
                <w:sz w:val="24"/>
                <w:szCs w:val="32"/>
                <w:u w:val="none"/>
                <w:lang w:val="en-US" w:eastAsia="zh-CN"/>
              </w:rPr>
              <w:t>8.41</w:t>
            </w:r>
            <w:r>
              <w:rPr>
                <w:rFonts w:hint="eastAsia" w:asciiTheme="minorEastAsia" w:hAnsiTheme="minorEastAsia" w:eastAsiaTheme="minorEastAsia" w:cstheme="minorEastAsia"/>
                <w:color w:val="auto"/>
                <w:spacing w:val="0"/>
                <w:position w:val="0"/>
                <w:sz w:val="24"/>
                <w:szCs w:val="32"/>
                <w:u w:val="none"/>
                <w:lang w:eastAsia="zh-CN"/>
              </w:rPr>
              <w:t>亿元，债务余额均控制在法定限额内。</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pacing w:val="0"/>
                <w:position w:val="0"/>
                <w:sz w:val="24"/>
                <w:szCs w:val="32"/>
                <w:u w:val="none"/>
                <w:lang w:eastAsia="zh-CN"/>
              </w:rPr>
            </w:pPr>
          </w:p>
          <w:p>
            <w:pPr>
              <w:spacing w:before="0" w:after="0" w:line="293" w:lineRule="exact"/>
              <w:ind w:firstLine="420" w:firstLineChars="200"/>
            </w:pPr>
          </w:p>
        </w:tc>
      </w:tr>
    </w:tbl>
    <w:p>
      <w:pPr>
        <w:spacing w:before="0" w:after="0" w:line="519" w:lineRule="exact"/>
        <w:ind w:left="3372" w:firstLine="0"/>
        <w:jc w:val="left"/>
        <w:rPr>
          <w:rFonts w:hint="eastAsia" w:ascii="方正小标宋简体" w:hAnsi="方正小标宋简体" w:eastAsia="方正小标宋简体" w:cs="方正小标宋简体"/>
          <w:b/>
          <w:bCs/>
          <w:color w:val="000000"/>
          <w:spacing w:val="0"/>
          <w:position w:val="0"/>
          <w:sz w:val="36"/>
          <w:u w:val="none"/>
        </w:rPr>
      </w:pPr>
    </w:p>
    <w:sectPr>
      <w:type w:val="continuous"/>
      <w:pgSz w:w="11905" w:h="16838"/>
      <w:pgMar w:top="0" w:right="0" w:bottom="0" w:left="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60763"/>
    <w:rsid w:val="00325E2F"/>
    <w:rsid w:val="007F1C1F"/>
    <w:rsid w:val="00E75751"/>
    <w:rsid w:val="02132FF4"/>
    <w:rsid w:val="03461DA3"/>
    <w:rsid w:val="03527EDE"/>
    <w:rsid w:val="03F02754"/>
    <w:rsid w:val="0745712A"/>
    <w:rsid w:val="0BB53829"/>
    <w:rsid w:val="129F57BB"/>
    <w:rsid w:val="141D1C1C"/>
    <w:rsid w:val="16F8599B"/>
    <w:rsid w:val="1B3508AA"/>
    <w:rsid w:val="24424409"/>
    <w:rsid w:val="26D67B82"/>
    <w:rsid w:val="29907BEC"/>
    <w:rsid w:val="2A143656"/>
    <w:rsid w:val="2AFC5B27"/>
    <w:rsid w:val="2DF235EE"/>
    <w:rsid w:val="2DFA61E5"/>
    <w:rsid w:val="2E4C6790"/>
    <w:rsid w:val="2FF12759"/>
    <w:rsid w:val="3224068E"/>
    <w:rsid w:val="35FA7EA7"/>
    <w:rsid w:val="3A8A2306"/>
    <w:rsid w:val="40A96334"/>
    <w:rsid w:val="446F196C"/>
    <w:rsid w:val="44CF3C87"/>
    <w:rsid w:val="45395EEE"/>
    <w:rsid w:val="45DA6342"/>
    <w:rsid w:val="45EC5D0D"/>
    <w:rsid w:val="46F70BB1"/>
    <w:rsid w:val="47E07EFE"/>
    <w:rsid w:val="49B06BA8"/>
    <w:rsid w:val="4AEC0279"/>
    <w:rsid w:val="4B580383"/>
    <w:rsid w:val="4F5202FD"/>
    <w:rsid w:val="50360D0D"/>
    <w:rsid w:val="50601FBB"/>
    <w:rsid w:val="53E644AE"/>
    <w:rsid w:val="547040C3"/>
    <w:rsid w:val="56BA42DC"/>
    <w:rsid w:val="5B2927A2"/>
    <w:rsid w:val="5C3D4FAC"/>
    <w:rsid w:val="5D9515B0"/>
    <w:rsid w:val="5E03142A"/>
    <w:rsid w:val="5F1C25D2"/>
    <w:rsid w:val="65C534AB"/>
    <w:rsid w:val="690C7C39"/>
    <w:rsid w:val="6ABC2C0E"/>
    <w:rsid w:val="6C7F0ADA"/>
    <w:rsid w:val="6F9851E3"/>
    <w:rsid w:val="6FA11AE9"/>
    <w:rsid w:val="701F243D"/>
    <w:rsid w:val="76CF22BD"/>
    <w:rsid w:val="78517C74"/>
    <w:rsid w:val="7B135AD8"/>
    <w:rsid w:val="7C300152"/>
    <w:rsid w:val="7D647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0" w:type="dxa"/>
        <w:bottom w:w="0" w:type="dxa"/>
        <w:right w:w="0" w:type="dxa"/>
      </w:tblCellMar>
    </w:tblPr>
  </w:style>
  <w:style w:type="paragraph" w:customStyle="1" w:styleId="2">
    <w:name w:val="实施方案正文"/>
    <w:basedOn w:val="1"/>
    <w:qFormat/>
    <w:uiPriority w:val="0"/>
    <w:pPr>
      <w:ind w:firstLine="566" w:firstLineChars="202"/>
    </w:pPr>
    <w:rPr>
      <w:szCs w:val="28"/>
    </w:rPr>
  </w:style>
  <w:style w:type="paragraph" w:styleId="3">
    <w:name w:val="Normal Indent"/>
    <w:basedOn w:val="1"/>
    <w:next w:val="1"/>
    <w:qFormat/>
    <w:uiPriority w:val="0"/>
    <w:pPr>
      <w:ind w:firstLine="420" w:firstLineChars="200"/>
    </w:p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47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2020-08-31T06:48:00Z</dcterms:created>
  <dc:creator>jxpjk</dc:creator>
  <cp:lastModifiedBy>芒市财政 倪姝</cp:lastModifiedBy>
  <cp:lastPrinted>2020-08-31T09:56:00Z</cp:lastPrinted>
  <dcterms:modified xsi:type="dcterms:W3CDTF">2023-09-28T02:01:34Z</dcterms:modified>
  <dc:title>重点工作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