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重点绩效评价结果等预算绩效情况说明</w:t>
      </w:r>
    </w:p>
    <w:bookmarkEnd w:id="0"/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2017至2018学年度，全市共有各级各类学校169所，其中幼儿园56所（含民办22所）；小学93所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其中71所完小，22个教学点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；普通中学14所，其中高级中学1所，完全中学1所，初级中学12所；九年制学校2所；职业高中1所；教育科研中心（含教师进修学校）1所，独立建制成人文化技术学校1所；青少年活动中心1个。教育局机关33人，其中公务员20人。全市有教职工</w:t>
      </w:r>
      <w:r>
        <w:rPr>
          <w:rFonts w:ascii="Times New Roman" w:hAnsi="Times New Roman" w:eastAsia="仿宋_GB2312"/>
          <w:color w:val="000000"/>
          <w:sz w:val="32"/>
          <w:szCs w:val="32"/>
        </w:rPr>
        <w:t>4472</w:t>
      </w:r>
      <w:r>
        <w:rPr>
          <w:rFonts w:ascii="Times New Roman" w:hAnsi="Times New Roman" w:eastAsia="仿宋_GB2312"/>
          <w:sz w:val="32"/>
          <w:szCs w:val="32"/>
        </w:rPr>
        <w:t>人(含民办587人)，专任教师</w:t>
      </w:r>
      <w:r>
        <w:rPr>
          <w:rFonts w:ascii="Times New Roman" w:hAnsi="Times New Roman" w:eastAsia="仿宋_GB2312"/>
          <w:color w:val="000000"/>
          <w:sz w:val="32"/>
          <w:szCs w:val="32"/>
        </w:rPr>
        <w:t>4128</w:t>
      </w:r>
      <w:r>
        <w:rPr>
          <w:rFonts w:ascii="Times New Roman" w:hAnsi="Times New Roman" w:eastAsia="仿宋_GB2312"/>
          <w:sz w:val="32"/>
          <w:szCs w:val="32"/>
        </w:rPr>
        <w:t>人（含民办365人）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全市在校生70</w:t>
      </w:r>
      <w:r>
        <w:rPr>
          <w:rFonts w:hint="eastAsia" w:ascii="Times New Roman" w:hAnsi="Times New Roman" w:eastAsia="仿宋_GB2312"/>
          <w:sz w:val="32"/>
          <w:szCs w:val="32"/>
        </w:rPr>
        <w:t>27</w:t>
      </w:r>
      <w:r>
        <w:rPr>
          <w:rFonts w:ascii="Times New Roman" w:hAnsi="Times New Roman" w:eastAsia="仿宋_GB2312"/>
          <w:sz w:val="32"/>
          <w:szCs w:val="32"/>
        </w:rPr>
        <w:t>6人，其中学前教育12989人，小学36022人，初中13721人，普通高中3471人，职业高中4</w:t>
      </w:r>
      <w:r>
        <w:rPr>
          <w:rFonts w:hint="eastAsia" w:ascii="Times New Roman" w:hAnsi="Times New Roman" w:eastAsia="仿宋_GB2312"/>
          <w:sz w:val="32"/>
          <w:szCs w:val="32"/>
        </w:rPr>
        <w:t>07</w:t>
      </w:r>
      <w:r>
        <w:rPr>
          <w:rFonts w:ascii="Times New Roman" w:hAnsi="Times New Roman" w:eastAsia="仿宋_GB2312"/>
          <w:sz w:val="32"/>
          <w:szCs w:val="32"/>
        </w:rPr>
        <w:t>3人。学前一年毛入园率98.49%，学前三年毛入园率77.51%；小学适龄儿童入学率99.87%，小学辍学率0.01%；初中阶段毛入学率106.03%，初中辍学率0.8%；高中阶段毛入学率75.52%；残疾儿童少年入学率95.02%。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1.加大投入夯实基础设施建设。</w:t>
      </w:r>
      <w:r>
        <w:rPr>
          <w:rFonts w:ascii="Times New Roman" w:hAnsi="Times New Roman" w:eastAsia="仿宋_GB2312"/>
          <w:kern w:val="0"/>
          <w:sz w:val="32"/>
          <w:szCs w:val="32"/>
        </w:rPr>
        <w:t>多渠道争取资金、项目，实施好“全面改薄”等建设项目。2017年争取上级各项资金 4192.6万元，实施续建、新建及开展项目前期125个单体项目，总建筑面积161490平方米，投资22798.07万元。截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至</w:t>
      </w:r>
      <w:r>
        <w:rPr>
          <w:rFonts w:ascii="Times New Roman" w:hAnsi="Times New Roman" w:eastAsia="仿宋_GB2312"/>
          <w:kern w:val="0"/>
          <w:sz w:val="32"/>
          <w:szCs w:val="32"/>
        </w:rPr>
        <w:t>目前，已竣工验收项目33个，竣工面积25136平方米，投资5347.2492万元，在建项目51个，建筑面积57715平方米，开展项目前期41个，</w:t>
      </w:r>
      <w:r>
        <w:rPr>
          <w:rFonts w:ascii="Times New Roman" w:hAnsi="Times New Roman" w:eastAsia="仿宋_GB2312"/>
          <w:sz w:val="32"/>
          <w:szCs w:val="32"/>
        </w:rPr>
        <w:t>办学条件得到极大改善。</w:t>
      </w:r>
      <w:r>
        <w:rPr>
          <w:rFonts w:ascii="Times New Roman" w:hAnsi="Times New Roman" w:eastAsia="仿宋_GB2312"/>
          <w:kern w:val="0"/>
          <w:sz w:val="32"/>
          <w:szCs w:val="32"/>
        </w:rPr>
        <w:t>攻坚克难，稳步推进搬迁新建</w:t>
      </w:r>
      <w:r>
        <w:rPr>
          <w:rFonts w:ascii="Times New Roman" w:hAnsi="Times New Roman" w:eastAsia="仿宋_GB2312"/>
          <w:sz w:val="32"/>
          <w:szCs w:val="32"/>
        </w:rPr>
        <w:t>芒市职业教育中心、芒市民族小学、风平镇中心小学、新建轩岗乡和谐小学、改扩建芒市第六小学等五个重点项目建设，校舍总面积21.3万平方米，投资10.15亿元。</w:t>
      </w:r>
      <w:r>
        <w:rPr>
          <w:rFonts w:ascii="Times New Roman" w:hAnsi="Times New Roman" w:eastAsia="仿宋_GB2312"/>
          <w:kern w:val="0"/>
          <w:sz w:val="32"/>
          <w:szCs w:val="32"/>
        </w:rPr>
        <w:t>搬迁新建</w:t>
      </w:r>
      <w:r>
        <w:rPr>
          <w:rFonts w:ascii="Times New Roman" w:hAnsi="Times New Roman" w:eastAsia="仿宋_GB2312"/>
          <w:sz w:val="32"/>
          <w:szCs w:val="32"/>
        </w:rPr>
        <w:t>芒市职业教育中心正在开展规划设计，其余重点项目建设预计在年内开工。</w:t>
      </w:r>
    </w:p>
    <w:p>
      <w:pPr>
        <w:ind w:firstLine="630" w:firstLineChars="196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2.强化培训抓实教师队伍建设。</w:t>
      </w:r>
      <w:r>
        <w:rPr>
          <w:rFonts w:ascii="Times New Roman" w:hAnsi="Times New Roman" w:eastAsia="仿宋_GB2312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充实教师队伍</w:t>
      </w:r>
      <w:r>
        <w:rPr>
          <w:rFonts w:ascii="Times New Roman" w:hAnsi="Times New Roman" w:eastAsia="仿宋_GB2312"/>
          <w:sz w:val="32"/>
          <w:szCs w:val="32"/>
        </w:rPr>
        <w:t>。严把教师入口关，通过普岗、选优招聘等方式充实紧缺学科教师55人、</w:t>
      </w:r>
      <w:r>
        <w:rPr>
          <w:rFonts w:ascii="Times New Roman" w:hAnsi="Times New Roman" w:eastAsia="仿宋_GB2312"/>
          <w:sz w:val="32"/>
        </w:rPr>
        <w:t>调配充实城区小学教师50名</w:t>
      </w:r>
      <w:r>
        <w:rPr>
          <w:rFonts w:ascii="Times New Roman" w:hAnsi="Times New Roman" w:eastAsia="仿宋_GB2312"/>
          <w:sz w:val="32"/>
          <w:szCs w:val="32"/>
        </w:rPr>
        <w:t>，三年服务期满特岗教师43人已全部转岗。</w:t>
      </w:r>
      <w:r>
        <w:rPr>
          <w:rFonts w:ascii="Times New Roman" w:hAnsi="Times New Roman" w:eastAsia="仿宋_GB2312"/>
          <w:b/>
          <w:sz w:val="32"/>
          <w:szCs w:val="32"/>
        </w:rPr>
        <w:t>二是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实施素质提升工程</w:t>
      </w:r>
      <w:r>
        <w:rPr>
          <w:rFonts w:ascii="Times New Roman" w:hAnsi="Times New Roman" w:eastAsia="仿宋_GB2312"/>
          <w:b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落实《芒市义务教育学校教师校长交流轮岗工作实施方案》、《芒市薄弱学校走教工作实施方案》、《芒市双师型教师培训方案》，2017年交流校长教师345人次，音体美、英语、信息技术等专业教师走教69名，委托德宏师专对中小学252名非专业教师进行专业培训实现教师“一专多能”，专业教师紧缺和不均衡现象得到缓解。深入实施后备干部培训“531”工程（遴选三级、二级、一级后备干部50名、30名、10名，实行动态管理，系统培训）、教研员培养“15311”工程（通过每人每年听100节课、入校指导50次、读3本教育专著、外出培训1次、挂钩联系1所学校的方式，打造一支业务精湛的教育科研队伍）、骨干教师培养“133”工程（五年时间培养10名名校园长、30名学科带头人、300名市级骨干教师）、新教师培养“221”工程（通过“两年学”、“两年仿”、“一年创”，培养新教师逐步成长为专业成熟教师），2017年共培训教师4620人次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  <w:r>
        <w:rPr>
          <w:rFonts w:ascii="Times New Roman" w:hAnsi="Times New Roman" w:eastAsia="仿宋_GB2312"/>
          <w:b/>
          <w:sz w:val="32"/>
          <w:szCs w:val="32"/>
        </w:rPr>
        <w:t>三是提升教师待遇。</w:t>
      </w:r>
      <w:r>
        <w:rPr>
          <w:rFonts w:ascii="Times New Roman" w:hAnsi="Times New Roman" w:eastAsia="仿宋_GB2312"/>
          <w:sz w:val="32"/>
          <w:szCs w:val="32"/>
        </w:rPr>
        <w:t>继续落实义务教育教师绩效工资制度，按时足额发放乡镇岗位补贴、山坝区津贴、教职工工资及各种政策性补贴。推行农村教师晋升中级、高级专业技术职务不受结构比例限制，市财政每年安排50万元奖励农村突出贡献教职工，2017年起每年安排300万元作为各级各类学校教育质量奖。</w:t>
      </w:r>
      <w:r>
        <w:rPr>
          <w:rFonts w:ascii="Times New Roman" w:hAnsi="Times New Roman" w:eastAsia="仿宋_GB2312"/>
          <w:sz w:val="32"/>
        </w:rPr>
        <w:t>2017年共表彰教职工230人，其中农村教职工突出贡献奖50人、师德标兵30人、优秀教师61人，先进教育工作者39人，十佳班主任、十佳教师各10人，优秀教育科研工作者30人，涉及奖励资金64.4万元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</w:rPr>
        <w:t>同时有17名教师获得省州奖励。</w:t>
      </w:r>
      <w:r>
        <w:rPr>
          <w:rFonts w:ascii="Times New Roman" w:hAnsi="Times New Roman" w:eastAsia="仿宋_GB2312"/>
          <w:b/>
          <w:bCs/>
          <w:sz w:val="32"/>
          <w:szCs w:val="32"/>
        </w:rPr>
        <w:t>四是深化交流合作。</w:t>
      </w:r>
      <w:r>
        <w:rPr>
          <w:rFonts w:ascii="Times New Roman" w:hAnsi="Times New Roman" w:eastAsia="仿宋_GB2312"/>
          <w:sz w:val="32"/>
          <w:szCs w:val="32"/>
        </w:rPr>
        <w:t>充分发挥</w:t>
      </w:r>
      <w:r>
        <w:rPr>
          <w:rFonts w:ascii="Times New Roman" w:hAnsi="Times New Roman" w:eastAsia="仿宋_GB2312"/>
          <w:spacing w:val="-10"/>
          <w:sz w:val="32"/>
          <w:szCs w:val="32"/>
        </w:rPr>
        <w:t>中国教科院教育综合改革实验区及</w:t>
      </w:r>
      <w:r>
        <w:rPr>
          <w:rFonts w:ascii="Times New Roman" w:hAnsi="Times New Roman" w:eastAsia="仿宋_GB2312"/>
          <w:sz w:val="32"/>
          <w:szCs w:val="32"/>
        </w:rPr>
        <w:t>与发达地区高等院校建立的合作平台作用，深化与中国教科院、上海教科院、上海浦东教育发展研究院、成都教科院、昆明五华区教育局、昆明学院等交流合作，抓实芒市24所中小学与上海市嘉定区、浦东区16所中小学和四川省成都市8所中小学结成对子交流培训工作。</w:t>
      </w:r>
    </w:p>
    <w:p>
      <w:pPr>
        <w:spacing w:line="560" w:lineRule="exact"/>
        <w:ind w:firstLine="643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3.加强教育信息化建设。</w:t>
      </w:r>
      <w:r>
        <w:rPr>
          <w:rFonts w:ascii="Times New Roman" w:hAnsi="Times New Roman" w:eastAsia="仿宋_GB2312"/>
          <w:sz w:val="32"/>
          <w:szCs w:val="32"/>
        </w:rPr>
        <w:t>不断完善学校设施设备配备，保障基础、突出重点，</w:t>
      </w:r>
      <w:r>
        <w:rPr>
          <w:rFonts w:ascii="Times New Roman" w:hAnsi="Times New Roman" w:eastAsia="仿宋_GB2312"/>
          <w:bCs/>
          <w:sz w:val="32"/>
          <w:szCs w:val="32"/>
        </w:rPr>
        <w:t>投入7000万元打造教育</w:t>
      </w:r>
      <w:r>
        <w:rPr>
          <w:rFonts w:ascii="Times New Roman" w:hAnsi="Times New Roman" w:eastAsia="仿宋_GB2312"/>
          <w:sz w:val="32"/>
          <w:szCs w:val="32"/>
        </w:rPr>
        <w:t>信息化建设。实现全市500人以上中学、中心小学教育信息化“三通两平台”建设，建设芒市教育网络中心、全市中心机房，配备班级大屏146套、移动大屏13套、录播教室9个、机器人及VR教室3个等全省领先教育信息化设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42E9C"/>
    <w:rsid w:val="480B19DC"/>
    <w:rsid w:val="4AE71B63"/>
    <w:rsid w:val="5A5B6C9F"/>
    <w:rsid w:val="7984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2019-01-23T08:10:00Z</dcterms:created>
  <dc:creator>xsj</dc:creator>
  <cp:lastModifiedBy>zdf</cp:lastModifiedBy>
  <dcterms:modified xsi:type="dcterms:W3CDTF">2023-07-20T00:43:41Z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