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监督索引号53310300341001000</w:t>
      </w:r>
    </w:p>
    <w:p>
      <w:pPr>
        <w:jc w:val="center"/>
        <w:rPr>
          <w:rFonts w:hint="eastAsia" w:ascii="黑体" w:hAnsi="黑体" w:eastAsia="黑体"/>
          <w:sz w:val="44"/>
          <w:szCs w:val="44"/>
        </w:rPr>
      </w:pPr>
      <w:bookmarkStart w:id="0" w:name="_GoBack"/>
      <w:r>
        <w:rPr>
          <w:rFonts w:hint="eastAsia" w:ascii="黑体" w:hAnsi="黑体" w:eastAsia="黑体"/>
          <w:sz w:val="44"/>
          <w:szCs w:val="44"/>
          <w:lang w:eastAsia="zh-CN"/>
        </w:rPr>
        <w:t>芒市统计局</w:t>
      </w:r>
      <w:r>
        <w:rPr>
          <w:rFonts w:hint="eastAsia" w:ascii="黑体" w:hAnsi="黑体" w:eastAsia="黑体"/>
          <w:sz w:val="44"/>
          <w:szCs w:val="44"/>
          <w:lang w:val="en-US" w:eastAsia="zh-CN"/>
        </w:rPr>
        <w:t>2017</w:t>
      </w:r>
      <w:r>
        <w:rPr>
          <w:rFonts w:hint="eastAsia" w:ascii="黑体" w:hAnsi="黑体" w:eastAsia="黑体"/>
          <w:sz w:val="44"/>
          <w:szCs w:val="44"/>
        </w:rPr>
        <w:t>年</w:t>
      </w:r>
      <w:r>
        <w:rPr>
          <w:rFonts w:hint="eastAsia" w:ascii="黑体" w:hAnsi="黑体" w:eastAsia="黑体"/>
          <w:sz w:val="44"/>
          <w:szCs w:val="44"/>
          <w:lang w:eastAsia="zh-CN"/>
        </w:rPr>
        <w:t>度</w:t>
      </w:r>
      <w:r>
        <w:rPr>
          <w:rFonts w:hint="eastAsia" w:ascii="黑体" w:hAnsi="黑体" w:eastAsia="黑体"/>
          <w:sz w:val="44"/>
          <w:szCs w:val="44"/>
        </w:rPr>
        <w:t>部门</w:t>
      </w:r>
      <w:r>
        <w:rPr>
          <w:rFonts w:hint="eastAsia" w:ascii="黑体" w:hAnsi="黑体" w:eastAsia="黑体"/>
          <w:sz w:val="44"/>
          <w:szCs w:val="44"/>
          <w:lang w:eastAsia="zh-CN"/>
        </w:rPr>
        <w:t>决算公开</w:t>
      </w:r>
      <w:r>
        <w:rPr>
          <w:rFonts w:hint="eastAsia" w:ascii="黑体" w:hAnsi="黑体" w:eastAsia="黑体"/>
          <w:sz w:val="44"/>
          <w:szCs w:val="44"/>
        </w:rPr>
        <w:t>说明</w:t>
      </w:r>
    </w:p>
    <w:bookmarkEnd w:id="0"/>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芒市统计局</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根据《芒市人民政府办公室关于印发市统计局主要职责内设机构和人员编制规定的通知》芒政办发【2011】131号文件规定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芒市统计局主要职责为：</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zh-CN"/>
        </w:rPr>
        <w:t>负责组织领导和协调全市统计工作，承担确保统计数据真实、准确、及时的责任。二是负责市委、市政府、州统计局规定和下达的统计调查任务，统计现代化建设规划和统计体制改革方案，组织协调全市各乡镇、各部门的统计和国民经济核算工作，监督、检查统计法律、法规的实施。三是统一核定、管理、公布、出版全市性的基本统计资料。四是定期发布全市国民经济和社会发展情况的统计的公报，搞好统一信息咨询服务。</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2017</w:t>
      </w:r>
      <w:r>
        <w:rPr>
          <w:rFonts w:hint="eastAsia" w:ascii="楷体" w:hAnsi="楷体" w:eastAsia="楷体"/>
          <w:bCs/>
          <w:szCs w:val="30"/>
        </w:rPr>
        <w:t>年度重点工作任务介绍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深入推进“两学一做”学习教育常态化制度化活动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为深入贯彻落实好中央、省、州、市“两学一做”学习教育座谈会精神，不断提升基层党建工作水平， 5月31日下午，芒市统计局召开“两学一做”学习教育常态化制度化工作座谈会。会上，文浩局长传达学习了习近平总书记和市委关于推进“两学一做”学习教育常态化制度化的重要指示精神，对局党支部“两学一做”学习教育常态化制度化工作进行了安排部署。开展“两学一做”学习教育，是坚持思想建党、组织建党、制度治党紧密结合的有力抓手，是不断加强党的思想政治建设的有效途径，是全面从严治党的战略性、基础性工程。一年来，统计局通过认真组织开展“两学一做”学习教育实践活动，有力地推动了统计工作的科学发展，活动的开展，使得机关作风得到了进一步加强，党员干部的理论素养和履职能力明显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各项统计改革决策部署落地见效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一是积极推进统计改革意见的贯彻落实。一年来，统计局坚持以改革为引领，把提高统计数据真实性作为重大政治任务，积极向上级领导请示汇报各项工作，各项统计改革工作得到市委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 xml:space="preserve">政府的大力支持。二是认真学习贯彻陈豪书记到省统计局调研的重要讲话精神。根据陈豪书记调研的重要讲话精神，统计局及时制定了的任务分解表，理清工作思路，明确时间表、路线图、责任状，按月、按季对支撑芒主要经济指标实行“挂图监测”，确保陈豪书记重要讲话精神得到全面贯彻落实。三是全面推动统计改革创新。认真分析研究芒市统计工作面临的新形势新任务新挑战，按照州人民政府《关于进一步加强服务业统计工作的意见》要求，加快推进芒市“三新”统计、工业统计、固定资产投资统计、服务业统计等各专业统计方法制度改革，不断提升统计工作效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重大国情国力调查有序推进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次全国农业普查入户登记是上半年统计局重中之重的工作，从1月1日开始，芒市第三次全国农业普查入户登记工作全面展开，全市1035人普查指导员、普查员佩戴统一证件，手持PDA(智能数据采集终端)，对全市13个乡镇（街道、农场）、80个村委会、15个居委会的所有普查对象进行入户调查登记。据普查，全市共登记户数66804户，普通农户63485户，规模农户409户。为确保普查数据质量，全体统计干部职工加班加点，对普查数据质量进行审核，全面完成了普查数据的上传、完成了乡镇表和行政村联网直报、复查验收、普查数据的审核汇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认真开展2017年度公众安全感满意度调查工作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客观准确地了解人民群众对当前政法机关和执法队伍工作的安全感满意度以及对社会治安状况的真实评价，征求群众对公安工作和队伍建设意见和建议，芒市统计局每月对全市13个乡镇（街道、遮放农场）通过拨打固定电话的方式开展了社会公众安全调查。通过调查，了解群众对当前社会治安安全感满意度，以及对相关问题的意见和建议，针对调查结果，不断改进工作方法，加强法制宣传教育，提高社会防控能力，最大程度的减少违法犯罪，增强人民群众安全感，促进平安芒市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上半年芒市安全感满意度</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 xml:space="preserve"> ，在全省129个县市区的排位从2016年的 </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 xml:space="preserve"> 位上升到</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统计工作的新理念、新定位、新角色得到有效发挥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践行统计工作的新理念，围绕GDP开展“挂图监测”。按照“依法依规，实事求是，应统尽统，不出假数”的要求，统计局一方面积极向各级党政领导宣传统计工作的新理念、新定位和新角色，争取各级领导和部门的理解和支持，按月、按季对支撑GDP基础指标和主要指标实行“挂图监测”，为党委、政府挂图指挥和主管部门挂图作战当好“计分员、监测员、服务员”；另一方面加强与各部门协调配合，加强监测，主动适应经济发展新常态，不断提高数据质量，客观真实反映经济社会发展成效的积极态度，得到了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政府的大力支持。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数据分析服务党委政府。从促进芒市经济社会发展的高度出发，密切跟踪宏观经济形势变化，围绕芒市经济社会发展的重点工作开展调查。在工作中，变被动为主动服务，积极调查分析经济发展情况，提供更多优质信息，为促进全市经济发展积极建言献策，为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科学决策服好务、当好参谋。一年来，共编印《芒市国民经济主要指标卡片》9期，《芒市统计》32多期，《芒市经济社会发展目标进度专报》9期；统计信息65期，对外提供统计数据、资料百余次。完成了《2016统计年鉴》编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统计执法宣传力度进一步加强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加强对统计宣传工作的领导，坚持“事前有策划，事中有协调，事后有跟踪”的原则，精心组织，周密部署，及时发布月度、季度经济运行情况，加强统计数据的解读。编印《芒市国民经济主要指标》及《统计年鉴》等资料，通过图文并茂的方式，全方位、多层面展示了芒市经济社会发展取得的成就。注重统计宣传工作的主动性、针对性和时效性，广泛宣传统工作新亮点和芒市经济社会发展新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加强宣传培训，营造学法用法的良好环境。采取措施，不断加强统计法规的宣传，充分利用报表布置、统计教育培训、编印统计资料等机会，不失时机地进行统计法的宣传普及。</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以“七五”普法等宣传活动为契机，组织统计人员到街心花园摆摊设点，以解说、发放宣传和悬挂宣传标语等方式，向群众宣传统计法规，让更多的人了解和支持统计工作</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加强学习培训，不断提高统计人员的工作能力和水平。一年来，选派人员参加国家、省、州业务培训</w:t>
      </w:r>
      <w:r>
        <w:rPr>
          <w:rFonts w:hint="eastAsia" w:ascii="仿宋_GB2312" w:hAnsi="仿宋_GB2312" w:eastAsia="仿宋_GB2312" w:cs="仿宋_GB2312"/>
          <w:sz w:val="32"/>
          <w:szCs w:val="32"/>
          <w:lang w:eastAsia="zh-CN"/>
        </w:rPr>
        <w:t>百</w:t>
      </w:r>
      <w:r>
        <w:rPr>
          <w:rFonts w:hint="eastAsia" w:ascii="仿宋_GB2312" w:hAnsi="仿宋_GB2312" w:eastAsia="仿宋_GB2312" w:cs="仿宋_GB2312"/>
          <w:sz w:val="32"/>
          <w:szCs w:val="32"/>
        </w:rPr>
        <w:t>余人次；开展乡镇统计员统计业务知识培训100余人次。通过开展多层次、宽领域的业务培训，切实有效地提高了统计从业人员的业务素质和工作能力。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管理，依法统计。统计局始终把依法治统作为提高数据质量、促进统计事业健康发展的根本立足点，大力推进依法治统。一年来，我局加大统计执法检查力度，先后多次组织开展统计执法大检查等专项检查活动，努力推进了统计执法工作的常态化、制度化、规范化，依法纠正和遏制在统计上虚报、瞒报、拒报、迟报、伪造、篡改等弄虚作假行为，营造了风清气正的统计工作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扎实做好“脱贫攻坚”工作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一是积极组织干部职工深入扶贫挂钩点——遮放镇嘎中村，到</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户结对帮扶对象家中进行贫困情况摸底调查，认真记录贫困户反映的问题和困难，帮助他们制定脱贫工作计划，积极为他们出谋划策，努力帮助结对帮扶对象解决产业发展和生产生活中存在的困难问题，力争早日脱贫。二是加强全市脱贫攻坚数据监测工作。一年来，统计局充分发挥统计工作职能，紧紧围绕全市的脱贫摘帽任务，按照省州市要求，加强对全市农村常住居民人均可支配收入等统计数据的监测和管控，重点监测全市低收入农户收入数据增减变化趋势，及时发现和解决新情况、新问题，不断提高监测质量，为确实做好全市脱贫出列，坚决打赢脱贫摘帽任务而努力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认真做好综治维稳工作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2017年芒市单位综治维稳（平安建设）目标管理责任书》的要求，我局不断加强和创新综治维稳各项工作，全面推行网格化服务管理体系，扎实推进社会稳定风险评估、保密、妇女、老干部、见义勇为、平安建设、国家安全教育和反邪教等工作。推进禁毒防艾和社会主义新农村建设工作</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w:t>
      </w:r>
      <w:r>
        <w:rPr>
          <w:rFonts w:hint="eastAsia" w:ascii="黑体" w:hAnsi="黑体" w:eastAsia="黑体"/>
          <w:sz w:val="30"/>
          <w:szCs w:val="30"/>
          <w:lang w:eastAsia="zh-CN"/>
        </w:rPr>
        <w:t>部门</w:t>
      </w:r>
      <w:r>
        <w:rPr>
          <w:rFonts w:hint="eastAsia" w:ascii="黑体" w:hAnsi="黑体" w:eastAsia="黑体"/>
          <w:sz w:val="30"/>
          <w:szCs w:val="30"/>
        </w:rPr>
        <w:t>基本情况</w:t>
      </w:r>
    </w:p>
    <w:p>
      <w:pPr>
        <w:spacing w:line="600" w:lineRule="exact"/>
        <w:ind w:firstLine="643" w:firstLineChars="200"/>
        <w:rPr>
          <w:rFonts w:hint="eastAsia" w:ascii="楷体" w:hAnsi="楷体" w:eastAsia="楷体"/>
          <w:b/>
          <w:bCs/>
          <w:sz w:val="32"/>
          <w:szCs w:val="32"/>
        </w:rPr>
      </w:pPr>
      <w:r>
        <w:rPr>
          <w:rFonts w:hint="eastAsia" w:ascii="楷体" w:hAnsi="楷体" w:eastAsia="楷体"/>
          <w:b/>
          <w:bCs/>
          <w:sz w:val="32"/>
          <w:szCs w:val="32"/>
        </w:rPr>
        <w:t>（一）部门决算单位构成</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纳入</w:t>
      </w:r>
      <w:r>
        <w:rPr>
          <w:rFonts w:hint="eastAsia" w:ascii="仿宋_GB2312" w:eastAsia="仿宋_GB2312"/>
          <w:sz w:val="32"/>
          <w:szCs w:val="32"/>
          <w:lang w:eastAsia="zh-CN"/>
        </w:rPr>
        <w:t>芒市统计局</w:t>
      </w:r>
      <w:r>
        <w:rPr>
          <w:rFonts w:hint="eastAsia" w:ascii="仿宋_GB2312" w:eastAsia="仿宋_GB2312"/>
          <w:sz w:val="32"/>
          <w:szCs w:val="32"/>
          <w:lang w:val="en-US" w:eastAsia="zh-CN"/>
        </w:rPr>
        <w:t>2017</w:t>
      </w:r>
      <w:r>
        <w:rPr>
          <w:rFonts w:hint="eastAsia" w:ascii="仿宋_GB2312" w:eastAsia="仿宋_GB2312"/>
          <w:sz w:val="32"/>
          <w:szCs w:val="32"/>
        </w:rPr>
        <w:t>年度部门决算编报的单位共</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bCs/>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即为</w:t>
      </w:r>
      <w:r>
        <w:rPr>
          <w:rFonts w:hint="eastAsia" w:ascii="仿宋_GB2312" w:eastAsia="仿宋_GB2312"/>
          <w:sz w:val="32"/>
          <w:szCs w:val="32"/>
          <w:lang w:val="en-US" w:eastAsia="zh-CN"/>
        </w:rPr>
        <w:t>芒市统计局。</w:t>
      </w:r>
    </w:p>
    <w:p>
      <w:pPr>
        <w:ind w:firstLine="643" w:firstLineChars="200"/>
        <w:rPr>
          <w:rFonts w:hint="eastAsia" w:ascii="楷体" w:hAnsi="楷体" w:eastAsia="楷体"/>
          <w:b/>
          <w:bCs/>
          <w:sz w:val="32"/>
          <w:szCs w:val="32"/>
        </w:rPr>
      </w:pPr>
      <w:r>
        <w:rPr>
          <w:rFonts w:hint="eastAsia" w:ascii="楷体" w:hAnsi="楷体" w:eastAsia="楷体"/>
          <w:b/>
          <w:bCs/>
          <w:sz w:val="32"/>
          <w:szCs w:val="32"/>
        </w:rPr>
        <w:t xml:space="preserve">（二）部门人员和车辆的编制及实有情况 </w:t>
      </w:r>
    </w:p>
    <w:p>
      <w:pPr>
        <w:spacing w:line="600" w:lineRule="exact"/>
        <w:ind w:firstLine="640" w:firstLineChars="200"/>
        <w:rPr>
          <w:rFonts w:hint="eastAsia" w:ascii="仿宋_GB2312" w:hAnsi="宋体" w:eastAsia="仿宋_GB2312" w:cs="Arial"/>
          <w:kern w:val="0"/>
          <w:sz w:val="32"/>
          <w:szCs w:val="32"/>
        </w:rPr>
      </w:pPr>
      <w:r>
        <w:rPr>
          <w:rFonts w:hint="eastAsia" w:ascii="仿宋_GB2312" w:eastAsia="仿宋_GB2312"/>
          <w:sz w:val="32"/>
          <w:szCs w:val="32"/>
          <w:lang w:eastAsia="zh-CN"/>
        </w:rPr>
        <w:t>芒市统计局</w:t>
      </w:r>
      <w:r>
        <w:rPr>
          <w:rFonts w:hint="eastAsia" w:ascii="仿宋_GB2312" w:eastAsia="仿宋_GB2312"/>
          <w:sz w:val="32"/>
          <w:szCs w:val="32"/>
          <w:lang w:val="en-US" w:eastAsia="zh-CN"/>
        </w:rPr>
        <w:t>2017</w:t>
      </w:r>
      <w:r>
        <w:rPr>
          <w:rFonts w:hint="eastAsia" w:ascii="仿宋_GB2312" w:eastAsia="仿宋_GB2312"/>
          <w:sz w:val="32"/>
          <w:szCs w:val="32"/>
        </w:rPr>
        <w:t>年末实有人员编制</w:t>
      </w:r>
      <w:r>
        <w:rPr>
          <w:rFonts w:hint="eastAsia" w:ascii="仿宋_GB2312" w:eastAsia="仿宋_GB2312"/>
          <w:sz w:val="32"/>
          <w:szCs w:val="32"/>
          <w:lang w:val="en-US" w:eastAsia="zh-CN"/>
        </w:rPr>
        <w:t>14</w:t>
      </w:r>
      <w:r>
        <w:rPr>
          <w:rFonts w:hint="eastAsia" w:ascii="仿宋_GB2312" w:hAnsi="宋体" w:eastAsia="仿宋_GB2312" w:cs="Arial"/>
          <w:kern w:val="0"/>
          <w:sz w:val="32"/>
          <w:szCs w:val="32"/>
        </w:rPr>
        <w:t>人。其中：行政编制</w:t>
      </w:r>
      <w:r>
        <w:rPr>
          <w:rFonts w:hint="eastAsia" w:ascii="仿宋_GB2312" w:eastAsia="仿宋_GB2312"/>
          <w:sz w:val="32"/>
          <w:szCs w:val="32"/>
          <w:lang w:val="en-US" w:eastAsia="zh-CN"/>
        </w:rPr>
        <w:t>14</w:t>
      </w:r>
      <w:r>
        <w:rPr>
          <w:rFonts w:hint="eastAsia" w:ascii="仿宋_GB2312" w:hAnsi="宋体" w:eastAsia="仿宋_GB2312" w:cs="Arial"/>
          <w:kern w:val="0"/>
          <w:sz w:val="32"/>
          <w:szCs w:val="32"/>
        </w:rPr>
        <w:t>人（含行政工勤编制</w:t>
      </w:r>
      <w:r>
        <w:rPr>
          <w:rFonts w:hint="eastAsia" w:ascii="仿宋_GB2312" w:eastAsia="仿宋_GB2312"/>
          <w:sz w:val="32"/>
          <w:szCs w:val="32"/>
          <w:lang w:val="en-US" w:eastAsia="zh-CN"/>
        </w:rPr>
        <w:t>1</w:t>
      </w:r>
      <w:r>
        <w:rPr>
          <w:rFonts w:hint="eastAsia" w:ascii="仿宋_GB2312" w:hAnsi="宋体" w:eastAsia="仿宋_GB2312" w:cs="Arial"/>
          <w:kern w:val="0"/>
          <w:sz w:val="32"/>
          <w:szCs w:val="32"/>
        </w:rPr>
        <w:t>人），事业编制</w:t>
      </w:r>
      <w:r>
        <w:rPr>
          <w:rFonts w:hint="eastAsia" w:ascii="仿宋_GB2312" w:eastAsia="仿宋_GB2312"/>
          <w:sz w:val="32"/>
          <w:szCs w:val="32"/>
          <w:lang w:val="en-US" w:eastAsia="zh-CN"/>
        </w:rPr>
        <w:t>0</w:t>
      </w:r>
      <w:r>
        <w:rPr>
          <w:rFonts w:hint="eastAsia" w:ascii="仿宋_GB2312" w:hAnsi="宋体" w:eastAsia="仿宋_GB2312" w:cs="Arial"/>
          <w:kern w:val="0"/>
          <w:sz w:val="32"/>
          <w:szCs w:val="32"/>
        </w:rPr>
        <w:t>人（含参公管理事业编制</w:t>
      </w:r>
      <w:r>
        <w:rPr>
          <w:rFonts w:hint="eastAsia" w:ascii="仿宋_GB2312" w:eastAsia="仿宋_GB2312"/>
          <w:sz w:val="32"/>
          <w:szCs w:val="32"/>
          <w:lang w:val="en-US" w:eastAsia="zh-CN"/>
        </w:rPr>
        <w:t>0</w:t>
      </w:r>
      <w:r>
        <w:rPr>
          <w:rFonts w:hint="eastAsia" w:ascii="仿宋_GB2312" w:hAnsi="宋体" w:eastAsia="仿宋_GB2312" w:cs="Arial"/>
          <w:kern w:val="0"/>
          <w:sz w:val="32"/>
          <w:szCs w:val="32"/>
        </w:rPr>
        <w:t>人）；在职在编实有行政人员</w:t>
      </w:r>
      <w:r>
        <w:rPr>
          <w:rFonts w:hint="eastAsia" w:ascii="仿宋_GB2312" w:eastAsia="仿宋_GB2312"/>
          <w:sz w:val="32"/>
          <w:szCs w:val="32"/>
          <w:lang w:val="en-US" w:eastAsia="zh-CN"/>
        </w:rPr>
        <w:t>25</w:t>
      </w:r>
      <w:r>
        <w:rPr>
          <w:rFonts w:hint="eastAsia" w:ascii="仿宋_GB2312" w:hAnsi="宋体" w:eastAsia="仿宋_GB2312" w:cs="Arial"/>
          <w:kern w:val="0"/>
          <w:sz w:val="32"/>
          <w:szCs w:val="32"/>
        </w:rPr>
        <w:t>人（含行政工勤人员</w:t>
      </w:r>
      <w:r>
        <w:rPr>
          <w:rFonts w:hint="eastAsia" w:ascii="仿宋_GB2312" w:hAnsi="宋体" w:eastAsia="仿宋_GB2312" w:cs="Arial"/>
          <w:kern w:val="0"/>
          <w:sz w:val="32"/>
          <w:szCs w:val="32"/>
          <w:lang w:val="en-US" w:eastAsia="zh-CN"/>
        </w:rPr>
        <w:t>1</w:t>
      </w:r>
      <w:r>
        <w:rPr>
          <w:rFonts w:hint="eastAsia" w:ascii="仿宋_GB2312" w:hAnsi="宋体" w:eastAsia="仿宋_GB2312" w:cs="Arial"/>
          <w:kern w:val="0"/>
          <w:sz w:val="32"/>
          <w:szCs w:val="32"/>
        </w:rPr>
        <w:t>人），事业人员</w:t>
      </w:r>
      <w:r>
        <w:rPr>
          <w:rFonts w:hint="eastAsia" w:ascii="仿宋_GB2312" w:eastAsia="仿宋_GB2312"/>
          <w:sz w:val="32"/>
          <w:szCs w:val="32"/>
          <w:lang w:val="en-US" w:eastAsia="zh-CN"/>
        </w:rPr>
        <w:t>0</w:t>
      </w:r>
      <w:r>
        <w:rPr>
          <w:rFonts w:hint="eastAsia" w:ascii="仿宋_GB2312" w:hAnsi="宋体" w:eastAsia="仿宋_GB2312" w:cs="Arial"/>
          <w:kern w:val="0"/>
          <w:sz w:val="32"/>
          <w:szCs w:val="32"/>
        </w:rPr>
        <w:t>人（含参公管理事业人员</w:t>
      </w:r>
      <w:r>
        <w:rPr>
          <w:rFonts w:hint="eastAsia" w:ascii="仿宋_GB2312" w:eastAsia="仿宋_GB2312"/>
          <w:sz w:val="32"/>
          <w:szCs w:val="32"/>
          <w:lang w:val="en-US" w:eastAsia="zh-CN"/>
        </w:rPr>
        <w:t>0</w:t>
      </w:r>
      <w:r>
        <w:rPr>
          <w:rFonts w:hint="eastAsia" w:ascii="仿宋_GB2312" w:hAnsi="宋体" w:eastAsia="仿宋_GB2312" w:cs="Arial"/>
          <w:kern w:val="0"/>
          <w:sz w:val="32"/>
          <w:szCs w:val="32"/>
        </w:rPr>
        <w:t>人）。离退休人员</w:t>
      </w:r>
      <w:r>
        <w:rPr>
          <w:rFonts w:hint="eastAsia" w:ascii="仿宋_GB2312" w:eastAsia="仿宋_GB2312"/>
          <w:sz w:val="32"/>
          <w:szCs w:val="32"/>
          <w:lang w:val="en-US" w:eastAsia="zh-CN"/>
        </w:rPr>
        <w:t>8</w:t>
      </w:r>
      <w:r>
        <w:rPr>
          <w:rFonts w:hint="eastAsia" w:ascii="仿宋_GB2312" w:hAnsi="宋体" w:eastAsia="仿宋_GB2312" w:cs="Arial"/>
          <w:kern w:val="0"/>
          <w:sz w:val="32"/>
          <w:szCs w:val="32"/>
        </w:rPr>
        <w:t>人。其中：离休</w:t>
      </w:r>
      <w:r>
        <w:rPr>
          <w:rFonts w:hint="eastAsia" w:ascii="仿宋_GB2312" w:eastAsia="仿宋_GB2312"/>
          <w:sz w:val="32"/>
          <w:szCs w:val="32"/>
          <w:lang w:val="en-US" w:eastAsia="zh-CN"/>
        </w:rPr>
        <w:t>0</w:t>
      </w:r>
      <w:r>
        <w:rPr>
          <w:rFonts w:hint="eastAsia" w:ascii="仿宋_GB2312" w:hAnsi="宋体" w:eastAsia="仿宋_GB2312" w:cs="Arial"/>
          <w:kern w:val="0"/>
          <w:sz w:val="32"/>
          <w:szCs w:val="32"/>
        </w:rPr>
        <w:t>人，退休</w:t>
      </w:r>
      <w:r>
        <w:rPr>
          <w:rFonts w:hint="eastAsia" w:ascii="仿宋_GB2312" w:eastAsia="仿宋_GB2312"/>
          <w:sz w:val="32"/>
          <w:szCs w:val="32"/>
          <w:lang w:val="en-US" w:eastAsia="zh-CN"/>
        </w:rPr>
        <w:t>8</w:t>
      </w:r>
      <w:r>
        <w:rPr>
          <w:rFonts w:hint="eastAsia" w:ascii="仿宋_GB2312" w:hAnsi="宋体" w:eastAsia="仿宋_GB2312" w:cs="Arial"/>
          <w:kern w:val="0"/>
          <w:sz w:val="32"/>
          <w:szCs w:val="32"/>
        </w:rPr>
        <w:t>人。实有车辆编制</w:t>
      </w:r>
      <w:r>
        <w:rPr>
          <w:rFonts w:hint="eastAsia" w:ascii="仿宋_GB2312" w:eastAsia="仿宋_GB2312"/>
          <w:sz w:val="32"/>
          <w:szCs w:val="32"/>
          <w:lang w:val="en-US" w:eastAsia="zh-CN"/>
        </w:rPr>
        <w:t>1</w:t>
      </w:r>
      <w:r>
        <w:rPr>
          <w:rFonts w:hint="eastAsia" w:ascii="仿宋_GB2312" w:hAnsi="宋体" w:eastAsia="仿宋_GB2312" w:cs="Arial"/>
          <w:kern w:val="0"/>
          <w:sz w:val="32"/>
          <w:szCs w:val="32"/>
        </w:rPr>
        <w:t>辆，在编实有车辆</w:t>
      </w:r>
      <w:r>
        <w:rPr>
          <w:rFonts w:hint="eastAsia" w:ascii="仿宋_GB2312" w:eastAsia="仿宋_GB2312"/>
          <w:sz w:val="32"/>
          <w:szCs w:val="32"/>
          <w:lang w:val="en-US" w:eastAsia="zh-CN"/>
        </w:rPr>
        <w:t>1</w:t>
      </w:r>
      <w:r>
        <w:rPr>
          <w:rFonts w:hint="eastAsia" w:ascii="仿宋_GB2312" w:hAnsi="宋体" w:eastAsia="仿宋_GB2312" w:cs="Arial"/>
          <w:kern w:val="0"/>
          <w:sz w:val="32"/>
          <w:szCs w:val="32"/>
        </w:rPr>
        <w:t>辆。</w:t>
      </w: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2017</w:t>
      </w:r>
      <w:r>
        <w:rPr>
          <w:rFonts w:hint="eastAsia" w:ascii="黑体" w:hAnsi="黑体" w:eastAsia="黑体"/>
          <w:sz w:val="32"/>
          <w:szCs w:val="32"/>
        </w:rPr>
        <w:t>年度部门决算表</w:t>
      </w:r>
    </w:p>
    <w:p>
      <w:pPr>
        <w:spacing w:line="600" w:lineRule="exact"/>
        <w:ind w:firstLine="2700" w:firstLineChars="900"/>
        <w:jc w:val="both"/>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 xml:space="preserve">第三部门  </w:t>
      </w:r>
      <w:r>
        <w:rPr>
          <w:rFonts w:hint="eastAsia" w:ascii="黑体" w:hAnsi="黑体" w:eastAsia="黑体"/>
          <w:sz w:val="32"/>
          <w:szCs w:val="32"/>
          <w:lang w:val="en-US" w:eastAsia="zh-CN"/>
        </w:rPr>
        <w:t>2017</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hAnsi="宋体" w:eastAsia="仿宋_GB2312" w:cs="Arial"/>
          <w:kern w:val="0"/>
          <w:sz w:val="30"/>
          <w:szCs w:val="30"/>
        </w:rPr>
      </w:pPr>
      <w:r>
        <w:rPr>
          <w:rFonts w:hint="eastAsia" w:ascii="仿宋_GB2312" w:eastAsia="仿宋_GB2312"/>
          <w:sz w:val="30"/>
          <w:szCs w:val="30"/>
          <w:lang w:eastAsia="zh-CN"/>
        </w:rPr>
        <w:t>芒市统计局</w:t>
      </w:r>
      <w:r>
        <w:rPr>
          <w:rFonts w:hint="eastAsia" w:ascii="仿宋_GB2312" w:eastAsia="仿宋_GB2312"/>
          <w:sz w:val="30"/>
          <w:szCs w:val="30"/>
          <w:lang w:val="en-US" w:eastAsia="zh-CN"/>
        </w:rPr>
        <w:t>2017</w:t>
      </w:r>
      <w:r>
        <w:rPr>
          <w:rFonts w:hint="eastAsia" w:ascii="仿宋_GB2312" w:eastAsia="仿宋_GB2312"/>
          <w:sz w:val="30"/>
          <w:szCs w:val="30"/>
        </w:rPr>
        <w:t>年度收入合计464</w:t>
      </w:r>
      <w:r>
        <w:rPr>
          <w:rFonts w:hint="eastAsia" w:ascii="仿宋_GB2312" w:eastAsia="仿宋_GB2312"/>
          <w:sz w:val="30"/>
          <w:szCs w:val="30"/>
          <w:lang w:val="en-US" w:eastAsia="zh-CN"/>
        </w:rPr>
        <w:t>.</w:t>
      </w:r>
      <w:r>
        <w:rPr>
          <w:rFonts w:hint="eastAsia" w:ascii="仿宋_GB2312" w:eastAsia="仿宋_GB2312"/>
          <w:sz w:val="30"/>
          <w:szCs w:val="30"/>
        </w:rPr>
        <w:t>84万元。其中：财政拨款收入437</w:t>
      </w:r>
      <w:r>
        <w:rPr>
          <w:rFonts w:hint="eastAsia" w:ascii="仿宋_GB2312" w:eastAsia="仿宋_GB2312"/>
          <w:sz w:val="30"/>
          <w:szCs w:val="30"/>
          <w:lang w:val="en-US" w:eastAsia="zh-CN"/>
        </w:rPr>
        <w:t>.</w:t>
      </w:r>
      <w:r>
        <w:rPr>
          <w:rFonts w:hint="eastAsia" w:ascii="仿宋_GB2312" w:eastAsia="仿宋_GB2312"/>
          <w:sz w:val="30"/>
          <w:szCs w:val="30"/>
        </w:rPr>
        <w:t>15万元，占总收入的</w:t>
      </w:r>
      <w:r>
        <w:rPr>
          <w:rFonts w:hint="eastAsia" w:ascii="仿宋_GB2312" w:eastAsia="仿宋_GB2312"/>
          <w:sz w:val="30"/>
          <w:szCs w:val="30"/>
          <w:lang w:val="en-US" w:eastAsia="zh-CN"/>
        </w:rPr>
        <w:t>94.04</w:t>
      </w:r>
      <w:r>
        <w:rPr>
          <w:rFonts w:hint="eastAsia" w:ascii="仿宋_GB2312" w:eastAsia="仿宋_GB2312"/>
          <w:sz w:val="30"/>
          <w:szCs w:val="30"/>
        </w:rPr>
        <w:t>%；上级补助收入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%；事业收入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%；经营收入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%；附属单位缴款收入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%；其他收入</w:t>
      </w:r>
      <w:r>
        <w:rPr>
          <w:rFonts w:hint="eastAsia" w:ascii="仿宋_GB2312" w:eastAsia="仿宋_GB2312"/>
          <w:sz w:val="30"/>
          <w:szCs w:val="30"/>
          <w:lang w:val="en-US" w:eastAsia="zh-CN"/>
        </w:rPr>
        <w:t>4.45</w:t>
      </w:r>
      <w:r>
        <w:rPr>
          <w:rFonts w:hint="eastAsia" w:ascii="仿宋_GB2312" w:eastAsia="仿宋_GB2312"/>
          <w:sz w:val="30"/>
          <w:szCs w:val="30"/>
        </w:rPr>
        <w:t>万元，占总收入的</w:t>
      </w:r>
      <w:r>
        <w:rPr>
          <w:rFonts w:hint="eastAsia" w:ascii="仿宋_GB2312" w:eastAsia="仿宋_GB2312"/>
          <w:sz w:val="30"/>
          <w:szCs w:val="30"/>
          <w:lang w:val="en-US" w:eastAsia="zh-CN"/>
        </w:rPr>
        <w:t>0.96</w:t>
      </w:r>
      <w:r>
        <w:rPr>
          <w:rFonts w:hint="eastAsia" w:ascii="仿宋_GB2312" w:eastAsia="仿宋_GB2312"/>
          <w:sz w:val="30"/>
          <w:szCs w:val="30"/>
        </w:rPr>
        <w:t>%</w:t>
      </w:r>
      <w:r>
        <w:rPr>
          <w:rFonts w:hint="eastAsia" w:ascii="仿宋_GB2312" w:eastAsia="仿宋_GB2312"/>
          <w:sz w:val="30"/>
          <w:szCs w:val="30"/>
          <w:lang w:eastAsia="zh-CN"/>
        </w:rPr>
        <w:t>；上年结转</w:t>
      </w:r>
      <w:r>
        <w:rPr>
          <w:rFonts w:hint="eastAsia" w:ascii="仿宋_GB2312" w:eastAsia="仿宋_GB2312"/>
          <w:sz w:val="30"/>
          <w:szCs w:val="30"/>
        </w:rPr>
        <w:t>23</w:t>
      </w:r>
      <w:r>
        <w:rPr>
          <w:rFonts w:hint="eastAsia" w:ascii="仿宋_GB2312" w:eastAsia="仿宋_GB2312"/>
          <w:sz w:val="30"/>
          <w:szCs w:val="30"/>
          <w:lang w:val="en-US" w:eastAsia="zh-CN"/>
        </w:rPr>
        <w:t>.</w:t>
      </w:r>
      <w:r>
        <w:rPr>
          <w:rFonts w:hint="eastAsia" w:ascii="仿宋_GB2312" w:eastAsia="仿宋_GB2312"/>
          <w:sz w:val="30"/>
          <w:szCs w:val="30"/>
        </w:rPr>
        <w:t>24万元</w:t>
      </w:r>
      <w:r>
        <w:rPr>
          <w:rFonts w:hint="eastAsia" w:ascii="仿宋_GB2312" w:eastAsia="仿宋_GB2312"/>
          <w:sz w:val="30"/>
          <w:szCs w:val="30"/>
          <w:lang w:eastAsia="zh-CN"/>
        </w:rPr>
        <w:t>，</w:t>
      </w:r>
      <w:r>
        <w:rPr>
          <w:rFonts w:hint="eastAsia" w:ascii="仿宋_GB2312" w:eastAsia="仿宋_GB2312"/>
          <w:sz w:val="30"/>
          <w:szCs w:val="30"/>
        </w:rPr>
        <w:t>占总收入的</w:t>
      </w:r>
      <w:r>
        <w:rPr>
          <w:rFonts w:hint="eastAsia" w:ascii="仿宋_GB2312" w:eastAsia="仿宋_GB2312"/>
          <w:sz w:val="30"/>
          <w:szCs w:val="30"/>
          <w:lang w:val="en-US" w:eastAsia="zh-CN"/>
        </w:rPr>
        <w:t>5</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与上年</w:t>
      </w:r>
      <w:r>
        <w:rPr>
          <w:rFonts w:hint="eastAsia" w:ascii="仿宋_GB2312" w:eastAsia="仿宋_GB2312"/>
          <w:sz w:val="30"/>
          <w:szCs w:val="30"/>
          <w:lang w:eastAsia="zh-CN"/>
        </w:rPr>
        <w:t>相</w:t>
      </w:r>
      <w:r>
        <w:rPr>
          <w:rFonts w:hint="eastAsia" w:ascii="仿宋_GB2312" w:eastAsia="仿宋_GB2312"/>
          <w:sz w:val="30"/>
          <w:szCs w:val="30"/>
        </w:rPr>
        <w:t>比</w:t>
      </w:r>
      <w:r>
        <w:rPr>
          <w:rFonts w:hint="eastAsia" w:ascii="仿宋_GB2312" w:eastAsia="仿宋_GB2312"/>
          <w:sz w:val="30"/>
          <w:szCs w:val="30"/>
          <w:lang w:eastAsia="zh-CN"/>
        </w:rPr>
        <w:t>减少</w:t>
      </w:r>
      <w:r>
        <w:rPr>
          <w:rFonts w:hint="eastAsia" w:ascii="仿宋_GB2312" w:eastAsia="仿宋_GB2312"/>
          <w:sz w:val="30"/>
          <w:szCs w:val="30"/>
          <w:lang w:val="en-US" w:eastAsia="zh-CN"/>
        </w:rPr>
        <w:t>36.46万元</w:t>
      </w:r>
      <w:r>
        <w:rPr>
          <w:rFonts w:hint="eastAsia" w:ascii="仿宋_GB2312" w:eastAsia="仿宋_GB2312"/>
          <w:sz w:val="30"/>
          <w:szCs w:val="30"/>
        </w:rPr>
        <w:t>，主要原因</w:t>
      </w:r>
      <w:r>
        <w:rPr>
          <w:rFonts w:hint="eastAsia" w:ascii="仿宋_GB2312" w:eastAsia="仿宋_GB2312"/>
          <w:sz w:val="30"/>
          <w:szCs w:val="30"/>
          <w:lang w:eastAsia="zh-CN"/>
        </w:rPr>
        <w:t>是</w:t>
      </w:r>
      <w:r>
        <w:rPr>
          <w:rFonts w:hint="eastAsia" w:ascii="仿宋_GB2312" w:eastAsia="仿宋_GB2312"/>
          <w:sz w:val="30"/>
          <w:szCs w:val="30"/>
          <w:lang w:val="en-US" w:eastAsia="zh-CN"/>
        </w:rPr>
        <w:t>2016年度第三次全国农业普查专项经费大，2017年度工作量减轻经费也减少</w:t>
      </w:r>
      <w:r>
        <w:rPr>
          <w:rFonts w:hint="eastAsia" w:ascii="仿宋_GB2312" w:eastAsia="仿宋_GB2312"/>
          <w:sz w:val="30"/>
          <w:szCs w:val="30"/>
        </w:rPr>
        <w:t>。</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芒市统计局</w:t>
      </w:r>
      <w:r>
        <w:rPr>
          <w:rFonts w:hint="eastAsia" w:ascii="仿宋_GB2312" w:eastAsia="仿宋_GB2312"/>
          <w:sz w:val="30"/>
          <w:szCs w:val="30"/>
          <w:lang w:val="en-US" w:eastAsia="zh-CN"/>
        </w:rPr>
        <w:t>2017</w:t>
      </w:r>
      <w:r>
        <w:rPr>
          <w:rFonts w:hint="eastAsia" w:ascii="仿宋_GB2312" w:eastAsia="仿宋_GB2312"/>
          <w:sz w:val="30"/>
          <w:szCs w:val="30"/>
        </w:rPr>
        <w:t>年度支出合计464</w:t>
      </w:r>
      <w:r>
        <w:rPr>
          <w:rFonts w:hint="eastAsia" w:ascii="仿宋_GB2312" w:eastAsia="仿宋_GB2312"/>
          <w:sz w:val="30"/>
          <w:szCs w:val="30"/>
          <w:lang w:val="en-US" w:eastAsia="zh-CN"/>
        </w:rPr>
        <w:t>.</w:t>
      </w:r>
      <w:r>
        <w:rPr>
          <w:rFonts w:hint="eastAsia" w:ascii="仿宋_GB2312" w:eastAsia="仿宋_GB2312"/>
          <w:sz w:val="30"/>
          <w:szCs w:val="30"/>
        </w:rPr>
        <w:t>43万元。其中：</w:t>
      </w:r>
      <w:r>
        <w:rPr>
          <w:rFonts w:hint="eastAsia" w:ascii="仿宋_GB2312" w:hAnsi="宋体" w:eastAsia="仿宋_GB2312" w:cs="Arial"/>
          <w:kern w:val="0"/>
          <w:sz w:val="30"/>
          <w:szCs w:val="30"/>
        </w:rPr>
        <w:t>基本支出</w:t>
      </w:r>
      <w:r>
        <w:rPr>
          <w:rFonts w:hint="eastAsia" w:ascii="仿宋_GB2312" w:eastAsia="仿宋_GB2312"/>
          <w:sz w:val="30"/>
          <w:szCs w:val="30"/>
        </w:rPr>
        <w:t>338</w:t>
      </w:r>
      <w:r>
        <w:rPr>
          <w:rFonts w:hint="eastAsia" w:ascii="仿宋_GB2312" w:eastAsia="仿宋_GB2312"/>
          <w:sz w:val="30"/>
          <w:szCs w:val="30"/>
          <w:lang w:val="en-US" w:eastAsia="zh-CN"/>
        </w:rPr>
        <w:t>.</w:t>
      </w:r>
      <w:r>
        <w:rPr>
          <w:rFonts w:hint="eastAsia" w:ascii="仿宋_GB2312" w:eastAsia="仿宋_GB2312"/>
          <w:sz w:val="30"/>
          <w:szCs w:val="30"/>
        </w:rPr>
        <w:t>6</w:t>
      </w:r>
      <w:r>
        <w:rPr>
          <w:rFonts w:hint="eastAsia" w:ascii="仿宋_GB2312" w:eastAsia="仿宋_GB2312"/>
          <w:sz w:val="30"/>
          <w:szCs w:val="30"/>
          <w:lang w:val="en-US" w:eastAsia="zh-CN"/>
        </w:rPr>
        <w:t>6</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72.92</w:t>
      </w:r>
      <w:r>
        <w:rPr>
          <w:rFonts w:hint="eastAsia" w:ascii="仿宋_GB2312" w:hAnsi="宋体" w:eastAsia="仿宋_GB2312" w:cs="Arial"/>
          <w:kern w:val="0"/>
          <w:sz w:val="30"/>
          <w:szCs w:val="30"/>
        </w:rPr>
        <w:t>％；项目支出</w:t>
      </w:r>
      <w:r>
        <w:rPr>
          <w:rFonts w:hint="eastAsia" w:ascii="仿宋_GB2312" w:eastAsia="仿宋_GB2312"/>
          <w:sz w:val="30"/>
          <w:szCs w:val="30"/>
        </w:rPr>
        <w:t>125</w:t>
      </w:r>
      <w:r>
        <w:rPr>
          <w:rFonts w:hint="eastAsia" w:ascii="仿宋_GB2312" w:eastAsia="仿宋_GB2312"/>
          <w:sz w:val="30"/>
          <w:szCs w:val="30"/>
          <w:lang w:val="en-US" w:eastAsia="zh-CN"/>
        </w:rPr>
        <w:t>.</w:t>
      </w:r>
      <w:r>
        <w:rPr>
          <w:rFonts w:hint="eastAsia" w:ascii="仿宋_GB2312" w:eastAsia="仿宋_GB2312"/>
          <w:sz w:val="30"/>
          <w:szCs w:val="30"/>
        </w:rPr>
        <w:t>77</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27.08</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w:t>
      </w:r>
      <w:r>
        <w:rPr>
          <w:rFonts w:hint="eastAsia" w:ascii="仿宋_GB2312" w:eastAsia="仿宋_GB2312"/>
          <w:sz w:val="30"/>
          <w:szCs w:val="30"/>
        </w:rPr>
        <w:t>与上年</w:t>
      </w:r>
      <w:r>
        <w:rPr>
          <w:rFonts w:hint="eastAsia" w:ascii="仿宋_GB2312" w:eastAsia="仿宋_GB2312"/>
          <w:sz w:val="30"/>
          <w:szCs w:val="30"/>
          <w:lang w:eastAsia="zh-CN"/>
        </w:rPr>
        <w:t>相</w:t>
      </w:r>
      <w:r>
        <w:rPr>
          <w:rFonts w:hint="eastAsia" w:ascii="仿宋_GB2312" w:eastAsia="仿宋_GB2312"/>
          <w:sz w:val="30"/>
          <w:szCs w:val="30"/>
        </w:rPr>
        <w:t>比</w:t>
      </w:r>
      <w:r>
        <w:rPr>
          <w:rFonts w:hint="eastAsia" w:ascii="仿宋_GB2312" w:eastAsia="仿宋_GB2312"/>
          <w:sz w:val="30"/>
          <w:szCs w:val="30"/>
          <w:lang w:eastAsia="zh-CN"/>
        </w:rPr>
        <w:t>支出减少</w:t>
      </w:r>
      <w:r>
        <w:rPr>
          <w:rFonts w:hint="eastAsia" w:ascii="仿宋_GB2312" w:eastAsia="仿宋_GB2312"/>
          <w:sz w:val="30"/>
          <w:szCs w:val="30"/>
          <w:lang w:val="en-US" w:eastAsia="zh-CN"/>
        </w:rPr>
        <w:t>13.63万元</w:t>
      </w:r>
      <w:r>
        <w:rPr>
          <w:rFonts w:hint="eastAsia" w:ascii="仿宋_GB2312" w:eastAsia="仿宋_GB2312"/>
          <w:sz w:val="30"/>
          <w:szCs w:val="30"/>
        </w:rPr>
        <w:t>,主要原因</w:t>
      </w:r>
      <w:r>
        <w:rPr>
          <w:rFonts w:hint="eastAsia" w:ascii="仿宋_GB2312" w:eastAsia="仿宋_GB2312"/>
          <w:sz w:val="30"/>
          <w:szCs w:val="30"/>
          <w:lang w:eastAsia="zh-CN"/>
        </w:rPr>
        <w:t>一是专项普查经费支出同比减少</w:t>
      </w:r>
      <w:r>
        <w:rPr>
          <w:rFonts w:hint="eastAsia" w:ascii="仿宋_GB2312" w:eastAsia="仿宋_GB2312"/>
          <w:sz w:val="30"/>
          <w:szCs w:val="30"/>
          <w:lang w:val="en-US" w:eastAsia="zh-CN"/>
        </w:rPr>
        <w:t>78.49万元；二是退休人员纳入社保统计后社会保障和就业支出减少22.78万元</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2017</w:t>
      </w:r>
      <w:r>
        <w:rPr>
          <w:rFonts w:hint="eastAsia" w:ascii="仿宋_GB2312" w:eastAsia="仿宋_GB2312"/>
          <w:sz w:val="30"/>
          <w:szCs w:val="30"/>
        </w:rPr>
        <w:t>年度用于保障</w:t>
      </w:r>
      <w:r>
        <w:rPr>
          <w:rFonts w:hint="eastAsia" w:ascii="仿宋_GB2312" w:eastAsia="仿宋_GB2312"/>
          <w:sz w:val="30"/>
          <w:szCs w:val="30"/>
          <w:lang w:eastAsia="zh-CN"/>
        </w:rPr>
        <w:t>芒市统计局</w:t>
      </w:r>
      <w:r>
        <w:rPr>
          <w:rFonts w:hint="eastAsia" w:ascii="仿宋_GB2312" w:eastAsia="仿宋_GB2312"/>
          <w:sz w:val="30"/>
          <w:szCs w:val="30"/>
        </w:rPr>
        <w:t>机关正常运转的日常支出</w:t>
      </w:r>
      <w:r>
        <w:rPr>
          <w:rFonts w:hint="eastAsia" w:ascii="仿宋_GB2312" w:eastAsia="仿宋_GB2312"/>
          <w:sz w:val="30"/>
          <w:szCs w:val="30"/>
          <w:lang w:val="en-US" w:eastAsia="zh-CN"/>
        </w:rPr>
        <w:t>338.66</w:t>
      </w:r>
      <w:r>
        <w:rPr>
          <w:rFonts w:hint="eastAsia" w:ascii="仿宋_GB2312" w:eastAsia="仿宋_GB2312"/>
          <w:sz w:val="30"/>
          <w:szCs w:val="30"/>
        </w:rPr>
        <w:t>万元。与上年</w:t>
      </w:r>
      <w:r>
        <w:rPr>
          <w:rFonts w:hint="eastAsia" w:ascii="仿宋_GB2312" w:eastAsia="仿宋_GB2312"/>
          <w:sz w:val="30"/>
          <w:szCs w:val="30"/>
          <w:lang w:eastAsia="zh-CN"/>
        </w:rPr>
        <w:t>的</w:t>
      </w:r>
      <w:r>
        <w:rPr>
          <w:rFonts w:hint="eastAsia" w:ascii="仿宋_GB2312" w:eastAsia="仿宋_GB2312"/>
          <w:sz w:val="30"/>
          <w:szCs w:val="30"/>
          <w:lang w:val="en-US" w:eastAsia="zh-CN"/>
        </w:rPr>
        <w:t>283.53万元相</w:t>
      </w:r>
      <w:r>
        <w:rPr>
          <w:rFonts w:hint="eastAsia" w:ascii="仿宋_GB2312" w:eastAsia="仿宋_GB2312"/>
          <w:sz w:val="30"/>
          <w:szCs w:val="30"/>
        </w:rPr>
        <w:t>比</w:t>
      </w:r>
      <w:r>
        <w:rPr>
          <w:rFonts w:hint="eastAsia" w:ascii="仿宋_GB2312" w:eastAsia="仿宋_GB2312"/>
          <w:sz w:val="30"/>
          <w:szCs w:val="30"/>
          <w:lang w:eastAsia="zh-CN"/>
        </w:rPr>
        <w:t>增加</w:t>
      </w:r>
      <w:r>
        <w:rPr>
          <w:rFonts w:hint="eastAsia" w:ascii="仿宋_GB2312" w:eastAsia="仿宋_GB2312"/>
          <w:sz w:val="30"/>
          <w:szCs w:val="30"/>
          <w:lang w:val="en-US" w:eastAsia="zh-CN"/>
        </w:rPr>
        <w:t>55.13万元，增长19.44%</w:t>
      </w:r>
      <w:r>
        <w:rPr>
          <w:rFonts w:hint="eastAsia" w:ascii="仿宋_GB2312" w:eastAsia="仿宋_GB2312"/>
          <w:sz w:val="30"/>
          <w:szCs w:val="30"/>
        </w:rPr>
        <w:t>,主要原因</w:t>
      </w:r>
      <w:r>
        <w:rPr>
          <w:rFonts w:hint="eastAsia" w:ascii="仿宋_GB2312" w:eastAsia="仿宋_GB2312"/>
          <w:sz w:val="30"/>
          <w:szCs w:val="30"/>
          <w:lang w:eastAsia="zh-CN"/>
        </w:rPr>
        <w:t>是</w:t>
      </w:r>
      <w:r>
        <w:rPr>
          <w:rFonts w:hint="eastAsia" w:ascii="仿宋_GB2312" w:eastAsia="仿宋_GB2312"/>
          <w:sz w:val="30"/>
          <w:szCs w:val="30"/>
        </w:rPr>
        <w:t>人员经费支出</w:t>
      </w:r>
      <w:r>
        <w:rPr>
          <w:rFonts w:hint="eastAsia" w:ascii="仿宋_GB2312" w:eastAsia="仿宋_GB2312"/>
          <w:sz w:val="30"/>
          <w:szCs w:val="30"/>
          <w:lang w:eastAsia="zh-CN"/>
        </w:rPr>
        <w:t>增加</w:t>
      </w:r>
      <w:r>
        <w:rPr>
          <w:rFonts w:hint="eastAsia" w:ascii="仿宋_GB2312" w:eastAsia="仿宋_GB2312"/>
          <w:sz w:val="30"/>
          <w:szCs w:val="30"/>
        </w:rPr>
        <w:t>。包括基本工资、津贴补贴等人员经费支出</w:t>
      </w:r>
      <w:r>
        <w:rPr>
          <w:rFonts w:hint="eastAsia" w:ascii="仿宋_GB2312" w:eastAsia="仿宋_GB2312"/>
          <w:sz w:val="30"/>
          <w:szCs w:val="30"/>
          <w:lang w:val="en-US" w:eastAsia="zh-CN"/>
        </w:rPr>
        <w:t>306.46万元，</w:t>
      </w:r>
      <w:r>
        <w:rPr>
          <w:rFonts w:hint="eastAsia" w:ascii="仿宋_GB2312" w:eastAsia="仿宋_GB2312"/>
          <w:sz w:val="30"/>
          <w:szCs w:val="30"/>
        </w:rPr>
        <w:t>占基本支出的</w:t>
      </w:r>
      <w:r>
        <w:rPr>
          <w:rFonts w:hint="eastAsia" w:ascii="仿宋_GB2312" w:eastAsia="仿宋_GB2312"/>
          <w:sz w:val="30"/>
          <w:szCs w:val="30"/>
          <w:lang w:val="en-US" w:eastAsia="zh-CN"/>
        </w:rPr>
        <w:t>90.49</w:t>
      </w:r>
      <w:r>
        <w:rPr>
          <w:rFonts w:hint="eastAsia" w:ascii="仿宋_GB2312" w:eastAsia="仿宋_GB2312"/>
          <w:sz w:val="30"/>
          <w:szCs w:val="30"/>
        </w:rPr>
        <w:t>％；办公费、印刷费、水电费、办公设备购置等日常公用经费</w:t>
      </w:r>
      <w:r>
        <w:rPr>
          <w:rFonts w:hint="eastAsia" w:ascii="仿宋_GB2312" w:eastAsia="仿宋_GB2312"/>
          <w:sz w:val="30"/>
          <w:szCs w:val="30"/>
          <w:lang w:val="en-US" w:eastAsia="zh-CN"/>
        </w:rPr>
        <w:t>32.2万元，</w:t>
      </w:r>
      <w:r>
        <w:rPr>
          <w:rFonts w:hint="eastAsia" w:ascii="仿宋_GB2312" w:eastAsia="仿宋_GB2312"/>
          <w:sz w:val="30"/>
          <w:szCs w:val="30"/>
        </w:rPr>
        <w:t>占基本支出的</w:t>
      </w:r>
      <w:r>
        <w:rPr>
          <w:rFonts w:hint="eastAsia" w:ascii="仿宋_GB2312" w:eastAsia="仿宋_GB2312"/>
          <w:sz w:val="30"/>
          <w:szCs w:val="30"/>
          <w:lang w:val="en-US" w:eastAsia="zh-CN"/>
        </w:rPr>
        <w:t>9.51</w:t>
      </w:r>
      <w:r>
        <w:rPr>
          <w:rFonts w:hint="eastAsia" w:ascii="仿宋_GB2312" w:eastAsia="仿宋_GB2312"/>
          <w:sz w:val="30"/>
          <w:szCs w:val="30"/>
        </w:rPr>
        <w:t>％。日常公用经费人均</w:t>
      </w:r>
      <w:r>
        <w:rPr>
          <w:rFonts w:hint="eastAsia" w:ascii="仿宋_GB2312" w:eastAsia="仿宋_GB2312"/>
          <w:sz w:val="30"/>
          <w:szCs w:val="30"/>
          <w:lang w:eastAsia="zh-CN"/>
        </w:rPr>
        <w:t>达</w:t>
      </w:r>
      <w:r>
        <w:rPr>
          <w:rFonts w:hint="eastAsia" w:ascii="仿宋_GB2312" w:eastAsia="仿宋_GB2312"/>
          <w:sz w:val="30"/>
          <w:szCs w:val="30"/>
          <w:lang w:val="en-US" w:eastAsia="zh-CN"/>
        </w:rPr>
        <w:t>1.29万元，主要是2017年度脱贫攻坚年，租用车辆费用较高。</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2017</w:t>
      </w:r>
      <w:r>
        <w:rPr>
          <w:rFonts w:hint="eastAsia" w:ascii="仿宋_GB2312" w:eastAsia="仿宋_GB2312"/>
          <w:sz w:val="30"/>
          <w:szCs w:val="30"/>
        </w:rPr>
        <w:t>年度用于保障</w:t>
      </w:r>
      <w:r>
        <w:rPr>
          <w:rFonts w:hint="eastAsia" w:ascii="仿宋_GB2312" w:eastAsia="仿宋_GB2312"/>
          <w:sz w:val="30"/>
          <w:szCs w:val="30"/>
          <w:lang w:eastAsia="zh-CN"/>
        </w:rPr>
        <w:t>芒市统计局</w:t>
      </w:r>
      <w:r>
        <w:rPr>
          <w:rFonts w:hint="eastAsia" w:ascii="仿宋_GB2312" w:eastAsia="仿宋_GB2312"/>
          <w:sz w:val="30"/>
          <w:szCs w:val="30"/>
        </w:rPr>
        <w:t>完成特定的行政工作任务或事业发展目标，用于专项业务工作的经费支出125</w:t>
      </w:r>
      <w:r>
        <w:rPr>
          <w:rFonts w:hint="eastAsia" w:ascii="仿宋_GB2312" w:eastAsia="仿宋_GB2312"/>
          <w:sz w:val="30"/>
          <w:szCs w:val="30"/>
          <w:lang w:val="en-US" w:eastAsia="zh-CN"/>
        </w:rPr>
        <w:t>.</w:t>
      </w:r>
      <w:r>
        <w:rPr>
          <w:rFonts w:hint="eastAsia" w:ascii="仿宋_GB2312" w:eastAsia="仿宋_GB2312"/>
          <w:sz w:val="30"/>
          <w:szCs w:val="30"/>
        </w:rPr>
        <w:t>77万元。与上年对比</w:t>
      </w:r>
      <w:r>
        <w:rPr>
          <w:rFonts w:hint="eastAsia" w:ascii="仿宋_GB2312" w:eastAsia="仿宋_GB2312"/>
          <w:sz w:val="30"/>
          <w:szCs w:val="30"/>
          <w:lang w:eastAsia="zh-CN"/>
        </w:rPr>
        <w:t>减少</w:t>
      </w:r>
      <w:r>
        <w:rPr>
          <w:rFonts w:hint="eastAsia" w:ascii="仿宋_GB2312" w:eastAsia="仿宋_GB2312"/>
          <w:sz w:val="30"/>
          <w:szCs w:val="30"/>
          <w:lang w:val="en-US" w:eastAsia="zh-CN"/>
        </w:rPr>
        <w:t>68.76万元</w:t>
      </w:r>
      <w:r>
        <w:rPr>
          <w:rFonts w:hint="eastAsia" w:ascii="仿宋_GB2312" w:eastAsia="仿宋_GB2312"/>
          <w:sz w:val="30"/>
          <w:szCs w:val="30"/>
        </w:rPr>
        <w:t>,主要原因</w:t>
      </w:r>
      <w:r>
        <w:rPr>
          <w:rFonts w:hint="eastAsia" w:ascii="仿宋_GB2312" w:eastAsia="仿宋_GB2312"/>
          <w:sz w:val="30"/>
          <w:szCs w:val="30"/>
          <w:lang w:eastAsia="zh-CN"/>
        </w:rPr>
        <w:t>是芒市</w:t>
      </w:r>
      <w:r>
        <w:rPr>
          <w:rFonts w:hint="eastAsia" w:ascii="仿宋_GB2312" w:eastAsia="仿宋_GB2312"/>
          <w:sz w:val="30"/>
          <w:szCs w:val="30"/>
          <w:lang w:val="en-US" w:eastAsia="zh-CN"/>
        </w:rPr>
        <w:t>第三次全国农业普查专项经费支出减少</w:t>
      </w:r>
      <w:r>
        <w:rPr>
          <w:rFonts w:hint="eastAsia" w:ascii="仿宋_GB2312" w:eastAsia="仿宋_GB2312"/>
          <w:sz w:val="30"/>
          <w:szCs w:val="30"/>
        </w:rPr>
        <w:t>。</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lang w:eastAsia="zh-CN"/>
        </w:rPr>
        <w:t>芒市统计局</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年度一般公共预算财政拨款支出</w:t>
      </w:r>
      <w:r>
        <w:rPr>
          <w:rFonts w:hint="eastAsia" w:ascii="仿宋_GB2312" w:hAnsi="宋体" w:eastAsia="仿宋_GB2312" w:cs="Arial"/>
          <w:kern w:val="0"/>
          <w:sz w:val="30"/>
          <w:szCs w:val="30"/>
          <w:lang w:val="en-US" w:eastAsia="zh-CN"/>
        </w:rPr>
        <w:t>448.42</w:t>
      </w:r>
      <w:r>
        <w:rPr>
          <w:rFonts w:hint="eastAsia" w:ascii="仿宋_GB2312" w:hAnsi="宋体" w:eastAsia="仿宋_GB2312" w:cs="Arial"/>
          <w:kern w:val="0"/>
          <w:sz w:val="30"/>
          <w:szCs w:val="30"/>
        </w:rPr>
        <w:t>万元,占本年支出合计的</w:t>
      </w:r>
      <w:r>
        <w:rPr>
          <w:rFonts w:hint="eastAsia" w:ascii="仿宋_GB2312" w:eastAsia="仿宋_GB2312"/>
          <w:sz w:val="30"/>
          <w:szCs w:val="30"/>
          <w:lang w:val="en-US" w:eastAsia="zh-CN"/>
        </w:rPr>
        <w:t>96.55</w:t>
      </w:r>
      <w:r>
        <w:rPr>
          <w:rFonts w:hint="eastAsia" w:ascii="仿宋_GB2312" w:hAnsi="宋体" w:eastAsia="仿宋_GB2312" w:cs="Arial"/>
          <w:kern w:val="0"/>
          <w:sz w:val="30"/>
          <w:szCs w:val="30"/>
        </w:rPr>
        <w:t>%。与上年对比</w:t>
      </w:r>
      <w:r>
        <w:rPr>
          <w:rFonts w:hint="eastAsia" w:ascii="仿宋_GB2312" w:hAnsi="宋体" w:eastAsia="仿宋_GB2312" w:cs="Arial"/>
          <w:kern w:val="0"/>
          <w:sz w:val="30"/>
          <w:szCs w:val="30"/>
          <w:lang w:eastAsia="zh-CN"/>
        </w:rPr>
        <w:t>减少</w:t>
      </w:r>
      <w:r>
        <w:rPr>
          <w:rFonts w:hint="eastAsia" w:ascii="仿宋_GB2312" w:hAnsi="宋体" w:eastAsia="仿宋_GB2312" w:cs="Arial"/>
          <w:kern w:val="0"/>
          <w:sz w:val="30"/>
          <w:szCs w:val="30"/>
          <w:lang w:val="en-US" w:eastAsia="zh-CN"/>
        </w:rPr>
        <w:t>28.61万元</w:t>
      </w:r>
      <w:r>
        <w:rPr>
          <w:rFonts w:hint="eastAsia" w:ascii="仿宋_GB2312" w:eastAsia="仿宋_GB2312"/>
          <w:sz w:val="30"/>
          <w:szCs w:val="30"/>
        </w:rPr>
        <w:t>,主要原因</w:t>
      </w:r>
      <w:r>
        <w:rPr>
          <w:rFonts w:hint="eastAsia" w:ascii="仿宋_GB2312" w:eastAsia="仿宋_GB2312"/>
          <w:sz w:val="30"/>
          <w:szCs w:val="30"/>
          <w:lang w:eastAsia="zh-CN"/>
        </w:rPr>
        <w:t>是芒市</w:t>
      </w:r>
      <w:r>
        <w:rPr>
          <w:rFonts w:hint="eastAsia" w:ascii="仿宋_GB2312" w:eastAsia="仿宋_GB2312"/>
          <w:sz w:val="30"/>
          <w:szCs w:val="30"/>
          <w:lang w:val="en-US" w:eastAsia="zh-CN"/>
        </w:rPr>
        <w:t>第三次全国农业普查专项经费支出减少79万元</w:t>
      </w:r>
      <w:r>
        <w:rPr>
          <w:rFonts w:hint="eastAsia" w:ascii="仿宋_GB2312" w:hAnsi="宋体" w:eastAsia="仿宋_GB2312" w:cs="Arial"/>
          <w:kern w:val="0"/>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lang w:eastAsia="zh-CN"/>
        </w:rPr>
      </w:pPr>
      <w:r>
        <w:rPr>
          <w:rFonts w:hint="eastAsia" w:ascii="仿宋_GB2312" w:hAnsi="宋体" w:eastAsia="仿宋_GB2312" w:cs="Arial"/>
          <w:kern w:val="0"/>
          <w:sz w:val="30"/>
          <w:szCs w:val="30"/>
        </w:rPr>
        <w:t>1.一般公共服务支出391</w:t>
      </w:r>
      <w:r>
        <w:rPr>
          <w:rFonts w:hint="eastAsia" w:ascii="仿宋_GB2312" w:hAnsi="宋体" w:eastAsia="仿宋_GB2312" w:cs="Arial"/>
          <w:kern w:val="0"/>
          <w:sz w:val="30"/>
          <w:szCs w:val="30"/>
          <w:lang w:val="en-US" w:eastAsia="zh-CN"/>
        </w:rPr>
        <w:t>.</w:t>
      </w:r>
      <w:r>
        <w:rPr>
          <w:rFonts w:hint="eastAsia" w:ascii="仿宋_GB2312" w:hAnsi="宋体" w:eastAsia="仿宋_GB2312" w:cs="Arial"/>
          <w:kern w:val="0"/>
          <w:sz w:val="30"/>
          <w:szCs w:val="30"/>
        </w:rPr>
        <w:t>75万元，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87.36</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eastAsia="zh-CN"/>
        </w:rPr>
        <w:t>工资、公用经费等</w:t>
      </w:r>
      <w:r>
        <w:rPr>
          <w:rFonts w:hint="eastAsia" w:ascii="仿宋_GB2312" w:hAnsi="宋体" w:eastAsia="仿宋_GB2312" w:cs="Arial"/>
          <w:kern w:val="0"/>
          <w:sz w:val="30"/>
          <w:szCs w:val="30"/>
        </w:rPr>
        <w:t>行政运行</w:t>
      </w:r>
      <w:r>
        <w:rPr>
          <w:rFonts w:hint="eastAsia" w:ascii="仿宋_GB2312" w:hAnsi="宋体" w:eastAsia="仿宋_GB2312" w:cs="Arial"/>
          <w:kern w:val="0"/>
          <w:sz w:val="30"/>
          <w:szCs w:val="30"/>
          <w:lang w:eastAsia="zh-CN"/>
        </w:rPr>
        <w:t>支出281</w:t>
      </w:r>
      <w:r>
        <w:rPr>
          <w:rFonts w:hint="eastAsia" w:ascii="仿宋_GB2312" w:hAnsi="宋体" w:eastAsia="仿宋_GB2312" w:cs="Arial"/>
          <w:kern w:val="0"/>
          <w:sz w:val="30"/>
          <w:szCs w:val="30"/>
          <w:lang w:val="en-US" w:eastAsia="zh-CN"/>
        </w:rPr>
        <w:t>.</w:t>
      </w:r>
      <w:r>
        <w:rPr>
          <w:rFonts w:hint="eastAsia" w:ascii="仿宋_GB2312" w:hAnsi="宋体" w:eastAsia="仿宋_GB2312" w:cs="Arial"/>
          <w:kern w:val="0"/>
          <w:sz w:val="30"/>
          <w:szCs w:val="30"/>
          <w:lang w:eastAsia="zh-CN"/>
        </w:rPr>
        <w:t>73万元、以日常统计业务费为主的一般行政管理事务支出29</w:t>
      </w:r>
      <w:r>
        <w:rPr>
          <w:rFonts w:hint="eastAsia" w:ascii="仿宋_GB2312" w:hAnsi="宋体" w:eastAsia="仿宋_GB2312" w:cs="Arial"/>
          <w:kern w:val="0"/>
          <w:sz w:val="30"/>
          <w:szCs w:val="30"/>
          <w:lang w:val="en-US" w:eastAsia="zh-CN"/>
        </w:rPr>
        <w:t>.</w:t>
      </w:r>
      <w:r>
        <w:rPr>
          <w:rFonts w:hint="eastAsia" w:ascii="仿宋_GB2312" w:hAnsi="宋体" w:eastAsia="仿宋_GB2312" w:cs="Arial"/>
          <w:kern w:val="0"/>
          <w:sz w:val="30"/>
          <w:szCs w:val="30"/>
          <w:lang w:eastAsia="zh-CN"/>
        </w:rPr>
        <w:t>4</w:t>
      </w:r>
      <w:r>
        <w:rPr>
          <w:rFonts w:hint="eastAsia" w:ascii="仿宋_GB2312" w:hAnsi="宋体" w:eastAsia="仿宋_GB2312" w:cs="Arial"/>
          <w:kern w:val="0"/>
          <w:sz w:val="30"/>
          <w:szCs w:val="30"/>
          <w:lang w:val="en-US" w:eastAsia="zh-CN"/>
        </w:rPr>
        <w:t>5</w:t>
      </w:r>
      <w:r>
        <w:rPr>
          <w:rFonts w:hint="eastAsia" w:ascii="仿宋_GB2312" w:hAnsi="宋体" w:eastAsia="仿宋_GB2312" w:cs="Arial"/>
          <w:kern w:val="0"/>
          <w:sz w:val="30"/>
          <w:szCs w:val="30"/>
          <w:lang w:eastAsia="zh-CN"/>
        </w:rPr>
        <w:t>万元、专项统计业务支出</w:t>
      </w:r>
      <w:r>
        <w:rPr>
          <w:rFonts w:hint="eastAsia" w:ascii="仿宋_GB2312" w:hAnsi="宋体" w:eastAsia="仿宋_GB2312" w:cs="Arial"/>
          <w:kern w:val="0"/>
          <w:sz w:val="30"/>
          <w:szCs w:val="30"/>
          <w:lang w:val="en-US" w:eastAsia="zh-CN"/>
        </w:rPr>
        <w:t>2</w:t>
      </w:r>
      <w:r>
        <w:rPr>
          <w:rFonts w:hint="eastAsia" w:ascii="仿宋_GB2312" w:hAnsi="宋体" w:eastAsia="仿宋_GB2312" w:cs="Arial"/>
          <w:kern w:val="0"/>
          <w:sz w:val="30"/>
          <w:szCs w:val="30"/>
          <w:lang w:eastAsia="zh-CN"/>
        </w:rPr>
        <w:t>万元、统计管理</w:t>
      </w:r>
      <w:r>
        <w:rPr>
          <w:rFonts w:hint="eastAsia" w:ascii="仿宋_GB2312" w:hAnsi="宋体" w:eastAsia="仿宋_GB2312" w:cs="Arial"/>
          <w:kern w:val="0"/>
          <w:sz w:val="30"/>
          <w:szCs w:val="30"/>
          <w:lang w:val="en-US" w:eastAsia="zh-CN"/>
        </w:rPr>
        <w:t>1</w:t>
      </w:r>
      <w:r>
        <w:rPr>
          <w:rFonts w:hint="eastAsia" w:ascii="仿宋_GB2312" w:hAnsi="宋体" w:eastAsia="仿宋_GB2312" w:cs="Arial"/>
          <w:kern w:val="0"/>
          <w:sz w:val="30"/>
          <w:szCs w:val="30"/>
          <w:lang w:eastAsia="zh-CN"/>
        </w:rPr>
        <w:t>万元、专项普查活动</w:t>
      </w:r>
      <w:r>
        <w:rPr>
          <w:rFonts w:hint="eastAsia" w:ascii="仿宋_GB2312" w:hAnsi="宋体" w:eastAsia="仿宋_GB2312" w:cs="Arial"/>
          <w:kern w:val="0"/>
          <w:sz w:val="30"/>
          <w:szCs w:val="30"/>
          <w:lang w:val="en-US" w:eastAsia="zh-CN"/>
        </w:rPr>
        <w:t>71.57</w:t>
      </w:r>
      <w:r>
        <w:rPr>
          <w:rFonts w:hint="eastAsia" w:ascii="仿宋_GB2312" w:hAnsi="宋体" w:eastAsia="仿宋_GB2312" w:cs="Arial"/>
          <w:kern w:val="0"/>
          <w:sz w:val="30"/>
          <w:szCs w:val="30"/>
          <w:lang w:eastAsia="zh-CN"/>
        </w:rPr>
        <w:t>万元、其他统计信息事务支出</w:t>
      </w:r>
      <w:r>
        <w:rPr>
          <w:rFonts w:hint="eastAsia" w:ascii="仿宋_GB2312" w:hAnsi="宋体" w:eastAsia="仿宋_GB2312" w:cs="Arial"/>
          <w:kern w:val="0"/>
          <w:sz w:val="30"/>
          <w:szCs w:val="30"/>
          <w:lang w:val="en-US" w:eastAsia="zh-CN"/>
        </w:rPr>
        <w:t>6</w:t>
      </w:r>
      <w:r>
        <w:rPr>
          <w:rFonts w:hint="eastAsia" w:ascii="仿宋_GB2312" w:hAnsi="宋体" w:eastAsia="仿宋_GB2312" w:cs="Arial"/>
          <w:kern w:val="0"/>
          <w:sz w:val="30"/>
          <w:szCs w:val="30"/>
          <w:lang w:eastAsia="zh-CN"/>
        </w:rPr>
        <w:t>万元。</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3.国防（类）支出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芒市统计局</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年度一般公共预算财政拨款“三公”经费支出预算为</w:t>
      </w:r>
      <w:r>
        <w:rPr>
          <w:rFonts w:hint="eastAsia" w:ascii="仿宋_GB2312" w:eastAsia="仿宋_GB2312"/>
          <w:sz w:val="30"/>
          <w:szCs w:val="30"/>
          <w:lang w:val="en-US" w:eastAsia="zh-CN"/>
        </w:rPr>
        <w:t>2.51</w:t>
      </w:r>
      <w:r>
        <w:rPr>
          <w:rFonts w:hint="eastAsia" w:ascii="仿宋_GB2312" w:eastAsia="仿宋_GB2312"/>
          <w:sz w:val="30"/>
          <w:szCs w:val="30"/>
        </w:rPr>
        <w:t>万元，支出决算为</w:t>
      </w:r>
      <w:r>
        <w:rPr>
          <w:rFonts w:hint="eastAsia" w:ascii="仿宋_GB2312" w:eastAsia="仿宋_GB2312"/>
          <w:sz w:val="30"/>
          <w:szCs w:val="30"/>
          <w:lang w:val="en-US" w:eastAsia="zh-CN"/>
        </w:rPr>
        <w:t>2.39</w:t>
      </w:r>
      <w:r>
        <w:rPr>
          <w:rFonts w:hint="eastAsia" w:ascii="仿宋_GB2312" w:eastAsia="仿宋_GB2312"/>
          <w:sz w:val="30"/>
          <w:szCs w:val="30"/>
        </w:rPr>
        <w:t>万元，完成预算的</w:t>
      </w:r>
      <w:r>
        <w:rPr>
          <w:rFonts w:hint="eastAsia" w:ascii="仿宋_GB2312" w:eastAsia="仿宋_GB2312"/>
          <w:sz w:val="30"/>
          <w:szCs w:val="30"/>
          <w:lang w:val="en-US" w:eastAsia="zh-CN"/>
        </w:rPr>
        <w:t>95.22</w:t>
      </w:r>
      <w:r>
        <w:rPr>
          <w:rFonts w:hint="eastAsia" w:ascii="仿宋_GB2312" w:eastAsia="仿宋_GB2312"/>
          <w:sz w:val="30"/>
          <w:szCs w:val="30"/>
        </w:rPr>
        <w:t>%。其中：因公出国（境）费支出决算为</w:t>
      </w:r>
      <w:r>
        <w:rPr>
          <w:rFonts w:hint="eastAsia" w:ascii="仿宋_GB2312" w:eastAsia="仿宋_GB2312"/>
          <w:sz w:val="30"/>
          <w:szCs w:val="30"/>
          <w:lang w:val="en-US" w:eastAsia="zh-CN"/>
        </w:rPr>
        <w:t>0</w:t>
      </w:r>
      <w:r>
        <w:rPr>
          <w:rFonts w:hint="eastAsia" w:ascii="仿宋_GB2312" w:eastAsia="仿宋_GB2312"/>
          <w:sz w:val="30"/>
          <w:szCs w:val="30"/>
        </w:rPr>
        <w:t>万元，完成预算的</w:t>
      </w:r>
      <w:r>
        <w:rPr>
          <w:rFonts w:hint="eastAsia" w:ascii="仿宋_GB2312" w:eastAsia="仿宋_GB2312"/>
          <w:sz w:val="30"/>
          <w:szCs w:val="30"/>
          <w:lang w:val="en-US" w:eastAsia="zh-CN"/>
        </w:rPr>
        <w:t>100</w:t>
      </w:r>
      <w:r>
        <w:rPr>
          <w:rFonts w:hint="eastAsia" w:ascii="仿宋_GB2312" w:eastAsia="仿宋_GB2312"/>
          <w:sz w:val="30"/>
          <w:szCs w:val="30"/>
        </w:rPr>
        <w:t>%；公务用车购置及运行费支出决算为</w:t>
      </w:r>
      <w:r>
        <w:rPr>
          <w:rFonts w:hint="eastAsia" w:ascii="仿宋_GB2312" w:eastAsia="仿宋_GB2312"/>
          <w:sz w:val="30"/>
          <w:szCs w:val="30"/>
          <w:lang w:val="en-US" w:eastAsia="zh-CN"/>
        </w:rPr>
        <w:t>1.96</w:t>
      </w:r>
      <w:r>
        <w:rPr>
          <w:rFonts w:hint="eastAsia" w:ascii="仿宋_GB2312" w:eastAsia="仿宋_GB2312"/>
          <w:sz w:val="30"/>
          <w:szCs w:val="30"/>
        </w:rPr>
        <w:t>万元，完成预算的</w:t>
      </w:r>
      <w:r>
        <w:rPr>
          <w:rFonts w:hint="eastAsia" w:ascii="仿宋_GB2312" w:eastAsia="仿宋_GB2312"/>
          <w:sz w:val="30"/>
          <w:szCs w:val="30"/>
          <w:lang w:val="en-US" w:eastAsia="zh-CN"/>
        </w:rPr>
        <w:t>95.49</w:t>
      </w:r>
      <w:r>
        <w:rPr>
          <w:rFonts w:hint="eastAsia" w:ascii="仿宋_GB2312" w:eastAsia="仿宋_GB2312"/>
          <w:sz w:val="30"/>
          <w:szCs w:val="30"/>
        </w:rPr>
        <w:t>%；公务接待费支出决算为</w:t>
      </w:r>
      <w:r>
        <w:rPr>
          <w:rFonts w:hint="eastAsia" w:ascii="仿宋_GB2312" w:eastAsia="仿宋_GB2312"/>
          <w:sz w:val="30"/>
          <w:szCs w:val="30"/>
          <w:lang w:val="en-US" w:eastAsia="zh-CN"/>
        </w:rPr>
        <w:t>0.43</w:t>
      </w:r>
      <w:r>
        <w:rPr>
          <w:rFonts w:hint="eastAsia" w:ascii="仿宋_GB2312" w:eastAsia="仿宋_GB2312"/>
          <w:sz w:val="30"/>
          <w:szCs w:val="30"/>
        </w:rPr>
        <w:t>万元，完成预算的</w:t>
      </w:r>
      <w:r>
        <w:rPr>
          <w:rFonts w:hint="eastAsia" w:ascii="仿宋_GB2312" w:eastAsia="仿宋_GB2312"/>
          <w:sz w:val="30"/>
          <w:szCs w:val="30"/>
          <w:lang w:val="en-US" w:eastAsia="zh-CN"/>
        </w:rPr>
        <w:t>94.82</w:t>
      </w:r>
      <w:r>
        <w:rPr>
          <w:rFonts w:hint="eastAsia" w:ascii="仿宋_GB2312" w:eastAsia="仿宋_GB2312"/>
          <w:sz w:val="30"/>
          <w:szCs w:val="30"/>
        </w:rPr>
        <w:t>%。</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年度一般公共预算财政拨款“三公”经费支出决算数小于预算数的主要原因</w:t>
      </w:r>
      <w:r>
        <w:rPr>
          <w:rFonts w:hint="eastAsia" w:ascii="仿宋_GB2312" w:eastAsia="仿宋_GB2312"/>
          <w:sz w:val="30"/>
          <w:szCs w:val="30"/>
          <w:lang w:eastAsia="zh-CN"/>
        </w:rPr>
        <w:t>是认真</w:t>
      </w:r>
      <w:r>
        <w:rPr>
          <w:rFonts w:hint="eastAsia" w:ascii="仿宋_GB2312" w:hAnsi="黑体" w:eastAsia="仿宋_GB2312" w:cs="方正小标宋简体"/>
          <w:sz w:val="30"/>
          <w:szCs w:val="30"/>
        </w:rPr>
        <w:t>按照党中央、国务院有关文件及部门预算管理有关规定</w:t>
      </w:r>
      <w:r>
        <w:rPr>
          <w:rFonts w:hint="eastAsia" w:ascii="仿宋_GB2312" w:hAnsi="黑体" w:eastAsia="仿宋_GB2312" w:cs="方正小标宋简体"/>
          <w:sz w:val="30"/>
          <w:szCs w:val="30"/>
          <w:lang w:eastAsia="zh-CN"/>
        </w:rPr>
        <w:t>执行</w:t>
      </w:r>
      <w:r>
        <w:rPr>
          <w:rFonts w:hint="eastAsia" w:ascii="仿宋_GB2312" w:hAnsi="黑体" w:eastAsia="仿宋_GB2312" w:cs="方正小标宋简体"/>
          <w:sz w:val="30"/>
          <w:szCs w:val="30"/>
        </w:rPr>
        <w:t>，</w:t>
      </w:r>
      <w:r>
        <w:rPr>
          <w:rFonts w:hint="eastAsia" w:ascii="仿宋_GB2312" w:hAnsi="黑体" w:eastAsia="仿宋_GB2312" w:cs="方正小标宋简体"/>
          <w:sz w:val="30"/>
          <w:szCs w:val="30"/>
          <w:lang w:eastAsia="zh-CN"/>
        </w:rPr>
        <w:t>节约</w:t>
      </w:r>
      <w:r>
        <w:rPr>
          <w:rFonts w:hint="eastAsia" w:ascii="仿宋_GB2312" w:hAnsi="黑体" w:eastAsia="仿宋_GB2312" w:cs="方正小标宋简体"/>
          <w:sz w:val="30"/>
          <w:szCs w:val="30"/>
        </w:rPr>
        <w:t>“三公”经费</w:t>
      </w:r>
      <w:r>
        <w:rPr>
          <w:rFonts w:hint="eastAsia" w:ascii="仿宋_GB2312" w:hAnsi="黑体" w:eastAsia="仿宋_GB2312" w:cs="方正小标宋简体"/>
          <w:sz w:val="30"/>
          <w:szCs w:val="30"/>
          <w:lang w:eastAsia="zh-CN"/>
        </w:rPr>
        <w:t>支出</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年度一般公共预算财政拨款“三公”经费支出决算数比</w:t>
      </w:r>
      <w:r>
        <w:rPr>
          <w:rFonts w:hint="eastAsia" w:ascii="仿宋_GB2312" w:eastAsia="仿宋_GB2312"/>
          <w:sz w:val="30"/>
          <w:szCs w:val="30"/>
          <w:lang w:val="en-US" w:eastAsia="zh-CN"/>
        </w:rPr>
        <w:t>2016</w:t>
      </w:r>
      <w:r>
        <w:rPr>
          <w:rFonts w:hint="eastAsia" w:ascii="仿宋_GB2312" w:eastAsia="仿宋_GB2312"/>
          <w:sz w:val="30"/>
          <w:szCs w:val="30"/>
        </w:rPr>
        <w:t>年减少</w:t>
      </w:r>
      <w:r>
        <w:rPr>
          <w:rFonts w:hint="eastAsia" w:ascii="仿宋_GB2312" w:eastAsia="仿宋_GB2312"/>
          <w:sz w:val="30"/>
          <w:szCs w:val="30"/>
          <w:lang w:val="en-US" w:eastAsia="zh-CN"/>
        </w:rPr>
        <w:t>0.77</w:t>
      </w:r>
      <w:r>
        <w:rPr>
          <w:rFonts w:hint="eastAsia" w:ascii="仿宋_GB2312" w:eastAsia="仿宋_GB2312"/>
          <w:sz w:val="30"/>
          <w:szCs w:val="30"/>
        </w:rPr>
        <w:t>万元，下降</w:t>
      </w:r>
      <w:r>
        <w:rPr>
          <w:rFonts w:hint="eastAsia" w:ascii="仿宋_GB2312" w:eastAsia="仿宋_GB2312"/>
          <w:sz w:val="30"/>
          <w:szCs w:val="30"/>
          <w:lang w:val="en-US" w:eastAsia="zh-CN"/>
        </w:rPr>
        <w:t>24.28</w:t>
      </w:r>
      <w:r>
        <w:rPr>
          <w:rFonts w:hint="eastAsia" w:ascii="仿宋_GB2312" w:eastAsia="仿宋_GB2312"/>
          <w:sz w:val="30"/>
          <w:szCs w:val="30"/>
        </w:rPr>
        <w:t>%。其中：因公出国（境）费支出决算增加/减少</w:t>
      </w:r>
      <w:r>
        <w:rPr>
          <w:rFonts w:hint="eastAsia" w:ascii="仿宋_GB2312" w:eastAsia="仿宋_GB2312"/>
          <w:sz w:val="30"/>
          <w:szCs w:val="30"/>
          <w:lang w:val="en-US" w:eastAsia="zh-CN"/>
        </w:rPr>
        <w:t>0</w:t>
      </w:r>
      <w:r>
        <w:rPr>
          <w:rFonts w:hint="eastAsia" w:ascii="仿宋_GB2312" w:eastAsia="仿宋_GB2312"/>
          <w:sz w:val="30"/>
          <w:szCs w:val="30"/>
        </w:rPr>
        <w:t>万元，增长/下降</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%；公务用车购置及运行费支出决算减少</w:t>
      </w:r>
      <w:r>
        <w:rPr>
          <w:rFonts w:hint="eastAsia" w:ascii="仿宋_GB2312" w:eastAsia="仿宋_GB2312"/>
          <w:sz w:val="30"/>
          <w:szCs w:val="30"/>
          <w:lang w:val="en-US" w:eastAsia="zh-CN"/>
        </w:rPr>
        <w:t>0.74</w:t>
      </w:r>
      <w:r>
        <w:rPr>
          <w:rFonts w:hint="eastAsia" w:ascii="仿宋_GB2312" w:eastAsia="仿宋_GB2312"/>
          <w:sz w:val="30"/>
          <w:szCs w:val="30"/>
        </w:rPr>
        <w:t>万元，下降</w:t>
      </w:r>
      <w:r>
        <w:rPr>
          <w:rFonts w:hint="eastAsia" w:ascii="仿宋_GB2312" w:eastAsia="仿宋_GB2312"/>
          <w:sz w:val="30"/>
          <w:szCs w:val="30"/>
          <w:lang w:val="en-US" w:eastAsia="zh-CN"/>
        </w:rPr>
        <w:t>27.37</w:t>
      </w:r>
      <w:r>
        <w:rPr>
          <w:rFonts w:hint="eastAsia" w:ascii="仿宋_GB2312" w:eastAsia="仿宋_GB2312"/>
          <w:sz w:val="30"/>
          <w:szCs w:val="30"/>
        </w:rPr>
        <w:t>%；公务接待费支出决算减少</w:t>
      </w:r>
      <w:r>
        <w:rPr>
          <w:rFonts w:hint="eastAsia" w:ascii="仿宋_GB2312" w:eastAsia="仿宋_GB2312"/>
          <w:sz w:val="30"/>
          <w:szCs w:val="30"/>
          <w:lang w:val="en-US" w:eastAsia="zh-CN"/>
        </w:rPr>
        <w:t>0.026</w:t>
      </w:r>
      <w:r>
        <w:rPr>
          <w:rFonts w:hint="eastAsia" w:ascii="仿宋_GB2312" w:eastAsia="仿宋_GB2312"/>
          <w:sz w:val="30"/>
          <w:szCs w:val="30"/>
        </w:rPr>
        <w:t>万元，下降</w:t>
      </w:r>
      <w:r>
        <w:rPr>
          <w:rFonts w:hint="eastAsia" w:ascii="仿宋_GB2312" w:eastAsia="仿宋_GB2312"/>
          <w:sz w:val="30"/>
          <w:szCs w:val="30"/>
          <w:lang w:val="en-US" w:eastAsia="zh-CN"/>
        </w:rPr>
        <w:t>5.8</w:t>
      </w:r>
      <w:r>
        <w:rPr>
          <w:rFonts w:hint="eastAsia" w:ascii="仿宋_GB2312" w:eastAsia="仿宋_GB2312"/>
          <w:sz w:val="30"/>
          <w:szCs w:val="30"/>
        </w:rPr>
        <w:t>%。</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年度一般公共预算财政拨款“三公”经费支出决算减少的主要原因</w:t>
      </w:r>
      <w:r>
        <w:rPr>
          <w:rFonts w:hint="eastAsia" w:ascii="仿宋_GB2312" w:eastAsia="仿宋_GB2312"/>
          <w:sz w:val="30"/>
          <w:szCs w:val="30"/>
          <w:lang w:eastAsia="zh-CN"/>
        </w:rPr>
        <w:t>是认真</w:t>
      </w:r>
      <w:r>
        <w:rPr>
          <w:rFonts w:hint="eastAsia" w:ascii="仿宋_GB2312" w:hAnsi="黑体" w:eastAsia="仿宋_GB2312" w:cs="方正小标宋简体"/>
          <w:sz w:val="30"/>
          <w:szCs w:val="30"/>
        </w:rPr>
        <w:t>按照党中央、国务院有关文件及部门预算管理有关规定</w:t>
      </w:r>
      <w:r>
        <w:rPr>
          <w:rFonts w:hint="eastAsia" w:ascii="仿宋_GB2312" w:hAnsi="黑体" w:eastAsia="仿宋_GB2312" w:cs="方正小标宋简体"/>
          <w:sz w:val="30"/>
          <w:szCs w:val="30"/>
          <w:lang w:eastAsia="zh-CN"/>
        </w:rPr>
        <w:t>，严格执行中央八项规定</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年度一般公共预算财政拨款“三公”经费支出决算中，因公出国（境）费支出</w:t>
      </w:r>
      <w:r>
        <w:rPr>
          <w:rFonts w:hint="eastAsia" w:ascii="仿宋_GB2312" w:eastAsia="仿宋_GB2312"/>
          <w:sz w:val="30"/>
          <w:szCs w:val="30"/>
          <w:lang w:val="en-US" w:eastAsia="zh-CN"/>
        </w:rPr>
        <w:t>0</w:t>
      </w:r>
      <w:r>
        <w:rPr>
          <w:rFonts w:hint="eastAsia" w:ascii="仿宋_GB2312" w:eastAsia="仿宋_GB2312"/>
          <w:sz w:val="30"/>
          <w:szCs w:val="30"/>
        </w:rPr>
        <w:t>万元，占</w:t>
      </w:r>
      <w:r>
        <w:rPr>
          <w:rFonts w:hint="eastAsia" w:ascii="仿宋_GB2312" w:eastAsia="仿宋_GB2312"/>
          <w:sz w:val="30"/>
          <w:szCs w:val="30"/>
          <w:lang w:val="en-US" w:eastAsia="zh-CN"/>
        </w:rPr>
        <w:t>0</w:t>
      </w:r>
      <w:r>
        <w:rPr>
          <w:rFonts w:hint="eastAsia" w:ascii="仿宋_GB2312" w:eastAsia="仿宋_GB2312"/>
          <w:sz w:val="30"/>
          <w:szCs w:val="30"/>
        </w:rPr>
        <w:t>%；公务用车购置及运行维护费支出</w:t>
      </w:r>
      <w:r>
        <w:rPr>
          <w:rFonts w:hint="eastAsia" w:ascii="仿宋_GB2312" w:eastAsia="仿宋_GB2312"/>
          <w:sz w:val="30"/>
          <w:szCs w:val="30"/>
          <w:lang w:val="en-US" w:eastAsia="zh-CN"/>
        </w:rPr>
        <w:t>1.96</w:t>
      </w:r>
      <w:r>
        <w:rPr>
          <w:rFonts w:hint="eastAsia" w:ascii="仿宋_GB2312" w:eastAsia="仿宋_GB2312"/>
          <w:sz w:val="30"/>
          <w:szCs w:val="30"/>
        </w:rPr>
        <w:t>万元，占</w:t>
      </w:r>
      <w:r>
        <w:rPr>
          <w:rFonts w:hint="eastAsia" w:ascii="仿宋_GB2312" w:eastAsia="仿宋_GB2312"/>
          <w:sz w:val="30"/>
          <w:szCs w:val="30"/>
          <w:lang w:val="en-US" w:eastAsia="zh-CN"/>
        </w:rPr>
        <w:t>82.01</w:t>
      </w:r>
      <w:r>
        <w:rPr>
          <w:rFonts w:hint="eastAsia" w:ascii="仿宋_GB2312" w:eastAsia="仿宋_GB2312"/>
          <w:sz w:val="30"/>
          <w:szCs w:val="30"/>
        </w:rPr>
        <w:t>%；公务接待费支出</w:t>
      </w:r>
      <w:r>
        <w:rPr>
          <w:rFonts w:hint="eastAsia" w:ascii="仿宋_GB2312" w:eastAsia="仿宋_GB2312"/>
          <w:sz w:val="30"/>
          <w:szCs w:val="30"/>
          <w:lang w:val="en-US" w:eastAsia="zh-CN"/>
        </w:rPr>
        <w:t>0.43</w:t>
      </w:r>
      <w:r>
        <w:rPr>
          <w:rFonts w:hint="eastAsia" w:ascii="仿宋_GB2312" w:eastAsia="仿宋_GB2312"/>
          <w:sz w:val="30"/>
          <w:szCs w:val="30"/>
        </w:rPr>
        <w:t>万元，占</w:t>
      </w:r>
      <w:r>
        <w:rPr>
          <w:rFonts w:hint="eastAsia" w:ascii="仿宋_GB2312" w:eastAsia="仿宋_GB2312"/>
          <w:sz w:val="30"/>
          <w:szCs w:val="30"/>
          <w:lang w:val="en-US" w:eastAsia="zh-CN"/>
        </w:rPr>
        <w:t>17.99</w:t>
      </w:r>
      <w:r>
        <w:rPr>
          <w:rFonts w:hint="eastAsia" w:ascii="仿宋_GB2312" w:eastAsia="仿宋_GB2312"/>
          <w:sz w:val="30"/>
          <w:szCs w:val="30"/>
        </w:rPr>
        <w:t>%。具体情况如下：</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万元，共安排因公出国（境）团组</w:t>
      </w:r>
      <w:r>
        <w:rPr>
          <w:rFonts w:hint="eastAsia" w:ascii="仿宋_GB2312" w:eastAsia="仿宋_GB2312"/>
          <w:sz w:val="30"/>
          <w:szCs w:val="30"/>
          <w:lang w:val="en-US" w:eastAsia="zh-CN"/>
        </w:rPr>
        <w:t>0</w:t>
      </w:r>
      <w:r>
        <w:rPr>
          <w:rFonts w:hint="eastAsia" w:ascii="仿宋_GB2312" w:eastAsia="仿宋_GB2312"/>
          <w:sz w:val="30"/>
          <w:szCs w:val="30"/>
        </w:rPr>
        <w:t>个，累计</w:t>
      </w:r>
      <w:r>
        <w:rPr>
          <w:rFonts w:hint="eastAsia" w:ascii="仿宋_GB2312" w:eastAsia="仿宋_GB2312"/>
          <w:sz w:val="30"/>
          <w:szCs w:val="30"/>
          <w:lang w:val="en-US" w:eastAsia="zh-CN"/>
        </w:rPr>
        <w:t>0</w:t>
      </w:r>
      <w:r>
        <w:rPr>
          <w:rFonts w:hint="eastAsia" w:ascii="仿宋_GB2312" w:eastAsia="仿宋_GB2312"/>
          <w:sz w:val="30"/>
          <w:szCs w:val="30"/>
        </w:rPr>
        <w:t>人次。</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2.公务用车购置及运行维护费</w:t>
      </w:r>
      <w:r>
        <w:rPr>
          <w:rFonts w:hint="eastAsia" w:ascii="仿宋_GB2312" w:eastAsia="仿宋_GB2312"/>
          <w:sz w:val="30"/>
          <w:szCs w:val="30"/>
        </w:rPr>
        <w:t>支出</w:t>
      </w:r>
      <w:r>
        <w:rPr>
          <w:rFonts w:hint="eastAsia" w:ascii="仿宋_GB2312" w:eastAsia="仿宋_GB2312"/>
          <w:sz w:val="30"/>
          <w:szCs w:val="30"/>
          <w:lang w:val="en-US" w:eastAsia="zh-CN"/>
        </w:rPr>
        <w:t>1.96</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万元，购置车辆</w:t>
      </w:r>
      <w:r>
        <w:rPr>
          <w:rFonts w:hint="eastAsia" w:ascii="仿宋_GB2312" w:eastAsia="仿宋_GB2312"/>
          <w:sz w:val="30"/>
          <w:szCs w:val="30"/>
          <w:lang w:val="en-US" w:eastAsia="zh-CN"/>
        </w:rPr>
        <w:t>0</w:t>
      </w:r>
      <w:r>
        <w:rPr>
          <w:rFonts w:hint="eastAsia" w:ascii="仿宋_GB2312" w:eastAsia="仿宋_GB2312"/>
          <w:sz w:val="30"/>
          <w:szCs w:val="30"/>
        </w:rPr>
        <w:t>辆。</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w:t>
      </w:r>
      <w:r>
        <w:rPr>
          <w:rFonts w:hint="eastAsia" w:ascii="仿宋_GB2312" w:eastAsia="仿宋_GB2312"/>
          <w:sz w:val="30"/>
          <w:szCs w:val="30"/>
          <w:lang w:val="en-US" w:eastAsia="zh-CN"/>
        </w:rPr>
        <w:t>1.96</w:t>
      </w:r>
      <w:r>
        <w:rPr>
          <w:rFonts w:hint="eastAsia" w:ascii="仿宋_GB2312" w:eastAsia="仿宋_GB2312"/>
          <w:sz w:val="30"/>
          <w:szCs w:val="30"/>
        </w:rPr>
        <w:t>万元，开支一般公共预算财政拨款的公务用车保有量为</w:t>
      </w:r>
      <w:r>
        <w:rPr>
          <w:rFonts w:hint="eastAsia" w:ascii="仿宋_GB2312" w:eastAsia="仿宋_GB2312"/>
          <w:sz w:val="30"/>
          <w:szCs w:val="30"/>
          <w:lang w:val="en-US" w:eastAsia="zh-CN"/>
        </w:rPr>
        <w:t>1</w:t>
      </w:r>
      <w:r>
        <w:rPr>
          <w:rFonts w:hint="eastAsia" w:ascii="仿宋_GB2312" w:eastAsia="仿宋_GB2312"/>
          <w:sz w:val="30"/>
          <w:szCs w:val="30"/>
        </w:rPr>
        <w:t>辆。主要用于</w:t>
      </w:r>
      <w:r>
        <w:rPr>
          <w:rFonts w:hint="eastAsia" w:ascii="仿宋_GB2312" w:eastAsia="仿宋_GB2312"/>
          <w:sz w:val="30"/>
          <w:szCs w:val="30"/>
          <w:lang w:eastAsia="zh-CN"/>
        </w:rPr>
        <w:t>第三次全国农业普查、脱贫攻坚工作</w:t>
      </w:r>
      <w:r>
        <w:rPr>
          <w:rFonts w:hint="eastAsia" w:ascii="仿宋_GB2312" w:eastAsia="仿宋_GB2312"/>
          <w:sz w:val="30"/>
          <w:szCs w:val="30"/>
        </w:rPr>
        <w:t>所需车辆燃料费、维修费、过路过桥费、保险费等。</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w:t>
      </w:r>
      <w:r>
        <w:rPr>
          <w:rFonts w:hint="eastAsia" w:ascii="仿宋_GB2312" w:eastAsia="仿宋_GB2312"/>
          <w:sz w:val="30"/>
          <w:szCs w:val="30"/>
          <w:lang w:val="en-US" w:eastAsia="zh-CN"/>
        </w:rPr>
        <w:t>0.43</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w:t>
      </w:r>
      <w:r>
        <w:rPr>
          <w:rFonts w:hint="eastAsia" w:ascii="仿宋_GB2312" w:eastAsia="仿宋_GB2312"/>
          <w:sz w:val="30"/>
          <w:szCs w:val="30"/>
          <w:lang w:val="en-US" w:eastAsia="zh-CN"/>
        </w:rPr>
        <w:t>0.43</w:t>
      </w:r>
      <w:r>
        <w:rPr>
          <w:rFonts w:hint="eastAsia" w:ascii="仿宋_GB2312" w:eastAsia="仿宋_GB2312"/>
          <w:sz w:val="30"/>
          <w:szCs w:val="30"/>
        </w:rPr>
        <w:t>万元（其中：外事接待费支出</w:t>
      </w:r>
      <w:r>
        <w:rPr>
          <w:rFonts w:hint="eastAsia" w:ascii="仿宋_GB2312" w:eastAsia="仿宋_GB2312"/>
          <w:sz w:val="30"/>
          <w:szCs w:val="30"/>
          <w:lang w:val="en-US" w:eastAsia="zh-CN"/>
        </w:rPr>
        <w:t>0</w:t>
      </w:r>
      <w:r>
        <w:rPr>
          <w:rFonts w:hint="eastAsia" w:ascii="仿宋_GB2312" w:eastAsia="仿宋_GB2312"/>
          <w:sz w:val="30"/>
          <w:szCs w:val="30"/>
        </w:rPr>
        <w:t>万元），共安排国内公务接待</w:t>
      </w:r>
      <w:r>
        <w:rPr>
          <w:rFonts w:hint="eastAsia" w:ascii="仿宋_GB2312" w:eastAsia="仿宋_GB2312"/>
          <w:sz w:val="30"/>
          <w:szCs w:val="30"/>
          <w:lang w:val="en-US" w:eastAsia="zh-CN"/>
        </w:rPr>
        <w:t>6</w:t>
      </w:r>
      <w:r>
        <w:rPr>
          <w:rFonts w:hint="eastAsia" w:ascii="仿宋_GB2312" w:eastAsia="仿宋_GB2312"/>
          <w:sz w:val="30"/>
          <w:szCs w:val="30"/>
        </w:rPr>
        <w:t>批次（其中：外事接待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45</w:t>
      </w:r>
      <w:r>
        <w:rPr>
          <w:rFonts w:hint="eastAsia" w:ascii="仿宋_GB2312" w:eastAsia="仿宋_GB2312"/>
          <w:sz w:val="30"/>
          <w:szCs w:val="30"/>
        </w:rPr>
        <w:t>人（其中：外事接待人次</w:t>
      </w:r>
      <w:r>
        <w:rPr>
          <w:rFonts w:hint="eastAsia" w:ascii="仿宋_GB2312" w:eastAsia="仿宋_GB2312"/>
          <w:sz w:val="30"/>
          <w:szCs w:val="30"/>
          <w:lang w:val="en-US" w:eastAsia="zh-CN"/>
        </w:rPr>
        <w:t>0</w:t>
      </w:r>
      <w:r>
        <w:rPr>
          <w:rFonts w:hint="eastAsia" w:ascii="仿宋_GB2312" w:eastAsia="仿宋_GB2312"/>
          <w:sz w:val="30"/>
          <w:szCs w:val="30"/>
        </w:rPr>
        <w:t>人）。主要用于</w:t>
      </w:r>
      <w:r>
        <w:rPr>
          <w:rFonts w:hint="eastAsia" w:ascii="仿宋_GB2312" w:eastAsia="仿宋_GB2312"/>
          <w:sz w:val="30"/>
          <w:szCs w:val="30"/>
          <w:lang w:eastAsia="zh-CN"/>
        </w:rPr>
        <w:t>农业普查及经济运行分析调研工作</w:t>
      </w:r>
      <w:r>
        <w:rPr>
          <w:rFonts w:hint="eastAsia" w:ascii="仿宋_GB2312" w:eastAsia="仿宋_GB2312"/>
          <w:sz w:val="30"/>
          <w:szCs w:val="30"/>
        </w:rPr>
        <w:t>发生的接待支出。</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万元，共安排国（境）外公务接待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0</w:t>
      </w:r>
      <w:r>
        <w:rPr>
          <w:rFonts w:hint="eastAsia" w:ascii="仿宋_GB2312" w:eastAsia="仿宋_GB2312"/>
          <w:sz w:val="30"/>
          <w:szCs w:val="30"/>
        </w:rPr>
        <w:t>人。</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黑体" w:hAnsi="黑体" w:eastAsia="黑体"/>
          <w:sz w:val="30"/>
          <w:szCs w:val="30"/>
        </w:rPr>
        <w:t>五、其他重要事项及相关口径情况说明</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(一)机关运行经费支出情况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eastAsia="仿宋_GB2312"/>
          <w:sz w:val="30"/>
          <w:szCs w:val="30"/>
          <w:lang w:eastAsia="zh-CN"/>
        </w:rPr>
        <w:t>芒市统计局</w:t>
      </w:r>
      <w:r>
        <w:rPr>
          <w:rFonts w:hint="eastAsia" w:ascii="仿宋_GB2312" w:eastAsia="仿宋_GB2312"/>
          <w:sz w:val="30"/>
          <w:szCs w:val="30"/>
          <w:lang w:val="en-US" w:eastAsia="zh-CN"/>
        </w:rPr>
        <w:t>2017</w:t>
      </w:r>
      <w:r>
        <w:rPr>
          <w:rFonts w:hint="eastAsia" w:ascii="仿宋_GB2312" w:hAnsi="黑体" w:eastAsia="仿宋_GB2312" w:cs="方正小标宋简体"/>
          <w:sz w:val="30"/>
          <w:szCs w:val="30"/>
        </w:rPr>
        <w:t>年机关运行经费支出</w:t>
      </w:r>
      <w:r>
        <w:rPr>
          <w:rFonts w:hint="eastAsia" w:ascii="仿宋_GB2312" w:hAnsi="黑体" w:eastAsia="仿宋_GB2312" w:cs="方正小标宋简体"/>
          <w:sz w:val="30"/>
          <w:szCs w:val="30"/>
          <w:lang w:val="en-US" w:eastAsia="zh-CN"/>
        </w:rPr>
        <w:t>32.2</w:t>
      </w:r>
      <w:r>
        <w:rPr>
          <w:rFonts w:hint="eastAsia" w:ascii="仿宋_GB2312" w:hAnsi="黑体" w:eastAsia="仿宋_GB2312" w:cs="方正小标宋简体"/>
          <w:sz w:val="30"/>
          <w:szCs w:val="30"/>
        </w:rPr>
        <w:t>万元，与上年对比</w:t>
      </w:r>
      <w:r>
        <w:rPr>
          <w:rFonts w:hint="eastAsia" w:ascii="仿宋_GB2312" w:hAnsi="黑体" w:eastAsia="仿宋_GB2312" w:cs="方正小标宋简体"/>
          <w:sz w:val="30"/>
          <w:szCs w:val="30"/>
          <w:lang w:eastAsia="zh-CN"/>
        </w:rPr>
        <w:t>增加</w:t>
      </w:r>
      <w:r>
        <w:rPr>
          <w:rFonts w:hint="eastAsia" w:ascii="仿宋_GB2312" w:hAnsi="黑体" w:eastAsia="仿宋_GB2312" w:cs="方正小标宋简体"/>
          <w:sz w:val="30"/>
          <w:szCs w:val="30"/>
          <w:lang w:val="en-US" w:eastAsia="zh-CN"/>
        </w:rPr>
        <w:t>17.06万元</w:t>
      </w:r>
      <w:r>
        <w:rPr>
          <w:rFonts w:hint="eastAsia" w:ascii="仿宋_GB2312" w:hAnsi="黑体" w:eastAsia="仿宋_GB2312" w:cs="方正小标宋简体"/>
          <w:sz w:val="30"/>
          <w:szCs w:val="30"/>
        </w:rPr>
        <w:t>,主要原因分析</w:t>
      </w:r>
      <w:r>
        <w:rPr>
          <w:rFonts w:hint="eastAsia" w:ascii="仿宋_GB2312" w:eastAsia="仿宋_GB2312"/>
          <w:sz w:val="30"/>
          <w:szCs w:val="30"/>
          <w:lang w:val="en-US" w:eastAsia="zh-CN"/>
        </w:rPr>
        <w:t>主要是用于脱贫攻坚工作和农业普查工作，租用车辆费用较高</w:t>
      </w:r>
      <w:r>
        <w:rPr>
          <w:rFonts w:hint="eastAsia" w:ascii="仿宋_GB2312" w:hAnsi="黑体" w:eastAsia="仿宋_GB2312" w:cs="方正小标宋简体"/>
          <w:sz w:val="30"/>
          <w:szCs w:val="30"/>
        </w:rPr>
        <w:t>。机关运行经费主要用于办公费</w:t>
      </w:r>
      <w:r>
        <w:rPr>
          <w:rFonts w:hint="eastAsia" w:ascii="仿宋_GB2312" w:hAnsi="黑体" w:eastAsia="仿宋_GB2312" w:cs="方正小标宋简体"/>
          <w:sz w:val="30"/>
          <w:szCs w:val="30"/>
          <w:lang w:val="en-US" w:eastAsia="zh-CN"/>
        </w:rPr>
        <w:t>4.90万元、  印刷费0.56万元、差旅费0.25万元、工会经费3.38万元、公务用车运行维护费0.26万元、其他交通费用22.78万元、办公设备购置0.07万元</w:t>
      </w:r>
      <w:r>
        <w:rPr>
          <w:rFonts w:hint="eastAsia" w:ascii="仿宋_GB2312" w:hAnsi="黑体" w:eastAsia="仿宋_GB2312" w:cs="方正小标宋简体"/>
          <w:sz w:val="30"/>
          <w:szCs w:val="30"/>
        </w:rPr>
        <w:t>。</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（二）国有资产占用情况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截至2017年12月31日，</w:t>
      </w:r>
      <w:r>
        <w:rPr>
          <w:rFonts w:hint="eastAsia" w:ascii="仿宋_GB2312" w:hAnsi="黑体" w:eastAsia="仿宋_GB2312" w:cs="方正小标宋简体"/>
          <w:sz w:val="30"/>
          <w:szCs w:val="30"/>
          <w:lang w:eastAsia="zh-CN"/>
        </w:rPr>
        <w:t>芒市统计局</w:t>
      </w:r>
      <w:r>
        <w:rPr>
          <w:rFonts w:hint="eastAsia" w:ascii="仿宋_GB2312" w:hAnsi="黑体" w:eastAsia="仿宋_GB2312" w:cs="方正小标宋简体"/>
          <w:sz w:val="30"/>
          <w:szCs w:val="30"/>
        </w:rPr>
        <w:t>资产总额</w:t>
      </w:r>
      <w:r>
        <w:rPr>
          <w:rFonts w:hint="eastAsia" w:ascii="仿宋_GB2312" w:hAnsi="黑体" w:eastAsia="仿宋_GB2312" w:cs="方正小标宋简体"/>
          <w:sz w:val="30"/>
          <w:szCs w:val="30"/>
          <w:lang w:val="en-US" w:eastAsia="zh-CN"/>
        </w:rPr>
        <w:t>156.24</w:t>
      </w:r>
      <w:r>
        <w:rPr>
          <w:rFonts w:hint="eastAsia" w:ascii="仿宋_GB2312" w:hAnsi="黑体" w:eastAsia="仿宋_GB2312" w:cs="方正小标宋简体"/>
          <w:sz w:val="30"/>
          <w:szCs w:val="30"/>
        </w:rPr>
        <w:t>万元，其中，流动资产</w:t>
      </w:r>
      <w:r>
        <w:rPr>
          <w:rFonts w:hint="eastAsia" w:ascii="仿宋_GB2312" w:hAnsi="黑体" w:eastAsia="仿宋_GB2312" w:cs="方正小标宋简体"/>
          <w:sz w:val="30"/>
          <w:szCs w:val="30"/>
          <w:lang w:val="en-US" w:eastAsia="zh-CN"/>
        </w:rPr>
        <w:t>24.03</w:t>
      </w:r>
      <w:r>
        <w:rPr>
          <w:rFonts w:hint="eastAsia" w:ascii="仿宋_GB2312" w:hAnsi="黑体" w:eastAsia="仿宋_GB2312" w:cs="方正小标宋简体"/>
          <w:sz w:val="30"/>
          <w:szCs w:val="30"/>
        </w:rPr>
        <w:t>万元，固定资产</w:t>
      </w:r>
      <w:r>
        <w:rPr>
          <w:rFonts w:hint="eastAsia" w:ascii="仿宋_GB2312" w:hAnsi="黑体" w:eastAsia="仿宋_GB2312" w:cs="方正小标宋简体"/>
          <w:sz w:val="30"/>
          <w:szCs w:val="30"/>
          <w:lang w:val="en-US" w:eastAsia="zh-CN"/>
        </w:rPr>
        <w:t>132.21</w:t>
      </w:r>
      <w:r>
        <w:rPr>
          <w:rFonts w:hint="eastAsia" w:ascii="仿宋_GB2312" w:hAnsi="黑体" w:eastAsia="仿宋_GB2312" w:cs="方正小标宋简体"/>
          <w:sz w:val="30"/>
          <w:szCs w:val="30"/>
        </w:rPr>
        <w:t>万元，对外投资及有价证券</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万元，在建工程</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万元，无形资产</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万元，其他资产</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万元（具体内容详见附表）。与上年相比，本年资产总额增加</w:t>
      </w:r>
      <w:r>
        <w:rPr>
          <w:rFonts w:hint="eastAsia" w:ascii="仿宋_GB2312" w:hAnsi="黑体" w:eastAsia="仿宋_GB2312" w:cs="方正小标宋简体"/>
          <w:sz w:val="30"/>
          <w:szCs w:val="30"/>
          <w:lang w:val="en-US" w:eastAsia="zh-CN"/>
        </w:rPr>
        <w:t>15.1</w:t>
      </w:r>
      <w:r>
        <w:rPr>
          <w:rFonts w:hint="eastAsia" w:ascii="仿宋_GB2312" w:hAnsi="黑体" w:eastAsia="仿宋_GB2312" w:cs="方正小标宋简体"/>
          <w:sz w:val="30"/>
          <w:szCs w:val="30"/>
        </w:rPr>
        <w:t>万元，其中固定资产增加</w:t>
      </w:r>
      <w:r>
        <w:rPr>
          <w:rFonts w:hint="eastAsia" w:ascii="仿宋_GB2312" w:hAnsi="黑体" w:eastAsia="仿宋_GB2312" w:cs="方正小标宋简体"/>
          <w:sz w:val="30"/>
          <w:szCs w:val="30"/>
          <w:lang w:val="en-US" w:eastAsia="zh-CN"/>
        </w:rPr>
        <w:t>14.31</w:t>
      </w:r>
      <w:r>
        <w:rPr>
          <w:rFonts w:hint="eastAsia" w:ascii="仿宋_GB2312" w:hAnsi="黑体" w:eastAsia="仿宋_GB2312" w:cs="方正小标宋简体"/>
          <w:sz w:val="30"/>
          <w:szCs w:val="30"/>
        </w:rPr>
        <w:t>万元。处置房屋建筑物</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平方米，账面原值</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万元；处置车辆</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辆，账面原值</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万元；报废报损资产</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项，账面原值</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万元，实现资产处置收入</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万元；出租房屋</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平方米，账面原值</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万元，实现资产使用收入</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w:t>
      </w:r>
    </w:p>
    <w:p>
      <w:pPr>
        <w:ind w:firstLine="600" w:firstLineChars="200"/>
        <w:jc w:val="left"/>
        <w:rPr>
          <w:rFonts w:hint="eastAsia" w:ascii="仿宋_GB2312" w:hAnsi="黑体" w:eastAsia="仿宋_GB2312" w:cs="方正小标宋简体"/>
          <w:sz w:val="30"/>
          <w:szCs w:val="30"/>
        </w:rPr>
      </w:pPr>
    </w:p>
    <w:tbl>
      <w:tblPr>
        <w:tblStyle w:val="5"/>
        <w:tblpPr w:leftFromText="180" w:rightFromText="180" w:vertAnchor="text" w:horzAnchor="page" w:tblpX="534" w:tblpY="490"/>
        <w:tblOverlap w:val="never"/>
        <w:tblW w:w="10773" w:type="dxa"/>
        <w:tblInd w:w="0" w:type="dxa"/>
        <w:tblLayout w:type="fixed"/>
        <w:tblCellMar>
          <w:top w:w="15" w:type="dxa"/>
          <w:left w:w="15" w:type="dxa"/>
          <w:bottom w:w="15" w:type="dxa"/>
          <w:right w:w="15" w:type="dxa"/>
        </w:tblCellMar>
      </w:tblPr>
      <w:tblGrid>
        <w:gridCol w:w="724"/>
        <w:gridCol w:w="552"/>
        <w:gridCol w:w="709"/>
        <w:gridCol w:w="693"/>
        <w:gridCol w:w="638"/>
        <w:gridCol w:w="577"/>
        <w:gridCol w:w="780"/>
        <w:gridCol w:w="68"/>
        <w:gridCol w:w="877"/>
        <w:gridCol w:w="336"/>
        <w:gridCol w:w="652"/>
        <w:gridCol w:w="198"/>
        <w:gridCol w:w="992"/>
        <w:gridCol w:w="993"/>
        <w:gridCol w:w="992"/>
        <w:gridCol w:w="992"/>
      </w:tblGrid>
      <w:tr>
        <w:tblPrEx>
          <w:tblCellMar>
            <w:top w:w="15" w:type="dxa"/>
            <w:left w:w="15" w:type="dxa"/>
            <w:bottom w:w="15" w:type="dxa"/>
            <w:right w:w="15" w:type="dxa"/>
          </w:tblCellMar>
        </w:tblPrEx>
        <w:trPr>
          <w:trHeight w:val="495" w:hRule="atLeast"/>
        </w:trPr>
        <w:tc>
          <w:tcPr>
            <w:tcW w:w="10773" w:type="dxa"/>
            <w:gridSpan w:val="16"/>
            <w:shd w:val="clear" w:color="auto" w:fill="FFFFFF"/>
            <w:vAlign w:val="center"/>
          </w:tcPr>
          <w:p>
            <w:pPr>
              <w:widowControl/>
              <w:jc w:val="center"/>
              <w:textAlignment w:val="center"/>
              <w:rPr>
                <w:rFonts w:hint="eastAsia" w:ascii="仿宋_GB2312" w:hAnsi="方正小标宋_GBK" w:eastAsia="仿宋_GB2312" w:cs="方正小标宋_GBK"/>
                <w:b/>
                <w:sz w:val="30"/>
                <w:szCs w:val="30"/>
              </w:rPr>
            </w:pPr>
            <w:r>
              <w:rPr>
                <w:rFonts w:hint="eastAsia" w:ascii="仿宋_GB2312" w:hAnsi="方正小标宋_GBK" w:eastAsia="仿宋_GB2312" w:cs="方正小标宋_GBK"/>
                <w:b/>
                <w:kern w:val="0"/>
                <w:sz w:val="30"/>
                <w:szCs w:val="30"/>
                <w:lang w:bidi="ar"/>
              </w:rPr>
              <w:t>国有资产占有使用情况表</w:t>
            </w:r>
          </w:p>
        </w:tc>
      </w:tr>
      <w:tr>
        <w:tblPrEx>
          <w:tblCellMar>
            <w:top w:w="15" w:type="dxa"/>
            <w:left w:w="15" w:type="dxa"/>
            <w:bottom w:w="15" w:type="dxa"/>
            <w:right w:w="15" w:type="dxa"/>
          </w:tblCellMar>
        </w:tblPrEx>
        <w:trPr>
          <w:trHeight w:val="347" w:hRule="atLeast"/>
        </w:trPr>
        <w:tc>
          <w:tcPr>
            <w:tcW w:w="4741" w:type="dxa"/>
            <w:gridSpan w:val="8"/>
            <w:tcBorders>
              <w:bottom w:val="single" w:color="808080" w:sz="4" w:space="0"/>
            </w:tcBorders>
            <w:shd w:val="clear" w:color="auto" w:fill="FFFFFF"/>
            <w:vAlign w:val="center"/>
          </w:tcPr>
          <w:p>
            <w:pPr>
              <w:widowControl/>
              <w:jc w:val="left"/>
              <w:textAlignment w:val="center"/>
              <w:rPr>
                <w:rFonts w:ascii="宋体" w:hAnsi="宋体" w:cs="宋体"/>
                <w:sz w:val="20"/>
                <w:szCs w:val="20"/>
              </w:rPr>
            </w:pPr>
          </w:p>
        </w:tc>
        <w:tc>
          <w:tcPr>
            <w:tcW w:w="877" w:type="dxa"/>
            <w:tcBorders>
              <w:bottom w:val="single" w:color="808080" w:sz="4" w:space="0"/>
            </w:tcBorders>
            <w:shd w:val="clear" w:color="auto" w:fill="FFFFFF"/>
            <w:vAlign w:val="center"/>
          </w:tcPr>
          <w:p>
            <w:pPr>
              <w:rPr>
                <w:rFonts w:ascii="宋体" w:hAnsi="宋体" w:cs="宋体"/>
                <w:sz w:val="20"/>
                <w:szCs w:val="20"/>
              </w:rPr>
            </w:pPr>
          </w:p>
        </w:tc>
        <w:tc>
          <w:tcPr>
            <w:tcW w:w="988" w:type="dxa"/>
            <w:gridSpan w:val="2"/>
            <w:tcBorders>
              <w:bottom w:val="single" w:color="808080" w:sz="4" w:space="0"/>
            </w:tcBorders>
            <w:shd w:val="clear" w:color="auto" w:fill="FFFFFF"/>
            <w:vAlign w:val="center"/>
          </w:tcPr>
          <w:p>
            <w:pPr>
              <w:rPr>
                <w:rFonts w:ascii="宋体" w:hAnsi="宋体" w:cs="宋体"/>
                <w:sz w:val="20"/>
                <w:szCs w:val="20"/>
              </w:rPr>
            </w:pPr>
          </w:p>
        </w:tc>
        <w:tc>
          <w:tcPr>
            <w:tcW w:w="198" w:type="dxa"/>
            <w:tcBorders>
              <w:bottom w:val="single" w:color="808080" w:sz="4" w:space="0"/>
            </w:tcBorders>
            <w:shd w:val="clear" w:color="auto" w:fill="FFFFFF"/>
            <w:vAlign w:val="center"/>
          </w:tcPr>
          <w:p>
            <w:pPr>
              <w:rPr>
                <w:rFonts w:ascii="宋体" w:hAnsi="宋体" w:cs="宋体"/>
                <w:sz w:val="20"/>
                <w:szCs w:val="20"/>
              </w:rPr>
            </w:pPr>
          </w:p>
        </w:tc>
        <w:tc>
          <w:tcPr>
            <w:tcW w:w="992" w:type="dxa"/>
            <w:tcBorders>
              <w:bottom w:val="single" w:color="808080" w:sz="4" w:space="0"/>
            </w:tcBorders>
            <w:shd w:val="clear" w:color="auto" w:fill="FFFFFF"/>
            <w:vAlign w:val="center"/>
          </w:tcPr>
          <w:p>
            <w:pPr>
              <w:rPr>
                <w:rFonts w:ascii="宋体" w:hAnsi="宋体" w:cs="宋体"/>
                <w:sz w:val="20"/>
                <w:szCs w:val="20"/>
              </w:rPr>
            </w:pPr>
          </w:p>
        </w:tc>
        <w:tc>
          <w:tcPr>
            <w:tcW w:w="993" w:type="dxa"/>
            <w:tcBorders>
              <w:bottom w:val="single" w:color="808080" w:sz="4" w:space="0"/>
            </w:tcBorders>
            <w:shd w:val="clear" w:color="auto" w:fill="FFFFFF"/>
            <w:vAlign w:val="center"/>
          </w:tcPr>
          <w:p>
            <w:pPr>
              <w:rPr>
                <w:rFonts w:ascii="宋体" w:hAnsi="宋体" w:cs="宋体"/>
                <w:sz w:val="20"/>
                <w:szCs w:val="20"/>
              </w:rPr>
            </w:pPr>
          </w:p>
        </w:tc>
        <w:tc>
          <w:tcPr>
            <w:tcW w:w="1984" w:type="dxa"/>
            <w:gridSpan w:val="2"/>
            <w:tcBorders>
              <w:bottom w:val="single" w:color="808080" w:sz="4" w:space="0"/>
            </w:tcBorders>
            <w:shd w:val="clear" w:color="auto" w:fill="FFFFFF"/>
            <w:vAlign w:val="center"/>
          </w:tcPr>
          <w:p>
            <w:pPr>
              <w:widowControl/>
              <w:jc w:val="right"/>
              <w:textAlignment w:val="center"/>
              <w:rPr>
                <w:rFonts w:ascii="宋体" w:hAnsi="宋体" w:cs="宋体"/>
                <w:sz w:val="20"/>
                <w:szCs w:val="20"/>
              </w:rPr>
            </w:pPr>
            <w:r>
              <w:rPr>
                <w:rFonts w:hint="eastAsia" w:ascii="宋体" w:hAnsi="宋体" w:cs="宋体"/>
                <w:kern w:val="0"/>
                <w:sz w:val="20"/>
                <w:szCs w:val="20"/>
                <w:lang w:bidi="ar"/>
              </w:rPr>
              <w:t>单位：万元</w:t>
            </w:r>
          </w:p>
        </w:tc>
      </w:tr>
      <w:tr>
        <w:tblPrEx>
          <w:tblCellMar>
            <w:top w:w="15" w:type="dxa"/>
            <w:left w:w="15" w:type="dxa"/>
            <w:bottom w:w="15" w:type="dxa"/>
            <w:right w:w="15" w:type="dxa"/>
          </w:tblCellMar>
        </w:tblPrEx>
        <w:trPr>
          <w:trHeight w:val="415" w:hRule="atLeast"/>
        </w:trPr>
        <w:tc>
          <w:tcPr>
            <w:tcW w:w="724"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w:t>
            </w:r>
          </w:p>
        </w:tc>
        <w:tc>
          <w:tcPr>
            <w:tcW w:w="552"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行次</w:t>
            </w:r>
          </w:p>
        </w:tc>
        <w:tc>
          <w:tcPr>
            <w:tcW w:w="709"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资产总额</w:t>
            </w:r>
          </w:p>
        </w:tc>
        <w:tc>
          <w:tcPr>
            <w:tcW w:w="693"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流动资产</w:t>
            </w:r>
          </w:p>
        </w:tc>
        <w:tc>
          <w:tcPr>
            <w:tcW w:w="4126" w:type="dxa"/>
            <w:gridSpan w:val="8"/>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固定资产</w:t>
            </w:r>
          </w:p>
        </w:tc>
        <w:tc>
          <w:tcPr>
            <w:tcW w:w="992"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对外投资/有价证券</w:t>
            </w:r>
          </w:p>
        </w:tc>
        <w:tc>
          <w:tcPr>
            <w:tcW w:w="993" w:type="dxa"/>
            <w:vMerge w:val="restart"/>
            <w:tcBorders>
              <w:top w:val="single" w:color="80808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在建工程</w:t>
            </w:r>
          </w:p>
        </w:tc>
        <w:tc>
          <w:tcPr>
            <w:tcW w:w="9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无形资产</w:t>
            </w:r>
          </w:p>
        </w:tc>
        <w:tc>
          <w:tcPr>
            <w:tcW w:w="9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其他资产</w:t>
            </w:r>
          </w:p>
        </w:tc>
      </w:tr>
      <w:tr>
        <w:tblPrEx>
          <w:tblCellMar>
            <w:top w:w="15" w:type="dxa"/>
            <w:left w:w="15" w:type="dxa"/>
            <w:bottom w:w="15" w:type="dxa"/>
            <w:right w:w="15" w:type="dxa"/>
          </w:tblCellMar>
        </w:tblPrEx>
        <w:trPr>
          <w:trHeight w:val="34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55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709"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93"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小计</w:t>
            </w: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房屋构筑物</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汽车</w:t>
            </w:r>
          </w:p>
        </w:tc>
        <w:tc>
          <w:tcPr>
            <w:tcW w:w="128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单价200万以上大型设备</w:t>
            </w:r>
          </w:p>
        </w:tc>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其他固定资产</w:t>
            </w:r>
          </w:p>
        </w:tc>
        <w:tc>
          <w:tcPr>
            <w:tcW w:w="99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3"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r>
      <w:tr>
        <w:tblPrEx>
          <w:tblCellMar>
            <w:top w:w="15" w:type="dxa"/>
            <w:left w:w="15" w:type="dxa"/>
            <w:bottom w:w="15" w:type="dxa"/>
            <w:right w:w="15" w:type="dxa"/>
          </w:tblCellMar>
        </w:tblPrEx>
        <w:trPr>
          <w:trHeight w:val="39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55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709"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93"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2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2"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3" w:type="dxa"/>
            <w:vMerge w:val="continue"/>
            <w:tcBorders>
              <w:top w:val="single" w:color="80808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99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r>
      <w:tr>
        <w:tblPrEx>
          <w:tblCellMar>
            <w:top w:w="15" w:type="dxa"/>
            <w:left w:w="15" w:type="dxa"/>
            <w:bottom w:w="15" w:type="dxa"/>
            <w:right w:w="15" w:type="dxa"/>
          </w:tblCellMar>
        </w:tblPrEx>
        <w:trPr>
          <w:trHeight w:val="358"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栏次</w:t>
            </w:r>
          </w:p>
        </w:tc>
        <w:tc>
          <w:tcPr>
            <w:tcW w:w="55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0"/>
                <w:szCs w:val="20"/>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c>
          <w:tcPr>
            <w:tcW w:w="5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7</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r>
      <w:tr>
        <w:tblPrEx>
          <w:tblCellMar>
            <w:top w:w="15" w:type="dxa"/>
            <w:left w:w="15" w:type="dxa"/>
            <w:bottom w:w="15" w:type="dxa"/>
            <w:right w:w="15" w:type="dxa"/>
          </w:tblCellMar>
        </w:tblPrEx>
        <w:trPr>
          <w:trHeight w:val="56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合计</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156.24</w:t>
            </w:r>
          </w:p>
        </w:tc>
        <w:tc>
          <w:tcPr>
            <w:tcW w:w="69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24.03</w:t>
            </w:r>
          </w:p>
        </w:tc>
        <w:tc>
          <w:tcPr>
            <w:tcW w:w="63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132.21</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11.78</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120.43</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r>
      <w:tr>
        <w:tblPrEx>
          <w:tblCellMar>
            <w:top w:w="15" w:type="dxa"/>
            <w:left w:w="15" w:type="dxa"/>
            <w:bottom w:w="15" w:type="dxa"/>
            <w:right w:w="15" w:type="dxa"/>
          </w:tblCellMar>
        </w:tblPrEx>
        <w:trPr>
          <w:trHeight w:val="259" w:hRule="atLeast"/>
        </w:trPr>
        <w:tc>
          <w:tcPr>
            <w:tcW w:w="8789" w:type="dxa"/>
            <w:gridSpan w:val="14"/>
            <w:vAlign w:val="bottom"/>
          </w:tcPr>
          <w:p>
            <w:pPr>
              <w:rPr>
                <w:rFonts w:ascii="Arial" w:hAnsi="Arial" w:cs="Arial"/>
                <w:sz w:val="20"/>
                <w:szCs w:val="20"/>
              </w:rPr>
            </w:pPr>
            <w:r>
              <w:rPr>
                <w:rFonts w:hint="eastAsia" w:ascii="宋体" w:hAnsi="宋体" w:cs="宋体"/>
                <w:kern w:val="0"/>
                <w:sz w:val="20"/>
                <w:szCs w:val="20"/>
                <w:lang w:bidi="ar"/>
              </w:rPr>
              <w:t>填报说明：　1.资产总额＝流动资产＋固定资产＋对外投资／有价证券＋在建工程＋无形资产＋其他资产</w:t>
            </w:r>
          </w:p>
        </w:tc>
        <w:tc>
          <w:tcPr>
            <w:tcW w:w="992" w:type="dxa"/>
            <w:vAlign w:val="bottom"/>
          </w:tcPr>
          <w:p>
            <w:pPr>
              <w:rPr>
                <w:rFonts w:ascii="Arial" w:hAnsi="Arial" w:cs="Arial"/>
                <w:sz w:val="20"/>
                <w:szCs w:val="20"/>
              </w:rPr>
            </w:pPr>
          </w:p>
        </w:tc>
        <w:tc>
          <w:tcPr>
            <w:tcW w:w="992" w:type="dxa"/>
            <w:vAlign w:val="bottom"/>
          </w:tcPr>
          <w:p>
            <w:pPr>
              <w:rPr>
                <w:rFonts w:ascii="Arial" w:hAnsi="Arial" w:cs="Arial"/>
                <w:sz w:val="20"/>
                <w:szCs w:val="20"/>
              </w:rPr>
            </w:pPr>
          </w:p>
        </w:tc>
      </w:tr>
      <w:tr>
        <w:tblPrEx>
          <w:tblCellMar>
            <w:top w:w="15" w:type="dxa"/>
            <w:left w:w="15" w:type="dxa"/>
            <w:bottom w:w="15" w:type="dxa"/>
            <w:right w:w="15" w:type="dxa"/>
          </w:tblCellMar>
        </w:tblPrEx>
        <w:trPr>
          <w:trHeight w:val="495" w:hRule="atLeast"/>
        </w:trPr>
        <w:tc>
          <w:tcPr>
            <w:tcW w:w="9781" w:type="dxa"/>
            <w:gridSpan w:val="15"/>
            <w:vAlign w:val="bottom"/>
          </w:tcPr>
          <w:p>
            <w:pPr>
              <w:rPr>
                <w:rFonts w:ascii="Arial" w:hAnsi="Arial" w:cs="Arial"/>
                <w:sz w:val="20"/>
                <w:szCs w:val="20"/>
              </w:rPr>
            </w:pPr>
            <w:r>
              <w:rPr>
                <w:rFonts w:hint="eastAsia" w:ascii="宋体" w:hAnsi="宋体" w:cs="宋体"/>
                <w:kern w:val="0"/>
                <w:sz w:val="20"/>
                <w:szCs w:val="20"/>
                <w:lang w:bidi="ar"/>
              </w:rPr>
              <w:t>　　　　　　</w:t>
            </w:r>
            <w:r>
              <w:rPr>
                <w:rStyle w:val="8"/>
                <w:color w:val="auto"/>
                <w:lang w:bidi="ar"/>
              </w:rPr>
              <w:t>2.</w:t>
            </w:r>
            <w:r>
              <w:rPr>
                <w:rStyle w:val="9"/>
                <w:rFonts w:hint="default"/>
                <w:color w:val="auto"/>
                <w:lang w:bidi="ar"/>
              </w:rPr>
              <w:t>固定资产＝房屋构筑物＋汽车＋单价</w:t>
            </w:r>
            <w:r>
              <w:rPr>
                <w:rStyle w:val="8"/>
                <w:color w:val="auto"/>
                <w:lang w:bidi="ar"/>
              </w:rPr>
              <w:t>200</w:t>
            </w:r>
            <w:r>
              <w:rPr>
                <w:rStyle w:val="9"/>
                <w:rFonts w:hint="default"/>
                <w:color w:val="auto"/>
                <w:lang w:bidi="ar"/>
              </w:rPr>
              <w:t>万元以上大型设备＋其他固定资产</w:t>
            </w:r>
          </w:p>
        </w:tc>
        <w:tc>
          <w:tcPr>
            <w:tcW w:w="992" w:type="dxa"/>
            <w:vAlign w:val="bottom"/>
          </w:tcPr>
          <w:p>
            <w:pPr>
              <w:rPr>
                <w:rFonts w:ascii="Arial" w:hAnsi="Arial" w:cs="Arial"/>
                <w:sz w:val="20"/>
                <w:szCs w:val="20"/>
              </w:rPr>
            </w:pPr>
          </w:p>
        </w:tc>
      </w:tr>
    </w:tbl>
    <w:p>
      <w:pPr>
        <w:ind w:firstLine="600" w:firstLineChars="200"/>
        <w:jc w:val="left"/>
        <w:rPr>
          <w:rFonts w:hint="eastAsia" w:ascii="楷体_GB2312" w:hAnsi="黑体" w:eastAsia="楷体_GB2312" w:cs="方正小标宋简体"/>
          <w:sz w:val="30"/>
          <w:szCs w:val="30"/>
        </w:rPr>
      </w:pP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(三)政府采购支出情况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val="en-US" w:eastAsia="zh-CN"/>
        </w:rPr>
        <w:t>2017</w:t>
      </w:r>
      <w:r>
        <w:rPr>
          <w:rFonts w:hint="eastAsia" w:ascii="仿宋_GB2312" w:hAnsi="黑体" w:eastAsia="仿宋_GB2312" w:cs="方正小标宋简体"/>
          <w:sz w:val="30"/>
          <w:szCs w:val="30"/>
        </w:rPr>
        <w:t>年度政府采购支出总额</w:t>
      </w:r>
      <w:r>
        <w:rPr>
          <w:rFonts w:hint="eastAsia" w:ascii="仿宋_GB2312" w:hAnsi="黑体" w:eastAsia="仿宋_GB2312" w:cs="方正小标宋简体"/>
          <w:sz w:val="30"/>
          <w:szCs w:val="30"/>
          <w:lang w:val="en-US" w:eastAsia="zh-CN"/>
        </w:rPr>
        <w:t>49.46万元，其中：采购</w:t>
      </w:r>
      <w:r>
        <w:rPr>
          <w:rFonts w:hint="eastAsia" w:ascii="仿宋_GB2312" w:hAnsi="黑体" w:eastAsia="仿宋_GB2312" w:cs="方正小标宋简体"/>
          <w:sz w:val="30"/>
          <w:szCs w:val="30"/>
        </w:rPr>
        <w:t>货物</w:t>
      </w:r>
      <w:r>
        <w:rPr>
          <w:rFonts w:hint="eastAsia" w:ascii="仿宋_GB2312" w:hAnsi="黑体" w:eastAsia="仿宋_GB2312" w:cs="方正小标宋简体"/>
          <w:sz w:val="30"/>
          <w:szCs w:val="30"/>
          <w:lang w:val="en-US" w:eastAsia="zh-CN"/>
        </w:rPr>
        <w:t>42.5万元</w:t>
      </w:r>
      <w:r>
        <w:rPr>
          <w:rFonts w:hint="eastAsia" w:ascii="仿宋_GB2312" w:hAnsi="黑体" w:eastAsia="仿宋_GB2312" w:cs="方正小标宋简体"/>
          <w:sz w:val="30"/>
          <w:szCs w:val="30"/>
        </w:rPr>
        <w:t>、工程</w:t>
      </w:r>
      <w:r>
        <w:rPr>
          <w:rFonts w:hint="eastAsia" w:ascii="仿宋_GB2312" w:hAnsi="黑体" w:eastAsia="仿宋_GB2312" w:cs="方正小标宋简体"/>
          <w:sz w:val="30"/>
          <w:szCs w:val="30"/>
          <w:lang w:val="en-US" w:eastAsia="zh-CN"/>
        </w:rPr>
        <w:t>0万元</w:t>
      </w:r>
      <w:r>
        <w:rPr>
          <w:rFonts w:hint="eastAsia" w:ascii="仿宋_GB2312" w:hAnsi="黑体" w:eastAsia="仿宋_GB2312" w:cs="方正小标宋简体"/>
          <w:sz w:val="30"/>
          <w:szCs w:val="30"/>
        </w:rPr>
        <w:t>、服务</w:t>
      </w:r>
      <w:r>
        <w:rPr>
          <w:rFonts w:hint="eastAsia" w:ascii="仿宋_GB2312" w:hAnsi="黑体" w:eastAsia="仿宋_GB2312" w:cs="方正小标宋简体"/>
          <w:sz w:val="30"/>
          <w:szCs w:val="30"/>
          <w:lang w:val="en-US" w:eastAsia="zh-CN"/>
        </w:rPr>
        <w:t>6.96万元</w:t>
      </w:r>
      <w:r>
        <w:rPr>
          <w:rFonts w:hint="eastAsia" w:ascii="仿宋_GB2312" w:hAnsi="黑体" w:eastAsia="仿宋_GB2312" w:cs="方正小标宋简体"/>
          <w:sz w:val="30"/>
          <w:szCs w:val="30"/>
        </w:rPr>
        <w:t>。</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lang w:val="en-US" w:eastAsia="zh-CN"/>
        </w:rPr>
        <w:t>(四</w:t>
      </w:r>
      <w:r>
        <w:rPr>
          <w:rFonts w:hint="eastAsia" w:ascii="楷体_GB2312" w:hAnsi="黑体" w:eastAsia="楷体_GB2312" w:cs="方正小标宋简体"/>
          <w:sz w:val="30"/>
          <w:szCs w:val="30"/>
        </w:rPr>
        <w:t>）其他重要事项情况说明</w:t>
      </w:r>
      <w:r>
        <w:rPr>
          <w:rFonts w:hint="eastAsia" w:ascii="楷体_GB2312" w:hAnsi="黑体" w:eastAsia="楷体_GB2312" w:cs="方正小标宋简体"/>
          <w:sz w:val="30"/>
          <w:szCs w:val="30"/>
          <w:lang w:val="en-US" w:eastAsia="zh-CN"/>
        </w:rPr>
        <w:t xml:space="preserve"> 无</w:t>
      </w:r>
    </w:p>
    <w:p>
      <w:pPr>
        <w:ind w:firstLine="600" w:firstLineChars="200"/>
        <w:jc w:val="left"/>
        <w:rPr>
          <w:rFonts w:hint="eastAsia" w:ascii="楷体_GB2312" w:hAnsi="黑体" w:eastAsia="楷体_GB2312" w:cs="方正小标宋简体"/>
          <w:sz w:val="30"/>
          <w:szCs w:val="30"/>
        </w:rPr>
      </w:pPr>
      <w:r>
        <w:rPr>
          <w:rFonts w:hint="eastAsia" w:ascii="楷体_GB2312" w:hAnsi="黑体" w:eastAsia="楷体_GB2312" w:cs="方正小标宋简体"/>
          <w:sz w:val="30"/>
          <w:szCs w:val="30"/>
        </w:rPr>
        <w:t>（</w:t>
      </w:r>
      <w:r>
        <w:rPr>
          <w:rFonts w:hint="eastAsia" w:ascii="楷体_GB2312" w:hAnsi="黑体" w:eastAsia="楷体_GB2312" w:cs="方正小标宋简体"/>
          <w:sz w:val="30"/>
          <w:szCs w:val="30"/>
          <w:lang w:eastAsia="zh-CN"/>
        </w:rPr>
        <w:t>五</w:t>
      </w:r>
      <w:r>
        <w:rPr>
          <w:rFonts w:hint="eastAsia" w:ascii="楷体_GB2312" w:hAnsi="黑体" w:eastAsia="楷体_GB2312" w:cs="方正小标宋简体"/>
          <w:sz w:val="30"/>
          <w:szCs w:val="30"/>
        </w:rPr>
        <w:t>）相关口径说明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1．基本支出中人员经费包括工资福利支出和对个人和家庭的补助，日常公用支出包括商品和服务支出、其他资本性支出等人员经费以外的支出。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2．机关运行经费指行政单位和参照公务员法管理的事业单位使用一般公共预算财政拨款安排的除人员经费以外的基本支出。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00" w:firstLineChars="200"/>
        <w:rPr>
          <w:rFonts w:hint="eastAsia"/>
          <w:sz w:val="32"/>
          <w:szCs w:val="32"/>
        </w:rPr>
      </w:pPr>
      <w:r>
        <w:rPr>
          <w:rFonts w:hint="eastAsia" w:ascii="黑体" w:hAnsi="黑体" w:eastAsia="黑体"/>
          <w:sz w:val="30"/>
          <w:szCs w:val="30"/>
        </w:rPr>
        <w:t>第四部分  名词解释</w:t>
      </w:r>
      <w:r>
        <w:rPr>
          <w:rFonts w:hint="eastAsia" w:ascii="黑体" w:hAnsi="黑体" w:eastAsia="黑体"/>
          <w:sz w:val="30"/>
          <w:szCs w:val="30"/>
          <w:lang w:val="en-US" w:eastAsia="zh-CN"/>
        </w:rPr>
        <w:t xml:space="preserve"> </w:t>
      </w:r>
    </w:p>
    <w:p>
      <w:pPr>
        <w:ind w:firstLine="640" w:firstLineChars="200"/>
        <w:rPr>
          <w:rFonts w:hint="eastAsia"/>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 指本级财政当年拨付的资金</w:t>
      </w:r>
      <w:r>
        <w:rPr>
          <w:rFonts w:hint="eastAsia" w:ascii="仿宋" w:hAnsi="仿宋" w:eastAsia="仿宋" w:cs="仿宋"/>
          <w:sz w:val="32"/>
          <w:szCs w:val="32"/>
          <w:lang w:eastAsia="zh-CN"/>
        </w:rPr>
        <w:t>。</w:t>
      </w:r>
      <w:r>
        <w:rPr>
          <w:rFonts w:hint="eastAsia"/>
          <w:sz w:val="32"/>
          <w:szCs w:val="32"/>
          <w:lang w:val="en-US" w:eastAsia="zh-CN"/>
        </w:rPr>
        <w:t xml:space="preserve"> </w:t>
      </w:r>
    </w:p>
    <w:p>
      <w:pPr>
        <w:ind w:firstLine="640" w:firstLineChars="200"/>
        <w:jc w:val="left"/>
        <w:rPr>
          <w:rFonts w:hint="eastAsia" w:ascii="仿宋_GB2312" w:hAnsi="黑体" w:eastAsia="仿宋_GB2312" w:cs="方正小标宋简体"/>
          <w:sz w:val="30"/>
          <w:szCs w:val="30"/>
        </w:rPr>
      </w:pPr>
      <w:r>
        <w:rPr>
          <w:rFonts w:hint="eastAsia" w:ascii="仿宋" w:hAnsi="仿宋" w:eastAsia="仿宋" w:cs="仿宋"/>
          <w:sz w:val="32"/>
          <w:szCs w:val="32"/>
          <w:lang w:val="en-US" w:eastAsia="zh-CN"/>
        </w:rPr>
        <w:t>2.</w:t>
      </w:r>
      <w:r>
        <w:rPr>
          <w:rFonts w:hint="eastAsia" w:ascii="仿宋" w:hAnsi="仿宋" w:eastAsia="仿宋" w:cs="仿宋"/>
          <w:sz w:val="32"/>
          <w:szCs w:val="32"/>
        </w:rPr>
        <w:t>政府采购：指国家各级政府为从事日常的政务活动或为了满足公共服务的目的，利用国家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"https://baike.so.com/doc/5716834-5929560.html"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"https://baike.so.com/doc/4796448-5012566.html" \t "_blank" </w:instrText>
      </w:r>
      <w:r>
        <w:rPr>
          <w:rFonts w:hint="eastAsia" w:ascii="仿宋" w:hAnsi="仿宋" w:eastAsia="仿宋" w:cs="仿宋"/>
          <w:sz w:val="32"/>
          <w:szCs w:val="32"/>
        </w:rPr>
        <w:fldChar w:fldCharType="separate"/>
      </w:r>
      <w:r>
        <w:rPr>
          <w:rFonts w:hint="eastAsia" w:ascii="仿宋" w:hAnsi="仿宋" w:eastAsia="仿宋" w:cs="仿宋"/>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
      <w:pPr>
        <w:rPr>
          <w:rFonts w:ascii="Arial" w:hAnsi="Arial" w:eastAsia="Arial" w:cs="Arial"/>
          <w:b/>
          <w:sz w:val="36"/>
        </w:rPr>
      </w:pPr>
      <w:r>
        <w:rPr>
          <w:rFonts w:ascii="Arial" w:hAnsi="Arial" w:eastAsia="Arial" w:cs="Arial"/>
          <w:b/>
          <w:sz w:val="36"/>
        </w:rPr>
        <w:t>监督索引号53310300341001111</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9B2902"/>
    <w:rsid w:val="1D6E406A"/>
    <w:rsid w:val="1F3D2E08"/>
    <w:rsid w:val="2884208D"/>
    <w:rsid w:val="3B9E2FAE"/>
    <w:rsid w:val="4DCE2DDD"/>
    <w:rsid w:val="50CF2B3C"/>
    <w:rsid w:val="53991BA4"/>
    <w:rsid w:val="5DC113AD"/>
    <w:rsid w:val="5F985D79"/>
    <w:rsid w:val="617A562D"/>
    <w:rsid w:val="6E9B2902"/>
    <w:rsid w:val="72E1618B"/>
    <w:rsid w:val="7849204A"/>
    <w:rsid w:val="7AD94AB6"/>
    <w:rsid w:val="7E404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01"/>
    <w:basedOn w:val="6"/>
    <w:qFormat/>
    <w:uiPriority w:val="0"/>
    <w:rPr>
      <w:rFonts w:hint="default" w:ascii="Arial" w:hAnsi="Arial" w:cs="Arial"/>
      <w:color w:val="000000"/>
      <w:sz w:val="20"/>
      <w:szCs w:val="20"/>
      <w:u w:val="none"/>
    </w:rPr>
  </w:style>
  <w:style w:type="character" w:customStyle="1" w:styleId="9">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2018-10-16T11:47:00Z</dcterms:created>
  <dc:creator>bao</dc:creator>
  <cp:lastModifiedBy>zdf</cp:lastModifiedBy>
  <dcterms:modified xsi:type="dcterms:W3CDTF">2023-02-28T03:21:53Z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