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19" w:lineRule="exact"/>
        <w:ind w:firstLine="2891" w:firstLineChars="80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宋体" w:hAnsi="宋体" w:cs="宋体"/>
          <w:color w:val="000000"/>
          <w:spacing w:val="0"/>
          <w:position w:val="0"/>
          <w:sz w:val="2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</w:rPr>
        <w:t>重点工作情况解释说明汇总表</w:t>
      </w:r>
    </w:p>
    <w:tbl>
      <w:tblPr>
        <w:tblStyle w:val="4"/>
        <w:tblpPr w:leftFromText="180" w:rightFromText="180" w:vertAnchor="page" w:horzAnchor="page" w:tblpX="657" w:tblpY="1723"/>
        <w:tblW w:w="107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8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重点工作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转移支付安排情况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年，州财政共补助芒市276,993万元。其中：一般性转移支付198,019万元，下降3.3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，占转移支付比重71.49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；专项转移支付36,143万元，下降19.9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，占转移支付比重13.04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。一般性转移支付中，均衡性转移支付24,346万元，增长6.3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；县级基本财力保障机制奖补资金14,005万元，下降49.2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；民族地区转移支付3,907万元，下降43.1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；边境地区转移支付17,521万元，增长1.4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；共同事权转移支付83,447万元，下降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81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val="en-US" w:eastAsia="zh-CN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position w:val="0"/>
                <w:sz w:val="24"/>
                <w:szCs w:val="32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7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预算绩效工作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开展情况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0"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一是组织开展2021年度部门预算绩效指标设定审核工作。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根据《中共芒市委芒市人民政府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关于全面实施预算绩效管理的实施意见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》芒发〔2020〕17号文件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的总体目标及重要举措要求，于2021年3月31日完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完成2021年度部门预算绩效指标设定审核工作。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二是开展2020年各预算单位的自评工作。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自评对象共分为部门整体绩效自评、项目绩效自评两种类型，实现覆盖“三本预算”。其中：部门整体绩效自评142个，项目绩效自评150个。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三是完成绩效评价工作。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2021年聘请第三方对芒市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水利局、风平镇人民政府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2个单位进行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部门整体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绩效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评价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4个重点项目进行绩效评价（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高标准农田建设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、“四位一体”建设项目、直过民族自然村通畅工程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、清塘河水库上游村寨农村环境综合整治项目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本次绩效评价工作的财政支出绩效评价资金37,244.79万元，其中：整体评价金额为20,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610.02万元，重点项目金额为16,634.77万元。评价结果为：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芒市水利局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95.18分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、风平镇人民政府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94.3分、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直过民族自然村通畅工程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项目93分、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清塘河水库上游村寨农村环境综合整治项目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93分、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高标准农田建设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项目92.45分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遮冒村2020年边疆党建长廊“四位一体”建设试点项目91分、允欠村“四位一体”建设项目86.4分、芒市镇象滚塘村2020年边疆党建长廊“四位一体”建设试点项目85.3分、轩岗乡芒棒村“四位一体”建设试点项目82.7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exact"/>
        </w:trPr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before="0" w:after="0" w:line="1572" w:lineRule="exact"/>
              <w:ind w:firstLine="240" w:firstLineChars="100"/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</w:pPr>
            <w:r>
              <w:rPr>
                <w:rFonts w:ascii="宋体" w:hAnsi="宋体" w:cs="宋体"/>
                <w:color w:val="000000"/>
                <w:spacing w:val="0"/>
                <w:position w:val="0"/>
                <w:sz w:val="24"/>
                <w:u w:val="none"/>
              </w:rPr>
              <w:t>举借政府债务</w:t>
            </w:r>
            <w:r>
              <w:rPr>
                <w:rFonts w:hint="eastAsia" w:ascii="宋体" w:hAnsi="宋体" w:cs="宋体"/>
                <w:color w:val="000000"/>
                <w:spacing w:val="0"/>
                <w:position w:val="0"/>
                <w:sz w:val="24"/>
                <w:u w:val="none"/>
                <w:lang w:eastAsia="zh-CN"/>
              </w:rPr>
              <w:t>情况</w:t>
            </w:r>
          </w:p>
        </w:tc>
        <w:tc>
          <w:tcPr>
            <w:tcW w:w="8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德宏州财政局核定芒市202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年地方政府债务限额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114.6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亿元，经市人大常委会批准，当年新增地方政府债务限额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7.14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均为专项债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。202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转贷地方政府债券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21.84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亿元，其中：新增债券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7.14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亿元，再融资债券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14.7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亿元。新增债券资金主要用于教育、卫生、工业园区、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城镇污水垃圾处理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等重点领域。202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年末政府债务余额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109.62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亿元，低于限额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val="en-US" w:eastAsia="zh-CN"/>
              </w:rPr>
              <w:t>4.98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position w:val="0"/>
                <w:sz w:val="24"/>
                <w:szCs w:val="32"/>
                <w:u w:val="none"/>
                <w:lang w:eastAsia="zh-CN"/>
              </w:rPr>
              <w:t>亿元，债务余额均控制在法定限额内。</w:t>
            </w:r>
          </w:p>
          <w:p>
            <w:pPr>
              <w:spacing w:before="0" w:after="0" w:line="293" w:lineRule="exact"/>
              <w:ind w:firstLine="420" w:firstLineChars="200"/>
            </w:pPr>
          </w:p>
        </w:tc>
      </w:tr>
    </w:tbl>
    <w:p>
      <w:pPr>
        <w:spacing w:before="0" w:after="0" w:line="519" w:lineRule="exact"/>
        <w:ind w:left="3372" w:firstLine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position w:val="0"/>
          <w:sz w:val="36"/>
          <w:u w:val="none"/>
        </w:rPr>
      </w:pP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0763"/>
    <w:rsid w:val="00325E2F"/>
    <w:rsid w:val="007F1C1F"/>
    <w:rsid w:val="02132FF4"/>
    <w:rsid w:val="03F02754"/>
    <w:rsid w:val="141D1C1C"/>
    <w:rsid w:val="16F8599B"/>
    <w:rsid w:val="1B3508AA"/>
    <w:rsid w:val="24424409"/>
    <w:rsid w:val="2A143656"/>
    <w:rsid w:val="2AFC5B27"/>
    <w:rsid w:val="2DF235EE"/>
    <w:rsid w:val="2FF12759"/>
    <w:rsid w:val="3224068E"/>
    <w:rsid w:val="35FA7EA7"/>
    <w:rsid w:val="40A96334"/>
    <w:rsid w:val="44CF3C87"/>
    <w:rsid w:val="45395EEE"/>
    <w:rsid w:val="45DA6342"/>
    <w:rsid w:val="45EC5D0D"/>
    <w:rsid w:val="46F70BB1"/>
    <w:rsid w:val="47E07EFE"/>
    <w:rsid w:val="49B06BA8"/>
    <w:rsid w:val="4AEC0279"/>
    <w:rsid w:val="4F5202FD"/>
    <w:rsid w:val="50360D0D"/>
    <w:rsid w:val="50601FBB"/>
    <w:rsid w:val="53E644AE"/>
    <w:rsid w:val="547040C3"/>
    <w:rsid w:val="5C3D4FAC"/>
    <w:rsid w:val="5E03142A"/>
    <w:rsid w:val="65C534AB"/>
    <w:rsid w:val="690C7C39"/>
    <w:rsid w:val="6ABC2C0E"/>
    <w:rsid w:val="6C7F0ADA"/>
    <w:rsid w:val="6FA11AE9"/>
    <w:rsid w:val="701F243D"/>
    <w:rsid w:val="76CF22BD"/>
    <w:rsid w:val="7B1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实施方案正文"/>
    <w:basedOn w:val="1"/>
    <w:qFormat/>
    <w:uiPriority w:val="0"/>
    <w:pPr>
      <w:ind w:firstLine="566" w:firstLineChars="202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芒市财政 倪姝</cp:lastModifiedBy>
  <cp:lastPrinted>2020-08-31T09:56:00Z</cp:lastPrinted>
  <dcterms:modified xsi:type="dcterms:W3CDTF">2022-09-22T08:52:38Z</dcterms:modified>
  <dc:title>重点工作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