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60"/>
        <w:jc w:val="center"/>
        <w:rPr>
          <w:rFonts w:ascii="Times New Roman" w:hAnsi="Times New Roman" w:eastAsia="黑体" w:cs="黑体"/>
          <w:sz w:val="36"/>
          <w:szCs w:val="36"/>
        </w:rPr>
      </w:pPr>
      <w:bookmarkStart w:id="0" w:name="_GoBack"/>
      <w:bookmarkEnd w:id="0"/>
      <w:r>
        <w:rPr>
          <w:rFonts w:hint="eastAsia" w:ascii="Times New Roman" w:hAnsi="Times New Roman" w:eastAsia="黑体" w:cs="黑体"/>
          <w:sz w:val="36"/>
          <w:szCs w:val="36"/>
        </w:rPr>
        <w:t>项目支出绩效评价指标评分表</w:t>
      </w:r>
    </w:p>
    <w:p>
      <w:pPr>
        <w:pStyle w:val="2"/>
        <w:ind w:firstLine="0" w:firstLineChars="0"/>
        <w:rPr>
          <w:rFonts w:ascii="Times New Roman" w:hAnsi="Times New Roman" w:eastAsia="仿宋_GB2312" w:cs="仿宋_GB2312"/>
        </w:rPr>
      </w:pPr>
      <w:r>
        <w:rPr>
          <w:rFonts w:hint="eastAsia" w:ascii="Times New Roman" w:hAnsi="Times New Roman" w:eastAsia="仿宋_GB2312" w:cs="仿宋_GB2312"/>
        </w:rPr>
        <w:t>项目实施单位：芒市镇人民政府       项目名称：芒市镇象滚塘村</w:t>
      </w:r>
      <w:r>
        <w:rPr>
          <w:rFonts w:hint="eastAsia" w:ascii="仿宋_GB2312" w:hAnsi="Times New Roman" w:eastAsia="仿宋_GB2312" w:cs="仿宋_GB2312"/>
        </w:rPr>
        <w:t xml:space="preserve">2020年边疆党建长廊“四位一体”建设试点项目    </w:t>
      </w:r>
      <w:r>
        <w:rPr>
          <w:rFonts w:ascii="仿宋_GB2312" w:hAnsi="Times New Roman" w:eastAsia="仿宋_GB2312" w:cs="仿宋_GB2312"/>
        </w:rPr>
        <w:t xml:space="preserve">    </w:t>
      </w:r>
      <w:r>
        <w:rPr>
          <w:rFonts w:hint="eastAsia" w:ascii="仿宋_GB2312" w:hAnsi="Times New Roman" w:eastAsia="仿宋_GB2312" w:cs="仿宋_GB2312"/>
        </w:rPr>
        <w:t>评价年度：2020</w:t>
      </w:r>
      <w:r>
        <w:rPr>
          <w:rFonts w:hint="eastAsia" w:ascii="Times New Roman" w:hAnsi="Times New Roman" w:eastAsia="仿宋_GB2312" w:cs="仿宋_GB2312"/>
        </w:rPr>
        <w:t>年</w:t>
      </w:r>
    </w:p>
    <w:tbl>
      <w:tblPr>
        <w:tblStyle w:val="5"/>
        <w:tblW w:w="14127" w:type="dxa"/>
        <w:tblInd w:w="108" w:type="dxa"/>
        <w:tblLayout w:type="fixed"/>
        <w:tblCellMar>
          <w:top w:w="0" w:type="dxa"/>
          <w:left w:w="108" w:type="dxa"/>
          <w:bottom w:w="0" w:type="dxa"/>
          <w:right w:w="108" w:type="dxa"/>
        </w:tblCellMar>
      </w:tblPr>
      <w:tblGrid>
        <w:gridCol w:w="570"/>
        <w:gridCol w:w="747"/>
        <w:gridCol w:w="1101"/>
        <w:gridCol w:w="924"/>
        <w:gridCol w:w="4023"/>
        <w:gridCol w:w="791"/>
        <w:gridCol w:w="747"/>
        <w:gridCol w:w="655"/>
        <w:gridCol w:w="783"/>
        <w:gridCol w:w="2403"/>
        <w:gridCol w:w="1383"/>
      </w:tblGrid>
      <w:tr>
        <w:tblPrEx>
          <w:tblCellMar>
            <w:top w:w="0" w:type="dxa"/>
            <w:left w:w="108" w:type="dxa"/>
            <w:bottom w:w="0" w:type="dxa"/>
            <w:right w:w="108" w:type="dxa"/>
          </w:tblCellMar>
        </w:tblPrEx>
        <w:trPr>
          <w:trHeight w:val="450" w:hRule="atLeast"/>
          <w:tblHeader/>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四级指标</w:t>
            </w:r>
          </w:p>
        </w:tc>
        <w:tc>
          <w:tcPr>
            <w:tcW w:w="4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评分说明</w:t>
            </w:r>
          </w:p>
        </w:tc>
        <w:tc>
          <w:tcPr>
            <w:tcW w:w="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指标值</w:t>
            </w:r>
          </w:p>
        </w:tc>
        <w:tc>
          <w:tcPr>
            <w:tcW w:w="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完成值</w:t>
            </w: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7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评分</w:t>
            </w:r>
          </w:p>
        </w:tc>
        <w:tc>
          <w:tcPr>
            <w:tcW w:w="2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指标评价依据或数字来源</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扣分原因</w:t>
            </w:r>
          </w:p>
        </w:tc>
      </w:tr>
      <w:tr>
        <w:tblPrEx>
          <w:tblCellMar>
            <w:top w:w="0" w:type="dxa"/>
            <w:left w:w="108" w:type="dxa"/>
            <w:bottom w:w="0" w:type="dxa"/>
            <w:right w:w="108" w:type="dxa"/>
          </w:tblCellMar>
        </w:tblPrEx>
        <w:trPr>
          <w:trHeight w:val="1350" w:hRule="atLeast"/>
        </w:trPr>
        <w:tc>
          <w:tcPr>
            <w:tcW w:w="5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一、决策</w:t>
            </w: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（一）项目立项</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1.立项依据充分性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芒政请</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3号，芒政复〔2020〕3号，芒发改字〔2020〕138号，芒财整合〔2020〕5号，《实施方案》</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23"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2.立项程序规范性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①项目是否按照规定的程序申请设立；②审批文件、材料是否符合相关要求；③事前是否已经过必要的可行性研究、专家论证、风险评估、绩效评估、集体决策。每点0.5分。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芒政请</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3号，芒政复〔2020〕3号，芒发改字〔2020〕138号，芒财整合〔2020〕5号，《实施方案》</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（二）绩效目标</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1.绩效目标合理性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①项目是否有绩效目标；②项目绩效目标与实际工作内容是否具有相关性；③项目预期产出效益和效果是否符合正常的业绩水平；④是否与预算确定的项目投资额或资金量相匹配。每点0.5分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绩效目标申报表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2.绩效指标明确性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①是否将项目绩效目标细化分解为具体的绩效指标；②是否通过清晰、可衡量的指标值予以体现。每个要点1分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未对党群活动中心项目设定指标</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（三）资金投入</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1.资金预算</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①预算内容与项目内容是否匹配，0.5分；②预算是否经过专业机构审核，0.5分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芒发改字〔2020〕138号</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2.资金来源</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资金来源明确，满分；否则不得分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芒发改字〔2020〕138号</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（四）风险分析</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1.风险因素分析</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①项目投资是否进行风险分析0.5分；②项目投资是否针对国家政策调整、资金短缺、自然灾害等因素对项目的影响进行分析，0.5分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项目的实施方案无风险因素分析和应对措施</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2.风险控制措施</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针对风险因素制定相应的控制措施，满分；否则不得分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项目的实施方案无风险因素分析和应对措施</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50" w:hRule="atLeast"/>
        </w:trPr>
        <w:tc>
          <w:tcPr>
            <w:tcW w:w="5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二、过程</w:t>
            </w: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（一）资金管理</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1.资金管理制度健全性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①制定相应的资金管理制度，1分；②资金管理制度适用、有效，1分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实施方案里的资金管理和芒市镇建设项目管理制度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2.资金到位率</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按实际比例计算得分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28.59%</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0.3</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明细账、工程进度款支付证书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资金到位率为28.59%</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3.预算执行率</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超支节约率在5%以内，满分；超支节约率超过5%，每1%扣0.2分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±5%以内</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审计报告-芒审报〔2021〕9号</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4.资金使用合规性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会计账簿、凭证、工程进度款支付证书等资料</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8.3</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（二）组织实施</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1.项目管理制度健全性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①是否制定项目管理制度或项目实施方案，1分；②项目管理制度或实施方案是否符合项目实际情况，切实可行，1分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项目实施方案、芒市镇建设项目管理制度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2.“四制”执行情况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①建立项目法人制，0.5分；②按规定进行招投标，0.5分；③按规定进行工程监理0.5分；④按规定签订施工、服务合同，0.5分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项目领导小组成立文件、名单，招标公告、中标通知；监理合同、工程监理相关资料；施工、服务合同等</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3.项目调整情况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项目调整是否履行相关手续，1分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“四位一体”建设试点项目（初验会议）</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4.项目验收情况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是否按规定进行验收，1分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“四位一体”建设试点项目（初验会议）</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5.项目竣工结算情况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项目竣工是否进行竣工结算，1分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6.项目审计情况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经过审计得满分，未经过审计0分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审计报告-芒审报</w:t>
            </w:r>
            <w:r>
              <w:rPr>
                <w:rFonts w:hint="eastAsia" w:ascii="微软雅黑" w:hAnsi="微软雅黑" w:eastAsia="微软雅黑" w:cs="宋体"/>
                <w:kern w:val="0"/>
                <w:sz w:val="18"/>
                <w:szCs w:val="18"/>
              </w:rPr>
              <w:t>〔</w:t>
            </w:r>
            <w:r>
              <w:rPr>
                <w:rFonts w:hint="eastAsia" w:ascii="宋体" w:hAnsi="宋体" w:cs="宋体"/>
                <w:kern w:val="0"/>
                <w:sz w:val="18"/>
                <w:szCs w:val="18"/>
              </w:rPr>
              <w:t>2021</w:t>
            </w:r>
            <w:r>
              <w:rPr>
                <w:rFonts w:hint="eastAsia" w:ascii="微软雅黑" w:hAnsi="微软雅黑" w:eastAsia="微软雅黑" w:cs="宋体"/>
                <w:kern w:val="0"/>
                <w:sz w:val="18"/>
                <w:szCs w:val="18"/>
              </w:rPr>
              <w:t>〕</w:t>
            </w:r>
            <w:r>
              <w:rPr>
                <w:rFonts w:hint="eastAsia" w:ascii="宋体" w:hAnsi="宋体" w:cs="宋体"/>
                <w:kern w:val="0"/>
                <w:sz w:val="18"/>
                <w:szCs w:val="18"/>
              </w:rPr>
              <w:t>9号</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7.项目交付使用情况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办理交付手续得满分，未办理0分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项目移交管护协议</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8.项目公告公示情况</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①事前公示1分；②事后公告1分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项目公示公告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9.档案管理规范性</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①是否指定专人负责项目档案专门管理1分；②项目档案资料是否完整、齐全、规范1分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岗位职责、项目档案</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13</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13</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（三）绩效管理</w:t>
            </w: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1.绩效监控</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项目实施过程进行绩效监控的，满分；未进行不得分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过程中没有实施绩效监控，按季度填报绩效监控表</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2.绩效自评</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项目完成进行绩效自评的，满分；未进行不得分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自绩效评报告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（四）会计核算</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1.会计核算及时性</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项目资金收支当月核算，满分；跨月核算不得分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自定义三栏明细账、财政授权支付凭证</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2.会计核算准确性</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项目资金收支金额账证、账账、账表一致，满分；否则不得分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会计账簿、凭证等资料</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3.会计处理恰当性</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会计科目使用恰当，满分，否则不得分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会计账簿、凭证等资料</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4.会计工作规范性</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会计基础工作规范，满分；不规范酌情扣分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会计账簿、凭证等资料</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28</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26.3</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50" w:hRule="atLeast"/>
        </w:trPr>
        <w:tc>
          <w:tcPr>
            <w:tcW w:w="5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三、产出</w:t>
            </w: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（一）产出数量</w:t>
            </w: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1.基层组织建设-党群活动服务中心</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砖混结构房屋1栋</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260㎡</w:t>
            </w:r>
          </w:p>
        </w:tc>
        <w:tc>
          <w:tcPr>
            <w:tcW w:w="74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钢架结构建筑</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130㎡</w:t>
            </w:r>
          </w:p>
        </w:tc>
        <w:tc>
          <w:tcPr>
            <w:tcW w:w="74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未实施</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礼堂椅套数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122套</w:t>
            </w:r>
          </w:p>
        </w:tc>
        <w:tc>
          <w:tcPr>
            <w:tcW w:w="74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未实施</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2.壮大集体经济-象滚塘村生态农家乐</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改造庭院式房间数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增加或减少均不得分</w:t>
            </w:r>
          </w:p>
        </w:tc>
        <w:tc>
          <w:tcPr>
            <w:tcW w:w="7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6间</w:t>
            </w:r>
          </w:p>
        </w:tc>
        <w:tc>
          <w:tcPr>
            <w:tcW w:w="74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改造砖混单间数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增加或减少均不得分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6间</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3.壮大集体经济-玫瑰主题客栈</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改造原象滚塘中学教师宿舍</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增加或减少均不得分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6套</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4.壮大集体经济-农产品收购加工中心</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钢架大棚</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300㎡</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小型冷库</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增加或减少均不得分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1间</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空气能环保烘干房</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增加或减少均不得分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1间</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挡墙支砌</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572方</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lang w:eastAsia="zh-CN"/>
              </w:rPr>
              <w:t>混凝土</w:t>
            </w:r>
            <w:r>
              <w:rPr>
                <w:rFonts w:hint="eastAsia" w:ascii="宋体" w:hAnsi="宋体" w:cs="宋体"/>
                <w:kern w:val="0"/>
                <w:sz w:val="18"/>
                <w:szCs w:val="18"/>
              </w:rPr>
              <w:t>场地硬化</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606㎡</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安装太阳能路灯</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全部安装得满分，否则根据实际安装情况酌情扣分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4盏</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风化砂回填</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667方</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5.提升人居环境-新建外寨村生产道路</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铺设水泥预制块道路</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900㎡</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“四位一体”建设试点项目（初验会议）</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银杏行道树数量</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100株</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6.提升人居环境-新建老寨村生产道路及附属设施</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铺设水泥预制块道路</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450㎡</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芒市镇重大项目竣工验收证明书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玫瑰生产区单层休息区</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误差5%以内，满分，否则不得分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17</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（二）产出质量</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竣工验收合格率</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6个项目，每个项目验收合格0.5分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芒市镇重大项目竣工验收证明书2+3+4+5</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（三）产出时效</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1.开工时间</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当月开工得满分，当月未开工不得分；6个项目加权计算得分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2020年1月</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实施方案</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2.竣工时间</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当月竣工得满分，当月未竣工不得分；6个项目加权计算得分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2022年1月</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实施方案</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（四）产出成本</w:t>
            </w: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1.基层组织建设-党群活动服务中心</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砖混结构单位成本</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成本控制率（实际成本/计划成本，下同）&gt;1时，每超过1%扣0.1分，扣完为止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1960元/㎡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钢架结构成本</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300元/㎡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未实施</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礼堂椅单位成本</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500元/套</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未实施</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2.壮大集体经济-象滚塘村生态农家乐</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庭院式房间单位成本</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10万元/套</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改造砖混单间单位成本</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5万元/套</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屋外场地改造提升</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7.5万元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卫生室副楼屋顶更换、墙体粉刷</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15.5万元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3.壮大集体经济-玫瑰主题客栈</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改造原象滚塘中学教师宿舍单位成本</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15万元/套</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4.壮大集体经济-农产品收购加工中心</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集体建设用地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44060元/亩</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芒市镇象滚塘村委会征地补偿兑付表</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钢架大棚</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500元/㎡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小型冷库</w:t>
            </w:r>
          </w:p>
        </w:tc>
        <w:tc>
          <w:tcPr>
            <w:tcW w:w="4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54万元</w:t>
            </w:r>
          </w:p>
        </w:tc>
        <w:tc>
          <w:tcPr>
            <w:tcW w:w="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空气能环保烘干房</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49万元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挡墙支砌</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549元/方</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lang w:eastAsia="zh-CN"/>
              </w:rPr>
              <w:t>混凝土</w:t>
            </w:r>
            <w:r>
              <w:rPr>
                <w:rFonts w:hint="eastAsia" w:ascii="宋体" w:hAnsi="宋体" w:cs="宋体"/>
                <w:kern w:val="0"/>
                <w:sz w:val="18"/>
                <w:szCs w:val="18"/>
              </w:rPr>
              <w:t>场地硬化</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135元/㎡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芒市镇象滚塘村"四位一体"旅游接待设施建设结算书</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安装太阳能路灯</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4525元/盏</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风化砂回填</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45元/立方</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未见相关验收资料</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5.提升人居环境-新建外寨村生产道路</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铺设水泥预制块道路</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180元/㎡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竣工决（结）算报告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银杏行道树数量</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600元/株</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竣工决（结）算报告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5"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6.提升人居环境-新建老寨村生产道路及附属设施</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铺设水泥预制块道路</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180元/㎡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竣工决（结）算报告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玫瑰生产区单层休息区</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1800元/㎡</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783"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竣工决（结）算报告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7</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50" w:hRule="atLeast"/>
        </w:trPr>
        <w:tc>
          <w:tcPr>
            <w:tcW w:w="5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四、效益</w:t>
            </w:r>
          </w:p>
        </w:tc>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（一）项目效益</w:t>
            </w: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1.经济效益</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农家乐增加经营者收入</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明显100分；不明显60分；未增加0分。加权计算得分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明显</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客栈增加集体收入</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明显100分；不明显60分；未增加0分。加权计算得分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明显</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芒市镇象滚塘村"四位一体项目资产租赁合同"</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农产中心增加集体收入</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明显100分；不明显60分；未增加0分。加权计算得分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明显</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芒市镇象滚塘村"四位一体项目资产租赁合同"</w:t>
            </w:r>
          </w:p>
        </w:tc>
        <w:tc>
          <w:tcPr>
            <w:tcW w:w="13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农产中心增加家庭收入</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明显100分；不明显60分；未增加0分。加权计算得分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明显</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2.社会效益</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覆盖村小组数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实现预期目标得满分，未实现酌情扣分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9个</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象滚塘村工作报告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覆盖党员数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实现预期目标得满分，未实现酌情扣分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83人</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象滚塘村工作报告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覆盖村民数</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实现预期目标得满分，未实现酌情扣分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1429人</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象滚塘村工作报告</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增加当地就业岗位</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明显100分；不明显60分；未增加0分。加权计算得分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明显</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3.生态环境效益</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改善居民居住环境</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明显100分；不明显60分；未改善0分。加权计算得分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明显</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4.可持续发展</w:t>
            </w: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政治建设</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有利于政治建设，产生长期影响，满分；否则不得分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有利、长期</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经济建设</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有利于经济建设，产生长期影响，满分；否则不得分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有利、长期</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文化建设</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有利于文化建设，产生长期影响，满分；否则不得分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有利、长期</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社会建设</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有利于社会建设，产生长期影响，满分；否则不得分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有利、长期</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（二）项目满意度</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调查对象满意度</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满意100分，基本满意60分，不满意0分。加权计算得分</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5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28</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28</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70" w:hRule="atLeast"/>
        </w:trPr>
        <w:tc>
          <w:tcPr>
            <w:tcW w:w="2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9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0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100</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85.3</w:t>
            </w:r>
          </w:p>
        </w:tc>
        <w:tc>
          <w:tcPr>
            <w:tcW w:w="24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26F31"/>
    <w:rsid w:val="7504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color w:val="000000"/>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widowControl/>
      <w:adjustRightInd w:val="0"/>
      <w:snapToGrid w:val="0"/>
      <w:spacing w:after="120"/>
      <w:jc w:val="left"/>
    </w:pPr>
    <w:rPr>
      <w:rFonts w:ascii="Wingdings" w:hAnsi="Wingdings" w:eastAsia="Cambria Math" w:cs="Cambria Math"/>
      <w:kern w:val="0"/>
      <w:sz w:val="22"/>
      <w:szCs w:val="22"/>
    </w:rPr>
  </w:style>
  <w:style w:type="paragraph" w:styleId="4">
    <w:name w:val="footer"/>
    <w:basedOn w:val="1"/>
    <w:qFormat/>
    <w:uiPriority w:val="99"/>
    <w:pPr>
      <w:tabs>
        <w:tab w:val="left" w:pos="2930"/>
      </w:tabs>
      <w:snapToGrid w:val="0"/>
      <w:jc w:val="left"/>
    </w:pPr>
    <w:rPr>
      <w:rFonts w:ascii="宋体" w:hAnsi="宋体"/>
      <w:kern w:val="0"/>
      <w:sz w:val="2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2022-09-15T08:49:00Z</dcterms:created>
  <dc:creator>Administrator</dc:creator>
  <cp:lastModifiedBy>zdf</cp:lastModifiedBy>
  <dcterms:modified xsi:type="dcterms:W3CDTF">2022-09-20T03:43:38Z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