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360"/>
        <w:jc w:val="center"/>
        <w:rPr>
          <w:rFonts w:ascii="Times New Roman" w:hAnsi="Times New Roman" w:eastAsia="黑体" w:cs="黑体"/>
          <w:sz w:val="36"/>
          <w:szCs w:val="36"/>
        </w:rPr>
      </w:pPr>
      <w:r>
        <w:rPr>
          <w:rFonts w:hint="eastAsia" w:ascii="Times New Roman" w:hAnsi="Times New Roman" w:eastAsia="黑体" w:cs="黑体"/>
          <w:sz w:val="36"/>
          <w:szCs w:val="36"/>
        </w:rPr>
        <w:t>项目支出绩效评价指标评分表</w:t>
      </w:r>
    </w:p>
    <w:p>
      <w:pPr>
        <w:pStyle w:val="2"/>
        <w:ind w:firstLine="440" w:firstLineChars="200"/>
        <w:rPr>
          <w:rFonts w:ascii="Times New Roman" w:hAnsi="Times New Roman" w:eastAsiaTheme="minorEastAsia"/>
        </w:rPr>
      </w:pPr>
      <w:r>
        <w:rPr>
          <w:rFonts w:hint="eastAsia" w:ascii="Times New Roman" w:hAnsi="Times New Roman" w:eastAsia="仿宋_GB2312" w:cs="仿宋_GB2312"/>
        </w:rPr>
        <w:t xml:space="preserve">项目实施单位：三台山德昂族乡人民政府      </w:t>
      </w:r>
      <w:r>
        <w:rPr>
          <w:rFonts w:ascii="Times New Roman" w:hAnsi="Times New Roman" w:eastAsia="仿宋_GB2312" w:cs="仿宋_GB2312"/>
        </w:rPr>
        <w:t xml:space="preserve">  </w:t>
      </w:r>
      <w:r>
        <w:rPr>
          <w:rFonts w:hint="eastAsia" w:ascii="Times New Roman" w:hAnsi="Times New Roman" w:eastAsia="仿宋_GB2312" w:cs="仿宋_GB2312"/>
        </w:rPr>
        <w:t xml:space="preserve">项目名称：允欠村“四位一体”建设试点项目   </w:t>
      </w:r>
      <w:r>
        <w:rPr>
          <w:rFonts w:ascii="Times New Roman" w:hAnsi="Times New Roman" w:eastAsia="仿宋_GB2312" w:cs="仿宋_GB2312"/>
        </w:rPr>
        <w:t xml:space="preserve">                 </w:t>
      </w:r>
      <w:r>
        <w:rPr>
          <w:rFonts w:hint="eastAsia" w:ascii="Times New Roman" w:hAnsi="Times New Roman" w:eastAsia="仿宋_GB2312" w:cs="仿宋_GB2312"/>
        </w:rPr>
        <w:t>评价年度：</w:t>
      </w:r>
      <w:r>
        <w:rPr>
          <w:rFonts w:hint="eastAsia" w:ascii="仿宋_GB2312" w:hAnsi="Times New Roman" w:eastAsia="仿宋_GB2312" w:cs="仿宋_GB2312"/>
        </w:rPr>
        <w:t>202</w:t>
      </w:r>
      <w:r>
        <w:rPr>
          <w:rFonts w:ascii="仿宋_GB2312" w:hAnsi="Times New Roman" w:eastAsia="仿宋_GB2312" w:cs="仿宋_GB2312"/>
        </w:rPr>
        <w:t>0</w:t>
      </w:r>
      <w:r>
        <w:rPr>
          <w:rFonts w:ascii="Times New Roman" w:hAnsi="Times New Roman" w:eastAsiaTheme="minorEastAsia"/>
        </w:rPr>
        <w:t>年</w:t>
      </w:r>
    </w:p>
    <w:tbl>
      <w:tblPr>
        <w:tblStyle w:val="5"/>
        <w:tblW w:w="15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5"/>
        <w:gridCol w:w="1245"/>
        <w:gridCol w:w="1118"/>
        <w:gridCol w:w="941"/>
        <w:gridCol w:w="4670"/>
        <w:gridCol w:w="866"/>
        <w:gridCol w:w="839"/>
        <w:gridCol w:w="641"/>
        <w:gridCol w:w="600"/>
        <w:gridCol w:w="3375"/>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blHeader/>
          <w:jc w:val="center"/>
        </w:trPr>
        <w:tc>
          <w:tcPr>
            <w:tcW w:w="685"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45"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9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四级指标</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评分说明</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839"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指标评价依据或数字来源</w:t>
            </w:r>
          </w:p>
        </w:tc>
        <w:tc>
          <w:tcPr>
            <w:tcW w:w="95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扣分原因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8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一、决策</w:t>
            </w:r>
          </w:p>
        </w:tc>
        <w:tc>
          <w:tcPr>
            <w:tcW w:w="124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（一）项目立项</w:t>
            </w: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1.立项依据充分性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立项是否符合国家法律法规、国民经济发展规划和相关政策；②项目立项是否符合行业发展规划和政策要求；③项目立项是否与部门职责范围相符，属于部门履职所需；④项目是否属于公共财政支持范围，是否符合中央、地方事权支出责任划分原则；⑤项目是否与相关部门同类项目或部门内部相关项目重复。每点0.5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Style w:val="7"/>
                <w:lang w:val="en-US" w:eastAsia="zh-CN" w:bidi="ar"/>
              </w:rPr>
              <w:t>项目申报计划书、项目总体规划、可行性研究报告、芒政复</w:t>
            </w:r>
            <w:r>
              <w:rPr>
                <w:rStyle w:val="8"/>
                <w:rFonts w:ascii="宋体" w:hAnsi="宋体" w:eastAsia="宋体" w:cs="宋体"/>
                <w:sz w:val="24"/>
                <w:szCs w:val="24"/>
                <w:lang w:val="en-US" w:eastAsia="zh-CN" w:bidi="ar"/>
              </w:rPr>
              <w:t>〔</w:t>
            </w:r>
            <w:r>
              <w:rPr>
                <w:rStyle w:val="7"/>
                <w:lang w:val="en-US" w:eastAsia="zh-CN" w:bidi="ar"/>
              </w:rPr>
              <w:t>2019</w:t>
            </w:r>
            <w:r>
              <w:rPr>
                <w:rStyle w:val="8"/>
                <w:rFonts w:ascii="宋体" w:hAnsi="宋体" w:eastAsia="宋体" w:cs="宋体"/>
                <w:sz w:val="24"/>
                <w:szCs w:val="24"/>
                <w:lang w:val="en-US" w:eastAsia="zh-CN" w:bidi="ar"/>
              </w:rPr>
              <w:t>〕</w:t>
            </w:r>
            <w:r>
              <w:rPr>
                <w:rStyle w:val="7"/>
                <w:lang w:val="en-US" w:eastAsia="zh-CN" w:bidi="ar"/>
              </w:rPr>
              <w:t>320号、芒发改字〔2019〕181号、芒财整合〔2019〕021号、芒财整合〔2020〕5号</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2.立项程序规范性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①项目是否按照规定的程序申请设立；②审批文件、材料是否符合相关要求；③事前是否已经过必要的可行性研究、专家论证、风险评估、绩效评估、集体决策。每点0.5分。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项目申报计划书、项目总体规划、可行性研究报告、芒政复〔2019〕320号、芒发改字〔2019〕181号、芒财整合〔2019〕021号、芒财整合〔2020〕5号</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（二）绩效目标</w:t>
            </w: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1.绩效目标合理性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①项目是否有绩效目标；②项目绩效目标与实际工作内容是否具有相关性；③项目预期产出效益和效果是否符合正常的业绩水平；④是否与预算确定的项目投资额或资金量相匹配。每点0.5分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绩效目标申报表</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2.绩效指标明确性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①是否将项目绩效目标细化分解为具体的绩效指标；②是否通过清晰、可衡量的指标值予以体现。每个要点1分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绩效目标申报表</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（三）资金投入</w:t>
            </w: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1.资金预算</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①预算内容与项目内容是否匹配，0.5分；②预算是否经过专业机构审核，0.5分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芒发改字〔2019〕181号</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2.资金来源</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资金来源明确，满分；否则不得分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芒发改字〔2019〕181号、芒财整合〔2019〕021号、芒财整合〔2020〕5号、芒财预〔2020〕10号</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（四）风险分析</w:t>
            </w: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1.风险因素分析</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①项目投资是否进行风险分析0.5分；②项目投资是否针对国家政策调整、资金短缺、自然灾害等因素对项目的影响进行分析，0.5分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项目总体规划，可研报告</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2.风险控制措施</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针对风险因素制定相应的控制措施，满分；否则不得分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项目总体规划，可研报告</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2363" w:type="dxa"/>
            <w:gridSpan w:val="2"/>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316" w:type="dxa"/>
            <w:gridSpan w:val="4"/>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3375" w:type="dxa"/>
            <w:shd w:val="clear" w:color="auto" w:fill="auto"/>
            <w:noWrap/>
            <w:vAlign w:val="center"/>
          </w:tcPr>
          <w:p>
            <w:pPr>
              <w:spacing w:line="240" w:lineRule="auto"/>
              <w:rPr>
                <w:rFonts w:hint="eastAsia" w:ascii="宋体" w:hAnsi="宋体" w:eastAsia="宋体" w:cs="宋体"/>
                <w:b/>
                <w:bCs/>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二、过程</w:t>
            </w:r>
          </w:p>
        </w:tc>
        <w:tc>
          <w:tcPr>
            <w:tcW w:w="124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（一）资金管理</w:t>
            </w: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1.资金管理制度健全性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①制定相应的资金管理制度，1分；②资金管理制度适用、有效，1分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项目总体规划</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2.资金到位率</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按实际比例计算得分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9"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68.26%</w:t>
            </w: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3.预算执行率</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超支节约率在5%以内，满分；超支节约率超过5%，每1%扣0.2分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项目竣工验收意见书</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4.资金使用合规性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符合国家财经法规和财务管理制度以及有关专项资金管理办法的规定，1分；②资金的拨付是否有完整的审批程序和手续，1分；③是否符合项目预算批复或合同规定的用途，1分；④是否存在截留、挤占、挪用、虚列支出等情况，2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项目总体规划、芒政复〔2019〕320号、芒发改字〔2019〕181号、芒财整合〔2019〕021号、芒财整合〔2020〕5号，会计凭证</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8.7</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（二）组织实施</w:t>
            </w: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1.项目管理制度健全性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①是否制定项目管理制度或项目实施方案，1分；②项目管理制度或实施方案是否符合项目实际情况，切实可行，1分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项目总体规划</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2.“四制”执行情况</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①建立项目法人制，0.5分；②按规定进行招投标，0.5分；③按规定进行工程监理0.5分；④按规定签订施工、服务合同，0.5分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招投标备案资料</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3.项目调整情况</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项目调整是否履行相关手续，1分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项目竣工验收意见书</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4.项目验收情况</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是否按规定进行验收，1分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项目竣工验收意见书</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5.项目竣工结算情况</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项目竣工是否进行竣工结算，1分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竣工结算资料</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6.项目审计情况</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经过审计得满分，未经过审计0分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尚未审计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7.项目交付使用情况</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办理交付手续得满分，未办理0分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项目移交情况表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8.项目公告公示情况</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①事前公示1分；②事后公告1分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项目公示公告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9.档案管理规范性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①是否指定专人负责项目档案专门管理1分；②项目档案资料是否完整、齐全、规范1分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75" w:type="dxa"/>
            <w:shd w:val="clear" w:color="auto" w:fill="auto"/>
            <w:noWrap/>
            <w:vAlign w:val="center"/>
          </w:tcPr>
          <w:p>
            <w:pPr>
              <w:spacing w:line="240" w:lineRule="auto"/>
              <w:jc w:val="left"/>
              <w:rPr>
                <w:rFonts w:hint="eastAsia" w:ascii="宋体" w:hAnsi="宋体" w:eastAsia="宋体" w:cs="宋体"/>
                <w:i w:val="0"/>
                <w:iCs w:val="0"/>
                <w:color w:val="000000"/>
                <w:sz w:val="18"/>
                <w:szCs w:val="18"/>
                <w:u w:val="none"/>
              </w:rPr>
            </w:pPr>
          </w:p>
        </w:tc>
        <w:tc>
          <w:tcPr>
            <w:tcW w:w="958"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未见相关档案管理资料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（三）绩效管理</w:t>
            </w:r>
          </w:p>
        </w:tc>
        <w:tc>
          <w:tcPr>
            <w:tcW w:w="1118"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1.绩效监控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项目实施过程进行绩效监控的，满分；未进行不得分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过程中没有实施绩效监控，未按季度填报绩效监控表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2.绩效自评</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项目完成进行绩效自评的，满分；未进行不得分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（四）会计核算</w:t>
            </w: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1.会计核算及时性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项目资金收支当月核算，满分；跨月核算不得分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会计凭证及相关票据</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2.会计核算准确性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项目资金收支金额账证、账账、账表一致，满分；否则不得分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会计凭证及相关票据</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3.会计处理恰当性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会计科目使用恰当，满分，否则不得分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会计凭证及相关票据</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4.会计工作规范性</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会计基础工作规范，满分；不规范酌情扣分</w:t>
            </w: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会计凭证及相关票据</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noWrap/>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2363" w:type="dxa"/>
            <w:gridSpan w:val="2"/>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316" w:type="dxa"/>
            <w:gridSpan w:val="4"/>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28</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20.7</w:t>
            </w:r>
          </w:p>
        </w:tc>
        <w:tc>
          <w:tcPr>
            <w:tcW w:w="3375" w:type="dxa"/>
            <w:shd w:val="clear" w:color="auto" w:fill="auto"/>
            <w:noWrap/>
            <w:vAlign w:val="center"/>
          </w:tcPr>
          <w:p>
            <w:pPr>
              <w:spacing w:line="240" w:lineRule="auto"/>
              <w:jc w:val="center"/>
              <w:rPr>
                <w:rFonts w:hint="eastAsia" w:ascii="宋体" w:hAnsi="宋体" w:eastAsia="宋体" w:cs="宋体"/>
                <w:b/>
                <w:bCs/>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三、产出</w:t>
            </w:r>
          </w:p>
        </w:tc>
        <w:tc>
          <w:tcPr>
            <w:tcW w:w="124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（一）产出数量</w:t>
            </w:r>
          </w:p>
        </w:tc>
        <w:tc>
          <w:tcPr>
            <w:tcW w:w="1118" w:type="dxa"/>
            <w:vMerge w:val="restart"/>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1.基层组织建设-允欠三组党建示范点</w:t>
            </w: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展览馆改造提升</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39" w:type="dxa"/>
            <w:shd w:val="clear" w:color="auto" w:fill="auto"/>
            <w:vAlign w:val="center"/>
          </w:tcPr>
          <w:p>
            <w:pPr>
              <w:spacing w:line="240" w:lineRule="auto"/>
              <w:ind w:left="0" w:leftChars="0" w:firstLine="0" w:firstLineChars="0"/>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75" w:type="dxa"/>
            <w:shd w:val="clear" w:color="auto" w:fill="auto"/>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标未见相关验收资料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文化墙喷涂</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75" w:type="dxa"/>
            <w:shd w:val="clear" w:color="auto" w:fill="auto"/>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标未见相关验收资料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阶梯花园</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75" w:type="dxa"/>
            <w:shd w:val="clear" w:color="auto" w:fill="auto"/>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标未见相关验收资料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浮雕墙</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839"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党建文化雕塑项目结算报告</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展示栏（2组）</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14m</w:t>
            </w:r>
          </w:p>
        </w:tc>
        <w:tc>
          <w:tcPr>
            <w:tcW w:w="839"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党建文化雕塑项目结算报告</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党建文化墙</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75" w:type="dxa"/>
            <w:shd w:val="clear" w:color="auto" w:fill="auto"/>
            <w:vAlign w:val="center"/>
          </w:tcPr>
          <w:p>
            <w:pPr>
              <w:spacing w:line="240" w:lineRule="auto"/>
              <w:ind w:left="0" w:leftChars="0" w:firstLine="0" w:firstLineChars="0"/>
              <w:rPr>
                <w:rFonts w:hint="eastAsia" w:ascii="宋体" w:hAnsi="宋体" w:eastAsia="宋体" w:cs="宋体"/>
                <w:i w:val="0"/>
                <w:iCs w:val="0"/>
                <w:color w:val="000000"/>
                <w:sz w:val="18"/>
                <w:szCs w:val="18"/>
                <w:u w:val="none"/>
              </w:rPr>
            </w:pPr>
          </w:p>
        </w:tc>
        <w:tc>
          <w:tcPr>
            <w:tcW w:w="958"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标未见相关验收资料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提升改造特色党建宣传路（包含德昂族水鼓80个）</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378m</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75" w:type="dxa"/>
            <w:shd w:val="clear" w:color="auto" w:fill="auto"/>
            <w:vAlign w:val="center"/>
          </w:tcPr>
          <w:p>
            <w:pPr>
              <w:spacing w:line="240" w:lineRule="auto"/>
              <w:ind w:left="0" w:leftChars="0" w:firstLine="0" w:firstLineChars="0"/>
              <w:rPr>
                <w:rFonts w:hint="eastAsia" w:ascii="宋体" w:hAnsi="宋体" w:eastAsia="宋体" w:cs="宋体"/>
                <w:i w:val="0"/>
                <w:iCs w:val="0"/>
                <w:color w:val="000000"/>
                <w:sz w:val="18"/>
                <w:szCs w:val="18"/>
                <w:u w:val="none"/>
              </w:rPr>
            </w:pPr>
          </w:p>
        </w:tc>
        <w:tc>
          <w:tcPr>
            <w:tcW w:w="958"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标未见相关验收资料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新建德昂族文化及党建元素雕塑</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4座</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党建文化雕塑项目结算报告</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新建滇缅公路沿线抗战文化元素标志</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375" w:type="dxa"/>
            <w:shd w:val="clear" w:color="auto" w:fill="auto"/>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标未见相关验收资料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新建滇缅公路沿线抗战文化元素标志浮雕墙</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39"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23.23</w:t>
            </w: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党建文化雕塑项目结算报告</w:t>
            </w:r>
          </w:p>
        </w:tc>
        <w:tc>
          <w:tcPr>
            <w:tcW w:w="958" w:type="dxa"/>
            <w:shd w:val="clear" w:color="auto" w:fill="auto"/>
            <w:vAlign w:val="center"/>
          </w:tcPr>
          <w:p>
            <w:pPr>
              <w:spacing w:line="240" w:lineRule="auto"/>
              <w:ind w:left="0" w:leftChars="0" w:firstLine="0" w:firstLineChars="0"/>
              <w:jc w:val="both"/>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2.壮大集体经济-德昂族酸茶加工厂</w:t>
            </w: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新建德昂族酸茶加工厂房及附属设施</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839.05㎡</w:t>
            </w:r>
          </w:p>
        </w:tc>
        <w:tc>
          <w:tcPr>
            <w:tcW w:w="839" w:type="dxa"/>
            <w:shd w:val="clear" w:color="auto" w:fill="auto"/>
            <w:vAlign w:val="center"/>
          </w:tcPr>
          <w:p>
            <w:pPr>
              <w:spacing w:line="240" w:lineRule="auto"/>
              <w:ind w:left="0" w:leftChars="0" w:firstLine="0" w:firstLineChars="0"/>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restart"/>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3.提升人居环境-粪污处理</w:t>
            </w: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中国罐</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34套</w:t>
            </w:r>
          </w:p>
        </w:tc>
        <w:tc>
          <w:tcPr>
            <w:tcW w:w="839" w:type="dxa"/>
            <w:shd w:val="clear" w:color="auto" w:fill="auto"/>
            <w:vAlign w:val="center"/>
          </w:tcPr>
          <w:p>
            <w:pPr>
              <w:spacing w:line="240" w:lineRule="auto"/>
              <w:ind w:left="0" w:leftChars="0" w:firstLine="0" w:firstLineChars="0"/>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牲畜集中养殖场</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839"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759.85</w:t>
            </w: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竣工验收合格证明书验收面积为759.85</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改造提升卫生公厕</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粪污处理项目结算报告，三台山乡允欠村边疆党建长廊“四位一体”建设试点项目推进情况汇报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restart"/>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4.提高公共服务水平-村内道路及挡土墙</w:t>
            </w: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新建村内挡土墙</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Style w:val="7"/>
                <w:lang w:val="en-US" w:eastAsia="zh-CN" w:bidi="ar"/>
              </w:rPr>
              <w:t>44.8m³</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粪污处理项目结算报告，三台山乡允欠村边疆党建长廊“四位一体”建设试点项目推进情况汇报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改扩建村内道路</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384.6㎡</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粪污处理项目结算报告，三台山乡允欠村边疆党建长廊“四位一体”建设试点项目推进情况汇报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新建村内道路防护</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114.8㎡</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粪污处理项目结算报告，三台山乡允欠村边疆党建长廊“四位一体”建设试点项目推进情况汇报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新建村内道路矮墙</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10组</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粪污处理项目结算报告，三台山乡允欠村边疆党建长廊“四位一体”建设试点项目推进情况汇报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新建允欠一、二、三组通村公路</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±5%以内，满分，否则不得分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2669㎡</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粪污处理项目结算报告，三台山乡允欠村边疆党建长廊“四位一体”建设试点项目推进情况汇报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3375" w:type="dxa"/>
            <w:shd w:val="clear" w:color="auto" w:fill="auto"/>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（二）产出质量</w:t>
            </w: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竣工验收合格率</w:t>
            </w:r>
          </w:p>
        </w:tc>
        <w:tc>
          <w:tcPr>
            <w:tcW w:w="941" w:type="dxa"/>
            <w:shd w:val="clear" w:color="auto" w:fill="auto"/>
            <w:vAlign w:val="center"/>
          </w:tcPr>
          <w:p>
            <w:pPr>
              <w:spacing w:line="240" w:lineRule="auto"/>
              <w:ind w:left="0" w:leftChars="0" w:firstLine="0" w:firstLineChars="0"/>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4个项目，每个项目验收合格0.5分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项目竣工验收意见书</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8"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3375" w:type="dxa"/>
            <w:shd w:val="clear" w:color="auto" w:fill="auto"/>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restart"/>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（三）产出时效</w:t>
            </w: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1.开工时间</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当月开工得满分，当月未开工不得分；4个项目加权计算得分</w:t>
            </w:r>
          </w:p>
        </w:tc>
        <w:tc>
          <w:tcPr>
            <w:tcW w:w="866"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2019年6月</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项目竣工验收意见书</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2.竣工时间</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当月竣工得满分，当月未竣工不得分；4个项目加权计算得分</w:t>
            </w:r>
          </w:p>
        </w:tc>
        <w:tc>
          <w:tcPr>
            <w:tcW w:w="866" w:type="dxa"/>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2021年6月</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项目竣工验收意见书</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3375" w:type="dxa"/>
            <w:shd w:val="clear" w:color="auto" w:fill="auto"/>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（四）产出成本</w:t>
            </w:r>
          </w:p>
        </w:tc>
        <w:tc>
          <w:tcPr>
            <w:tcW w:w="1118" w:type="dxa"/>
            <w:vMerge w:val="restart"/>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1.基层组织建设-允欠三组党建示范点</w:t>
            </w: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展览馆改造提升</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成本控制率（实际成本/计划成本，下同）&gt;1时，每超过1%扣0.1分，扣完为止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≤937.5元/㎡</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党建文化雕塑项目结算报告，三台山乡允欠村边疆党建长廊“四位一体”建设试点项目推进情况汇报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文化墙喷涂</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≤45元/㎡</w:t>
            </w:r>
          </w:p>
        </w:tc>
        <w:tc>
          <w:tcPr>
            <w:tcW w:w="839"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45.24元/㎡</w:t>
            </w: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党建文化雕塑项目结算报告，三台山乡允欠村边疆党建长廊“四位一体”建设试点项目推进情况汇报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阶梯花园</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≤200元/㎡</w:t>
            </w:r>
          </w:p>
        </w:tc>
        <w:tc>
          <w:tcPr>
            <w:tcW w:w="839"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310元/㎡</w:t>
            </w: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党建文化雕塑项目结算报告，三台山乡允欠村边疆党建长廊“四位一体”建设试点项目推进情况汇报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浮雕墙</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≤4000元/㎡</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党建文化雕塑项目结算报告，三台山乡允欠村边疆党建长廊“四位一体”建设试点项目推进情况汇报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展示栏（2组）</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≤6万元/组</w:t>
            </w:r>
          </w:p>
        </w:tc>
        <w:tc>
          <w:tcPr>
            <w:tcW w:w="839"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450000元/组</w:t>
            </w: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党建文化雕塑项目结算报告，三台山乡允欠村边疆党建长廊“四位一体”建设试点项目推进情况汇报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党建文化墙</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≤16万元</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提升改造特色党建宣传路（包含德昂族水鼓80个）</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bookmarkStart w:id="0" w:name="_GoBack"/>
            <w:bookmarkEnd w:id="0"/>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≤700元/米</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党建文化雕塑项目结算报告，三台山乡允欠村边疆党建长廊“四位一体”建设试点项目推进情况汇报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新建德昂族文化及党建元素雕塑</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≤4.5万元/座</w:t>
            </w:r>
          </w:p>
        </w:tc>
        <w:tc>
          <w:tcPr>
            <w:tcW w:w="839"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3.5万元/座</w:t>
            </w: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党建文化雕塑项目结算报告，三台山乡允欠村边疆党建长廊“四位一体”建设试点项目推进情况汇报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新建滇缅公路沿线抗战文化元素标志</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新建滇缅公路沿线抗战文化元素标志浮雕墙</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≤4000元/㎡</w:t>
            </w:r>
          </w:p>
        </w:tc>
        <w:tc>
          <w:tcPr>
            <w:tcW w:w="839"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4500元/㎡</w:t>
            </w: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2.壮大集体经济-德昂族酸茶加工厂</w:t>
            </w: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新建德昂族酸茶加工厂房及附属设施</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≤1000元/㎡</w:t>
            </w:r>
          </w:p>
        </w:tc>
        <w:tc>
          <w:tcPr>
            <w:tcW w:w="839" w:type="dxa"/>
            <w:shd w:val="clear" w:color="auto" w:fill="auto"/>
            <w:vAlign w:val="center"/>
          </w:tcPr>
          <w:p>
            <w:pPr>
              <w:spacing w:line="240" w:lineRule="auto"/>
              <w:ind w:left="0" w:leftChars="0" w:firstLine="0" w:firstLineChars="0"/>
              <w:jc w:val="both"/>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restart"/>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3.提升人居环境-粪污处理</w:t>
            </w: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中国罐</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≤1.6万元/个</w:t>
            </w:r>
          </w:p>
        </w:tc>
        <w:tc>
          <w:tcPr>
            <w:tcW w:w="839"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1万/个</w:t>
            </w: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粪污处理项目结算报告，三台山乡允欠村边疆党建长廊“四位一体”建设试点项目推进情况汇报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牲畜集中养殖场</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≤800元/㎡</w:t>
            </w:r>
          </w:p>
        </w:tc>
        <w:tc>
          <w:tcPr>
            <w:tcW w:w="839" w:type="dxa"/>
            <w:shd w:val="clear" w:color="auto" w:fill="auto"/>
            <w:vAlign w:val="center"/>
          </w:tcPr>
          <w:p>
            <w:pPr>
              <w:spacing w:line="240" w:lineRule="auto"/>
              <w:ind w:left="0" w:leftChars="0" w:firstLine="0" w:firstLineChars="0"/>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改造提升卫生公厕</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≤3000元/㎡</w:t>
            </w:r>
          </w:p>
        </w:tc>
        <w:tc>
          <w:tcPr>
            <w:tcW w:w="839" w:type="dxa"/>
            <w:shd w:val="clear" w:color="auto" w:fill="auto"/>
            <w:vAlign w:val="center"/>
          </w:tcPr>
          <w:p>
            <w:pPr>
              <w:spacing w:line="240" w:lineRule="auto"/>
              <w:ind w:left="0" w:leftChars="0" w:firstLine="0" w:firstLineChars="0"/>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restart"/>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4.提高公共服务水平-村内道路及挡土墙</w:t>
            </w: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新建村内挡土墙</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≤330元/m³</w:t>
            </w:r>
          </w:p>
        </w:tc>
        <w:tc>
          <w:tcPr>
            <w:tcW w:w="839" w:type="dxa"/>
            <w:shd w:val="clear" w:color="auto" w:fill="auto"/>
            <w:vAlign w:val="center"/>
          </w:tcPr>
          <w:p>
            <w:pPr>
              <w:spacing w:line="240" w:lineRule="auto"/>
              <w:ind w:left="0" w:leftChars="0" w:firstLine="0" w:firstLineChars="0"/>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改扩建村内道路</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≤120元/㎡</w:t>
            </w:r>
          </w:p>
        </w:tc>
        <w:tc>
          <w:tcPr>
            <w:tcW w:w="839" w:type="dxa"/>
            <w:shd w:val="clear" w:color="auto" w:fill="auto"/>
            <w:vAlign w:val="center"/>
          </w:tcPr>
          <w:p>
            <w:pPr>
              <w:spacing w:line="240" w:lineRule="auto"/>
              <w:ind w:left="0" w:leftChars="0" w:firstLine="0" w:firstLineChars="0"/>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新建村内道路防护</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≤24000元</w:t>
            </w:r>
          </w:p>
        </w:tc>
        <w:tc>
          <w:tcPr>
            <w:tcW w:w="839" w:type="dxa"/>
            <w:shd w:val="clear" w:color="auto" w:fill="auto"/>
            <w:vAlign w:val="center"/>
          </w:tcPr>
          <w:p>
            <w:pPr>
              <w:spacing w:line="240" w:lineRule="auto"/>
              <w:ind w:left="0" w:leftChars="0" w:firstLine="0" w:firstLineChars="0"/>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村内道路及挡土墙项目结算报告</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新建村内道路矮墙</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≤90000元</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村内道路及挡土墙项目结算报告</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新建允欠一、二、三组通村公路</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成本控制率&gt;1时，每超过1%扣0.1分，扣完为止</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≤64万元</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三台山乡允欠村边疆党建长廊“四位一体”建设试点项目推进情况汇报</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2363" w:type="dxa"/>
            <w:gridSpan w:val="2"/>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316" w:type="dxa"/>
            <w:gridSpan w:val="4"/>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36</w:t>
            </w:r>
          </w:p>
        </w:tc>
        <w:tc>
          <w:tcPr>
            <w:tcW w:w="3375" w:type="dxa"/>
            <w:shd w:val="clear" w:color="auto" w:fill="auto"/>
            <w:noWrap/>
            <w:vAlign w:val="center"/>
          </w:tcPr>
          <w:p>
            <w:pPr>
              <w:spacing w:line="240" w:lineRule="auto"/>
              <w:rPr>
                <w:rFonts w:hint="eastAsia" w:ascii="宋体" w:hAnsi="宋体" w:eastAsia="宋体" w:cs="宋体"/>
                <w:b/>
                <w:bCs/>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四、效益</w:t>
            </w:r>
          </w:p>
        </w:tc>
        <w:tc>
          <w:tcPr>
            <w:tcW w:w="1245" w:type="dxa"/>
            <w:vMerge w:val="restart"/>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（一）项目效益</w:t>
            </w: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1.经济效益</w:t>
            </w: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农民人均纯收入</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明显100分；不明显80分；未增加0分。加权计算得分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958"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调查问卷加权得分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866"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restart"/>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2.社会效益</w:t>
            </w: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覆盖村小组数</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实现预期目标得满分，未实现酌情扣分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项目总体规划，绩效申报表</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受益贫困人口数</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实现预期目标得满分，未实现酌情扣分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111人</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村委会统计数据</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覆盖党员数</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实现预期目标得满分，未实现酌情扣分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91人</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项目总体规划，绩效申报表</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覆盖村民数</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实现预期目标得满分，未实现酌情扣分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1015人</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项目总体规划，绩效申报表</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3.生态环境效益</w:t>
            </w: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改善居民居住环境</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明显100分；不明显60分；未改善0分。加权计算得分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明显</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restart"/>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4.可持续发展</w:t>
            </w: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政治建设</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有利于政治建设，产生长期影响，满分；否则不得分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有利、长期</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经济建设</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有利于经济建设，产生长期影响，满分；否则不得分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有利、长期</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文化建设</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有利于文化建设，产生长期影响，满分；否则不得分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有利、长期</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vMerge w:val="continue"/>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941"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社会建设</w:t>
            </w: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有利于社会建设，产生长期影响，满分；否则不得分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有利、长期</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118" w:type="dxa"/>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w:t>
            </w:r>
          </w:p>
        </w:tc>
        <w:tc>
          <w:tcPr>
            <w:tcW w:w="7316" w:type="dxa"/>
            <w:gridSpan w:val="4"/>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3375" w:type="dxa"/>
            <w:shd w:val="clear" w:color="auto" w:fill="auto"/>
            <w:noWrap/>
            <w:vAlign w:val="center"/>
          </w:tcPr>
          <w:p>
            <w:pPr>
              <w:spacing w:line="240" w:lineRule="auto"/>
              <w:rPr>
                <w:rFonts w:hint="eastAsia" w:ascii="宋体" w:hAnsi="宋体" w:eastAsia="宋体" w:cs="宋体"/>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245" w:type="dxa"/>
            <w:shd w:val="clear" w:color="auto" w:fill="auto"/>
            <w:vAlign w:val="center"/>
          </w:tcPr>
          <w:p>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（二）项目满意度</w:t>
            </w:r>
          </w:p>
        </w:tc>
        <w:tc>
          <w:tcPr>
            <w:tcW w:w="1118"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调查对象满意度</w:t>
            </w:r>
          </w:p>
        </w:tc>
        <w:tc>
          <w:tcPr>
            <w:tcW w:w="941" w:type="dxa"/>
            <w:shd w:val="clear" w:color="auto" w:fill="auto"/>
            <w:vAlign w:val="center"/>
          </w:tcPr>
          <w:p>
            <w:pPr>
              <w:spacing w:line="240" w:lineRule="auto"/>
              <w:jc w:val="left"/>
              <w:rPr>
                <w:rFonts w:hint="eastAsia" w:ascii="宋体" w:hAnsi="宋体" w:eastAsia="宋体" w:cs="宋体"/>
                <w:i w:val="0"/>
                <w:iCs w:val="0"/>
                <w:color w:val="000000"/>
                <w:sz w:val="18"/>
                <w:szCs w:val="18"/>
                <w:u w:val="none"/>
              </w:rPr>
            </w:pPr>
          </w:p>
        </w:tc>
        <w:tc>
          <w:tcPr>
            <w:tcW w:w="4670" w:type="dxa"/>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满意100分，基本满意80分，不满意0分。加权计算得分</w:t>
            </w:r>
          </w:p>
        </w:tc>
        <w:tc>
          <w:tcPr>
            <w:tcW w:w="866"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839" w:type="dxa"/>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3375" w:type="dxa"/>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调查表</w:t>
            </w:r>
          </w:p>
        </w:tc>
        <w:tc>
          <w:tcPr>
            <w:tcW w:w="958" w:type="dxa"/>
            <w:shd w:val="clear" w:color="auto" w:fill="auto"/>
            <w:vAlign w:val="center"/>
          </w:tcPr>
          <w:p>
            <w:pPr>
              <w:spacing w:line="240" w:lineRule="auto"/>
              <w:jc w:val="center"/>
              <w:rPr>
                <w:rFonts w:hint="eastAsia" w:ascii="宋体" w:hAnsi="宋体" w:eastAsia="宋体" w:cs="宋体"/>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685" w:type="dxa"/>
            <w:vMerge w:val="continue"/>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2363" w:type="dxa"/>
            <w:gridSpan w:val="2"/>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7316" w:type="dxa"/>
            <w:gridSpan w:val="4"/>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c>
          <w:tcPr>
            <w:tcW w:w="641"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600" w:type="dxa"/>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17.7</w:t>
            </w:r>
          </w:p>
        </w:tc>
        <w:tc>
          <w:tcPr>
            <w:tcW w:w="3375" w:type="dxa"/>
            <w:shd w:val="clear" w:color="auto" w:fill="auto"/>
            <w:noWrap/>
            <w:vAlign w:val="center"/>
          </w:tcPr>
          <w:p>
            <w:pPr>
              <w:spacing w:line="240" w:lineRule="auto"/>
              <w:rPr>
                <w:rFonts w:hint="eastAsia" w:ascii="宋体" w:hAnsi="宋体" w:eastAsia="宋体" w:cs="宋体"/>
                <w:b/>
                <w:bCs/>
                <w:i w:val="0"/>
                <w:iCs w:val="0"/>
                <w:color w:val="000000"/>
                <w:sz w:val="18"/>
                <w:szCs w:val="18"/>
                <w:u w:val="none"/>
              </w:rPr>
            </w:pPr>
          </w:p>
        </w:tc>
        <w:tc>
          <w:tcPr>
            <w:tcW w:w="958" w:type="dxa"/>
            <w:shd w:val="clear" w:color="auto" w:fill="auto"/>
            <w:vAlign w:val="center"/>
          </w:tcPr>
          <w:p>
            <w:pPr>
              <w:spacing w:line="240" w:lineRule="auto"/>
              <w:jc w:val="center"/>
              <w:rPr>
                <w:rFonts w:hint="eastAsia" w:ascii="宋体" w:hAnsi="宋体" w:eastAsia="宋体" w:cs="宋体"/>
                <w:b/>
                <w:bCs/>
                <w:i w:val="0"/>
                <w:iCs w:val="0"/>
                <w:color w:val="000000"/>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048" w:type="dxa"/>
            <w:gridSpan w:val="3"/>
            <w:tcBorders>
              <w:bottom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总计</w:t>
            </w:r>
          </w:p>
        </w:tc>
        <w:tc>
          <w:tcPr>
            <w:tcW w:w="941" w:type="dxa"/>
            <w:tcBorders>
              <w:bottom w:val="single" w:color="auto" w:sz="4" w:space="0"/>
            </w:tcBorders>
            <w:shd w:val="clear" w:color="auto" w:fill="auto"/>
            <w:vAlign w:val="center"/>
          </w:tcPr>
          <w:p>
            <w:pPr>
              <w:spacing w:line="240" w:lineRule="auto"/>
              <w:jc w:val="left"/>
              <w:rPr>
                <w:rFonts w:hint="eastAsia" w:ascii="宋体" w:hAnsi="宋体" w:eastAsia="宋体" w:cs="宋体"/>
                <w:b/>
                <w:bCs/>
                <w:i w:val="0"/>
                <w:iCs w:val="0"/>
                <w:color w:val="000000"/>
                <w:sz w:val="18"/>
                <w:szCs w:val="18"/>
                <w:u w:val="none"/>
              </w:rPr>
            </w:pPr>
          </w:p>
        </w:tc>
        <w:tc>
          <w:tcPr>
            <w:tcW w:w="4670" w:type="dxa"/>
            <w:tcBorders>
              <w:bottom w:val="single" w:color="auto" w:sz="4" w:space="0"/>
            </w:tcBorders>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c>
          <w:tcPr>
            <w:tcW w:w="866" w:type="dxa"/>
            <w:tcBorders>
              <w:bottom w:val="single" w:color="auto" w:sz="4" w:space="0"/>
            </w:tcBorders>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c>
          <w:tcPr>
            <w:tcW w:w="839" w:type="dxa"/>
            <w:tcBorders>
              <w:bottom w:val="single" w:color="auto" w:sz="4" w:space="0"/>
            </w:tcBorders>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c>
          <w:tcPr>
            <w:tcW w:w="641" w:type="dxa"/>
            <w:tcBorders>
              <w:bottom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100</w:t>
            </w:r>
          </w:p>
        </w:tc>
        <w:tc>
          <w:tcPr>
            <w:tcW w:w="600" w:type="dxa"/>
            <w:tcBorders>
              <w:bottom w:val="single" w:color="auto" w:sz="4" w:space="0"/>
            </w:tcBorders>
            <w:shd w:val="clear" w:color="auto" w:fill="auto"/>
            <w:vAlign w:val="center"/>
          </w:tcPr>
          <w:p>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86.4</w:t>
            </w:r>
          </w:p>
        </w:tc>
        <w:tc>
          <w:tcPr>
            <w:tcW w:w="3375" w:type="dxa"/>
            <w:tcBorders>
              <w:bottom w:val="single" w:color="auto" w:sz="4" w:space="0"/>
            </w:tcBorders>
            <w:shd w:val="clear" w:color="auto" w:fill="auto"/>
            <w:noWrap/>
            <w:vAlign w:val="center"/>
          </w:tcPr>
          <w:p>
            <w:pPr>
              <w:spacing w:line="240" w:lineRule="auto"/>
              <w:rPr>
                <w:rFonts w:hint="eastAsia" w:ascii="宋体" w:hAnsi="宋体" w:eastAsia="宋体" w:cs="宋体"/>
                <w:b/>
                <w:bCs/>
                <w:i w:val="0"/>
                <w:iCs w:val="0"/>
                <w:color w:val="000000"/>
                <w:sz w:val="18"/>
                <w:szCs w:val="18"/>
                <w:u w:val="none"/>
              </w:rPr>
            </w:pPr>
          </w:p>
        </w:tc>
        <w:tc>
          <w:tcPr>
            <w:tcW w:w="958" w:type="dxa"/>
            <w:tcBorders>
              <w:bottom w:val="single" w:color="auto" w:sz="4" w:space="0"/>
            </w:tcBorders>
            <w:shd w:val="clear" w:color="auto" w:fill="auto"/>
            <w:vAlign w:val="center"/>
          </w:tcPr>
          <w:p>
            <w:pPr>
              <w:spacing w:line="240" w:lineRule="auto"/>
              <w:jc w:val="center"/>
              <w:rPr>
                <w:rFonts w:hint="eastAsia" w:ascii="宋体" w:hAnsi="宋体" w:eastAsia="宋体" w:cs="宋体"/>
                <w:b/>
                <w:bCs/>
                <w:i w:val="0"/>
                <w:iCs w:val="0"/>
                <w:color w:val="000000"/>
                <w:sz w:val="20"/>
                <w:szCs w:val="20"/>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D06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480" w:firstLineChars="20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pPr>
      <w:widowControl/>
      <w:adjustRightInd w:val="0"/>
      <w:snapToGrid w:val="0"/>
      <w:spacing w:after="120"/>
      <w:jc w:val="left"/>
    </w:pPr>
    <w:rPr>
      <w:rFonts w:ascii="Wingdings" w:hAnsi="Wingdings" w:eastAsia="Cambria Math" w:cs="Cambria Math"/>
      <w:kern w:val="0"/>
      <w:sz w:val="22"/>
      <w:szCs w:val="22"/>
    </w:rPr>
  </w:style>
  <w:style w:type="paragraph" w:styleId="4">
    <w:name w:val="footer"/>
    <w:basedOn w:val="1"/>
    <w:qFormat/>
    <w:uiPriority w:val="99"/>
    <w:pPr>
      <w:tabs>
        <w:tab w:val="left" w:pos="2930"/>
      </w:tabs>
      <w:snapToGrid w:val="0"/>
      <w:jc w:val="left"/>
    </w:pPr>
    <w:rPr>
      <w:rFonts w:ascii="宋体" w:hAnsi="宋体"/>
      <w:kern w:val="0"/>
      <w:sz w:val="28"/>
      <w:szCs w:val="18"/>
      <w:lang w:val="zh-CN"/>
    </w:rPr>
  </w:style>
  <w:style w:type="character" w:customStyle="1" w:styleId="7">
    <w:name w:val="font61"/>
    <w:basedOn w:val="6"/>
    <w:qFormat/>
    <w:uiPriority w:val="0"/>
    <w:rPr>
      <w:rFonts w:hint="eastAsia" w:ascii="宋体" w:hAnsi="宋体" w:eastAsia="宋体" w:cs="宋体"/>
      <w:color w:val="000000"/>
      <w:sz w:val="18"/>
      <w:szCs w:val="18"/>
      <w:u w:val="none"/>
    </w:rPr>
  </w:style>
  <w:style w:type="character" w:customStyle="1" w:styleId="8">
    <w:name w:val="font112"/>
    <w:basedOn w:val="6"/>
    <w:qFormat/>
    <w:uiPriority w:val="0"/>
    <w:rPr>
      <w:rFonts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2022-09-15T09:06:17Z</dcterms:created>
  <dc:creator>Administrator</dc:creator>
  <cp:lastModifiedBy>Administrator</cp:lastModifiedBy>
  <dcterms:modified xsi:type="dcterms:W3CDTF">2022-09-15T09:06:24Z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