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360"/>
        <w:jc w:val="center"/>
        <w:outlineLvl w:val="0"/>
        <w:rPr>
          <w:rFonts w:hint="eastAsia" w:ascii="黑体" w:hAnsi="黑体" w:eastAsia="黑体" w:cs="黑体"/>
          <w:sz w:val="36"/>
          <w:szCs w:val="36"/>
        </w:rPr>
      </w:pPr>
      <w:bookmarkStart w:id="0" w:name="_Toc4482"/>
      <w:r>
        <w:rPr>
          <w:rFonts w:hint="eastAsia" w:ascii="黑体" w:hAnsi="黑体" w:eastAsia="黑体" w:cs="黑体"/>
          <w:sz w:val="36"/>
          <w:szCs w:val="36"/>
        </w:rPr>
        <w:t>项目支出绩效评价指标评分表</w:t>
      </w:r>
      <w:bookmarkEnd w:id="0"/>
    </w:p>
    <w:p>
      <w:pPr>
        <w:pStyle w:val="5"/>
        <w:ind w:firstLine="220"/>
        <w:rPr>
          <w:rFonts w:hint="eastAsia" w:ascii="仿宋_GB2312" w:hAnsi="仿宋_GB2312" w:eastAsia="仿宋_GB2312" w:cs="仿宋_GB2312"/>
        </w:rPr>
      </w:pPr>
      <w:r>
        <w:rPr>
          <w:rFonts w:hint="eastAsia" w:ascii="仿宋_GB2312" w:hAnsi="仿宋_GB2312" w:eastAsia="仿宋_GB2312" w:cs="仿宋_GB2312"/>
        </w:rPr>
        <w:t>项目承办单位：</w:t>
      </w:r>
      <w:r>
        <w:rPr>
          <w:rFonts w:hint="eastAsia" w:ascii="仿宋_GB2312" w:hAnsi="仿宋_GB2312" w:eastAsia="仿宋_GB2312" w:cs="仿宋_GB2312"/>
          <w:lang w:val="en-US" w:eastAsia="zh-CN"/>
        </w:rPr>
        <w:t>芒市交通运输局</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项目名称：直过民族自然村通畅工程项目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评价年度：2020年 </w:t>
      </w:r>
    </w:p>
    <w:tbl>
      <w:tblPr>
        <w:tblStyle w:val="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5"/>
        <w:gridCol w:w="879"/>
        <w:gridCol w:w="1671"/>
        <w:gridCol w:w="643"/>
        <w:gridCol w:w="4077"/>
        <w:gridCol w:w="926"/>
        <w:gridCol w:w="824"/>
        <w:gridCol w:w="501"/>
        <w:gridCol w:w="498"/>
        <w:gridCol w:w="2049"/>
        <w:gridCol w:w="1390"/>
      </w:tblGrid>
      <w:tr>
        <w:tblPrEx>
          <w:tblCellMar>
            <w:top w:w="0" w:type="dxa"/>
            <w:left w:w="108" w:type="dxa"/>
            <w:bottom w:w="0" w:type="dxa"/>
            <w:right w:w="108" w:type="dxa"/>
          </w:tblCellMar>
        </w:tblPrEx>
        <w:trPr>
          <w:trHeight w:val="448" w:hRule="atLeast"/>
          <w:tblHead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评分说明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指标评价依据或数字来源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一、决策</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（一）项目立项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1.立项依据充分性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德财整合【2020】16号、德财整合【2020】17号、德财整合【2020】19号、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2.立项程序规范性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①项目是否按照规定的程序申请设立；②审批文件、材料是否符合相关要求；③事前是否已经过必要的可行性研究、专家论证、风险评估、绩效评估、集体决策。每点0.5分。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芒开组【2020】9号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（二）绩效目标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1.绩效目标合理性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①项目是否有绩效目标；②项目绩效目标与实际工作内容是否具有相关性；③项目预期产出效益和效果是否符合正常的业绩水平；④是否与预算确定的项目投资额或资金量相匹配。每点0.5分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2.绩效指标明确性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①是否将项目绩效目标细化分解为具体的绩效指标；②是否通过清晰、可衡量的指标值予以体现。每个要点1分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绩效指标设置重复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（三）资金投入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①预算内容与项目内容是否匹配，0.5分；②预算是否经过专业机构审核，0.5分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芒财整合【2020】5号、芒财整合【2020】9号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2.资金来源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资金来源明确，满分；否则不得分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德交发〔2019〕122号，芒财整合【2020】5号、芒财整合【2020】9号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（四）风险分析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1.风险因素分析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①项目投资是否进行风险分析0.5分；②项目投资是否针对国家政策调整、资金短缺、自然灾害等因素对项目的影响进行分析，0.5分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第一批、第二批、第三批社会风险评估报告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2.风险控制措施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针对风险因素制定相应的控制措施，满分；否则不得分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第一批、第二批、第三批社会风险评估报告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二、过程</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（一）资金管理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1.资金管理制度健全性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①制定相应的资金管理制度，1分；②资金管理制度适用、有效，1分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芒市公路建设指挥部公路建设工程管理办法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2.资金到位率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按实际比例计算得分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贫困县2020年统筹整合涉农资金收支统计表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超支节约率在5%以内，满分；超支节约率超过5%，每1%扣0.2分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贫困县2020年统筹整合涉农资金收支统计表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4.资金使用合规性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会计账簿、凭证资料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（二）项目管理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1.项目管理制度健全性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①是否制定项目管理制度或项目实施方案，1分；②项目管理制度或实施方案是否符合项目实际情况，切实可行，1分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芒开组【2020】9号，芒市公路建设指挥部公路建设工程管理办法</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2.“四制”执行情况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①建立项目法人制，0.5分；②按规定进行招投标，0.5分；③按规定进行工程监理0.5分；④按规定签订施工、服务合同，0.5分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项目领导小组成立文件、名单，招标公告、中标通知；监理合同、工程监理相关资料；施工、服务合同等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3.项目调整情况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项目调整是否履行相关手续，1分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无项目调整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4.项目验收情况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是否按规定进行验收，1分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公路工程竣工验收鉴定书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5.项目竣工结算情况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项目竣工是否进行竣工结算，1分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公路工程竣工验收鉴定书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6.项目审计情况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经过审计得满分，未经过审计0分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云耕造审〔2021〕018-02至27号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7.项目交付使用情况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办理交付手续得满分，未办理0分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验收报告及签名交接表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8.项目公告公示情况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①事前公示1分；②事后公告1分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项目现场公示牌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9.档案管理规范性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①是否指定专人负责项目档案专门管理1分；②项目档案资料是否完整、齐全、规范1分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档案管理现场照片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（三）绩效管理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1.绩效监控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项目实施过程进行绩效监控的，满分；未进行不得分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绩效目标监控表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无绩效目标监控表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2.绩效自评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项目完成进行绩效自评的，满分；未进行不得分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（四）会计核算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1.会计核算及时性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项目资金收支当月核算，满分；跨月核算不得分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0" w:type="auto"/>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2.会计核算准确性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项目资金收支金额账证、账账、账表一致，满分；否则不得分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3.会计处理恰当性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会计科目使用恰当，满分，否则不得分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4.会计工作规范性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会计基础工作规范，满分；不规范酌情扣分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（一）产出数量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芒市2020年直过民族自然村通畅工程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贫困村新建改建公路里程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≥311.471公里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330.30公里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2020年直过项目基本情况表（9102.99万）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（二）产出质量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竣工验收合格率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项目验收合格，得满分；不合格，不得分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公路工程竣工验收鉴定书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（三）产出时效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1.开工时间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当月开工得满分，当月未开工不得分；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2.竣工时间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当月竣工得满分，当月未竣工不得分；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2020年12月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2020年12月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（四）产出成本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项目工程成本节约率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项目工程成本节约率=项目实际成本/项目计划成本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2020年直过项目基本情况表（9102.99万）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四、效益</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（一）经济效益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农民人均纯收入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明显100分；不明显60分；未增加0分。加权计算得分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芒市2020年直过民族自然村通畅工程受益建档立卡贫困人口数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项目的实施，是否达到预期目标，产生良好社会效益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德宏州芒市2020年统筹整合财政涉农资金脱贫攻坚项目表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具备条件的建档立卡贫困村通硬化路率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项目的实施，是否达到预期目标，产生良好社会效益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建制村村委会通畅照片；芒市各乡镇建制村公路通畅情况一览表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贫困地区建制村通客车率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项目的实施，是否达到预期目标，产生良好社会效益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建制村通班车及公示牌照片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贫困地区居民出行平均缩短时间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项目的实施，是否达到预期目标，产生良好社会效益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≥0.5小时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0.5小时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建制村通班车及公示牌照片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（三）可持续发展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有利于政治建设，产生长期影响，满分；否则不得分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由于该项目属于基础设施，可持续发展效益短时间内无法充分体现，故酌情扣分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有利于经济建设，产生长期影响，满分；否则不得分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有利于文化建设，产生长期影响，满分；否则不得分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有利于社会建设，产生长期影响，满分；否则不得分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（四）项目满意度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调查对象满意度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满意100分，基本满意60分，不满意0分。加权计算得分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r>
    </w:tbl>
    <w:p>
      <w:pPr>
        <w:pStyle w:val="5"/>
        <w:ind w:firstLine="220"/>
        <w:rPr>
          <w:rFonts w:ascii="仿宋_GB2312" w:hAnsi="仿宋_GB2312" w:eastAsia="仿宋_GB2312" w:cs="仿宋_GB231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32734"/>
    <w:rsid w:val="4564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rPr>
      <w:rFonts w:ascii="黑体" w:eastAsia="黑体"/>
      <w:sz w:val="32"/>
      <w:szCs w:val="32"/>
    </w:rPr>
  </w:style>
  <w:style w:type="paragraph" w:styleId="3">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4">
    <w:name w:val="footer"/>
    <w:basedOn w:val="1"/>
    <w:qFormat/>
    <w:uiPriority w:val="99"/>
    <w:pPr>
      <w:tabs>
        <w:tab w:val="left" w:pos="2930"/>
      </w:tabs>
      <w:snapToGrid w:val="0"/>
      <w:jc w:val="left"/>
    </w:pPr>
    <w:rPr>
      <w:rFonts w:ascii="宋体" w:hAnsi="宋体"/>
      <w:kern w:val="0"/>
      <w:sz w:val="28"/>
      <w:szCs w:val="18"/>
      <w:lang w:val="zh-CN"/>
    </w:rPr>
  </w:style>
  <w:style w:type="paragraph" w:styleId="5">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2022-09-15T08:56:37Z</dcterms:created>
  <dc:creator>Administrator</dc:creator>
  <cp:lastModifiedBy>Administrator</cp:lastModifiedBy>
  <dcterms:modified xsi:type="dcterms:W3CDTF">2022-09-15T08:57:10Z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