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共青团芒市委2018年部门预算编制说明</w:t>
      </w: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第一部分共青团芒市委2018年部门预算编制说明</w:t>
      </w:r>
    </w:p>
    <w:p>
      <w:pPr>
        <w:jc w:val="left"/>
        <w:rPr>
          <w:rFonts w:ascii="黑体" w:hAnsi="黑体" w:eastAsia="黑体"/>
          <w:sz w:val="30"/>
          <w:szCs w:val="30"/>
        </w:rPr>
      </w:pPr>
      <w:r>
        <w:rPr>
          <w:rFonts w:hint="eastAsia" w:ascii="黑体" w:hAnsi="黑体" w:eastAsia="黑体"/>
          <w:sz w:val="30"/>
          <w:szCs w:val="30"/>
        </w:rPr>
        <w:t>第二部分共青团芒市委2018年年部门预算表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十、省本级项目支出绩效目标表（本次下达）</w:t>
      </w:r>
    </w:p>
    <w:p>
      <w:pPr>
        <w:jc w:val="left"/>
        <w:rPr>
          <w:rFonts w:eastAsia="仿宋_GB2312"/>
          <w:sz w:val="30"/>
          <w:szCs w:val="30"/>
        </w:rPr>
      </w:pPr>
      <w:r>
        <w:rPr>
          <w:rFonts w:hint="eastAsia" w:eastAsia="仿宋_GB2312"/>
          <w:sz w:val="30"/>
          <w:szCs w:val="30"/>
        </w:rPr>
        <w:t>十一、省本级项目支出绩效目标表（另文下达）</w:t>
      </w:r>
    </w:p>
    <w:p>
      <w:pPr>
        <w:jc w:val="left"/>
        <w:rPr>
          <w:rFonts w:eastAsia="仿宋_GB2312"/>
          <w:sz w:val="30"/>
          <w:szCs w:val="30"/>
        </w:rPr>
      </w:pPr>
      <w:r>
        <w:rPr>
          <w:rFonts w:hint="eastAsia" w:eastAsia="仿宋_GB2312"/>
          <w:sz w:val="30"/>
          <w:szCs w:val="30"/>
        </w:rPr>
        <w:t>十二、省对下转移支付绩效目标表</w:t>
      </w:r>
    </w:p>
    <w:p>
      <w:pPr>
        <w:jc w:val="left"/>
        <w:rPr>
          <w:rFonts w:eastAsia="仿宋_GB2312"/>
          <w:sz w:val="30"/>
          <w:szCs w:val="30"/>
        </w:rPr>
      </w:pPr>
      <w:r>
        <w:rPr>
          <w:rFonts w:hint="eastAsia" w:eastAsia="仿宋_GB2312"/>
          <w:sz w:val="30"/>
          <w:szCs w:val="30"/>
        </w:rPr>
        <w:t>十三、部门政府采购情况表</w:t>
      </w:r>
    </w:p>
    <w:p>
      <w:pPr>
        <w:jc w:val="left"/>
        <w:rPr>
          <w:rFonts w:eastAsia="仿宋_GB2312"/>
          <w:sz w:val="30"/>
          <w:szCs w:val="30"/>
        </w:rPr>
      </w:pPr>
    </w:p>
    <w:p>
      <w:pPr>
        <w:widowControl/>
        <w:jc w:val="left"/>
        <w:rPr>
          <w:rFonts w:ascii="黑体" w:hAnsi="黑体" w:eastAsia="黑体"/>
          <w:kern w:val="0"/>
          <w:sz w:val="30"/>
          <w:szCs w:val="30"/>
        </w:rPr>
      </w:pPr>
    </w:p>
    <w:p>
      <w:pPr>
        <w:widowControl/>
        <w:jc w:val="left"/>
        <w:rPr>
          <w:rFonts w:ascii="黑体" w:hAnsi="黑体" w:eastAsia="黑体"/>
          <w:kern w:val="0"/>
          <w:sz w:val="30"/>
          <w:szCs w:val="30"/>
        </w:rPr>
      </w:pPr>
    </w:p>
    <w:p>
      <w:pPr>
        <w:widowControl/>
        <w:jc w:val="center"/>
        <w:rPr>
          <w:rFonts w:hint="eastAsia" w:eastAsia="方正小标宋简体"/>
          <w:kern w:val="0"/>
          <w:sz w:val="44"/>
          <w:szCs w:val="44"/>
        </w:rPr>
      </w:pPr>
    </w:p>
    <w:p>
      <w:pPr>
        <w:widowControl/>
        <w:jc w:val="center"/>
        <w:rPr>
          <w:rFonts w:hint="eastAsia" w:eastAsia="方正小标宋简体"/>
          <w:kern w:val="0"/>
          <w:sz w:val="44"/>
          <w:szCs w:val="44"/>
        </w:rPr>
      </w:pPr>
    </w:p>
    <w:p>
      <w:pPr>
        <w:widowControl/>
        <w:jc w:val="center"/>
        <w:rPr>
          <w:rFonts w:eastAsia="方正小标宋简体"/>
          <w:kern w:val="0"/>
          <w:sz w:val="44"/>
          <w:szCs w:val="44"/>
        </w:rPr>
      </w:pPr>
      <w:bookmarkStart w:id="0" w:name="_GoBack"/>
      <w:r>
        <w:rPr>
          <w:rFonts w:eastAsia="方正小标宋简体"/>
          <w:kern w:val="0"/>
          <w:sz w:val="44"/>
          <w:szCs w:val="44"/>
        </w:rPr>
        <w:t>共青团芒市委2018年部门预算编制说明</w:t>
      </w:r>
      <w:bookmarkEnd w:id="0"/>
    </w:p>
    <w:p>
      <w:pPr>
        <w:widowControl/>
        <w:jc w:val="left"/>
        <w:rPr>
          <w:rFonts w:eastAsia="仿宋"/>
          <w:kern w:val="0"/>
          <w:sz w:val="32"/>
          <w:szCs w:val="32"/>
        </w:rPr>
      </w:pPr>
    </w:p>
    <w:p>
      <w:pPr>
        <w:widowControl/>
        <w:ind w:firstLine="640" w:firstLineChars="200"/>
        <w:jc w:val="left"/>
        <w:rPr>
          <w:rFonts w:eastAsia="黑体"/>
          <w:kern w:val="0"/>
          <w:sz w:val="32"/>
          <w:szCs w:val="32"/>
        </w:rPr>
      </w:pPr>
      <w:r>
        <w:rPr>
          <w:rFonts w:hAnsi="黑体" w:eastAsia="黑体"/>
          <w:kern w:val="0"/>
          <w:sz w:val="32"/>
          <w:szCs w:val="32"/>
        </w:rPr>
        <w:t>一、基本职能及主要工作</w:t>
      </w:r>
    </w:p>
    <w:p>
      <w:pPr>
        <w:widowControl/>
        <w:ind w:firstLine="640" w:firstLineChars="200"/>
        <w:jc w:val="left"/>
        <w:rPr>
          <w:rFonts w:eastAsia="黑体"/>
          <w:kern w:val="0"/>
          <w:sz w:val="32"/>
          <w:szCs w:val="32"/>
        </w:rPr>
      </w:pPr>
      <w:r>
        <w:rPr>
          <w:rFonts w:hAnsi="楷体" w:eastAsia="楷体"/>
          <w:bCs/>
          <w:sz w:val="32"/>
          <w:szCs w:val="32"/>
        </w:rPr>
        <w:t>（一）主要职能</w:t>
      </w:r>
    </w:p>
    <w:p>
      <w:pPr>
        <w:snapToGrid w:val="0"/>
        <w:spacing w:line="600" w:lineRule="exact"/>
        <w:ind w:firstLine="640" w:firstLineChars="200"/>
        <w:rPr>
          <w:rFonts w:eastAsia="仿宋_GB2312"/>
          <w:sz w:val="32"/>
          <w:szCs w:val="32"/>
        </w:rPr>
      </w:pPr>
      <w:r>
        <w:rPr>
          <w:rFonts w:eastAsia="仿宋_GB2312"/>
          <w:sz w:val="32"/>
          <w:szCs w:val="32"/>
        </w:rPr>
        <w:t>共青团芒市委在市委、</w:t>
      </w:r>
      <w:r>
        <w:rPr>
          <w:rFonts w:hint="eastAsia" w:eastAsia="仿宋_GB2312"/>
          <w:sz w:val="32"/>
          <w:szCs w:val="32"/>
          <w:lang w:val="en-US" w:eastAsia="zh-CN"/>
        </w:rPr>
        <w:t>市</w:t>
      </w:r>
      <w:r>
        <w:rPr>
          <w:rFonts w:eastAsia="仿宋_GB2312"/>
          <w:sz w:val="32"/>
          <w:szCs w:val="32"/>
        </w:rPr>
        <w:t>政府和团州委的坚强领导下，紧紧围绕党政中心工作，认真履行凝聚青年、服务大局、当好桥梁、从严治团职能，团结带领全市广大青少年在芒市经济社会发展事业中贡献力量。</w:t>
      </w:r>
    </w:p>
    <w:p>
      <w:pPr>
        <w:snapToGrid w:val="0"/>
        <w:spacing w:line="600" w:lineRule="exact"/>
        <w:ind w:firstLine="640" w:firstLineChars="200"/>
        <w:rPr>
          <w:rFonts w:eastAsia="楷体"/>
          <w:bCs/>
          <w:sz w:val="32"/>
          <w:szCs w:val="32"/>
        </w:rPr>
      </w:pPr>
      <w:r>
        <w:rPr>
          <w:rFonts w:hAnsi="楷体" w:eastAsia="楷体"/>
          <w:bCs/>
          <w:sz w:val="32"/>
          <w:szCs w:val="32"/>
        </w:rPr>
        <w:t>（二）机构设置和人员情况</w:t>
      </w:r>
    </w:p>
    <w:p>
      <w:pPr>
        <w:widowControl/>
        <w:spacing w:line="600" w:lineRule="exact"/>
        <w:ind w:firstLine="640" w:firstLineChars="200"/>
        <w:jc w:val="left"/>
        <w:rPr>
          <w:rFonts w:eastAsia="仿宋_GB2312"/>
          <w:kern w:val="0"/>
          <w:sz w:val="32"/>
          <w:szCs w:val="32"/>
        </w:rPr>
      </w:pPr>
      <w:r>
        <w:rPr>
          <w:rFonts w:eastAsia="仿宋_GB2312"/>
          <w:kern w:val="0"/>
          <w:sz w:val="32"/>
          <w:szCs w:val="32"/>
        </w:rPr>
        <w:t>共青团芒市委属群团组织，下设１室3科，即：办公室、学少科、城青科、青农科。</w:t>
      </w:r>
    </w:p>
    <w:p>
      <w:pPr>
        <w:widowControl/>
        <w:spacing w:line="600" w:lineRule="exact"/>
        <w:ind w:firstLine="640" w:firstLineChars="200"/>
        <w:jc w:val="left"/>
        <w:rPr>
          <w:rFonts w:eastAsia="仿宋_GB2312"/>
          <w:kern w:val="0"/>
          <w:sz w:val="32"/>
          <w:szCs w:val="32"/>
        </w:rPr>
      </w:pPr>
      <w:r>
        <w:rPr>
          <w:rFonts w:eastAsia="仿宋_GB2312"/>
          <w:sz w:val="32"/>
          <w:szCs w:val="32"/>
        </w:rPr>
        <w:t>共青团芒市委编制9人，其中参公公务员9人。实有干部职工11人，其中参公公务员9人，行政工勤2人（其中1人为2013年安置退伍军人）。</w:t>
      </w:r>
    </w:p>
    <w:p>
      <w:pPr>
        <w:widowControl/>
        <w:ind w:firstLine="640" w:firstLineChars="200"/>
        <w:jc w:val="left"/>
        <w:rPr>
          <w:rFonts w:eastAsia="楷体"/>
          <w:kern w:val="0"/>
          <w:sz w:val="32"/>
          <w:szCs w:val="32"/>
        </w:rPr>
      </w:pPr>
      <w:r>
        <w:rPr>
          <w:rFonts w:hAnsi="楷体" w:eastAsia="楷体"/>
          <w:kern w:val="0"/>
          <w:sz w:val="32"/>
          <w:szCs w:val="32"/>
        </w:rPr>
        <w:t>（三）重点工作概述</w:t>
      </w:r>
    </w:p>
    <w:p>
      <w:pPr>
        <w:spacing w:line="580" w:lineRule="exact"/>
        <w:ind w:firstLine="640" w:firstLineChars="200"/>
        <w:rPr>
          <w:rFonts w:eastAsia="仿宋_GB2312"/>
          <w:bCs/>
          <w:sz w:val="32"/>
          <w:szCs w:val="32"/>
        </w:rPr>
      </w:pPr>
      <w:r>
        <w:rPr>
          <w:rFonts w:hAnsi="仿宋" w:eastAsia="仿宋"/>
          <w:sz w:val="32"/>
          <w:szCs w:val="32"/>
        </w:rPr>
        <w:t>坚持以青少年思想引领为重点，引导广大青年坚定不移听党话跟党走，</w:t>
      </w:r>
      <w:r>
        <w:rPr>
          <w:rFonts w:eastAsia="仿宋_GB2312"/>
          <w:bCs/>
          <w:sz w:val="32"/>
          <w:szCs w:val="32"/>
        </w:rPr>
        <w:t>认真开展青少年主题教育实践活动，加强青少年形势政策教育，</w:t>
      </w:r>
      <w:r>
        <w:rPr>
          <w:rFonts w:eastAsia="仿宋_GB2312"/>
          <w:sz w:val="32"/>
          <w:szCs w:val="32"/>
        </w:rPr>
        <w:t>继续抓好网络思想引导，</w:t>
      </w:r>
      <w:r>
        <w:rPr>
          <w:rFonts w:eastAsia="仿宋_GB2312"/>
          <w:bCs/>
          <w:sz w:val="32"/>
          <w:szCs w:val="32"/>
        </w:rPr>
        <w:t>深入开展仪式化教育，以增强针对性、实效性为着力点，不断改进创新引导青年的方式方法。</w:t>
      </w:r>
    </w:p>
    <w:p>
      <w:pPr>
        <w:spacing w:line="580" w:lineRule="exact"/>
        <w:ind w:firstLine="640" w:firstLineChars="200"/>
        <w:rPr>
          <w:rFonts w:eastAsia="仿宋"/>
          <w:sz w:val="32"/>
          <w:szCs w:val="32"/>
        </w:rPr>
      </w:pPr>
      <w:r>
        <w:rPr>
          <w:rFonts w:hAnsi="仿宋" w:eastAsia="仿宋"/>
          <w:sz w:val="32"/>
          <w:szCs w:val="32"/>
        </w:rPr>
        <w:t>坚持以围绕中心服务大局为重点，发挥青年的生力军和突击队作用，</w:t>
      </w:r>
      <w:r>
        <w:rPr>
          <w:rFonts w:hAnsi="仿宋" w:eastAsia="仿宋"/>
          <w:bCs/>
          <w:sz w:val="32"/>
          <w:szCs w:val="32"/>
        </w:rPr>
        <w:t>青春助力脱贫攻坚</w:t>
      </w:r>
      <w:r>
        <w:rPr>
          <w:rFonts w:hAnsi="仿宋" w:eastAsia="仿宋"/>
          <w:sz w:val="32"/>
          <w:szCs w:val="32"/>
        </w:rPr>
        <w:t>，动员青少年争当生态文明建设的排头兵，</w:t>
      </w:r>
      <w:r>
        <w:rPr>
          <w:rFonts w:hAnsi="仿宋" w:eastAsia="仿宋"/>
          <w:bCs/>
          <w:sz w:val="32"/>
          <w:szCs w:val="32"/>
        </w:rPr>
        <w:t>代表和引导青年参与社会主义协商民主建设，着力服务青年创业就业，推进青年志愿服务队伍科学化发展，擦亮</w:t>
      </w:r>
      <w:r>
        <w:rPr>
          <w:rFonts w:eastAsia="仿宋"/>
          <w:bCs/>
          <w:sz w:val="32"/>
          <w:szCs w:val="32"/>
        </w:rPr>
        <w:t>“</w:t>
      </w:r>
      <w:r>
        <w:rPr>
          <w:rFonts w:hAnsi="仿宋" w:eastAsia="仿宋"/>
          <w:bCs/>
          <w:sz w:val="32"/>
          <w:szCs w:val="32"/>
        </w:rPr>
        <w:t>青</w:t>
      </w:r>
      <w:r>
        <w:rPr>
          <w:rFonts w:eastAsia="仿宋"/>
          <w:bCs/>
          <w:sz w:val="32"/>
          <w:szCs w:val="32"/>
        </w:rPr>
        <w:t>”</w:t>
      </w:r>
      <w:r>
        <w:rPr>
          <w:rFonts w:hAnsi="仿宋" w:eastAsia="仿宋"/>
          <w:bCs/>
          <w:sz w:val="32"/>
          <w:szCs w:val="32"/>
        </w:rPr>
        <w:t>字号品牌。</w:t>
      </w:r>
    </w:p>
    <w:p>
      <w:pPr>
        <w:spacing w:line="580" w:lineRule="exact"/>
        <w:ind w:firstLine="640" w:firstLineChars="200"/>
        <w:rPr>
          <w:rFonts w:eastAsia="仿宋"/>
          <w:sz w:val="32"/>
          <w:szCs w:val="32"/>
        </w:rPr>
      </w:pPr>
      <w:r>
        <w:rPr>
          <w:rFonts w:hAnsi="仿宋" w:eastAsia="仿宋"/>
          <w:sz w:val="32"/>
          <w:szCs w:val="32"/>
        </w:rPr>
        <w:t>坚持以发挥桥梁纽带作用为重点，竭诚服务青少年成长成才，</w:t>
      </w:r>
      <w:r>
        <w:rPr>
          <w:rFonts w:hAnsi="仿宋" w:eastAsia="仿宋"/>
          <w:bCs/>
          <w:sz w:val="32"/>
          <w:szCs w:val="32"/>
        </w:rPr>
        <w:t>打造直接联系服务青少年的阵地，加强青少年事务社工中心建设，热忱关爱困难青少年群体，</w:t>
      </w:r>
      <w:r>
        <w:rPr>
          <w:rFonts w:hAnsi="仿宋" w:eastAsia="仿宋"/>
          <w:sz w:val="32"/>
          <w:szCs w:val="32"/>
        </w:rPr>
        <w:t>依法有序维护青少年合法权益，</w:t>
      </w:r>
      <w:r>
        <w:rPr>
          <w:rFonts w:hAnsi="仿宋" w:eastAsia="仿宋"/>
          <w:bCs/>
          <w:sz w:val="32"/>
          <w:szCs w:val="32"/>
        </w:rPr>
        <w:t>全面推进青少年禁毒防艾工作，</w:t>
      </w:r>
      <w:r>
        <w:rPr>
          <w:rFonts w:hAnsi="仿宋" w:eastAsia="仿宋"/>
          <w:sz w:val="32"/>
          <w:szCs w:val="32"/>
        </w:rPr>
        <w:t>切实服务青年婚恋交友。</w:t>
      </w:r>
    </w:p>
    <w:p>
      <w:pPr>
        <w:spacing w:line="580" w:lineRule="exact"/>
        <w:rPr>
          <w:rFonts w:eastAsia="仿宋"/>
          <w:kern w:val="0"/>
          <w:sz w:val="32"/>
          <w:lang w:val="zh-CN"/>
        </w:rPr>
      </w:pPr>
      <w:r>
        <w:rPr>
          <w:rFonts w:eastAsia="仿宋"/>
          <w:bCs/>
          <w:sz w:val="32"/>
          <w:szCs w:val="32"/>
        </w:rPr>
        <w:t xml:space="preserve">    </w:t>
      </w:r>
      <w:r>
        <w:rPr>
          <w:rFonts w:hAnsi="仿宋" w:eastAsia="仿宋"/>
          <w:bCs/>
          <w:sz w:val="32"/>
          <w:szCs w:val="32"/>
        </w:rPr>
        <w:t>坚持以全面从严治团为重点，提升团组织的创造力凝聚力战斗力，深化党建带团建机制，加强基层团组织建设，</w:t>
      </w:r>
      <w:r>
        <w:rPr>
          <w:rFonts w:hAnsi="仿宋" w:eastAsia="仿宋"/>
          <w:sz w:val="32"/>
          <w:szCs w:val="32"/>
        </w:rPr>
        <w:t>深化中学共青团改革和少先队改革工作，</w:t>
      </w:r>
      <w:r>
        <w:rPr>
          <w:rFonts w:hAnsi="仿宋" w:eastAsia="仿宋"/>
          <w:bCs/>
          <w:sz w:val="32"/>
          <w:szCs w:val="32"/>
        </w:rPr>
        <w:t>加强团干部队伍建设，</w:t>
      </w:r>
      <w:r>
        <w:rPr>
          <w:rFonts w:hAnsi="仿宋" w:eastAsia="仿宋"/>
          <w:color w:val="000000"/>
          <w:sz w:val="32"/>
          <w:szCs w:val="32"/>
        </w:rPr>
        <w:t>加强团员队伍建设</w:t>
      </w:r>
      <w:r>
        <w:rPr>
          <w:rFonts w:hAnsi="仿宋" w:eastAsia="仿宋"/>
          <w:bCs/>
          <w:color w:val="000000"/>
          <w:sz w:val="32"/>
          <w:szCs w:val="32"/>
        </w:rPr>
        <w:t>，</w:t>
      </w:r>
      <w:r>
        <w:rPr>
          <w:rFonts w:hAnsi="仿宋" w:eastAsia="仿宋"/>
          <w:sz w:val="32"/>
          <w:szCs w:val="32"/>
        </w:rPr>
        <w:t>树立互联网思维。</w:t>
      </w:r>
    </w:p>
    <w:p>
      <w:pPr>
        <w:widowControl/>
        <w:ind w:firstLine="640" w:firstLineChars="200"/>
        <w:jc w:val="left"/>
        <w:rPr>
          <w:rFonts w:eastAsia="黑体"/>
          <w:kern w:val="0"/>
          <w:sz w:val="32"/>
          <w:szCs w:val="32"/>
        </w:rPr>
      </w:pPr>
      <w:r>
        <w:rPr>
          <w:rFonts w:hAnsi="黑体" w:eastAsia="黑体"/>
          <w:kern w:val="0"/>
          <w:sz w:val="32"/>
          <w:szCs w:val="32"/>
        </w:rPr>
        <w:t>二、预算单位基本情况</w:t>
      </w:r>
    </w:p>
    <w:p>
      <w:pPr>
        <w:widowControl/>
        <w:ind w:firstLine="640" w:firstLineChars="200"/>
        <w:jc w:val="left"/>
        <w:rPr>
          <w:rFonts w:eastAsia="仿宋"/>
          <w:kern w:val="0"/>
          <w:sz w:val="32"/>
          <w:szCs w:val="32"/>
        </w:rPr>
      </w:pPr>
      <w:r>
        <w:rPr>
          <w:rFonts w:eastAsia="仿宋"/>
          <w:kern w:val="0"/>
          <w:sz w:val="32"/>
          <w:szCs w:val="32"/>
        </w:rPr>
        <w:t>共青团芒市委2018年部门预算单位共1个。其中：财政全供给单位1个；部分供给单位0个；特殊供给单位0个；自收自支单位0个。财政全供给单位中行政单位1个；参公管理事业单位0个；非参公管理事业单位1个。</w:t>
      </w:r>
    </w:p>
    <w:p>
      <w:pPr>
        <w:widowControl/>
        <w:ind w:firstLine="640" w:firstLineChars="200"/>
        <w:jc w:val="left"/>
        <w:rPr>
          <w:rFonts w:eastAsia="黑体"/>
          <w:kern w:val="0"/>
          <w:sz w:val="32"/>
          <w:szCs w:val="32"/>
        </w:rPr>
      </w:pPr>
      <w:r>
        <w:rPr>
          <w:rFonts w:hAnsi="黑体" w:eastAsia="黑体"/>
          <w:kern w:val="0"/>
          <w:sz w:val="32"/>
          <w:szCs w:val="32"/>
        </w:rPr>
        <w:t>三、预算单位收入情况</w:t>
      </w:r>
    </w:p>
    <w:p>
      <w:pPr>
        <w:widowControl/>
        <w:ind w:firstLine="480" w:firstLineChars="150"/>
        <w:jc w:val="left"/>
        <w:rPr>
          <w:rFonts w:eastAsia="楷体"/>
          <w:kern w:val="0"/>
          <w:sz w:val="32"/>
          <w:szCs w:val="32"/>
        </w:rPr>
      </w:pPr>
      <w:r>
        <w:rPr>
          <w:rFonts w:hAnsi="楷体" w:eastAsia="楷体"/>
          <w:kern w:val="0"/>
          <w:sz w:val="32"/>
          <w:szCs w:val="32"/>
        </w:rPr>
        <w:t>（一）部门财务收入情况</w:t>
      </w:r>
    </w:p>
    <w:p>
      <w:pPr>
        <w:widowControl/>
        <w:ind w:firstLine="800" w:firstLineChars="250"/>
        <w:jc w:val="left"/>
        <w:rPr>
          <w:rFonts w:eastAsia="仿宋"/>
          <w:kern w:val="0"/>
          <w:sz w:val="32"/>
          <w:szCs w:val="32"/>
        </w:rPr>
      </w:pPr>
      <w:r>
        <w:rPr>
          <w:rFonts w:eastAsia="仿宋"/>
          <w:kern w:val="0"/>
          <w:sz w:val="32"/>
          <w:szCs w:val="32"/>
        </w:rPr>
        <w:t>2018年共青团芒市委总收入708.34万元，其中：一般公共预算财政拨款708.34万元，政府性基金预算财政拨款0万元，国有资本经营预算财政拨款0万元，事业收入0万元，事业单位经营收入0万元，其他收入0万元，上年结转0万元。</w:t>
      </w:r>
    </w:p>
    <w:p>
      <w:pPr>
        <w:widowControl/>
        <w:ind w:firstLine="480" w:firstLineChars="150"/>
        <w:jc w:val="left"/>
        <w:rPr>
          <w:rFonts w:eastAsia="楷体"/>
          <w:kern w:val="0"/>
          <w:sz w:val="32"/>
          <w:szCs w:val="32"/>
        </w:rPr>
      </w:pPr>
      <w:r>
        <w:rPr>
          <w:rFonts w:hAnsi="楷体" w:eastAsia="楷体"/>
          <w:kern w:val="0"/>
          <w:sz w:val="32"/>
          <w:szCs w:val="32"/>
        </w:rPr>
        <w:t>（二）财政拨款收入情况</w:t>
      </w:r>
    </w:p>
    <w:p>
      <w:pPr>
        <w:widowControl/>
        <w:ind w:firstLine="800" w:firstLineChars="250"/>
        <w:jc w:val="left"/>
        <w:rPr>
          <w:rFonts w:eastAsia="仿宋"/>
          <w:kern w:val="0"/>
          <w:sz w:val="32"/>
          <w:szCs w:val="32"/>
        </w:rPr>
      </w:pPr>
      <w:r>
        <w:rPr>
          <w:rFonts w:eastAsia="仿宋"/>
          <w:kern w:val="0"/>
          <w:sz w:val="32"/>
          <w:szCs w:val="32"/>
        </w:rPr>
        <w:t>2018年共青团芒市委财政拨款收入708.34万元，其中:本年收入708.34万元，上年结转0万元。本年收入中，一般公共预算财政拨款708.34万元（本级财力708.34万元，专项收入0万元，执法办案补助0万元，收费成本补偿0万元，财政专户管理的收入0万元，国有资源（资产）有偿使用成本补偿0万元，其他非税收入0万元），政府性基金预算财政拨款0万元，国有资本经营预算财政拨款0万元。</w:t>
      </w:r>
    </w:p>
    <w:p>
      <w:pPr>
        <w:widowControl/>
        <w:ind w:firstLine="640" w:firstLineChars="200"/>
        <w:jc w:val="left"/>
        <w:rPr>
          <w:rFonts w:eastAsia="黑体"/>
          <w:kern w:val="0"/>
          <w:sz w:val="32"/>
          <w:szCs w:val="32"/>
        </w:rPr>
      </w:pPr>
      <w:r>
        <w:rPr>
          <w:rFonts w:hAnsi="黑体" w:eastAsia="黑体"/>
          <w:kern w:val="0"/>
          <w:sz w:val="32"/>
          <w:szCs w:val="32"/>
        </w:rPr>
        <w:t>四、预算单位支出情况</w:t>
      </w:r>
    </w:p>
    <w:p>
      <w:pPr>
        <w:widowControl/>
        <w:ind w:firstLine="640" w:firstLineChars="200"/>
        <w:jc w:val="left"/>
        <w:rPr>
          <w:rFonts w:eastAsia="仿宋"/>
          <w:kern w:val="0"/>
          <w:sz w:val="32"/>
          <w:szCs w:val="32"/>
        </w:rPr>
      </w:pPr>
      <w:r>
        <w:rPr>
          <w:rFonts w:eastAsia="仿宋"/>
          <w:kern w:val="0"/>
          <w:sz w:val="32"/>
          <w:szCs w:val="32"/>
        </w:rPr>
        <w:t>2018年共青团芒市委预算总支出 708.34万元。财政拨款安排支出 708.34万元，其中，基本支出708.34万元，项目支出0万元。</w:t>
      </w:r>
    </w:p>
    <w:p>
      <w:pPr>
        <w:widowControl/>
        <w:ind w:firstLine="480" w:firstLineChars="150"/>
        <w:jc w:val="left"/>
        <w:rPr>
          <w:rFonts w:eastAsia="楷体"/>
          <w:kern w:val="0"/>
          <w:sz w:val="32"/>
          <w:szCs w:val="32"/>
        </w:rPr>
      </w:pPr>
      <w:r>
        <w:rPr>
          <w:rFonts w:hAnsi="楷体" w:eastAsia="楷体"/>
          <w:kern w:val="0"/>
          <w:sz w:val="32"/>
          <w:szCs w:val="32"/>
        </w:rPr>
        <w:t>（一）财政拨款安排支出按功能科目分类情况</w:t>
      </w:r>
    </w:p>
    <w:p>
      <w:pPr>
        <w:widowControl/>
        <w:ind w:firstLine="640" w:firstLineChars="200"/>
        <w:jc w:val="left"/>
        <w:rPr>
          <w:rFonts w:eastAsia="仿宋"/>
          <w:kern w:val="0"/>
          <w:sz w:val="32"/>
          <w:szCs w:val="32"/>
        </w:rPr>
      </w:pPr>
      <w:r>
        <w:rPr>
          <w:rFonts w:eastAsia="仿宋"/>
          <w:kern w:val="0"/>
          <w:sz w:val="32"/>
          <w:szCs w:val="32"/>
        </w:rPr>
        <w:t>功能科目分组，主要用于工资福利支出358.91万元，对个人和家庭的补助297.20万元，商品和服务支出52.23万元，项目支出0万元。</w:t>
      </w:r>
    </w:p>
    <w:p>
      <w:pPr>
        <w:widowControl/>
        <w:ind w:firstLine="480" w:firstLineChars="150"/>
        <w:jc w:val="left"/>
        <w:rPr>
          <w:rFonts w:eastAsia="楷体"/>
          <w:kern w:val="0"/>
          <w:sz w:val="32"/>
          <w:szCs w:val="32"/>
        </w:rPr>
      </w:pPr>
      <w:r>
        <w:rPr>
          <w:rFonts w:hAnsi="楷体" w:eastAsia="楷体"/>
          <w:kern w:val="0"/>
          <w:sz w:val="32"/>
          <w:szCs w:val="32"/>
        </w:rPr>
        <w:t>（二）财政拨款安排支出按经济科目分类情况</w:t>
      </w:r>
    </w:p>
    <w:p>
      <w:pPr>
        <w:widowControl/>
        <w:ind w:firstLine="640" w:firstLineChars="200"/>
        <w:jc w:val="left"/>
        <w:rPr>
          <w:rFonts w:eastAsia="仿宋"/>
          <w:kern w:val="0"/>
          <w:sz w:val="32"/>
          <w:szCs w:val="32"/>
        </w:rPr>
      </w:pPr>
      <w:r>
        <w:rPr>
          <w:rFonts w:eastAsia="仿宋"/>
          <w:kern w:val="0"/>
          <w:sz w:val="32"/>
          <w:szCs w:val="32"/>
        </w:rPr>
        <w:t>经济科目分组（其中：基本支出708.34万元，项目支出0万元）。</w:t>
      </w:r>
    </w:p>
    <w:p>
      <w:pPr>
        <w:widowControl/>
        <w:ind w:firstLine="640" w:firstLineChars="200"/>
        <w:jc w:val="left"/>
        <w:rPr>
          <w:rFonts w:eastAsia="黑体"/>
          <w:kern w:val="0"/>
          <w:sz w:val="32"/>
          <w:szCs w:val="32"/>
        </w:rPr>
      </w:pPr>
      <w:r>
        <w:rPr>
          <w:rFonts w:hAnsi="黑体" w:eastAsia="黑体"/>
          <w:kern w:val="0"/>
          <w:sz w:val="32"/>
          <w:szCs w:val="32"/>
        </w:rPr>
        <w:t>五、省对下</w:t>
      </w:r>
      <w:r>
        <w:rPr>
          <w:rFonts w:hint="eastAsia" w:hAnsi="黑体" w:eastAsia="黑体"/>
          <w:kern w:val="0"/>
          <w:sz w:val="32"/>
          <w:szCs w:val="32"/>
          <w:lang w:eastAsia="zh-CN"/>
        </w:rPr>
        <w:t>专项</w:t>
      </w:r>
      <w:r>
        <w:rPr>
          <w:rFonts w:hAnsi="黑体" w:eastAsia="黑体"/>
          <w:kern w:val="0"/>
          <w:sz w:val="32"/>
          <w:szCs w:val="32"/>
        </w:rPr>
        <w:t>转移支付情况</w:t>
      </w:r>
    </w:p>
    <w:p>
      <w:pPr>
        <w:widowControl/>
        <w:ind w:firstLine="640" w:firstLineChars="200"/>
        <w:jc w:val="left"/>
        <w:rPr>
          <w:rFonts w:eastAsia="仿宋"/>
          <w:kern w:val="0"/>
          <w:sz w:val="32"/>
          <w:szCs w:val="32"/>
        </w:rPr>
      </w:pPr>
      <w:r>
        <w:rPr>
          <w:rFonts w:eastAsia="仿宋"/>
          <w:kern w:val="0"/>
          <w:sz w:val="32"/>
          <w:szCs w:val="32"/>
        </w:rPr>
        <w:t>部门列入省对下专项转移支付项目清单项目为：金额0万元。</w:t>
      </w:r>
    </w:p>
    <w:p>
      <w:pPr>
        <w:widowControl/>
        <w:ind w:firstLine="640" w:firstLineChars="200"/>
        <w:jc w:val="left"/>
        <w:rPr>
          <w:rFonts w:eastAsia="黑体"/>
          <w:kern w:val="0"/>
          <w:sz w:val="32"/>
          <w:szCs w:val="32"/>
        </w:rPr>
      </w:pPr>
      <w:r>
        <w:rPr>
          <w:rFonts w:hAnsi="黑体" w:eastAsia="黑体"/>
          <w:kern w:val="0"/>
          <w:sz w:val="32"/>
          <w:szCs w:val="32"/>
        </w:rPr>
        <w:t>六、政府采购预算情况</w:t>
      </w:r>
    </w:p>
    <w:p>
      <w:pPr>
        <w:widowControl/>
        <w:jc w:val="left"/>
        <w:rPr>
          <w:rFonts w:eastAsia="仿宋"/>
          <w:kern w:val="0"/>
          <w:sz w:val="32"/>
          <w:szCs w:val="32"/>
        </w:rPr>
      </w:pPr>
      <w:r>
        <w:rPr>
          <w:rFonts w:eastAsia="仿宋"/>
          <w:kern w:val="0"/>
          <w:sz w:val="32"/>
          <w:szCs w:val="32"/>
        </w:rPr>
        <w:t xml:space="preserve">    采购预算资金0万元。</w:t>
      </w:r>
    </w:p>
    <w:p>
      <w:pPr>
        <w:widowControl/>
        <w:ind w:firstLine="640" w:firstLineChars="200"/>
        <w:jc w:val="left"/>
        <w:rPr>
          <w:rFonts w:eastAsia="黑体"/>
          <w:kern w:val="0"/>
          <w:sz w:val="32"/>
          <w:szCs w:val="32"/>
        </w:rPr>
      </w:pPr>
      <w:r>
        <w:rPr>
          <w:rFonts w:hAnsi="黑体" w:eastAsia="黑体"/>
          <w:kern w:val="0"/>
          <w:sz w:val="32"/>
          <w:szCs w:val="32"/>
        </w:rPr>
        <w:t>七、预算收支增减变化情况说明</w:t>
      </w:r>
    </w:p>
    <w:p>
      <w:pPr>
        <w:widowControl/>
        <w:ind w:firstLine="640" w:firstLineChars="200"/>
        <w:jc w:val="left"/>
        <w:rPr>
          <w:rFonts w:eastAsia="仿宋"/>
          <w:kern w:val="0"/>
          <w:sz w:val="32"/>
          <w:szCs w:val="32"/>
        </w:rPr>
      </w:pPr>
      <w:r>
        <w:rPr>
          <w:rFonts w:eastAsia="仿宋"/>
          <w:kern w:val="0"/>
          <w:sz w:val="32"/>
          <w:szCs w:val="32"/>
        </w:rPr>
        <w:t>2018年基本支出预算数为</w:t>
      </w:r>
      <w:r>
        <w:rPr>
          <w:rFonts w:hint="eastAsia" w:eastAsia="仿宋"/>
          <w:kern w:val="0"/>
          <w:sz w:val="32"/>
          <w:szCs w:val="32"/>
        </w:rPr>
        <w:t>708.34</w:t>
      </w:r>
      <w:r>
        <w:rPr>
          <w:rFonts w:eastAsia="仿宋"/>
          <w:kern w:val="0"/>
          <w:sz w:val="32"/>
          <w:szCs w:val="32"/>
        </w:rPr>
        <w:t>万元，比上年</w:t>
      </w:r>
      <w:r>
        <w:rPr>
          <w:rFonts w:hint="eastAsia" w:ascii="仿宋_GB2312" w:eastAsia="仿宋_GB2312" w:cs="宋体"/>
          <w:kern w:val="0"/>
          <w:sz w:val="32"/>
          <w:szCs w:val="32"/>
        </w:rPr>
        <w:t>544.99</w:t>
      </w:r>
      <w:r>
        <w:rPr>
          <w:rFonts w:eastAsia="仿宋"/>
          <w:kern w:val="0"/>
          <w:sz w:val="32"/>
          <w:szCs w:val="32"/>
        </w:rPr>
        <w:t>万元</w:t>
      </w:r>
      <w:r>
        <w:rPr>
          <w:rFonts w:hint="eastAsia" w:eastAsia="仿宋"/>
          <w:kern w:val="0"/>
          <w:sz w:val="32"/>
          <w:szCs w:val="32"/>
        </w:rPr>
        <w:t>增加163.35</w:t>
      </w:r>
      <w:r>
        <w:rPr>
          <w:rFonts w:eastAsia="仿宋"/>
          <w:kern w:val="0"/>
          <w:sz w:val="32"/>
          <w:szCs w:val="32"/>
        </w:rPr>
        <w:t>万元（其中工资福利支出本年</w:t>
      </w:r>
      <w:r>
        <w:rPr>
          <w:rFonts w:hint="eastAsia" w:eastAsia="仿宋"/>
          <w:kern w:val="0"/>
          <w:sz w:val="32"/>
          <w:szCs w:val="32"/>
        </w:rPr>
        <w:t>358.91</w:t>
      </w:r>
      <w:r>
        <w:rPr>
          <w:rFonts w:eastAsia="仿宋"/>
          <w:kern w:val="0"/>
          <w:sz w:val="32"/>
          <w:szCs w:val="32"/>
        </w:rPr>
        <w:t>万元，上年</w:t>
      </w:r>
      <w:r>
        <w:rPr>
          <w:rFonts w:hint="eastAsia" w:ascii="仿宋_GB2312" w:eastAsia="仿宋_GB2312" w:cs="宋体"/>
          <w:kern w:val="0"/>
          <w:sz w:val="32"/>
          <w:szCs w:val="32"/>
        </w:rPr>
        <w:t>454.52</w:t>
      </w:r>
      <w:r>
        <w:rPr>
          <w:rFonts w:eastAsia="仿宋"/>
          <w:kern w:val="0"/>
          <w:sz w:val="32"/>
          <w:szCs w:val="32"/>
        </w:rPr>
        <w:t>万元，</w:t>
      </w:r>
      <w:r>
        <w:rPr>
          <w:rFonts w:hint="eastAsia" w:eastAsia="仿宋"/>
          <w:kern w:val="0"/>
          <w:sz w:val="32"/>
          <w:szCs w:val="32"/>
        </w:rPr>
        <w:t>减少95.61</w:t>
      </w:r>
      <w:r>
        <w:rPr>
          <w:rFonts w:eastAsia="仿宋"/>
          <w:kern w:val="0"/>
          <w:sz w:val="32"/>
          <w:szCs w:val="32"/>
        </w:rPr>
        <w:t>万元；商品和服务支出本年</w:t>
      </w:r>
      <w:r>
        <w:rPr>
          <w:rFonts w:hint="eastAsia" w:eastAsia="仿宋"/>
          <w:kern w:val="0"/>
          <w:sz w:val="32"/>
          <w:szCs w:val="32"/>
        </w:rPr>
        <w:t>52.23</w:t>
      </w:r>
      <w:r>
        <w:rPr>
          <w:rFonts w:eastAsia="仿宋"/>
          <w:kern w:val="0"/>
          <w:sz w:val="32"/>
          <w:szCs w:val="32"/>
        </w:rPr>
        <w:t>万元，上年</w:t>
      </w:r>
      <w:r>
        <w:rPr>
          <w:rFonts w:hint="eastAsia" w:ascii="仿宋_GB2312" w:eastAsia="仿宋_GB2312" w:cs="宋体"/>
          <w:kern w:val="0"/>
          <w:sz w:val="32"/>
          <w:szCs w:val="32"/>
        </w:rPr>
        <w:t>44.08</w:t>
      </w:r>
      <w:r>
        <w:rPr>
          <w:rFonts w:eastAsia="仿宋"/>
          <w:kern w:val="0"/>
          <w:sz w:val="32"/>
          <w:szCs w:val="32"/>
        </w:rPr>
        <w:t>万元，</w:t>
      </w:r>
      <w:r>
        <w:rPr>
          <w:rFonts w:hint="eastAsia" w:eastAsia="仿宋"/>
          <w:kern w:val="0"/>
          <w:sz w:val="32"/>
          <w:szCs w:val="32"/>
        </w:rPr>
        <w:t>增加8.15</w:t>
      </w:r>
      <w:r>
        <w:rPr>
          <w:rFonts w:eastAsia="仿宋"/>
          <w:kern w:val="0"/>
          <w:sz w:val="32"/>
          <w:szCs w:val="32"/>
        </w:rPr>
        <w:t>万元；对个人和家庭的补助本年预算</w:t>
      </w:r>
      <w:r>
        <w:rPr>
          <w:rFonts w:hint="eastAsia" w:eastAsia="仿宋"/>
          <w:kern w:val="0"/>
          <w:sz w:val="32"/>
          <w:szCs w:val="32"/>
        </w:rPr>
        <w:t>297.20</w:t>
      </w:r>
      <w:r>
        <w:rPr>
          <w:rFonts w:eastAsia="仿宋"/>
          <w:kern w:val="0"/>
          <w:sz w:val="32"/>
          <w:szCs w:val="32"/>
        </w:rPr>
        <w:t>万元，上年数为</w:t>
      </w:r>
      <w:r>
        <w:rPr>
          <w:rFonts w:hint="eastAsia" w:ascii="仿宋_GB2312" w:eastAsia="仿宋_GB2312" w:cs="宋体"/>
          <w:kern w:val="0"/>
          <w:sz w:val="32"/>
          <w:szCs w:val="32"/>
        </w:rPr>
        <w:t>46.39</w:t>
      </w:r>
      <w:r>
        <w:rPr>
          <w:rFonts w:eastAsia="仿宋"/>
          <w:kern w:val="0"/>
          <w:sz w:val="32"/>
          <w:szCs w:val="32"/>
        </w:rPr>
        <w:t>万元，增加</w:t>
      </w:r>
      <w:r>
        <w:rPr>
          <w:rFonts w:hint="eastAsia" w:eastAsia="仿宋"/>
          <w:kern w:val="0"/>
          <w:sz w:val="32"/>
          <w:szCs w:val="32"/>
        </w:rPr>
        <w:t>250.81</w:t>
      </w:r>
      <w:r>
        <w:rPr>
          <w:rFonts w:eastAsia="仿宋"/>
          <w:kern w:val="0"/>
          <w:sz w:val="32"/>
          <w:szCs w:val="32"/>
        </w:rPr>
        <w:t>万元。）</w:t>
      </w:r>
    </w:p>
    <w:p>
      <w:pPr>
        <w:widowControl/>
        <w:ind w:firstLine="640" w:firstLineChars="200"/>
        <w:jc w:val="left"/>
        <w:rPr>
          <w:rFonts w:eastAsia="黑体"/>
          <w:kern w:val="0"/>
          <w:sz w:val="32"/>
          <w:szCs w:val="32"/>
        </w:rPr>
      </w:pPr>
      <w:r>
        <w:rPr>
          <w:rFonts w:hAnsi="黑体" w:eastAsia="黑体"/>
          <w:kern w:val="0"/>
          <w:sz w:val="32"/>
          <w:szCs w:val="32"/>
        </w:rPr>
        <w:t>八、其他公开信息</w:t>
      </w:r>
    </w:p>
    <w:p>
      <w:pPr>
        <w:widowControl/>
        <w:ind w:firstLine="640" w:firstLineChars="200"/>
        <w:jc w:val="left"/>
        <w:rPr>
          <w:rFonts w:ascii="楷体" w:hAnsi="楷体" w:eastAsia="楷体"/>
          <w:kern w:val="0"/>
          <w:sz w:val="32"/>
          <w:szCs w:val="32"/>
        </w:rPr>
      </w:pPr>
      <w:r>
        <w:rPr>
          <w:rFonts w:ascii="楷体" w:hAnsi="楷体" w:eastAsia="楷体"/>
          <w:kern w:val="0"/>
          <w:sz w:val="32"/>
          <w:szCs w:val="32"/>
        </w:rPr>
        <w:t>（一）专业名词解释</w:t>
      </w:r>
    </w:p>
    <w:p>
      <w:pPr>
        <w:ind w:firstLine="640" w:firstLineChars="200"/>
        <w:rPr>
          <w:rFonts w:eastAsia="仿宋"/>
          <w:sz w:val="32"/>
          <w:szCs w:val="32"/>
        </w:rPr>
      </w:pPr>
      <w:r>
        <w:rPr>
          <w:rFonts w:hint="eastAsia" w:eastAsia="仿宋"/>
          <w:sz w:val="32"/>
          <w:szCs w:val="32"/>
        </w:rPr>
        <w:t>1.</w:t>
      </w:r>
      <w:r>
        <w:rPr>
          <w:rFonts w:eastAsia="仿宋"/>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640" w:firstLineChars="200"/>
        <w:rPr>
          <w:rFonts w:eastAsia="仿宋"/>
          <w:sz w:val="32"/>
          <w:szCs w:val="32"/>
        </w:rPr>
      </w:pPr>
      <w:r>
        <w:rPr>
          <w:rFonts w:hint="eastAsia" w:eastAsia="仿宋"/>
          <w:sz w:val="32"/>
          <w:szCs w:val="32"/>
        </w:rPr>
        <w:t>2.</w:t>
      </w:r>
      <w:r>
        <w:rPr>
          <w:rFonts w:eastAsia="仿宋"/>
          <w:sz w:val="32"/>
          <w:szCs w:val="32"/>
        </w:rPr>
        <w:t>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eastAsia="仿宋"/>
          <w:sz w:val="32"/>
          <w:szCs w:val="32"/>
        </w:rPr>
        <w:t>财政性资金</w:t>
      </w:r>
      <w:r>
        <w:rPr>
          <w:rFonts w:eastAsia="仿宋"/>
          <w:sz w:val="32"/>
          <w:szCs w:val="32"/>
        </w:rPr>
        <w:fldChar w:fldCharType="end"/>
      </w:r>
      <w:r>
        <w:rPr>
          <w:rFonts w:eastAsia="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eastAsia="仿宋"/>
          <w:sz w:val="32"/>
          <w:szCs w:val="32"/>
        </w:rPr>
        <w:t>采购过程</w:t>
      </w:r>
      <w:r>
        <w:rPr>
          <w:rFonts w:eastAsia="仿宋"/>
          <w:sz w:val="32"/>
          <w:szCs w:val="32"/>
        </w:rPr>
        <w:fldChar w:fldCharType="end"/>
      </w:r>
      <w:r>
        <w:rPr>
          <w:rFonts w:eastAsia="仿宋"/>
          <w:sz w:val="32"/>
          <w:szCs w:val="32"/>
        </w:rPr>
        <w:t>，而且是采购政策、采购程序、采购过程及采购管理的总称，是一种对公共采购管理的制度。</w:t>
      </w:r>
    </w:p>
    <w:p>
      <w:pPr>
        <w:ind w:firstLine="640" w:firstLineChars="200"/>
        <w:rPr>
          <w:rFonts w:eastAsia="仿宋"/>
          <w:sz w:val="32"/>
          <w:szCs w:val="32"/>
        </w:rPr>
      </w:pPr>
      <w:r>
        <w:rPr>
          <w:rFonts w:hint="eastAsia" w:eastAsia="仿宋"/>
          <w:sz w:val="32"/>
          <w:szCs w:val="32"/>
        </w:rPr>
        <w:t>3.</w:t>
      </w:r>
      <w:r>
        <w:rPr>
          <w:rFonts w:eastAsia="仿宋"/>
          <w:sz w:val="32"/>
          <w:szCs w:val="32"/>
        </w:rPr>
        <w:t>财政拨款收入: 指本级财政当年拨付的资金。</w:t>
      </w:r>
    </w:p>
    <w:p>
      <w:pPr>
        <w:ind w:firstLine="640" w:firstLineChars="200"/>
        <w:rPr>
          <w:rFonts w:eastAsia="仿宋"/>
          <w:sz w:val="32"/>
          <w:szCs w:val="32"/>
        </w:rPr>
      </w:pPr>
      <w:r>
        <w:rPr>
          <w:rFonts w:hint="eastAsia" w:eastAsia="仿宋"/>
          <w:sz w:val="32"/>
          <w:szCs w:val="32"/>
        </w:rPr>
        <w:t>4.</w:t>
      </w:r>
      <w:r>
        <w:rPr>
          <w:rFonts w:eastAsia="仿宋"/>
          <w:sz w:val="32"/>
          <w:szCs w:val="32"/>
        </w:rPr>
        <w:t>事业收入: 指事业单位开展专业业务活动及辅助活动取得的收入。</w:t>
      </w:r>
    </w:p>
    <w:p>
      <w:pPr>
        <w:ind w:firstLine="640" w:firstLineChars="200"/>
        <w:rPr>
          <w:rFonts w:eastAsia="仿宋"/>
          <w:sz w:val="32"/>
          <w:szCs w:val="32"/>
        </w:rPr>
      </w:pPr>
      <w:r>
        <w:rPr>
          <w:rFonts w:hint="eastAsia" w:eastAsia="仿宋"/>
          <w:sz w:val="32"/>
          <w:szCs w:val="32"/>
        </w:rPr>
        <w:t>5.</w:t>
      </w:r>
      <w:r>
        <w:rPr>
          <w:rFonts w:eastAsia="仿宋"/>
          <w:sz w:val="32"/>
          <w:szCs w:val="32"/>
        </w:rPr>
        <w:t>其他收入: 指除上述</w:t>
      </w:r>
      <w:r>
        <w:rPr>
          <w:rFonts w:hint="eastAsia" w:eastAsia="仿宋"/>
          <w:sz w:val="32"/>
          <w:szCs w:val="32"/>
        </w:rPr>
        <w:t>“</w:t>
      </w:r>
      <w:r>
        <w:rPr>
          <w:rFonts w:eastAsia="仿宋"/>
          <w:sz w:val="32"/>
          <w:szCs w:val="32"/>
        </w:rPr>
        <w:t>财政拨款收入</w:t>
      </w:r>
      <w:r>
        <w:rPr>
          <w:rFonts w:hint="eastAsia" w:eastAsia="仿宋"/>
          <w:sz w:val="32"/>
          <w:szCs w:val="32"/>
        </w:rPr>
        <w:t>”</w:t>
      </w:r>
      <w:r>
        <w:rPr>
          <w:rFonts w:eastAsia="仿宋"/>
          <w:sz w:val="32"/>
          <w:szCs w:val="32"/>
        </w:rPr>
        <w:t>、</w:t>
      </w:r>
      <w:r>
        <w:rPr>
          <w:rFonts w:hint="eastAsia" w:eastAsia="仿宋"/>
          <w:sz w:val="32"/>
          <w:szCs w:val="32"/>
        </w:rPr>
        <w:t>“</w:t>
      </w:r>
      <w:r>
        <w:rPr>
          <w:rFonts w:eastAsia="仿宋"/>
          <w:sz w:val="32"/>
          <w:szCs w:val="32"/>
        </w:rPr>
        <w:t xml:space="preserve"> 事业收入</w:t>
      </w:r>
      <w:r>
        <w:rPr>
          <w:rFonts w:hint="eastAsia" w:eastAsia="仿宋"/>
          <w:sz w:val="32"/>
          <w:szCs w:val="32"/>
        </w:rPr>
        <w:t>”</w:t>
      </w:r>
      <w:r>
        <w:rPr>
          <w:rFonts w:eastAsia="仿宋"/>
          <w:sz w:val="32"/>
          <w:szCs w:val="32"/>
        </w:rPr>
        <w:t>、等以外的收入。</w:t>
      </w:r>
    </w:p>
    <w:p>
      <w:pPr>
        <w:ind w:firstLine="640" w:firstLineChars="200"/>
        <w:rPr>
          <w:rFonts w:eastAsia="仿宋"/>
          <w:sz w:val="32"/>
          <w:szCs w:val="32"/>
        </w:rPr>
      </w:pPr>
      <w:r>
        <w:rPr>
          <w:rFonts w:hint="eastAsia" w:eastAsia="仿宋"/>
          <w:sz w:val="32"/>
          <w:szCs w:val="32"/>
        </w:rPr>
        <w:t>6.</w:t>
      </w:r>
      <w:r>
        <w:rPr>
          <w:rFonts w:eastAsia="仿宋"/>
          <w:sz w:val="32"/>
          <w:szCs w:val="32"/>
        </w:rPr>
        <w:t>用事业基金弥补收支差额: 指事业单位在当年的</w:t>
      </w:r>
      <w:r>
        <w:rPr>
          <w:rFonts w:hint="eastAsia" w:eastAsia="仿宋"/>
          <w:sz w:val="32"/>
          <w:szCs w:val="32"/>
        </w:rPr>
        <w:t>“</w:t>
      </w:r>
      <w:r>
        <w:rPr>
          <w:rFonts w:eastAsia="仿宋"/>
          <w:sz w:val="32"/>
          <w:szCs w:val="32"/>
        </w:rPr>
        <w:t>财政拨款收入</w:t>
      </w:r>
      <w:r>
        <w:rPr>
          <w:rFonts w:hint="eastAsia" w:eastAsia="仿宋"/>
          <w:sz w:val="32"/>
          <w:szCs w:val="32"/>
        </w:rPr>
        <w:t>”</w:t>
      </w:r>
      <w:r>
        <w:rPr>
          <w:rFonts w:eastAsia="仿宋"/>
          <w:sz w:val="32"/>
          <w:szCs w:val="32"/>
        </w:rPr>
        <w:t>、</w:t>
      </w:r>
      <w:r>
        <w:rPr>
          <w:rFonts w:hint="eastAsia" w:eastAsia="仿宋"/>
          <w:sz w:val="32"/>
          <w:szCs w:val="32"/>
        </w:rPr>
        <w:t>“</w:t>
      </w:r>
      <w:r>
        <w:rPr>
          <w:rFonts w:eastAsia="仿宋"/>
          <w:sz w:val="32"/>
          <w:szCs w:val="32"/>
        </w:rPr>
        <w:t xml:space="preserve"> 事业收入</w:t>
      </w:r>
      <w:r>
        <w:rPr>
          <w:rFonts w:hint="eastAsia" w:eastAsia="仿宋"/>
          <w:sz w:val="32"/>
          <w:szCs w:val="32"/>
        </w:rPr>
        <w:t>”</w:t>
      </w:r>
      <w:r>
        <w:rPr>
          <w:rFonts w:eastAsia="仿宋"/>
          <w:sz w:val="32"/>
          <w:szCs w:val="32"/>
        </w:rPr>
        <w:t>、</w:t>
      </w:r>
      <w:r>
        <w:rPr>
          <w:rFonts w:hint="eastAsia" w:eastAsia="仿宋"/>
          <w:sz w:val="32"/>
          <w:szCs w:val="32"/>
        </w:rPr>
        <w:t>“</w:t>
      </w:r>
      <w:r>
        <w:rPr>
          <w:rFonts w:eastAsia="仿宋"/>
          <w:sz w:val="32"/>
          <w:szCs w:val="32"/>
        </w:rPr>
        <w:t xml:space="preserve"> 其他收入</w:t>
      </w:r>
      <w:r>
        <w:rPr>
          <w:rFonts w:hint="eastAsia" w:eastAsia="仿宋"/>
          <w:sz w:val="32"/>
          <w:szCs w:val="32"/>
        </w:rPr>
        <w:t>”</w:t>
      </w:r>
      <w:r>
        <w:rPr>
          <w:rFonts w:eastAsia="仿宋"/>
          <w:sz w:val="32"/>
          <w:szCs w:val="32"/>
        </w:rPr>
        <w:t>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eastAsia="仿宋"/>
          <w:sz w:val="32"/>
          <w:szCs w:val="32"/>
        </w:rPr>
      </w:pPr>
      <w:r>
        <w:rPr>
          <w:rFonts w:hint="eastAsia" w:eastAsia="仿宋"/>
          <w:sz w:val="32"/>
          <w:szCs w:val="32"/>
        </w:rPr>
        <w:t>7.</w:t>
      </w:r>
      <w:r>
        <w:rPr>
          <w:rFonts w:eastAsia="仿宋"/>
          <w:sz w:val="32"/>
          <w:szCs w:val="32"/>
        </w:rPr>
        <w:t>年初结转和结余: 指以前年度尚未完成、结转到本年按有关规定继续使用的资金。</w:t>
      </w:r>
    </w:p>
    <w:p>
      <w:pPr>
        <w:ind w:firstLine="640" w:firstLineChars="200"/>
        <w:rPr>
          <w:rFonts w:eastAsia="仿宋"/>
          <w:sz w:val="32"/>
          <w:szCs w:val="32"/>
        </w:rPr>
      </w:pPr>
      <w:r>
        <w:rPr>
          <w:rFonts w:hint="eastAsia" w:eastAsia="仿宋"/>
          <w:sz w:val="32"/>
          <w:szCs w:val="32"/>
        </w:rPr>
        <w:t>8.</w:t>
      </w:r>
      <w:r>
        <w:rPr>
          <w:rFonts w:eastAsia="仿宋"/>
          <w:sz w:val="32"/>
          <w:szCs w:val="32"/>
        </w:rPr>
        <w:t>结余分配: 指事业单位按规定提取的职工福利基金、事业基金和缴纳的所得税，以及建设单位按规定应交回的基本建设竣工项目结余资金。</w:t>
      </w:r>
    </w:p>
    <w:p>
      <w:pPr>
        <w:ind w:firstLine="640" w:firstLineChars="200"/>
        <w:rPr>
          <w:rFonts w:eastAsia="仿宋"/>
          <w:sz w:val="32"/>
          <w:szCs w:val="32"/>
        </w:rPr>
      </w:pPr>
      <w:r>
        <w:rPr>
          <w:rFonts w:hint="eastAsia" w:eastAsia="仿宋"/>
          <w:sz w:val="32"/>
          <w:szCs w:val="32"/>
        </w:rPr>
        <w:t>9.</w:t>
      </w:r>
      <w:r>
        <w:rPr>
          <w:rFonts w:eastAsia="仿宋"/>
          <w:sz w:val="32"/>
          <w:szCs w:val="32"/>
        </w:rPr>
        <w:t>年末结转和结余: 指本年度或以前年度预算安排、因客观条件发生变化无法按原计划实施，需要延迟到以后年度按有关规定继续使用的资金。</w:t>
      </w:r>
    </w:p>
    <w:p>
      <w:pPr>
        <w:ind w:firstLine="640" w:firstLineChars="200"/>
        <w:rPr>
          <w:rFonts w:eastAsia="仿宋"/>
          <w:sz w:val="32"/>
          <w:szCs w:val="32"/>
        </w:rPr>
      </w:pPr>
      <w:r>
        <w:rPr>
          <w:rFonts w:hint="eastAsia" w:eastAsia="仿宋"/>
          <w:sz w:val="32"/>
          <w:szCs w:val="32"/>
        </w:rPr>
        <w:t>10.</w:t>
      </w:r>
      <w:r>
        <w:rPr>
          <w:rFonts w:eastAsia="仿宋"/>
          <w:sz w:val="32"/>
          <w:szCs w:val="32"/>
        </w:rPr>
        <w:t>基本支出: 指为保障机构正常运转、完成日常工作任务而发生的人员支出和公用支出。</w:t>
      </w:r>
    </w:p>
    <w:p>
      <w:pPr>
        <w:ind w:firstLine="640" w:firstLineChars="200"/>
        <w:rPr>
          <w:rFonts w:eastAsia="仿宋"/>
          <w:sz w:val="32"/>
          <w:szCs w:val="32"/>
        </w:rPr>
      </w:pPr>
      <w:r>
        <w:rPr>
          <w:rFonts w:hint="eastAsia" w:eastAsia="仿宋"/>
          <w:sz w:val="32"/>
          <w:szCs w:val="32"/>
        </w:rPr>
        <w:t>11.</w:t>
      </w:r>
      <w:r>
        <w:rPr>
          <w:rFonts w:eastAsia="仿宋"/>
          <w:sz w:val="32"/>
          <w:szCs w:val="32"/>
        </w:rPr>
        <w:t>项目支出: 指在基本支出之外为完成特定行政任务和事业发展目标所发生的支出。</w:t>
      </w:r>
    </w:p>
    <w:p>
      <w:pPr>
        <w:ind w:firstLine="640" w:firstLineChars="200"/>
        <w:rPr>
          <w:rFonts w:eastAsia="仿宋"/>
          <w:sz w:val="32"/>
          <w:szCs w:val="32"/>
        </w:rPr>
      </w:pPr>
      <w:r>
        <w:rPr>
          <w:rFonts w:hint="eastAsia" w:eastAsia="仿宋"/>
          <w:sz w:val="32"/>
          <w:szCs w:val="32"/>
        </w:rPr>
        <w:t>12.</w:t>
      </w:r>
      <w:r>
        <w:rPr>
          <w:rFonts w:eastAsia="仿宋"/>
          <w:sz w:val="32"/>
          <w:szCs w:val="32"/>
        </w:rPr>
        <w:t>"三公"经费: 指纳入本级财政预决算管理的</w:t>
      </w:r>
      <w:r>
        <w:rPr>
          <w:rFonts w:hint="eastAsia" w:eastAsia="仿宋"/>
          <w:sz w:val="32"/>
          <w:szCs w:val="32"/>
        </w:rPr>
        <w:t>“</w:t>
      </w:r>
      <w:r>
        <w:rPr>
          <w:rFonts w:eastAsia="仿宋"/>
          <w:sz w:val="32"/>
          <w:szCs w:val="32"/>
        </w:rPr>
        <w:t>三公</w:t>
      </w:r>
      <w:r>
        <w:rPr>
          <w:rFonts w:hint="eastAsia" w:eastAsia="仿宋"/>
          <w:sz w:val="32"/>
          <w:szCs w:val="32"/>
        </w:rPr>
        <w:t>”</w:t>
      </w:r>
      <w:r>
        <w:rPr>
          <w:rFonts w:eastAsia="仿宋"/>
          <w:sz w:val="32"/>
          <w:szCs w:val="32"/>
        </w:rPr>
        <w:t>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eastAsia="仿宋"/>
          <w:b/>
          <w:kern w:val="0"/>
          <w:sz w:val="32"/>
          <w:szCs w:val="32"/>
        </w:rPr>
      </w:pPr>
      <w:r>
        <w:rPr>
          <w:rFonts w:hint="eastAsia" w:eastAsia="仿宋"/>
          <w:sz w:val="32"/>
          <w:szCs w:val="32"/>
        </w:rPr>
        <w:t>13.</w:t>
      </w:r>
      <w:r>
        <w:rPr>
          <w:rFonts w:eastAsia="仿宋"/>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numPr>
          <w:ilvl w:val="0"/>
          <w:numId w:val="1"/>
        </w:numPr>
        <w:ind w:firstLine="640" w:firstLineChars="200"/>
        <w:jc w:val="left"/>
        <w:rPr>
          <w:rFonts w:ascii="楷体" w:hAnsi="楷体" w:eastAsia="楷体"/>
          <w:kern w:val="0"/>
          <w:sz w:val="32"/>
          <w:szCs w:val="32"/>
        </w:rPr>
      </w:pPr>
      <w:r>
        <w:rPr>
          <w:rFonts w:ascii="楷体" w:hAnsi="楷体" w:eastAsia="楷体"/>
          <w:kern w:val="0"/>
          <w:sz w:val="32"/>
          <w:szCs w:val="32"/>
        </w:rPr>
        <w:t>机关运行经费安排</w:t>
      </w:r>
    </w:p>
    <w:p>
      <w:pPr>
        <w:widowControl/>
        <w:ind w:firstLine="640" w:firstLineChars="200"/>
        <w:jc w:val="left"/>
        <w:rPr>
          <w:rFonts w:eastAsia="仿宋"/>
          <w:b/>
          <w:kern w:val="0"/>
          <w:sz w:val="32"/>
          <w:szCs w:val="32"/>
        </w:rPr>
      </w:pPr>
      <w:r>
        <w:rPr>
          <w:rFonts w:eastAsia="仿宋"/>
          <w:color w:val="333333"/>
          <w:sz w:val="32"/>
          <w:szCs w:val="32"/>
          <w:shd w:val="clear" w:color="auto" w:fill="FFFFFF"/>
        </w:rPr>
        <w:t>为保障行政机关单位运行用于购买货物和服务的各项资金，</w:t>
      </w:r>
      <w:r>
        <w:rPr>
          <w:rFonts w:hint="eastAsia" w:eastAsia="仿宋"/>
          <w:kern w:val="0"/>
          <w:sz w:val="32"/>
          <w:szCs w:val="32"/>
        </w:rPr>
        <w:t>共青团芒市委</w:t>
      </w:r>
      <w:r>
        <w:rPr>
          <w:rFonts w:eastAsia="仿宋"/>
          <w:kern w:val="0"/>
          <w:sz w:val="32"/>
          <w:szCs w:val="32"/>
        </w:rPr>
        <w:t>2018年机关运行经费安排：</w:t>
      </w:r>
      <w:r>
        <w:rPr>
          <w:rFonts w:hint="eastAsia" w:eastAsia="仿宋"/>
          <w:kern w:val="0"/>
          <w:sz w:val="32"/>
          <w:szCs w:val="32"/>
        </w:rPr>
        <w:t>会议费25万元、</w:t>
      </w:r>
      <w:r>
        <w:rPr>
          <w:rFonts w:eastAsia="仿宋"/>
          <w:color w:val="333333"/>
          <w:sz w:val="32"/>
          <w:szCs w:val="32"/>
          <w:shd w:val="clear" w:color="auto" w:fill="FFFFFF"/>
        </w:rPr>
        <w:t>办公费</w:t>
      </w:r>
      <w:r>
        <w:rPr>
          <w:rFonts w:hint="eastAsia" w:eastAsia="仿宋"/>
          <w:color w:val="333333"/>
          <w:sz w:val="32"/>
          <w:szCs w:val="32"/>
          <w:shd w:val="clear" w:color="auto" w:fill="FFFFFF"/>
        </w:rPr>
        <w:t>13</w:t>
      </w:r>
      <w:r>
        <w:rPr>
          <w:rFonts w:eastAsia="仿宋"/>
          <w:color w:val="333333"/>
          <w:sz w:val="32"/>
          <w:szCs w:val="32"/>
          <w:shd w:val="clear" w:color="auto" w:fill="FFFFFF"/>
        </w:rPr>
        <w:t>万元、印刷费</w:t>
      </w:r>
      <w:r>
        <w:rPr>
          <w:rFonts w:hint="eastAsia" w:eastAsia="仿宋"/>
          <w:color w:val="333333"/>
          <w:sz w:val="32"/>
          <w:szCs w:val="32"/>
          <w:shd w:val="clear" w:color="auto" w:fill="FFFFFF"/>
        </w:rPr>
        <w:t>6</w:t>
      </w:r>
      <w:r>
        <w:rPr>
          <w:rFonts w:eastAsia="仿宋"/>
          <w:color w:val="333333"/>
          <w:sz w:val="32"/>
          <w:szCs w:val="32"/>
          <w:shd w:val="clear" w:color="auto" w:fill="FFFFFF"/>
        </w:rPr>
        <w:t>万元、邮电费</w:t>
      </w:r>
      <w:r>
        <w:rPr>
          <w:rFonts w:hint="eastAsia" w:eastAsia="仿宋"/>
          <w:color w:val="333333"/>
          <w:sz w:val="32"/>
          <w:szCs w:val="32"/>
          <w:shd w:val="clear" w:color="auto" w:fill="FFFFFF"/>
        </w:rPr>
        <w:t>1</w:t>
      </w:r>
      <w:r>
        <w:rPr>
          <w:rFonts w:eastAsia="仿宋"/>
          <w:color w:val="333333"/>
          <w:sz w:val="32"/>
          <w:szCs w:val="32"/>
          <w:shd w:val="clear" w:color="auto" w:fill="FFFFFF"/>
        </w:rPr>
        <w:t>.8万元、差旅费</w:t>
      </w:r>
      <w:r>
        <w:rPr>
          <w:rFonts w:hint="eastAsia" w:eastAsia="仿宋"/>
          <w:color w:val="333333"/>
          <w:sz w:val="32"/>
          <w:szCs w:val="32"/>
          <w:shd w:val="clear" w:color="auto" w:fill="FFFFFF"/>
        </w:rPr>
        <w:t>2</w:t>
      </w:r>
      <w:r>
        <w:rPr>
          <w:rFonts w:eastAsia="仿宋"/>
          <w:color w:val="333333"/>
          <w:sz w:val="32"/>
          <w:szCs w:val="32"/>
          <w:shd w:val="clear" w:color="auto" w:fill="FFFFFF"/>
        </w:rPr>
        <w:t>万元、水费</w:t>
      </w:r>
      <w:r>
        <w:rPr>
          <w:rFonts w:hint="eastAsia" w:eastAsia="仿宋"/>
          <w:color w:val="333333"/>
          <w:sz w:val="32"/>
          <w:szCs w:val="32"/>
          <w:shd w:val="clear" w:color="auto" w:fill="FFFFFF"/>
        </w:rPr>
        <w:t>0.5</w:t>
      </w:r>
      <w:r>
        <w:rPr>
          <w:rFonts w:eastAsia="仿宋"/>
          <w:color w:val="333333"/>
          <w:sz w:val="32"/>
          <w:szCs w:val="32"/>
          <w:shd w:val="clear" w:color="auto" w:fill="FFFFFF"/>
        </w:rPr>
        <w:t>万元、电费</w:t>
      </w:r>
      <w:r>
        <w:rPr>
          <w:rFonts w:hint="eastAsia" w:eastAsia="仿宋"/>
          <w:color w:val="333333"/>
          <w:sz w:val="32"/>
          <w:szCs w:val="32"/>
          <w:shd w:val="clear" w:color="auto" w:fill="FFFFFF"/>
        </w:rPr>
        <w:t>1.5</w:t>
      </w:r>
      <w:r>
        <w:rPr>
          <w:rFonts w:eastAsia="仿宋"/>
          <w:color w:val="333333"/>
          <w:sz w:val="32"/>
          <w:szCs w:val="32"/>
          <w:shd w:val="clear" w:color="auto" w:fill="FFFFFF"/>
        </w:rPr>
        <w:t>万元，日常维修费</w:t>
      </w:r>
      <w:r>
        <w:rPr>
          <w:rFonts w:hint="eastAsia" w:eastAsia="仿宋"/>
          <w:color w:val="333333"/>
          <w:sz w:val="32"/>
          <w:szCs w:val="32"/>
          <w:shd w:val="clear" w:color="auto" w:fill="FFFFFF"/>
        </w:rPr>
        <w:t>1</w:t>
      </w:r>
      <w:r>
        <w:rPr>
          <w:rFonts w:eastAsia="仿宋"/>
          <w:color w:val="333333"/>
          <w:sz w:val="32"/>
          <w:szCs w:val="32"/>
          <w:shd w:val="clear" w:color="auto" w:fill="FFFFFF"/>
        </w:rPr>
        <w:t>万元、公车</w:t>
      </w:r>
      <w:r>
        <w:rPr>
          <w:rFonts w:hint="eastAsia" w:eastAsia="仿宋"/>
          <w:color w:val="333333"/>
          <w:sz w:val="32"/>
          <w:szCs w:val="32"/>
          <w:shd w:val="clear" w:color="auto" w:fill="FFFFFF"/>
        </w:rPr>
        <w:t>租赁费1.43</w:t>
      </w:r>
      <w:r>
        <w:rPr>
          <w:rFonts w:eastAsia="仿宋"/>
          <w:color w:val="333333"/>
          <w:sz w:val="32"/>
          <w:szCs w:val="32"/>
          <w:shd w:val="clear" w:color="auto" w:fill="FFFFFF"/>
        </w:rPr>
        <w:t>万元；总计</w:t>
      </w:r>
      <w:r>
        <w:rPr>
          <w:rFonts w:hint="eastAsia" w:eastAsia="仿宋"/>
          <w:color w:val="333333"/>
          <w:sz w:val="32"/>
          <w:szCs w:val="32"/>
          <w:shd w:val="clear" w:color="auto" w:fill="FFFFFF"/>
        </w:rPr>
        <w:t>52.23</w:t>
      </w:r>
      <w:r>
        <w:rPr>
          <w:rFonts w:eastAsia="仿宋"/>
          <w:color w:val="333333"/>
          <w:sz w:val="32"/>
          <w:szCs w:val="32"/>
          <w:shd w:val="clear" w:color="auto" w:fill="FFFFFF"/>
        </w:rPr>
        <w:t>万元。</w:t>
      </w:r>
    </w:p>
    <w:p>
      <w:pPr>
        <w:widowControl/>
        <w:ind w:firstLine="640" w:firstLineChars="200"/>
        <w:jc w:val="left"/>
        <w:rPr>
          <w:rFonts w:ascii="楷体" w:hAnsi="楷体" w:eastAsia="楷体"/>
          <w:kern w:val="0"/>
          <w:sz w:val="32"/>
          <w:szCs w:val="32"/>
        </w:rPr>
      </w:pPr>
      <w:r>
        <w:rPr>
          <w:rFonts w:ascii="楷体" w:hAnsi="楷体" w:eastAsia="楷体"/>
          <w:kern w:val="0"/>
          <w:sz w:val="32"/>
          <w:szCs w:val="32"/>
        </w:rPr>
        <w:t>（三）国有资产占用情况</w:t>
      </w:r>
    </w:p>
    <w:p>
      <w:pPr>
        <w:widowControl/>
        <w:ind w:firstLine="640" w:firstLineChars="200"/>
        <w:jc w:val="left"/>
        <w:rPr>
          <w:rFonts w:eastAsia="仿宋"/>
          <w:kern w:val="0"/>
          <w:sz w:val="32"/>
          <w:szCs w:val="32"/>
        </w:rPr>
      </w:pPr>
      <w:r>
        <w:rPr>
          <w:rFonts w:eastAsia="仿宋"/>
          <w:kern w:val="0"/>
          <w:sz w:val="32"/>
          <w:szCs w:val="32"/>
        </w:rPr>
        <w:t>鉴于截至2017年12月31日的国有资产占有使用情况需在完成2017年决算编制后才能统计汇总相关数据，因此，将在公开2017年度部门决算时一并公开，截至2017年12月31日的国有资产</w:t>
      </w:r>
      <w:r>
        <w:rPr>
          <w:rFonts w:hint="eastAsia" w:eastAsia="仿宋"/>
          <w:kern w:val="0"/>
          <w:sz w:val="32"/>
          <w:szCs w:val="32"/>
        </w:rPr>
        <w:t>32.65</w:t>
      </w:r>
      <w:r>
        <w:rPr>
          <w:rFonts w:eastAsia="仿宋"/>
          <w:kern w:val="0"/>
          <w:sz w:val="32"/>
          <w:szCs w:val="32"/>
        </w:rPr>
        <w:t>万元，比上年</w:t>
      </w:r>
      <w:r>
        <w:rPr>
          <w:rFonts w:hint="eastAsia" w:eastAsia="仿宋"/>
          <w:kern w:val="0"/>
          <w:sz w:val="32"/>
          <w:szCs w:val="32"/>
        </w:rPr>
        <w:t>减少12.97</w:t>
      </w:r>
      <w:r>
        <w:rPr>
          <w:rFonts w:eastAsia="仿宋"/>
          <w:kern w:val="0"/>
          <w:sz w:val="32"/>
          <w:szCs w:val="32"/>
        </w:rPr>
        <w:t>万元</w:t>
      </w:r>
      <w:r>
        <w:rPr>
          <w:rFonts w:hint="eastAsia" w:eastAsia="仿宋"/>
          <w:kern w:val="0"/>
          <w:sz w:val="32"/>
          <w:szCs w:val="32"/>
        </w:rPr>
        <w:t>，减少原因为处置公车和办公用品。</w:t>
      </w:r>
    </w:p>
    <w:p>
      <w:pPr>
        <w:widowControl/>
        <w:jc w:val="left"/>
        <w:rPr>
          <w:rFonts w:eastAsia="仿宋"/>
          <w:kern w:val="0"/>
          <w:sz w:val="32"/>
          <w:szCs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共青团芒市委2018年“三公”经费预算</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财政拨款情况统计表</w:t>
      </w:r>
    </w:p>
    <w:p>
      <w:pPr>
        <w:spacing w:line="560" w:lineRule="exact"/>
      </w:pPr>
    </w:p>
    <w:p>
      <w:pPr>
        <w:autoSpaceDE w:val="0"/>
        <w:autoSpaceDN w:val="0"/>
        <w:adjustRightInd w:val="0"/>
        <w:spacing w:line="560" w:lineRule="exact"/>
        <w:ind w:firstLine="420" w:firstLineChars="200"/>
        <w:jc w:val="left"/>
        <w:rPr>
          <w:rFonts w:ascii="仿宋_GB2312" w:eastAsia="仿宋_GB2312"/>
          <w:sz w:val="32"/>
          <w:szCs w:val="32"/>
        </w:rPr>
      </w:pPr>
      <w:r>
        <w:rPr>
          <w:rFonts w:hint="eastAsia"/>
        </w:rPr>
        <w:t xml:space="preserve">                                                         </w:t>
      </w:r>
      <w:r>
        <w:rPr>
          <w:rFonts w:hint="eastAsia" w:ascii="仿宋_GB2312" w:eastAsia="仿宋_GB2312"/>
          <w:sz w:val="32"/>
          <w:szCs w:val="32"/>
        </w:rPr>
        <w:t>单位：万元</w:t>
      </w:r>
    </w:p>
    <w:tbl>
      <w:tblPr>
        <w:tblStyle w:val="10"/>
        <w:tblW w:w="9782" w:type="dxa"/>
        <w:tblInd w:w="-318" w:type="dxa"/>
        <w:tblLayout w:type="fixed"/>
        <w:tblCellMar>
          <w:top w:w="0" w:type="dxa"/>
          <w:left w:w="108" w:type="dxa"/>
          <w:bottom w:w="0" w:type="dxa"/>
          <w:right w:w="108" w:type="dxa"/>
        </w:tblCellMar>
      </w:tblPr>
      <w:tblGrid>
        <w:gridCol w:w="3687"/>
        <w:gridCol w:w="1701"/>
        <w:gridCol w:w="1701"/>
        <w:gridCol w:w="1417"/>
        <w:gridCol w:w="1276"/>
      </w:tblGrid>
      <w:tr>
        <w:tblPrEx>
          <w:tblCellMar>
            <w:top w:w="0" w:type="dxa"/>
            <w:left w:w="108" w:type="dxa"/>
            <w:bottom w:w="0" w:type="dxa"/>
            <w:right w:w="108" w:type="dxa"/>
          </w:tblCellMar>
        </w:tblPrEx>
        <w:trPr>
          <w:trHeight w:val="600" w:hRule="atLeast"/>
        </w:trPr>
        <w:tc>
          <w:tcPr>
            <w:tcW w:w="3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项目</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jc w:val="center"/>
              <w:rPr>
                <w:kern w:val="0"/>
                <w:sz w:val="24"/>
              </w:rPr>
            </w:pPr>
            <w:r>
              <w:rPr>
                <w:kern w:val="0"/>
                <w:sz w:val="24"/>
              </w:rPr>
              <w:t>201</w:t>
            </w:r>
            <w:r>
              <w:rPr>
                <w:rFonts w:hint="eastAsia"/>
                <w:kern w:val="0"/>
                <w:sz w:val="24"/>
              </w:rPr>
              <w:t>8</w:t>
            </w:r>
            <w:r>
              <w:rPr>
                <w:rFonts w:hint="eastAsia" w:ascii="宋体" w:hAnsi="宋体"/>
                <w:kern w:val="0"/>
                <w:sz w:val="24"/>
              </w:rPr>
              <w:t>年预算数</w:t>
            </w:r>
          </w:p>
        </w:tc>
        <w:tc>
          <w:tcPr>
            <w:tcW w:w="1701" w:type="dxa"/>
            <w:tcBorders>
              <w:top w:val="single" w:color="auto" w:sz="4" w:space="0"/>
              <w:left w:val="nil"/>
              <w:bottom w:val="single" w:color="auto" w:sz="4" w:space="0"/>
              <w:right w:val="single" w:color="auto" w:sz="4" w:space="0"/>
            </w:tcBorders>
          </w:tcPr>
          <w:p>
            <w:pPr>
              <w:widowControl/>
              <w:spacing w:line="560" w:lineRule="exact"/>
              <w:rPr>
                <w:kern w:val="0"/>
                <w:sz w:val="24"/>
              </w:rPr>
            </w:pPr>
            <w:r>
              <w:rPr>
                <w:rFonts w:hint="eastAsia"/>
                <w:kern w:val="0"/>
                <w:sz w:val="24"/>
              </w:rPr>
              <w:t>2017年预算数</w:t>
            </w:r>
          </w:p>
        </w:tc>
        <w:tc>
          <w:tcPr>
            <w:tcW w:w="1417" w:type="dxa"/>
            <w:tcBorders>
              <w:top w:val="single" w:color="auto" w:sz="4" w:space="0"/>
              <w:left w:val="nil"/>
              <w:bottom w:val="single" w:color="auto" w:sz="4" w:space="0"/>
              <w:right w:val="single" w:color="auto" w:sz="4" w:space="0"/>
            </w:tcBorders>
          </w:tcPr>
          <w:p>
            <w:pPr>
              <w:widowControl/>
              <w:spacing w:line="560" w:lineRule="exact"/>
              <w:rPr>
                <w:kern w:val="0"/>
                <w:sz w:val="24"/>
              </w:rPr>
            </w:pPr>
            <w:r>
              <w:rPr>
                <w:rFonts w:hint="eastAsia"/>
                <w:kern w:val="0"/>
                <w:sz w:val="24"/>
              </w:rPr>
              <w:t>增减额</w:t>
            </w:r>
          </w:p>
        </w:tc>
        <w:tc>
          <w:tcPr>
            <w:tcW w:w="1276" w:type="dxa"/>
            <w:tcBorders>
              <w:top w:val="single" w:color="auto" w:sz="4" w:space="0"/>
              <w:left w:val="nil"/>
              <w:bottom w:val="single" w:color="auto" w:sz="4" w:space="0"/>
              <w:right w:val="single" w:color="auto" w:sz="4" w:space="0"/>
            </w:tcBorders>
          </w:tcPr>
          <w:p>
            <w:pPr>
              <w:widowControl/>
              <w:spacing w:line="560" w:lineRule="exact"/>
              <w:rPr>
                <w:kern w:val="0"/>
                <w:sz w:val="24"/>
              </w:rPr>
            </w:pPr>
            <w:r>
              <w:rPr>
                <w:rFonts w:hint="eastAsia"/>
                <w:kern w:val="0"/>
                <w:sz w:val="24"/>
              </w:rPr>
              <w:t>增减幅度</w:t>
            </w:r>
          </w:p>
        </w:tc>
      </w:tr>
      <w:tr>
        <w:tblPrEx>
          <w:tblCellMar>
            <w:top w:w="0" w:type="dxa"/>
            <w:left w:w="108" w:type="dxa"/>
            <w:bottom w:w="0" w:type="dxa"/>
            <w:right w:w="108" w:type="dxa"/>
          </w:tblCellMar>
        </w:tblPrEx>
        <w:trPr>
          <w:trHeight w:val="600" w:hRule="atLeast"/>
        </w:trPr>
        <w:tc>
          <w:tcPr>
            <w:tcW w:w="368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kern w:val="0"/>
                <w:sz w:val="24"/>
              </w:rPr>
            </w:pPr>
            <w:r>
              <w:rPr>
                <w:rFonts w:hint="eastAsia" w:ascii="宋体" w:hAnsi="宋体" w:cs="宋体"/>
                <w:kern w:val="0"/>
                <w:sz w:val="24"/>
              </w:rPr>
              <w:t>合计</w:t>
            </w:r>
          </w:p>
        </w:tc>
        <w:tc>
          <w:tcPr>
            <w:tcW w:w="1701" w:type="dxa"/>
            <w:tcBorders>
              <w:top w:val="nil"/>
              <w:left w:val="nil"/>
              <w:bottom w:val="single" w:color="auto" w:sz="4" w:space="0"/>
              <w:right w:val="single" w:color="auto" w:sz="4" w:space="0"/>
            </w:tcBorders>
            <w:vAlign w:val="center"/>
          </w:tcPr>
          <w:p>
            <w:pPr>
              <w:widowControl/>
              <w:spacing w:line="560" w:lineRule="exact"/>
              <w:jc w:val="center"/>
              <w:rPr>
                <w:kern w:val="0"/>
                <w:sz w:val="24"/>
              </w:rPr>
            </w:pPr>
            <w:r>
              <w:rPr>
                <w:rFonts w:hint="eastAsia"/>
                <w:kern w:val="0"/>
                <w:sz w:val="24"/>
              </w:rPr>
              <w:t>1.835</w:t>
            </w:r>
          </w:p>
        </w:tc>
        <w:tc>
          <w:tcPr>
            <w:tcW w:w="1701"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1.845</w:t>
            </w:r>
          </w:p>
        </w:tc>
        <w:tc>
          <w:tcPr>
            <w:tcW w:w="1417"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减少0.01</w:t>
            </w:r>
          </w:p>
        </w:tc>
        <w:tc>
          <w:tcPr>
            <w:tcW w:w="1276"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0.5%</w:t>
            </w:r>
          </w:p>
        </w:tc>
      </w:tr>
      <w:tr>
        <w:tblPrEx>
          <w:tblCellMar>
            <w:top w:w="0" w:type="dxa"/>
            <w:left w:w="108" w:type="dxa"/>
            <w:bottom w:w="0" w:type="dxa"/>
            <w:right w:w="108" w:type="dxa"/>
          </w:tblCellMar>
        </w:tblPrEx>
        <w:trPr>
          <w:trHeight w:val="600" w:hRule="atLeast"/>
        </w:trPr>
        <w:tc>
          <w:tcPr>
            <w:tcW w:w="3687" w:type="dxa"/>
            <w:tcBorders>
              <w:top w:val="nil"/>
              <w:left w:val="single" w:color="auto" w:sz="4" w:space="0"/>
              <w:bottom w:val="single" w:color="auto" w:sz="4" w:space="0"/>
              <w:right w:val="single" w:color="auto" w:sz="4" w:space="0"/>
            </w:tcBorders>
            <w:vAlign w:val="center"/>
          </w:tcPr>
          <w:p>
            <w:pPr>
              <w:widowControl/>
              <w:spacing w:line="560" w:lineRule="exact"/>
              <w:jc w:val="left"/>
              <w:rPr>
                <w:kern w:val="0"/>
                <w:sz w:val="24"/>
              </w:rPr>
            </w:pPr>
            <w:r>
              <w:rPr>
                <w:kern w:val="0"/>
                <w:sz w:val="24"/>
              </w:rPr>
              <w:t>1</w:t>
            </w:r>
            <w:r>
              <w:rPr>
                <w:rFonts w:hint="eastAsia" w:ascii="宋体" w:hAnsi="宋体"/>
                <w:kern w:val="0"/>
                <w:sz w:val="24"/>
              </w:rPr>
              <w:t>、因公出国（境）费用</w:t>
            </w:r>
          </w:p>
        </w:tc>
        <w:tc>
          <w:tcPr>
            <w:tcW w:w="1701" w:type="dxa"/>
            <w:tcBorders>
              <w:top w:val="nil"/>
              <w:left w:val="nil"/>
              <w:bottom w:val="single" w:color="auto" w:sz="4" w:space="0"/>
              <w:right w:val="single" w:color="auto" w:sz="4" w:space="0"/>
            </w:tcBorders>
            <w:vAlign w:val="center"/>
          </w:tcPr>
          <w:p>
            <w:pPr>
              <w:widowControl/>
              <w:spacing w:line="560" w:lineRule="exact"/>
              <w:jc w:val="center"/>
              <w:rPr>
                <w:kern w:val="0"/>
                <w:sz w:val="24"/>
              </w:rPr>
            </w:pPr>
            <w:r>
              <w:rPr>
                <w:rFonts w:hint="eastAsia"/>
                <w:kern w:val="0"/>
                <w:sz w:val="24"/>
              </w:rPr>
              <w:t>0</w:t>
            </w:r>
          </w:p>
        </w:tc>
        <w:tc>
          <w:tcPr>
            <w:tcW w:w="1701"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417"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276"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r>
      <w:tr>
        <w:tblPrEx>
          <w:tblCellMar>
            <w:top w:w="0" w:type="dxa"/>
            <w:left w:w="108" w:type="dxa"/>
            <w:bottom w:w="0" w:type="dxa"/>
            <w:right w:w="108" w:type="dxa"/>
          </w:tblCellMar>
        </w:tblPrEx>
        <w:trPr>
          <w:trHeight w:val="600" w:hRule="atLeast"/>
        </w:trPr>
        <w:tc>
          <w:tcPr>
            <w:tcW w:w="3687" w:type="dxa"/>
            <w:tcBorders>
              <w:top w:val="nil"/>
              <w:left w:val="single" w:color="auto" w:sz="4" w:space="0"/>
              <w:bottom w:val="single" w:color="auto" w:sz="4" w:space="0"/>
              <w:right w:val="single" w:color="auto" w:sz="4" w:space="0"/>
            </w:tcBorders>
            <w:vAlign w:val="center"/>
          </w:tcPr>
          <w:p>
            <w:pPr>
              <w:widowControl/>
              <w:spacing w:line="560" w:lineRule="exact"/>
              <w:jc w:val="left"/>
              <w:rPr>
                <w:kern w:val="0"/>
                <w:sz w:val="24"/>
              </w:rPr>
            </w:pPr>
            <w:r>
              <w:rPr>
                <w:kern w:val="0"/>
                <w:sz w:val="24"/>
              </w:rPr>
              <w:t>2</w:t>
            </w:r>
            <w:r>
              <w:rPr>
                <w:rFonts w:hint="eastAsia" w:ascii="宋体" w:hAnsi="宋体"/>
                <w:kern w:val="0"/>
                <w:sz w:val="24"/>
              </w:rPr>
              <w:t>、公务接待费</w:t>
            </w:r>
          </w:p>
        </w:tc>
        <w:tc>
          <w:tcPr>
            <w:tcW w:w="1701" w:type="dxa"/>
            <w:tcBorders>
              <w:top w:val="nil"/>
              <w:left w:val="nil"/>
              <w:bottom w:val="single" w:color="auto" w:sz="4" w:space="0"/>
              <w:right w:val="single" w:color="auto" w:sz="4" w:space="0"/>
            </w:tcBorders>
            <w:vAlign w:val="center"/>
          </w:tcPr>
          <w:p>
            <w:pPr>
              <w:widowControl/>
              <w:spacing w:line="560" w:lineRule="exact"/>
              <w:jc w:val="center"/>
              <w:rPr>
                <w:kern w:val="0"/>
                <w:sz w:val="24"/>
              </w:rPr>
            </w:pPr>
            <w:r>
              <w:rPr>
                <w:rFonts w:hint="eastAsia"/>
                <w:kern w:val="0"/>
                <w:sz w:val="24"/>
              </w:rPr>
              <w:t>0.265</w:t>
            </w:r>
          </w:p>
        </w:tc>
        <w:tc>
          <w:tcPr>
            <w:tcW w:w="1701"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0.265</w:t>
            </w:r>
          </w:p>
        </w:tc>
        <w:tc>
          <w:tcPr>
            <w:tcW w:w="1417"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276" w:type="dxa"/>
            <w:tcBorders>
              <w:top w:val="nil"/>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r>
      <w:tr>
        <w:tblPrEx>
          <w:tblCellMar>
            <w:top w:w="0" w:type="dxa"/>
            <w:left w:w="108" w:type="dxa"/>
            <w:bottom w:w="0" w:type="dxa"/>
            <w:right w:w="108" w:type="dxa"/>
          </w:tblCellMar>
        </w:tblPrEx>
        <w:trPr>
          <w:trHeight w:val="600" w:hRule="atLeast"/>
        </w:trPr>
        <w:tc>
          <w:tcPr>
            <w:tcW w:w="3687" w:type="dxa"/>
            <w:tcBorders>
              <w:top w:val="nil"/>
              <w:left w:val="single" w:color="auto" w:sz="4" w:space="0"/>
              <w:bottom w:val="nil"/>
              <w:right w:val="single" w:color="auto" w:sz="4" w:space="0"/>
            </w:tcBorders>
            <w:vAlign w:val="center"/>
          </w:tcPr>
          <w:p>
            <w:pPr>
              <w:widowControl/>
              <w:spacing w:line="560" w:lineRule="exact"/>
              <w:jc w:val="left"/>
              <w:rPr>
                <w:kern w:val="0"/>
                <w:sz w:val="24"/>
              </w:rPr>
            </w:pPr>
            <w:r>
              <w:rPr>
                <w:kern w:val="0"/>
                <w:sz w:val="24"/>
              </w:rPr>
              <w:t>3</w:t>
            </w:r>
            <w:r>
              <w:rPr>
                <w:rFonts w:hint="eastAsia" w:ascii="宋体" w:hAnsi="宋体"/>
                <w:kern w:val="0"/>
                <w:sz w:val="24"/>
              </w:rPr>
              <w:t>、公务用车费</w:t>
            </w:r>
          </w:p>
        </w:tc>
        <w:tc>
          <w:tcPr>
            <w:tcW w:w="1701" w:type="dxa"/>
            <w:tcBorders>
              <w:top w:val="nil"/>
              <w:left w:val="nil"/>
              <w:bottom w:val="nil"/>
              <w:right w:val="single" w:color="auto" w:sz="4" w:space="0"/>
            </w:tcBorders>
            <w:vAlign w:val="center"/>
          </w:tcPr>
          <w:p>
            <w:pPr>
              <w:widowControl/>
              <w:spacing w:line="560" w:lineRule="exact"/>
              <w:jc w:val="center"/>
              <w:rPr>
                <w:kern w:val="0"/>
                <w:sz w:val="24"/>
              </w:rPr>
            </w:pPr>
            <w:r>
              <w:rPr>
                <w:rFonts w:hint="eastAsia"/>
                <w:kern w:val="0"/>
                <w:sz w:val="24"/>
              </w:rPr>
              <w:t>1.57</w:t>
            </w:r>
          </w:p>
        </w:tc>
        <w:tc>
          <w:tcPr>
            <w:tcW w:w="1701" w:type="dxa"/>
            <w:tcBorders>
              <w:top w:val="nil"/>
              <w:left w:val="nil"/>
              <w:bottom w:val="nil"/>
              <w:right w:val="single" w:color="auto" w:sz="4" w:space="0"/>
            </w:tcBorders>
          </w:tcPr>
          <w:p>
            <w:pPr>
              <w:widowControl/>
              <w:spacing w:line="560" w:lineRule="exact"/>
              <w:jc w:val="center"/>
              <w:rPr>
                <w:kern w:val="0"/>
                <w:sz w:val="24"/>
              </w:rPr>
            </w:pPr>
            <w:r>
              <w:rPr>
                <w:rFonts w:hint="eastAsia"/>
                <w:kern w:val="0"/>
                <w:sz w:val="24"/>
              </w:rPr>
              <w:t>1.58</w:t>
            </w:r>
          </w:p>
        </w:tc>
        <w:tc>
          <w:tcPr>
            <w:tcW w:w="1417" w:type="dxa"/>
            <w:tcBorders>
              <w:top w:val="nil"/>
              <w:left w:val="nil"/>
              <w:bottom w:val="nil"/>
              <w:right w:val="single" w:color="auto" w:sz="4" w:space="0"/>
            </w:tcBorders>
          </w:tcPr>
          <w:p>
            <w:pPr>
              <w:widowControl/>
              <w:spacing w:line="560" w:lineRule="exact"/>
              <w:jc w:val="center"/>
              <w:rPr>
                <w:kern w:val="0"/>
                <w:sz w:val="24"/>
              </w:rPr>
            </w:pPr>
            <w:r>
              <w:rPr>
                <w:rFonts w:hint="eastAsia"/>
                <w:kern w:val="0"/>
                <w:sz w:val="24"/>
              </w:rPr>
              <w:t>减少0.01</w:t>
            </w:r>
          </w:p>
        </w:tc>
        <w:tc>
          <w:tcPr>
            <w:tcW w:w="1276" w:type="dxa"/>
            <w:tcBorders>
              <w:top w:val="nil"/>
              <w:left w:val="nil"/>
              <w:bottom w:val="nil"/>
              <w:right w:val="single" w:color="auto" w:sz="4" w:space="0"/>
            </w:tcBorders>
          </w:tcPr>
          <w:p>
            <w:pPr>
              <w:widowControl/>
              <w:spacing w:line="560" w:lineRule="exact"/>
              <w:jc w:val="center"/>
              <w:rPr>
                <w:kern w:val="0"/>
                <w:sz w:val="24"/>
              </w:rPr>
            </w:pPr>
            <w:r>
              <w:rPr>
                <w:rFonts w:hint="eastAsia"/>
                <w:kern w:val="0"/>
                <w:sz w:val="24"/>
              </w:rPr>
              <w:t>0.5%</w:t>
            </w:r>
          </w:p>
        </w:tc>
      </w:tr>
      <w:tr>
        <w:tblPrEx>
          <w:tblCellMar>
            <w:top w:w="0" w:type="dxa"/>
            <w:left w:w="108" w:type="dxa"/>
            <w:bottom w:w="0" w:type="dxa"/>
            <w:right w:w="108" w:type="dxa"/>
          </w:tblCellMar>
        </w:tblPrEx>
        <w:trPr>
          <w:trHeight w:val="600" w:hRule="atLeast"/>
        </w:trPr>
        <w:tc>
          <w:tcPr>
            <w:tcW w:w="3687" w:type="dxa"/>
            <w:tcBorders>
              <w:top w:val="single" w:color="auto" w:sz="4" w:space="0"/>
              <w:left w:val="single" w:color="auto" w:sz="4" w:space="0"/>
              <w:bottom w:val="nil"/>
              <w:right w:val="single" w:color="auto" w:sz="4" w:space="0"/>
            </w:tcBorders>
            <w:vAlign w:val="center"/>
          </w:tcPr>
          <w:p>
            <w:pPr>
              <w:widowControl/>
              <w:spacing w:line="560" w:lineRule="exact"/>
              <w:jc w:val="left"/>
              <w:rPr>
                <w:rFonts w:ascii="宋体" w:hAnsi="宋体" w:cs="宋体"/>
                <w:kern w:val="0"/>
                <w:sz w:val="24"/>
              </w:rPr>
            </w:pPr>
            <w:r>
              <w:rPr>
                <w:rFonts w:hint="eastAsia" w:ascii="宋体" w:hAnsi="宋体" w:cs="宋体"/>
                <w:kern w:val="0"/>
                <w:sz w:val="24"/>
              </w:rPr>
              <w:t>其中：（</w:t>
            </w:r>
            <w:r>
              <w:rPr>
                <w:kern w:val="0"/>
                <w:sz w:val="24"/>
              </w:rPr>
              <w:t>1</w:t>
            </w:r>
            <w:r>
              <w:rPr>
                <w:rFonts w:hint="eastAsia" w:ascii="宋体" w:hAnsi="宋体" w:cs="宋体"/>
                <w:kern w:val="0"/>
                <w:sz w:val="24"/>
              </w:rPr>
              <w:t>）公务用车运行维护费</w:t>
            </w:r>
          </w:p>
        </w:tc>
        <w:tc>
          <w:tcPr>
            <w:tcW w:w="1701" w:type="dxa"/>
            <w:tcBorders>
              <w:top w:val="single" w:color="auto" w:sz="4" w:space="0"/>
              <w:left w:val="nil"/>
              <w:bottom w:val="nil"/>
              <w:right w:val="single" w:color="auto" w:sz="4" w:space="0"/>
            </w:tcBorders>
            <w:vAlign w:val="center"/>
          </w:tcPr>
          <w:p>
            <w:pPr>
              <w:widowControl/>
              <w:spacing w:line="560" w:lineRule="exact"/>
              <w:jc w:val="center"/>
              <w:rPr>
                <w:kern w:val="0"/>
                <w:sz w:val="24"/>
              </w:rPr>
            </w:pPr>
            <w:r>
              <w:rPr>
                <w:rFonts w:hint="eastAsia"/>
                <w:kern w:val="0"/>
                <w:sz w:val="24"/>
              </w:rPr>
              <w:t>1.57</w:t>
            </w:r>
          </w:p>
        </w:tc>
        <w:tc>
          <w:tcPr>
            <w:tcW w:w="1701" w:type="dxa"/>
            <w:tcBorders>
              <w:top w:val="single" w:color="auto" w:sz="4" w:space="0"/>
              <w:left w:val="nil"/>
              <w:bottom w:val="nil"/>
              <w:right w:val="single" w:color="auto" w:sz="4" w:space="0"/>
            </w:tcBorders>
          </w:tcPr>
          <w:p>
            <w:pPr>
              <w:widowControl/>
              <w:spacing w:line="560" w:lineRule="exact"/>
              <w:jc w:val="center"/>
              <w:rPr>
                <w:kern w:val="0"/>
                <w:sz w:val="24"/>
              </w:rPr>
            </w:pPr>
            <w:r>
              <w:rPr>
                <w:rFonts w:hint="eastAsia"/>
                <w:kern w:val="0"/>
                <w:sz w:val="24"/>
              </w:rPr>
              <w:t>1.58</w:t>
            </w:r>
          </w:p>
        </w:tc>
        <w:tc>
          <w:tcPr>
            <w:tcW w:w="1417" w:type="dxa"/>
            <w:tcBorders>
              <w:top w:val="single" w:color="auto" w:sz="4" w:space="0"/>
              <w:left w:val="nil"/>
              <w:bottom w:val="nil"/>
              <w:right w:val="single" w:color="auto" w:sz="4" w:space="0"/>
            </w:tcBorders>
          </w:tcPr>
          <w:p>
            <w:pPr>
              <w:widowControl/>
              <w:spacing w:line="560" w:lineRule="exact"/>
              <w:jc w:val="center"/>
              <w:rPr>
                <w:kern w:val="0"/>
                <w:sz w:val="24"/>
              </w:rPr>
            </w:pPr>
            <w:r>
              <w:rPr>
                <w:rFonts w:hint="eastAsia"/>
                <w:kern w:val="0"/>
                <w:sz w:val="24"/>
              </w:rPr>
              <w:t>0.01</w:t>
            </w:r>
          </w:p>
        </w:tc>
        <w:tc>
          <w:tcPr>
            <w:tcW w:w="1276" w:type="dxa"/>
            <w:tcBorders>
              <w:top w:val="single" w:color="auto" w:sz="4" w:space="0"/>
              <w:left w:val="nil"/>
              <w:bottom w:val="nil"/>
              <w:right w:val="single" w:color="auto" w:sz="4" w:space="0"/>
            </w:tcBorders>
          </w:tcPr>
          <w:p>
            <w:pPr>
              <w:widowControl/>
              <w:spacing w:line="560" w:lineRule="exact"/>
              <w:jc w:val="center"/>
              <w:rPr>
                <w:kern w:val="0"/>
                <w:sz w:val="24"/>
              </w:rPr>
            </w:pPr>
          </w:p>
        </w:tc>
      </w:tr>
      <w:tr>
        <w:tblPrEx>
          <w:tblCellMar>
            <w:top w:w="0" w:type="dxa"/>
            <w:left w:w="108" w:type="dxa"/>
            <w:bottom w:w="0" w:type="dxa"/>
            <w:right w:w="108" w:type="dxa"/>
          </w:tblCellMar>
        </w:tblPrEx>
        <w:trPr>
          <w:trHeight w:val="600" w:hRule="atLeast"/>
        </w:trPr>
        <w:tc>
          <w:tcPr>
            <w:tcW w:w="368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 w:val="24"/>
              </w:rPr>
            </w:pPr>
            <w:r>
              <w:rPr>
                <w:kern w:val="0"/>
                <w:sz w:val="24"/>
              </w:rPr>
              <w:t xml:space="preserve">      </w:t>
            </w:r>
            <w:r>
              <w:rPr>
                <w:rFonts w:hint="eastAsia" w:ascii="宋体" w:hAnsi="宋体"/>
                <w:kern w:val="0"/>
                <w:sz w:val="24"/>
              </w:rPr>
              <w:t>（</w:t>
            </w:r>
            <w:r>
              <w:rPr>
                <w:kern w:val="0"/>
                <w:sz w:val="24"/>
              </w:rPr>
              <w:t>2</w:t>
            </w:r>
            <w:r>
              <w:rPr>
                <w:rFonts w:hint="eastAsia" w:ascii="宋体" w:hAnsi="宋体"/>
                <w:kern w:val="0"/>
                <w:sz w:val="24"/>
              </w:rPr>
              <w:t>）公务用车购置</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jc w:val="center"/>
              <w:rPr>
                <w:kern w:val="0"/>
                <w:sz w:val="24"/>
              </w:rPr>
            </w:pPr>
            <w:r>
              <w:rPr>
                <w:rFonts w:hint="eastAsia"/>
                <w:kern w:val="0"/>
                <w:sz w:val="24"/>
              </w:rPr>
              <w:t>0</w:t>
            </w:r>
          </w:p>
        </w:tc>
        <w:tc>
          <w:tcPr>
            <w:tcW w:w="1701" w:type="dxa"/>
            <w:tcBorders>
              <w:top w:val="single" w:color="auto" w:sz="4" w:space="0"/>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417" w:type="dxa"/>
            <w:tcBorders>
              <w:top w:val="single" w:color="auto" w:sz="4" w:space="0"/>
              <w:left w:val="nil"/>
              <w:bottom w:val="single" w:color="auto" w:sz="4" w:space="0"/>
              <w:right w:val="single" w:color="auto" w:sz="4" w:space="0"/>
            </w:tcBorders>
          </w:tcPr>
          <w:p>
            <w:pPr>
              <w:widowControl/>
              <w:spacing w:line="560" w:lineRule="exact"/>
              <w:jc w:val="center"/>
              <w:rPr>
                <w:kern w:val="0"/>
                <w:sz w:val="24"/>
              </w:rPr>
            </w:pPr>
            <w:r>
              <w:rPr>
                <w:rFonts w:hint="eastAsia"/>
                <w:kern w:val="0"/>
                <w:sz w:val="24"/>
              </w:rPr>
              <w:t>0</w:t>
            </w:r>
          </w:p>
        </w:tc>
        <w:tc>
          <w:tcPr>
            <w:tcW w:w="1276" w:type="dxa"/>
            <w:tcBorders>
              <w:top w:val="single" w:color="auto" w:sz="4" w:space="0"/>
              <w:left w:val="nil"/>
              <w:bottom w:val="single" w:color="auto" w:sz="4" w:space="0"/>
              <w:right w:val="single" w:color="auto" w:sz="4" w:space="0"/>
            </w:tcBorders>
          </w:tcPr>
          <w:p>
            <w:pPr>
              <w:widowControl/>
              <w:spacing w:line="560" w:lineRule="exact"/>
              <w:jc w:val="center"/>
              <w:rPr>
                <w:kern w:val="0"/>
                <w:sz w:val="24"/>
              </w:rPr>
            </w:pPr>
          </w:p>
        </w:tc>
      </w:tr>
    </w:tbl>
    <w:p>
      <w:pPr>
        <w:autoSpaceDE w:val="0"/>
        <w:autoSpaceDN w:val="0"/>
        <w:adjustRightInd w:val="0"/>
        <w:spacing w:line="560" w:lineRule="exact"/>
        <w:jc w:val="left"/>
        <w:rPr>
          <w:rFonts w:ascii="仿宋_GB2312" w:eastAsia="仿宋_GB2312" w:cs="宋体"/>
          <w:kern w:val="0"/>
          <w:sz w:val="32"/>
          <w:szCs w:val="32"/>
        </w:rPr>
      </w:pPr>
      <w:r>
        <w:rPr>
          <w:rFonts w:hint="eastAsia" w:ascii="仿宋_GB2312" w:eastAsia="仿宋_GB2312" w:cs="宋体"/>
          <w:kern w:val="0"/>
          <w:sz w:val="32"/>
          <w:szCs w:val="32"/>
        </w:rPr>
        <w:t>注：</w:t>
      </w:r>
    </w:p>
    <w:p>
      <w:pPr>
        <w:autoSpaceDE w:val="0"/>
        <w:autoSpaceDN w:val="0"/>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5350DC"/>
    <w:multiLevelType w:val="singleLevel"/>
    <w:tmpl w:val="DF5350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0BAC"/>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3CD4"/>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767C"/>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1897"/>
    <w:rsid w:val="002B2CA6"/>
    <w:rsid w:val="002B34ED"/>
    <w:rsid w:val="002B37A7"/>
    <w:rsid w:val="002B4342"/>
    <w:rsid w:val="002B56EB"/>
    <w:rsid w:val="002B6D47"/>
    <w:rsid w:val="002C7D21"/>
    <w:rsid w:val="002D27CD"/>
    <w:rsid w:val="002D3EC0"/>
    <w:rsid w:val="002D43A1"/>
    <w:rsid w:val="002D729F"/>
    <w:rsid w:val="002E0E3C"/>
    <w:rsid w:val="002E2F7F"/>
    <w:rsid w:val="002E4B20"/>
    <w:rsid w:val="002E5FC6"/>
    <w:rsid w:val="002E6D7D"/>
    <w:rsid w:val="002F24E0"/>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87D0E"/>
    <w:rsid w:val="004911B1"/>
    <w:rsid w:val="00493EA2"/>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15CEF"/>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915"/>
    <w:rsid w:val="00612D63"/>
    <w:rsid w:val="00614B12"/>
    <w:rsid w:val="006150EC"/>
    <w:rsid w:val="006164DB"/>
    <w:rsid w:val="0061679D"/>
    <w:rsid w:val="006253D8"/>
    <w:rsid w:val="00626153"/>
    <w:rsid w:val="00635ABB"/>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55155"/>
    <w:rsid w:val="0076269B"/>
    <w:rsid w:val="00765E00"/>
    <w:rsid w:val="00766131"/>
    <w:rsid w:val="0077005A"/>
    <w:rsid w:val="00772DB4"/>
    <w:rsid w:val="00780AAD"/>
    <w:rsid w:val="0078371A"/>
    <w:rsid w:val="00783A4C"/>
    <w:rsid w:val="0079250C"/>
    <w:rsid w:val="00794375"/>
    <w:rsid w:val="007A05BD"/>
    <w:rsid w:val="007A725D"/>
    <w:rsid w:val="007A7A7B"/>
    <w:rsid w:val="007B4A0F"/>
    <w:rsid w:val="007B7E2E"/>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946CD"/>
    <w:rsid w:val="008A159E"/>
    <w:rsid w:val="008A38E5"/>
    <w:rsid w:val="008A3F94"/>
    <w:rsid w:val="008A4B32"/>
    <w:rsid w:val="008A6037"/>
    <w:rsid w:val="008B2777"/>
    <w:rsid w:val="008B3519"/>
    <w:rsid w:val="008B4667"/>
    <w:rsid w:val="008B7085"/>
    <w:rsid w:val="008C0CBC"/>
    <w:rsid w:val="008C1602"/>
    <w:rsid w:val="008C1FFC"/>
    <w:rsid w:val="008C250B"/>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4E98"/>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D2E17"/>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456E"/>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C53FD"/>
    <w:rsid w:val="00CD0085"/>
    <w:rsid w:val="00CE1BDC"/>
    <w:rsid w:val="00CF3E52"/>
    <w:rsid w:val="00D00043"/>
    <w:rsid w:val="00D003BE"/>
    <w:rsid w:val="00D03468"/>
    <w:rsid w:val="00D03E18"/>
    <w:rsid w:val="00D06094"/>
    <w:rsid w:val="00D110CC"/>
    <w:rsid w:val="00D1310A"/>
    <w:rsid w:val="00D1642D"/>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0F16"/>
    <w:rsid w:val="00DE5376"/>
    <w:rsid w:val="00DE60D1"/>
    <w:rsid w:val="00DF050A"/>
    <w:rsid w:val="00DF59BD"/>
    <w:rsid w:val="00DF6FC3"/>
    <w:rsid w:val="00DF751A"/>
    <w:rsid w:val="00DF7A31"/>
    <w:rsid w:val="00E04FC4"/>
    <w:rsid w:val="00E05A1C"/>
    <w:rsid w:val="00E07333"/>
    <w:rsid w:val="00E129EE"/>
    <w:rsid w:val="00E12BAD"/>
    <w:rsid w:val="00E13411"/>
    <w:rsid w:val="00E14AC6"/>
    <w:rsid w:val="00E30F62"/>
    <w:rsid w:val="00E36ECE"/>
    <w:rsid w:val="00E46B69"/>
    <w:rsid w:val="00E531C1"/>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04E9"/>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73FE0"/>
    <w:rsid w:val="00F80BF6"/>
    <w:rsid w:val="00F81802"/>
    <w:rsid w:val="00F82819"/>
    <w:rsid w:val="00F8452D"/>
    <w:rsid w:val="00F95BCB"/>
    <w:rsid w:val="00F96634"/>
    <w:rsid w:val="00F96A5C"/>
    <w:rsid w:val="00FA1FBC"/>
    <w:rsid w:val="00FA2C97"/>
    <w:rsid w:val="00FA2FC5"/>
    <w:rsid w:val="00FB35BE"/>
    <w:rsid w:val="00FC123B"/>
    <w:rsid w:val="00FC43B8"/>
    <w:rsid w:val="00FC4E58"/>
    <w:rsid w:val="00FC51C4"/>
    <w:rsid w:val="00FC7004"/>
    <w:rsid w:val="00FD06A0"/>
    <w:rsid w:val="00FD13FB"/>
    <w:rsid w:val="00FD228E"/>
    <w:rsid w:val="00FD4E9B"/>
    <w:rsid w:val="00FD7D5F"/>
    <w:rsid w:val="00FE1A2F"/>
    <w:rsid w:val="00FE5F50"/>
    <w:rsid w:val="00FF1B25"/>
    <w:rsid w:val="00FF7A85"/>
    <w:rsid w:val="07E55097"/>
    <w:rsid w:val="0A6E77F5"/>
    <w:rsid w:val="120744E6"/>
    <w:rsid w:val="20D07E41"/>
    <w:rsid w:val="282C4E96"/>
    <w:rsid w:val="33865F5E"/>
    <w:rsid w:val="338D6BE6"/>
    <w:rsid w:val="3ED37FA5"/>
    <w:rsid w:val="3F0D13C1"/>
    <w:rsid w:val="469A7E17"/>
    <w:rsid w:val="4BB66C2B"/>
    <w:rsid w:val="4EAC5894"/>
    <w:rsid w:val="51D47866"/>
    <w:rsid w:val="5F58706D"/>
    <w:rsid w:val="674A4C52"/>
    <w:rsid w:val="6BC45AC7"/>
    <w:rsid w:val="6C0A7C7C"/>
    <w:rsid w:val="70792288"/>
    <w:rsid w:val="757C2231"/>
    <w:rsid w:val="7CA61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4"/>
    <w:basedOn w:val="1"/>
    <w:next w:val="1"/>
    <w:link w:val="16"/>
    <w:qFormat/>
    <w:uiPriority w:val="0"/>
    <w:pPr>
      <w:spacing w:before="100" w:beforeAutospacing="1" w:after="100" w:afterAutospacing="1"/>
      <w:jc w:val="left"/>
      <w:outlineLvl w:val="3"/>
    </w:pPr>
    <w:rPr>
      <w:rFonts w:hint="eastAsia" w:ascii="宋体" w:hAnsi="宋体"/>
      <w:b/>
      <w:kern w:val="0"/>
      <w:sz w:val="2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kern w:val="0"/>
      <w:sz w:val="24"/>
    </w:rPr>
  </w:style>
  <w:style w:type="paragraph" w:styleId="9">
    <w:name w:val="annotation subject"/>
    <w:basedOn w:val="4"/>
    <w:next w:val="4"/>
    <w:semiHidden/>
    <w:qFormat/>
    <w:uiPriority w:val="0"/>
    <w:rPr>
      <w:b/>
      <w:bCs/>
    </w:rPr>
  </w:style>
  <w:style w:type="character" w:styleId="12">
    <w:name w:val="Hyperlink"/>
    <w:basedOn w:val="11"/>
    <w:unhideWhenUsed/>
    <w:qFormat/>
    <w:uiPriority w:val="0"/>
    <w:rPr>
      <w:color w:val="0000FF"/>
      <w:u w:val="single"/>
    </w:rPr>
  </w:style>
  <w:style w:type="character" w:styleId="13">
    <w:name w:val="annotation reference"/>
    <w:semiHidden/>
    <w:qFormat/>
    <w:uiPriority w:val="0"/>
    <w:rPr>
      <w:sz w:val="21"/>
      <w:szCs w:val="21"/>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标题 2 Char"/>
    <w:basedOn w:val="11"/>
    <w:link w:val="2"/>
    <w:qFormat/>
    <w:uiPriority w:val="0"/>
    <w:rPr>
      <w:rFonts w:ascii="宋体" w:hAnsi="宋体"/>
      <w:b/>
      <w:sz w:val="36"/>
      <w:szCs w:val="36"/>
    </w:rPr>
  </w:style>
  <w:style w:type="character" w:customStyle="1" w:styleId="16">
    <w:name w:val="标题 4 Char"/>
    <w:basedOn w:val="11"/>
    <w:link w:val="3"/>
    <w:qFormat/>
    <w:uiPriority w:val="0"/>
    <w:rPr>
      <w:rFonts w:ascii="宋体" w:hAnsi="宋体"/>
      <w:b/>
      <w:sz w:val="24"/>
      <w:szCs w:val="24"/>
    </w:rPr>
  </w:style>
  <w:style w:type="character" w:customStyle="1" w:styleId="17">
    <w:name w:val="Intense Reference"/>
    <w:basedOn w:val="11"/>
    <w:qFormat/>
    <w:uiPriority w:val="32"/>
    <w:rPr>
      <w:rFonts w:ascii="Calibri" w:hAnsi="Calibri" w:eastAsia="宋体" w:cs="Arial"/>
      <w:b/>
      <w:bCs/>
      <w:smallCaps/>
      <w:color w:val="C0504D"/>
      <w:spacing w:val="5"/>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8</Pages>
  <Words>3349</Words>
  <Characters>611</Characters>
  <Lines>5</Lines>
  <Paragraphs>7</Paragraphs>
  <TotalTime>0</TotalTime>
  <ScaleCrop>false</ScaleCrop>
  <LinksUpToDate>false</LinksUpToDate>
  <CharactersWithSpaces>3953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zdf</cp:lastModifiedBy>
  <cp:lastPrinted>2018-01-31T03:32:00Z</cp:lastPrinted>
  <dcterms:modified xsi:type="dcterms:W3CDTF">2022-06-02T02:47:20Z</dcterms:modified>
  <dc:title>年部门预算编制说明</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