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芒市供销社2018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</w:t>
      </w:r>
      <w:r>
        <w:rPr>
          <w:rFonts w:hint="eastAsia" w:ascii="仿宋_GB2312" w:eastAsia="仿宋_GB2312"/>
          <w:spacing w:val="-6"/>
          <w:sz w:val="32"/>
          <w:szCs w:val="32"/>
        </w:rPr>
        <w:t>芒市供销社主要职能：项目组织申报、管理工作、农村流通网络体系规划；规范化管理农民专业合作社及农民专业合作社示范社建设；</w:t>
      </w:r>
      <w:r>
        <w:rPr>
          <w:rFonts w:hint="eastAsia" w:ascii="仿宋_GB2312" w:eastAsia="仿宋_GB2312"/>
          <w:sz w:val="32"/>
          <w:szCs w:val="32"/>
        </w:rPr>
        <w:t>所属企业管理指导等工作。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（1）、宣传各级党委政府有关农村经济工作的方针、政策；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(2)、贯彻落实全市供销合作社改革发展的政策、措施；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(3)、负责供销合作社部门项目的组织申报、管理工作；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(4)、指导全市基层供销合作社组织建设和行业管理工作；</w:t>
      </w:r>
    </w:p>
    <w:p>
      <w:pPr>
        <w:snapToGrid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(5)、组织所属企业的工商登记和年检。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4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芒市供销社设</w:t>
      </w:r>
      <w:r>
        <w:rPr>
          <w:rFonts w:hint="eastAsia" w:ascii="仿宋_GB2312" w:eastAsia="仿宋_GB2312"/>
          <w:sz w:val="32"/>
          <w:szCs w:val="32"/>
        </w:rPr>
        <w:t>主任1人、副主任1人，核定编制7人，内设3个职能部门：办公室、财务室、合作指导股。</w:t>
      </w:r>
      <w:r>
        <w:rPr>
          <w:rFonts w:hint="eastAsia" w:ascii="仿宋_GB2312" w:hAnsi="宋体" w:eastAsia="仿宋_GB2312"/>
          <w:sz w:val="32"/>
          <w:szCs w:val="32"/>
        </w:rPr>
        <w:t>其中行政编制数7个， 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年末实有人数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人，其中行政人员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人，工勤人员2人，退休人员13人，离休人员1人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pacing w:line="500" w:lineRule="exact"/>
        <w:ind w:left="101" w:leftChars="48" w:right="-508" w:rightChars="-242" w:firstLine="480" w:firstLineChars="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按照《德宏州供销合作社</w:t>
      </w:r>
      <w:r>
        <w:rPr>
          <w:rFonts w:hint="eastAsia" w:ascii="仿宋_GB2312" w:eastAsia="仿宋_GB2312"/>
          <w:sz w:val="32"/>
          <w:szCs w:val="32"/>
        </w:rPr>
        <w:t>联合社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年度综合指标</w:t>
      </w:r>
      <w:r>
        <w:rPr>
          <w:rFonts w:hint="eastAsia" w:ascii="仿宋_GB2312" w:eastAsia="仿宋_GB2312"/>
          <w:sz w:val="32"/>
          <w:szCs w:val="32"/>
        </w:rPr>
        <w:t>考核责任书</w:t>
      </w:r>
      <w:r>
        <w:rPr>
          <w:rFonts w:ascii="仿宋_GB2312" w:eastAsia="仿宋_GB2312"/>
          <w:sz w:val="32"/>
          <w:szCs w:val="32"/>
        </w:rPr>
        <w:t>》要求和《我社201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年工作计划》的安排，我社积极开展工作，现将201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年工</w:t>
      </w:r>
      <w:r>
        <w:rPr>
          <w:rFonts w:eastAsia="仿宋_GB2312"/>
          <w:color w:val="000000"/>
          <w:sz w:val="32"/>
          <w:szCs w:val="32"/>
        </w:rPr>
        <w:t>作进展情况如下。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hAnsi="仿宋_GB2312" w:eastAsia="仿宋_GB2312"/>
          <w:sz w:val="32"/>
          <w:szCs w:val="32"/>
        </w:rPr>
        <w:t>销售总额任务</w:t>
      </w:r>
      <w:r>
        <w:rPr>
          <w:rFonts w:hint="eastAsia" w:ascii="仿宋_GB2312" w:eastAsia="仿宋_GB2312"/>
          <w:sz w:val="32"/>
          <w:szCs w:val="32"/>
        </w:rPr>
        <w:t>75000</w:t>
      </w:r>
      <w:r>
        <w:rPr>
          <w:rFonts w:hint="eastAsia" w:ascii="仿宋_GB2312" w:hAnsi="仿宋_GB2312" w:eastAsia="仿宋_GB2312"/>
          <w:sz w:val="32"/>
          <w:szCs w:val="32"/>
        </w:rPr>
        <w:t>万元，实际完成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84605.9</w:t>
      </w:r>
      <w:r>
        <w:rPr>
          <w:rFonts w:hint="eastAsia" w:ascii="仿宋_GB2312" w:hAnsi="仿宋_GB2312" w:eastAsia="仿宋_GB2312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112.81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pacing w:line="500" w:lineRule="exact"/>
        <w:ind w:firstLine="800" w:firstLineChars="25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汇总利润任务</w:t>
      </w:r>
      <w:r>
        <w:rPr>
          <w:rFonts w:hint="eastAsia" w:ascii="仿宋_GB2312" w:eastAsia="仿宋_GB2312"/>
          <w:color w:val="auto"/>
          <w:sz w:val="32"/>
          <w:szCs w:val="32"/>
        </w:rPr>
        <w:t>433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492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113.63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800" w:firstLineChars="25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3、净利润任务433万元，实际完成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492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113.63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基层社利润任务406万元，实际完成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465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114.53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全资、控股企业利润任务15万元，实际完成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106.67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资产总额任务19048万元，实际完成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20036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105.19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基层社资产总额任务13020万元，实际完成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14975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115.01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8、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所有者权益任务13196万元，实际完成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13243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100.36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9、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营业收入任务41380万元，实际完成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44020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106.38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10、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基层社营业收入任务37070万元，实际完成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39450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106.42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11、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农副产品购进任务40000万元，实际完成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49855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124.64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化肥销售任务58000吨，实际完成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58000吨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有机肥销售任务1000吨，实际完成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1417吨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141.7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连锁销售额任务1600万元，实际完成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1603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100.19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电子商务销售额任务500万元，实际完成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779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155.8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</w:p>
    <w:p>
      <w:pPr>
        <w:spacing w:line="500" w:lineRule="exact"/>
        <w:ind w:firstLine="480" w:firstLineChars="1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黑体" w:hAnsi="黑体" w:eastAsia="黑体"/>
          <w:sz w:val="32"/>
          <w:szCs w:val="32"/>
        </w:rPr>
        <w:t>发展指标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1、社有企业</w:t>
      </w:r>
    </w:p>
    <w:p>
      <w:pPr>
        <w:spacing w:line="5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持股10%以上企业资产总额任务4000万元，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4065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101.63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社有资产总额任务2600万元，实际完成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2650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万元，完成全年任务的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101.92</w:t>
      </w:r>
      <w:r>
        <w:rPr>
          <w:rFonts w:hint="eastAsia" w:ascii="仿宋_GB2312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eastAsia="仿宋_GB2312"/>
          <w:color w:val="auto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2、合作社</w:t>
      </w:r>
    </w:p>
    <w:p>
      <w:pPr>
        <w:spacing w:line="5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sz w:val="32"/>
          <w:szCs w:val="32"/>
        </w:rPr>
        <w:t>发展农民合作社任务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个，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/>
          <w:sz w:val="32"/>
          <w:szCs w:val="32"/>
        </w:rPr>
        <w:t>完成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/>
          <w:sz w:val="32"/>
          <w:szCs w:val="32"/>
        </w:rPr>
        <w:t>，完成全年任务的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芒市龙源养殖专业合作社、芒市食安养殖专业合作社、芒市恒盛养殖专业合作社、德宏州小匡种植专业合作社、芒市风平镇拉老来金蔬菜种植专业合作社；</w:t>
      </w:r>
    </w:p>
    <w:p>
      <w:pPr>
        <w:spacing w:line="500" w:lineRule="exact"/>
        <w:ind w:right="-512" w:rightChars="-244"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3、2017年砂糖桔培训75人；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黑体" w:hAnsi="黑体" w:eastAsia="黑体"/>
          <w:sz w:val="32"/>
          <w:szCs w:val="32"/>
        </w:rPr>
        <w:t>食用菌</w:t>
      </w:r>
    </w:p>
    <w:p>
      <w:pPr>
        <w:widowControl/>
        <w:ind w:firstLine="64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hAnsi="仿宋_GB2312" w:eastAsia="仿宋_GB2312"/>
          <w:sz w:val="32"/>
          <w:szCs w:val="32"/>
        </w:rPr>
        <w:t>食用菌农业产值任务2500万元，完成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5272</w:t>
      </w:r>
      <w:r>
        <w:rPr>
          <w:rFonts w:hint="eastAsia" w:hAnsi="仿宋_GB2312" w:eastAsia="仿宋_GB2312"/>
          <w:sz w:val="32"/>
          <w:szCs w:val="32"/>
        </w:rPr>
        <w:t>万元，完成全年任务的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210.88</w:t>
      </w:r>
      <w:r>
        <w:rPr>
          <w:rFonts w:hint="eastAsia" w:hAnsi="仿宋_GB2312" w:eastAsia="仿宋_GB2312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117.21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117.21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117.21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117.21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117.21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97.21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0万</w:t>
      </w:r>
      <w:r>
        <w:rPr>
          <w:rFonts w:eastAsia="仿宋_GB2312"/>
          <w:kern w:val="0"/>
          <w:sz w:val="30"/>
          <w:szCs w:val="30"/>
        </w:rPr>
        <w:t>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117.21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117.21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107.21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2019999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一般公务服务支出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23万元，主要用于商品和服务支出20万元，项目支出3万元。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2080501行政单位离退休8.48万元，主要用于单位离退休人员。</w:t>
      </w:r>
    </w:p>
    <w:p>
      <w:pPr>
        <w:pStyle w:val="1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窗体底端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2080505基本养老保险缴费支出10.31万元，主要用于干部职工养老保险单位负担部分支出。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2080899其他优抚支出7.2万元，主要用于我社离休遗嘱生活补助。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2160201行政运行55.24万元（其中用于工资福利支出52.14万元，商品和服务支出3.10万元）主要用于单位干部职工工资发放。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2210201住房公积金5.98万元主要用于我社干部职工住房公积金单位负担部分支出。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2299901其他支出7万元主要用于项目支出。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eastAsia="仿宋_GB2312"/>
          <w:kern w:val="0"/>
          <w:sz w:val="30"/>
          <w:szCs w:val="30"/>
          <w:lang w:eastAsia="zh-CN"/>
        </w:rPr>
        <w:t>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68.43万元，其中含基本工资17.79万元、津贴补贴32.48万元、年终一次性奖金1.87万元、基本养老保险缴费10.31万元、住房公积金5.98万元。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2.商品和服务支出98.70万元(其中基本支出3.20万元、项目支出95.50万元），含办公费5.76万元、印刷费20.30万元、水费0.05万元、电费0.15万元、邮电费1.40万元、差旅费50万元、委托业务费20万元、工会经费1.04万元。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3.对个人和家庭补助支出14.62万元，离退休费7.42万元，遗属生活补助7.2万元。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</w:rPr>
        <w:t>省对下专项转移支付情况省对下专项转移支付情况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</w:t>
      </w:r>
      <w:bookmarkStart w:id="0" w:name="_GoBack"/>
      <w:bookmarkEnd w:id="0"/>
      <w:r>
        <w:rPr>
          <w:rFonts w:eastAsia="仿宋_GB2312"/>
          <w:kern w:val="0"/>
          <w:sz w:val="30"/>
          <w:szCs w:val="30"/>
        </w:rPr>
        <w:t>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1200" w:firstLineChars="4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1200" w:firstLineChars="4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本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年度部门预算收入为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117.21万元，其比上年减少77.57万元。减少幅度 39%。本部门预算支出为117.21万元，比上年减少77.57万元，减少幅度为39  %。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本年度部门基本支出预算为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107.21万元，比上年度基本支出预算减少64.57万元，减少幅度为37  %，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（三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本年度项目支出预算为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10万元，比上年减少13万元。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财政拨款收入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】指本级财政当年拨付的资金。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【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政府采购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】指国家各级政府为从事日常的政务活动或为了满足公共服务的目的，利用国家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HYPERLINK "https://baike.so.com/doc/5716834-5929560.html" \t "_blank"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财政性资金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和政府借款购买货物、工程和服务的行为。政府采购不仅是指具体的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HYPERLINK "https://baike.so.com/doc/4796448-5012566.html" \t "_blank"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采购过程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，而且是采购政策、采购程序、采购过程及采购管理的总称，是一种对公共采购管理的制度。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【部门预算】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是反映政府部门收支活动的预算。是政府部门依据国家有关政策及其行使职能的需要，由基层预算单位编制，逐步上报、审核、汇总，经财政部门审核，经政府同意后提交人代会审议通过的、全面反映部门所有收入和支出的预算。通俗地讲，就是一个部门一本账。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 【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机关运行经费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】机关运行经费: 指为保障行政单位(含参照公务员法管理的事业单位)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工资福利68.43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万元；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商品和服务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24.16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万元；项目经费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万元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鉴于截至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年12月31日的国有资产占有使用情况需在完成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年决算编制后才能统计汇总相关数据，因此，将在公开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年度部门决算时一并公开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芒市供销社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芒市供销社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right="0" w:firstLine="960" w:firstLineChars="30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XB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054D"/>
    <w:multiLevelType w:val="singleLevel"/>
    <w:tmpl w:val="5A7C054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D45042F"/>
    <w:rsid w:val="0E711D84"/>
    <w:rsid w:val="38330F10"/>
    <w:rsid w:val="4FF9241D"/>
    <w:rsid w:val="534300F4"/>
    <w:rsid w:val="59236349"/>
    <w:rsid w:val="5DA25D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uiPriority w:val="0"/>
    <w:rPr>
      <w:color w:val="000000"/>
      <w:u w:val="none"/>
    </w:rPr>
  </w:style>
  <w:style w:type="character" w:styleId="10">
    <w:name w:val="HTML Definition"/>
    <w:basedOn w:val="7"/>
    <w:unhideWhenUsed/>
    <w:uiPriority w:val="0"/>
    <w:rPr>
      <w:i/>
    </w:rPr>
  </w:style>
  <w:style w:type="character" w:styleId="11">
    <w:name w:val="Hyperlink"/>
    <w:basedOn w:val="7"/>
    <w:unhideWhenUsed/>
    <w:uiPriority w:val="0"/>
    <w:rPr>
      <w:color w:val="000000"/>
      <w:u w:val="none"/>
    </w:rPr>
  </w:style>
  <w:style w:type="character" w:styleId="12">
    <w:name w:val="HTML Code"/>
    <w:basedOn w:val="7"/>
    <w:unhideWhenUsed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styleId="14">
    <w:name w:val="HTML Keyboard"/>
    <w:basedOn w:val="7"/>
    <w:unhideWhenUsed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475059"/>
    </w:rPr>
  </w:style>
  <w:style w:type="character" w:styleId="15">
    <w:name w:val="HTML Sample"/>
    <w:basedOn w:val="7"/>
    <w:unhideWhenUsed/>
    <w:uiPriority w:val="0"/>
    <w:rPr>
      <w:rFonts w:ascii="Menlo" w:hAnsi="Menlo" w:eastAsia="Menlo" w:cs="Menlo"/>
      <w:sz w:val="21"/>
      <w:szCs w:val="21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20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2018-02-09T06:12:00Z</cp:lastPrinted>
  <dcterms:modified xsi:type="dcterms:W3CDTF">2018-02-11T05:19:19Z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