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芒市工业园管理委员会2017年</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部门预算补充说明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b/>
          <w:bCs/>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根据检查组提出的问题，我单位认真对照整改，现作出如下补充说明：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一、预算收支增减变化情况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芒市工业园管理委员会2017年预算总收入为</w:t>
      </w:r>
      <w:r>
        <w:rPr>
          <w:rFonts w:hint="eastAsia" w:ascii="仿宋_GB2312" w:eastAsia="仿宋_GB2312" w:cs="宋体"/>
          <w:kern w:val="0"/>
          <w:sz w:val="32"/>
          <w:szCs w:val="32"/>
        </w:rPr>
        <w:t>164.73</w:t>
      </w:r>
      <w:r>
        <w:rPr>
          <w:rFonts w:hint="eastAsia" w:ascii="仿宋_GB2312" w:hAnsi="仿宋_GB2312" w:eastAsia="仿宋_GB2312" w:cs="仿宋_GB2312"/>
          <w:sz w:val="32"/>
          <w:szCs w:val="32"/>
          <w:lang w:val="en-US" w:eastAsia="zh-CN"/>
        </w:rPr>
        <w:t>万元，比2016年预算总收入</w:t>
      </w:r>
      <w:r>
        <w:rPr>
          <w:rFonts w:ascii="仿宋_GB2312" w:eastAsia="仿宋_GB2312" w:cs="宋体"/>
          <w:kern w:val="0"/>
          <w:sz w:val="32"/>
          <w:szCs w:val="32"/>
        </w:rPr>
        <w:t>1182.59</w:t>
      </w:r>
      <w:r>
        <w:rPr>
          <w:rFonts w:hint="eastAsia" w:ascii="仿宋_GB2312" w:hAnsi="仿宋_GB2312" w:eastAsia="仿宋_GB2312" w:cs="仿宋_GB2312"/>
          <w:sz w:val="32"/>
          <w:szCs w:val="32"/>
          <w:lang w:val="en-US" w:eastAsia="zh-CN"/>
        </w:rPr>
        <w:t>万元，减少1017.86万元，下降86%。其中，2017年的基本支出预算为</w:t>
      </w:r>
      <w:r>
        <w:rPr>
          <w:rFonts w:hint="eastAsia" w:ascii="仿宋_GB2312" w:eastAsia="仿宋_GB2312" w:cs="宋体"/>
          <w:kern w:val="0"/>
          <w:sz w:val="32"/>
          <w:szCs w:val="32"/>
        </w:rPr>
        <w:t>164.73</w:t>
      </w:r>
      <w:r>
        <w:rPr>
          <w:rFonts w:hint="eastAsia" w:ascii="仿宋_GB2312" w:hAnsi="仿宋_GB2312" w:eastAsia="仿宋_GB2312" w:cs="仿宋_GB2312"/>
          <w:sz w:val="32"/>
          <w:szCs w:val="32"/>
          <w:lang w:val="en-US" w:eastAsia="zh-CN"/>
        </w:rPr>
        <w:t>万元，比2016年的基本支出预算182.59万元，减少17.86万元，下降9.78%，原因为在职人员工资调增；2017年的项目支出预算为0元，2016年的项目支出预算为1000万元，比上年减少1000万元，下降100%，原因为没有安排2017年项目经费。</w:t>
      </w:r>
    </w:p>
    <w:p>
      <w:pPr>
        <w:keepNext w:val="0"/>
        <w:keepLines w:val="0"/>
        <w:pageBreakBefore w:val="0"/>
        <w:widowControl w:val="0"/>
        <w:numPr>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二、机关运行经费安排情况</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640" w:firstLineChars="200"/>
        <w:jc w:val="left"/>
        <w:textAlignment w:val="auto"/>
        <w:outlineLvl w:val="9"/>
        <w:rPr>
          <w:rFonts w:hint="eastAsia" w:ascii="仿宋_GB2312" w:eastAsia="仿宋_GB2312" w:cs="宋体"/>
          <w:kern w:val="0"/>
          <w:sz w:val="32"/>
          <w:szCs w:val="32"/>
        </w:rPr>
      </w:pPr>
      <w:r>
        <w:rPr>
          <w:rFonts w:hint="eastAsia" w:ascii="仿宋_GB2312" w:eastAsia="仿宋_GB2312" w:cs="宋体"/>
          <w:kern w:val="0"/>
          <w:sz w:val="32"/>
          <w:szCs w:val="32"/>
        </w:rPr>
        <w:t>2017年用于人员工资、保障机构正常运转的日常支出164.73 万元。</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640" w:firstLineChars="200"/>
        <w:jc w:val="left"/>
        <w:textAlignment w:val="auto"/>
        <w:outlineLvl w:val="9"/>
        <w:rPr>
          <w:rFonts w:hint="eastAsia" w:ascii="仿宋_GB2312" w:eastAsia="仿宋_GB2312" w:cs="宋体"/>
          <w:kern w:val="0"/>
          <w:sz w:val="32"/>
          <w:szCs w:val="32"/>
        </w:rPr>
      </w:pPr>
      <w:r>
        <w:rPr>
          <w:rFonts w:hint="eastAsia" w:ascii="仿宋_GB2312" w:eastAsia="仿宋_GB2312" w:cs="宋体"/>
          <w:kern w:val="0"/>
          <w:sz w:val="32"/>
          <w:szCs w:val="32"/>
        </w:rPr>
        <w:t>1、工资福利支出138.61万元</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640" w:firstLineChars="200"/>
        <w:jc w:val="left"/>
        <w:textAlignment w:val="auto"/>
        <w:outlineLvl w:val="9"/>
        <w:rPr>
          <w:rFonts w:hint="eastAsia" w:ascii="仿宋_GB2312" w:eastAsia="仿宋_GB2312" w:cs="宋体"/>
          <w:kern w:val="0"/>
          <w:sz w:val="32"/>
          <w:szCs w:val="32"/>
        </w:rPr>
      </w:pPr>
      <w:r>
        <w:rPr>
          <w:rFonts w:hint="eastAsia" w:ascii="仿宋_GB2312" w:eastAsia="仿宋_GB2312" w:cs="宋体"/>
          <w:kern w:val="0"/>
          <w:sz w:val="32"/>
          <w:szCs w:val="32"/>
        </w:rPr>
        <w:t>即人员工资由基本工资、津贴补贴、机关工作人员年终一次性奖、社会保障缴费、村（居）委会干部工资、临时人员工资等构成；</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640" w:firstLineChars="200"/>
        <w:jc w:val="left"/>
        <w:textAlignment w:val="auto"/>
        <w:outlineLvl w:val="9"/>
        <w:rPr>
          <w:rFonts w:hint="eastAsia" w:ascii="仿宋_GB2312" w:eastAsia="仿宋_GB2312" w:cs="宋体"/>
          <w:kern w:val="0"/>
          <w:sz w:val="32"/>
          <w:szCs w:val="32"/>
        </w:rPr>
      </w:pPr>
      <w:r>
        <w:rPr>
          <w:rFonts w:hint="eastAsia" w:ascii="仿宋_GB2312" w:eastAsia="仿宋_GB2312" w:cs="宋体"/>
          <w:kern w:val="0"/>
          <w:sz w:val="32"/>
          <w:szCs w:val="32"/>
        </w:rPr>
        <w:t>核定标准：在职人员工资依据市人力资源和社会保障局工资审核批复按档次、分级别核定到人；</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640" w:firstLineChars="200"/>
        <w:jc w:val="left"/>
        <w:textAlignment w:val="auto"/>
        <w:outlineLvl w:val="9"/>
        <w:rPr>
          <w:rFonts w:hint="eastAsia" w:ascii="仿宋_GB2312" w:eastAsia="仿宋_GB2312" w:cs="宋体"/>
          <w:kern w:val="0"/>
          <w:sz w:val="32"/>
          <w:szCs w:val="32"/>
        </w:rPr>
      </w:pPr>
      <w:r>
        <w:rPr>
          <w:rFonts w:hint="eastAsia" w:ascii="仿宋_GB2312" w:eastAsia="仿宋_GB2312" w:cs="宋体"/>
          <w:kern w:val="0"/>
          <w:sz w:val="32"/>
          <w:szCs w:val="32"/>
        </w:rPr>
        <w:t>2、商品和服务支出13.25万元</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640" w:firstLineChars="200"/>
        <w:jc w:val="left"/>
        <w:textAlignment w:val="auto"/>
        <w:outlineLvl w:val="9"/>
        <w:rPr>
          <w:rFonts w:hint="eastAsia" w:ascii="仿宋_GB2312" w:eastAsia="仿宋_GB2312" w:cs="宋体"/>
          <w:kern w:val="0"/>
          <w:sz w:val="32"/>
          <w:szCs w:val="32"/>
        </w:rPr>
      </w:pPr>
      <w:r>
        <w:rPr>
          <w:rFonts w:hint="eastAsia" w:ascii="仿宋_GB2312" w:eastAsia="仿宋_GB2312" w:cs="宋体"/>
          <w:kern w:val="0"/>
          <w:sz w:val="32"/>
          <w:szCs w:val="32"/>
        </w:rPr>
        <w:t>其中：办公费4.08万元，业务费7万元，工会费2.17万元；</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640" w:firstLineChars="200"/>
        <w:jc w:val="left"/>
        <w:textAlignment w:val="auto"/>
        <w:outlineLvl w:val="9"/>
        <w:rPr>
          <w:rFonts w:hint="eastAsia" w:ascii="仿宋_GB2312" w:eastAsia="仿宋_GB2312" w:cs="宋体"/>
          <w:kern w:val="0"/>
          <w:sz w:val="32"/>
          <w:szCs w:val="32"/>
        </w:rPr>
      </w:pPr>
      <w:r>
        <w:rPr>
          <w:rFonts w:hint="eastAsia" w:ascii="仿宋_GB2312" w:eastAsia="仿宋_GB2312" w:cs="宋体"/>
          <w:kern w:val="0"/>
          <w:sz w:val="32"/>
          <w:szCs w:val="32"/>
        </w:rPr>
        <w:t>核定标准：办公费核定每人年均 2</w:t>
      </w:r>
      <w:r>
        <w:rPr>
          <w:rFonts w:hint="eastAsia" w:ascii="仿宋_GB2312" w:eastAsia="仿宋_GB2312" w:cs="宋体"/>
          <w:kern w:val="0"/>
          <w:sz w:val="32"/>
          <w:szCs w:val="32"/>
          <w:lang w:val="en-US" w:eastAsia="zh-CN"/>
        </w:rPr>
        <w:t>550</w:t>
      </w:r>
      <w:r>
        <w:rPr>
          <w:rFonts w:hint="eastAsia" w:ascii="仿宋_GB2312" w:eastAsia="仿宋_GB2312" w:cs="宋体"/>
          <w:kern w:val="0"/>
          <w:sz w:val="32"/>
          <w:szCs w:val="32"/>
        </w:rPr>
        <w:t>元，在职人员工会费核定在职人员应发工资总额的2％；</w:t>
      </w:r>
    </w:p>
    <w:p>
      <w:pPr>
        <w:keepNext w:val="0"/>
        <w:keepLines w:val="0"/>
        <w:pageBreakBefore w:val="0"/>
        <w:widowControl w:val="0"/>
        <w:numPr>
          <w:numId w:val="0"/>
        </w:numPr>
        <w:kinsoku/>
        <w:wordWrap/>
        <w:overflowPunct/>
        <w:topLinePunct w:val="0"/>
        <w:autoSpaceDE w:val="0"/>
        <w:autoSpaceDN w:val="0"/>
        <w:bidi w:val="0"/>
        <w:adjustRightInd w:val="0"/>
        <w:snapToGrid/>
        <w:spacing w:line="560" w:lineRule="exact"/>
        <w:ind w:right="0" w:rightChars="0" w:firstLine="640" w:firstLineChars="200"/>
        <w:jc w:val="left"/>
        <w:textAlignment w:val="auto"/>
        <w:outlineLvl w:val="9"/>
        <w:rPr>
          <w:rFonts w:hint="eastAsia" w:ascii="仿宋_GB2312" w:eastAsia="仿宋_GB2312" w:cs="宋体"/>
          <w:kern w:val="0"/>
          <w:sz w:val="32"/>
          <w:szCs w:val="32"/>
        </w:rPr>
      </w:pPr>
      <w:r>
        <w:rPr>
          <w:rFonts w:hint="eastAsia" w:ascii="仿宋_GB2312" w:eastAsia="仿宋_GB2312" w:cs="宋体"/>
          <w:kern w:val="0"/>
          <w:sz w:val="32"/>
          <w:szCs w:val="32"/>
          <w:lang w:val="en-US" w:eastAsia="zh-CN"/>
        </w:rPr>
        <w:t>3、</w:t>
      </w:r>
      <w:r>
        <w:rPr>
          <w:rFonts w:hint="eastAsia" w:ascii="仿宋_GB2312" w:eastAsia="仿宋_GB2312" w:cs="宋体"/>
          <w:kern w:val="0"/>
          <w:sz w:val="32"/>
          <w:szCs w:val="32"/>
        </w:rPr>
        <w:t>个人和家庭补助支出12.87万元</w:t>
      </w:r>
      <w:r>
        <w:rPr>
          <w:rFonts w:hint="eastAsia" w:ascii="仿宋_GB2312" w:eastAsia="仿宋_GB2312" w:cs="宋体"/>
          <w:kern w:val="0"/>
          <w:sz w:val="32"/>
          <w:szCs w:val="32"/>
          <w:lang w:eastAsia="zh-CN"/>
        </w:rPr>
        <w:t>，全部为</w:t>
      </w:r>
      <w:r>
        <w:rPr>
          <w:rFonts w:hint="eastAsia" w:ascii="仿宋_GB2312" w:eastAsia="仿宋_GB2312" w:cs="宋体"/>
          <w:b w:val="0"/>
          <w:bCs w:val="0"/>
          <w:kern w:val="0"/>
          <w:sz w:val="32"/>
          <w:szCs w:val="32"/>
        </w:rPr>
        <w:t>住房公积金</w:t>
      </w:r>
      <w:r>
        <w:rPr>
          <w:rFonts w:hint="eastAsia" w:ascii="仿宋_GB2312" w:eastAsia="仿宋_GB2312" w:cs="宋体"/>
          <w:kern w:val="0"/>
          <w:sz w:val="32"/>
          <w:szCs w:val="32"/>
        </w:rPr>
        <w:t>。</w:t>
      </w:r>
    </w:p>
    <w:p>
      <w:pPr>
        <w:keepNext w:val="0"/>
        <w:keepLines w:val="0"/>
        <w:pageBreakBefore w:val="0"/>
        <w:widowControl w:val="0"/>
        <w:numPr>
          <w:numId w:val="0"/>
        </w:numPr>
        <w:kinsoku/>
        <w:wordWrap/>
        <w:overflowPunct/>
        <w:topLinePunct w:val="0"/>
        <w:autoSpaceDE w:val="0"/>
        <w:autoSpaceDN w:val="0"/>
        <w:bidi w:val="0"/>
        <w:adjustRightInd w:val="0"/>
        <w:snapToGrid/>
        <w:spacing w:line="560" w:lineRule="exact"/>
        <w:ind w:right="0" w:rightChars="0" w:firstLine="640" w:firstLineChars="200"/>
        <w:jc w:val="left"/>
        <w:textAlignment w:val="auto"/>
        <w:outlineLvl w:val="9"/>
        <w:rPr>
          <w:rFonts w:hint="eastAsia" w:ascii="黑体" w:hAnsi="黑体" w:eastAsia="黑体" w:cs="黑体"/>
          <w:kern w:val="0"/>
          <w:sz w:val="32"/>
          <w:szCs w:val="32"/>
          <w:lang w:eastAsia="zh-CN"/>
        </w:rPr>
      </w:pPr>
      <w:r>
        <w:rPr>
          <w:rFonts w:hint="eastAsia" w:ascii="黑体" w:hAnsi="黑体" w:eastAsia="黑体" w:cs="黑体"/>
          <w:kern w:val="0"/>
          <w:sz w:val="32"/>
          <w:szCs w:val="32"/>
          <w:lang w:eastAsia="zh-CN"/>
        </w:rPr>
        <w:t>三、政府采购安排情况</w:t>
      </w:r>
    </w:p>
    <w:p>
      <w:pPr>
        <w:keepNext w:val="0"/>
        <w:keepLines w:val="0"/>
        <w:pageBreakBefore w:val="0"/>
        <w:widowControl w:val="0"/>
        <w:numPr>
          <w:numId w:val="0"/>
        </w:numPr>
        <w:kinsoku/>
        <w:wordWrap/>
        <w:overflowPunct/>
        <w:topLinePunct w:val="0"/>
        <w:autoSpaceDE w:val="0"/>
        <w:autoSpaceDN w:val="0"/>
        <w:bidi w:val="0"/>
        <w:adjustRightInd w:val="0"/>
        <w:snapToGrid/>
        <w:spacing w:line="560" w:lineRule="exact"/>
        <w:ind w:right="0" w:rightChars="0" w:firstLine="640" w:firstLineChars="200"/>
        <w:jc w:val="left"/>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因单位固定资产和项目存在不可预计性，2017年政府采购未做安排计划。</w:t>
      </w:r>
    </w:p>
    <w:p>
      <w:pPr>
        <w:keepNext w:val="0"/>
        <w:keepLines w:val="0"/>
        <w:pageBreakBefore w:val="0"/>
        <w:widowControl w:val="0"/>
        <w:numPr>
          <w:numId w:val="0"/>
        </w:numPr>
        <w:kinsoku/>
        <w:wordWrap/>
        <w:overflowPunct/>
        <w:topLinePunct w:val="0"/>
        <w:autoSpaceDE w:val="0"/>
        <w:autoSpaceDN w:val="0"/>
        <w:bidi w:val="0"/>
        <w:adjustRightInd w:val="0"/>
        <w:snapToGrid/>
        <w:spacing w:line="560" w:lineRule="exact"/>
        <w:ind w:right="0" w:rightChars="0" w:firstLine="640" w:firstLineChars="200"/>
        <w:jc w:val="left"/>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四、预算说明名词解释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政府采购：指国家各级政府为从事日常的政务活动或为了满足公共服务的目的，利用国家</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"https://baike.so.com/doc/5716834-5929560.html" \t "_blank"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财政性资金</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和政府借款购买货物、工程和服务的行为。政府采购不仅是指具体的</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"https://baike.so.com/doc/4796448-5012566.html" \t "_blank"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采购过程</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，而且是采购政策、采购程序、采购过程及采购管理的总称，是一种对公共采购管理的制度。</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财政拨款收入: 指本级财政当年拨付的资金。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其他收入: 指除上述"财政拨款收入"、"事业收入"、等以外的收入。</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年初结转和结余: 指以前年度尚未完成、结转到本年按有关规定继续使用的资金。</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年末结转和结余: 指本年度或以前年度预算安排、因客观条件发生变化无法按原计划实施，需要延迟到以后年度按有关规定继续使用的资金。</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 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 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"三公"经费: 指纳入本级财政预决算管理的"三公"经费，是指本级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机关运行经费: 指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160" w:firstLineChars="13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芒市工业园管理委员会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480" w:firstLineChars="14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2017年11月13日</w:t>
      </w:r>
    </w:p>
    <w:p>
      <w:pPr>
        <w:keepNext w:val="0"/>
        <w:keepLines w:val="0"/>
        <w:pageBreakBefore w:val="0"/>
        <w:widowControl w:val="0"/>
        <w:numPr>
          <w:numId w:val="0"/>
        </w:numPr>
        <w:kinsoku/>
        <w:wordWrap/>
        <w:overflowPunct/>
        <w:topLinePunct w:val="0"/>
        <w:autoSpaceDE w:val="0"/>
        <w:autoSpaceDN w:val="0"/>
        <w:bidi w:val="0"/>
        <w:adjustRightInd w:val="0"/>
        <w:snapToGrid/>
        <w:spacing w:line="560" w:lineRule="exact"/>
        <w:ind w:right="0" w:rightChars="0" w:firstLine="640" w:firstLineChars="200"/>
        <w:jc w:val="left"/>
        <w:textAlignment w:val="auto"/>
        <w:outlineLvl w:val="9"/>
        <w:rPr>
          <w:rFonts w:hint="eastAsia" w:ascii="仿宋_GB2312" w:hAnsi="仿宋_GB2312" w:eastAsia="仿宋_GB2312" w:cs="仿宋_GB2312"/>
          <w:b w:val="0"/>
          <w:bCs w:val="0"/>
          <w:sz w:val="32"/>
          <w:szCs w:val="32"/>
          <w:lang w:val="en-US" w:eastAsia="zh-CN"/>
        </w:rPr>
      </w:pPr>
      <w:bookmarkStart w:id="0" w:name="_GoBack"/>
      <w:bookmarkEnd w:id="0"/>
    </w:p>
    <w:p>
      <w:pPr>
        <w:keepNext w:val="0"/>
        <w:keepLines w:val="0"/>
        <w:pageBreakBefore w:val="0"/>
        <w:widowControl w:val="0"/>
        <w:numPr>
          <w:numId w:val="0"/>
        </w:numPr>
        <w:kinsoku/>
        <w:wordWrap/>
        <w:overflowPunct/>
        <w:topLinePunct w:val="0"/>
        <w:autoSpaceDE w:val="0"/>
        <w:autoSpaceDN w:val="0"/>
        <w:bidi w:val="0"/>
        <w:adjustRightInd w:val="0"/>
        <w:snapToGrid/>
        <w:spacing w:line="560" w:lineRule="exact"/>
        <w:ind w:leftChars="200" w:right="0" w:rightChars="0"/>
        <w:jc w:val="left"/>
        <w:textAlignment w:val="auto"/>
        <w:outlineLvl w:val="9"/>
        <w:rPr>
          <w:rFonts w:hint="eastAsia" w:ascii="仿宋_GB2312" w:eastAsia="仿宋_GB2312" w:cs="宋体"/>
          <w:kern w:val="0"/>
          <w:sz w:val="32"/>
          <w:szCs w:val="32"/>
          <w:lang w:val="en-US" w:eastAsia="zh-CN"/>
        </w:rPr>
      </w:pPr>
    </w:p>
    <w:p>
      <w:pPr>
        <w:keepNext w:val="0"/>
        <w:keepLines w:val="0"/>
        <w:pageBreakBefore w:val="0"/>
        <w:widowControl w:val="0"/>
        <w:numPr>
          <w:numId w:val="0"/>
        </w:numPr>
        <w:kinsoku/>
        <w:wordWrap/>
        <w:overflowPunct/>
        <w:topLinePunct w:val="0"/>
        <w:autoSpaceDE/>
        <w:autoSpaceDN/>
        <w:bidi w:val="0"/>
        <w:adjustRightInd/>
        <w:snapToGrid/>
        <w:spacing w:line="560" w:lineRule="exact"/>
        <w:ind w:right="0" w:rightChars="0"/>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numPr>
          <w:numId w:val="0"/>
        </w:numPr>
        <w:kinsoku/>
        <w:wordWrap/>
        <w:overflowPunct/>
        <w:topLinePunct w:val="0"/>
        <w:autoSpaceDE/>
        <w:autoSpaceDN/>
        <w:bidi w:val="0"/>
        <w:adjustRightInd/>
        <w:snapToGrid/>
        <w:spacing w:line="560" w:lineRule="exact"/>
        <w:ind w:right="0" w:rightChars="0"/>
        <w:textAlignment w:val="auto"/>
        <w:outlineLvl w:val="9"/>
        <w:rPr>
          <w:rFonts w:hint="eastAsia" w:ascii="仿宋_GB2312" w:hAnsi="仿宋_GB2312" w:eastAsia="仿宋_GB2312" w:cs="仿宋_GB2312"/>
          <w:sz w:val="32"/>
          <w:szCs w:val="32"/>
          <w:lang w:val="en-US" w:eastAsia="zh-CN"/>
        </w:rPr>
      </w:pPr>
    </w:p>
    <w:sectPr>
      <w:pgSz w:w="11906" w:h="16838"/>
      <w:pgMar w:top="1440" w:right="1531" w:bottom="1440"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Rod">
    <w:panose1 w:val="02030509050101010101"/>
    <w:charset w:val="00"/>
    <w:family w:val="auto"/>
    <w:pitch w:val="default"/>
    <w:sig w:usb0="00000801" w:usb1="00000000" w:usb2="00000000" w:usb3="00000000" w:csb0="00000020" w:csb1="00200000"/>
  </w:font>
  <w:font w:name="楷体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FZXBSK--GBK1-0">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Arial Unicode MS">
    <w:altName w:val="宋体"/>
    <w:panose1 w:val="020B0604020202020204"/>
    <w:charset w:val="86"/>
    <w:family w:val="auto"/>
    <w:pitch w:val="default"/>
    <w:sig w:usb0="00000000" w:usb1="00000000"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A37EAF"/>
    <w:rsid w:val="2C517B30"/>
    <w:rsid w:val="62902F2A"/>
    <w:rsid w:val="63A37E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德宏州芒市党政机关单位</Company>
  <Pages>1</Pages>
  <Words>0</Words>
  <Characters>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2017-11-09T03:35:00Z</dcterms:created>
  <dc:creator>dell</dc:creator>
  <cp:lastModifiedBy>Administrator</cp:lastModifiedBy>
  <dcterms:modified xsi:type="dcterms:W3CDTF">2017-11-14T03:20:10Z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