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46" w:beforeAutospacing="0" w:after="0" w:afterAutospacing="0"/>
        <w:ind w:left="0" w:right="0"/>
        <w:jc w:val="center"/>
        <w:rPr>
          <w:b w:val="0"/>
          <w:bCs w:val="0"/>
          <w:sz w:val="36"/>
          <w:szCs w:val="36"/>
        </w:rPr>
      </w:pPr>
      <w:bookmarkStart w:id="0" w:name="_GoBack"/>
      <w:r>
        <w:rPr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《应急管理综合行政执法事项指导目录（2023年版）》解读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8D8D8" w:sz="6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5C5C5C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5C5C5C"/>
          <w:spacing w:val="0"/>
          <w:kern w:val="0"/>
          <w:sz w:val="24"/>
          <w:szCs w:val="24"/>
          <w:shd w:val="clear" w:fill="FFFFFF"/>
          <w:lang w:val="en-US" w:eastAsia="zh-CN" w:bidi="ar"/>
        </w:rPr>
        <w:t>2023-08-09 10:07来源：政策法规司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按照《国务院办公厅关于应急管理综合行政执法有关事项的通知》（以下简称《通知》）要求，2023年7月17日，应急管理部印发了《应急管理综合行政执法事项指导目录（2023年版）》（以下简称《指导目录》）。为便于贯彻执行，现解读如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一、《指导目录》出台背景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9月，中办、国办印发关于深化应急管理综合行政执法改革的意见，应急管理部高度重视、统筹推进，各项重点改革任务取得了初步成效。为进一步贯彻落实执法事项清单管理制度的要求，应急管理部起草了《指导目录》，征求了中央和国家机关有关部门、单位和省级应急管理部门意见，经司法部审核，报请国务院同意后印发。2023年7月5日，国务院办公厅印发《通知》，对深化应急管理综合行政执法改革作出部署，对落实好《指导目录》提出具体要求，同时明确《指导目录》由应急管理部根据通知精神印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《通知》和《指导目录》以习近平法治思想为指引，是深化应急管理综合行政执法改革的重要配套措施，是深入贯彻落实党的二十大精神的实际行动，对进一步加强应急管理综合行政执法工作、完善应急管理行政执法体制、推进国家治理体系和治理能力现代化具有重要意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二、《指导目录》主要内容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《指导目录》主要梳理规范应急管理领域依据法律、行政法规设定的行政处罚和行政强制事项，以及部门规章设定的警告、罚款的行政处罚事项共368项，包括行政处罚366项、行政强制2项。本次国务院批准发布的《指导目录》中法律、行政法规和部门规章有关事项更新至2023年5月31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是明确执法事项名称和实施依据。执法事项名称原则上根据设定该事项的法律、行政法规和部门规章条款内容进行概括提炼。不包括地方性法规规章设定的行政处罚和行政强制事项。实施依据按照完整、清晰、准确的原则，列出了设定该事项的法律、行政法规和部门规章的具体条款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是明确法定实施主体。根据《深化党和国家机构改革方案》和中办、国办文件要求，列入《指导目录》行政执法事项的实施主体统一规范为“应急管理部门”，即以应急管理部门名义统一执法。《指导目录》中有关事项涉及其他部门职责的，由相关部门根据法律、行政法规、部门规章的规定依法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三是明确第一责任层级。按照有权必有责、有责要担当、失责必追究的原则，把查处违法行为的第一管辖和第一责任压实，但不排斥上级应急管理部门对违法行为的管辖权和处罚权。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三、贯彻实施要求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《通知》和《指导目录》是深化应急管理综合行政执法改革的重要配套措施，各级应急管理部门要准确把握《通知》和《指导目录》的精神和要求，抓好贯彻落实。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是各省级应急管理部门要根据《通知》要求和地方立法情况，在《指导目录》基础上，进一步补充、细化和完善，尽快形成本地区应急管理综合行政执法事项指导目录，按程序审核确认后以适当方式公开，接受社会监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二是各级应急管理部门要对照《指导目录》进一步落实执法责任，厘清与行政执法权相对应的执法事项，明确责任主体，压实执法责任，实现同一事项相同情形同标准处罚、无差别执法。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560" w:lineRule="atLeast"/>
        <w:ind w:left="300" w:right="300" w:firstLine="640"/>
        <w:jc w:val="left"/>
        <w:rPr>
          <w:rFonts w:ascii="宋体" w:hAnsi="宋体" w:eastAsia="宋体" w:cs="宋体"/>
          <w:color w:val="333333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三是各级应急管理部门要不断提升应急管理综合行政执法效能，聚焦执法办案，充分利用信息技术等方式方法，多措并举推动执法工作更加规范、科学、高效。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03A7E"/>
    <w:rsid w:val="71203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2024-11-01T09:03:00Z</dcterms:created>
  <dc:creator>徐刚东</dc:creator>
  <cp:lastModifiedBy>徐刚东</cp:lastModifiedBy>
  <dcterms:modified xsi:type="dcterms:W3CDTF">2024-11-01T09:04:41Z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0E41BC199B86423881009F428BE9EF55</vt:lpwstr>
  </property>
</Properties>
</file>