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146E4D">
      <w:pPr>
        <w:pageBreakBefore w:val="0"/>
        <w:kinsoku/>
        <w:wordWrap/>
        <w:overflowPunct/>
        <w:topLinePunct w:val="0"/>
        <w:bidi w:val="0"/>
        <w:rPr>
          <w:rFonts w:hint="eastAsia" w:ascii="宋体" w:hAnsi="宋体" w:eastAsia="宋体" w:cs="宋体"/>
          <w:sz w:val="44"/>
          <w:szCs w:val="44"/>
        </w:rPr>
      </w:pPr>
      <w:bookmarkStart w:id="237" w:name="_GoBack"/>
      <w:bookmarkEnd w:id="237"/>
    </w:p>
    <w:p w14:paraId="53866301">
      <w:pPr>
        <w:pageBreakBefore w:val="0"/>
        <w:kinsoku/>
        <w:wordWrap/>
        <w:overflowPunct/>
        <w:topLinePunct w:val="0"/>
        <w:bidi w:val="0"/>
        <w:rPr>
          <w:rFonts w:hint="eastAsia" w:ascii="宋体" w:hAnsi="宋体" w:eastAsia="宋体" w:cs="宋体"/>
          <w:sz w:val="44"/>
          <w:szCs w:val="44"/>
        </w:rPr>
      </w:pPr>
    </w:p>
    <w:p w14:paraId="5D237992">
      <w:pPr>
        <w:pageBreakBefore w:val="0"/>
        <w:kinsoku/>
        <w:wordWrap/>
        <w:overflowPunct/>
        <w:topLinePunct w:val="0"/>
        <w:bidi w:val="0"/>
        <w:jc w:val="center"/>
        <w:rPr>
          <w:rFonts w:hint="eastAsia" w:ascii="宋体" w:hAnsi="宋体" w:eastAsia="方正小标宋_GBK" w:cs="方正小标宋_GBK"/>
          <w:b w:val="0"/>
          <w:bCs w:val="0"/>
          <w:sz w:val="52"/>
          <w:szCs w:val="52"/>
        </w:rPr>
      </w:pPr>
      <w:r>
        <w:rPr>
          <w:rFonts w:hint="eastAsia" w:ascii="宋体" w:hAnsi="宋体" w:eastAsia="方正小标宋_GBK" w:cs="方正小标宋_GBK"/>
          <w:b w:val="0"/>
          <w:bCs w:val="0"/>
          <w:sz w:val="52"/>
          <w:szCs w:val="52"/>
        </w:rPr>
        <w:t>芒市</w:t>
      </w:r>
      <w:r>
        <w:rPr>
          <w:rFonts w:hint="eastAsia" w:ascii="宋体" w:hAnsi="宋体" w:eastAsia="方正小标宋_GBK" w:cs="方正小标宋_GBK"/>
          <w:b w:val="0"/>
          <w:bCs w:val="0"/>
          <w:sz w:val="52"/>
          <w:szCs w:val="52"/>
          <w:lang w:eastAsia="zh-CN"/>
        </w:rPr>
        <w:t>芒究</w:t>
      </w:r>
      <w:r>
        <w:rPr>
          <w:rFonts w:hint="eastAsia" w:ascii="宋体" w:hAnsi="宋体" w:eastAsia="方正小标宋_GBK" w:cs="方正小标宋_GBK"/>
          <w:b w:val="0"/>
          <w:bCs w:val="0"/>
          <w:sz w:val="52"/>
          <w:szCs w:val="52"/>
        </w:rPr>
        <w:t>水库</w:t>
      </w:r>
      <w:r>
        <w:rPr>
          <w:rFonts w:hint="eastAsia" w:ascii="宋体" w:hAnsi="宋体" w:eastAsia="方正小标宋_GBK" w:cs="方正小标宋_GBK"/>
          <w:b w:val="0"/>
          <w:bCs w:val="0"/>
          <w:sz w:val="52"/>
          <w:szCs w:val="52"/>
          <w:lang w:eastAsia="zh-CN"/>
        </w:rPr>
        <w:t>水面开发利用</w:t>
      </w:r>
      <w:r>
        <w:rPr>
          <w:rFonts w:hint="eastAsia" w:ascii="宋体" w:hAnsi="宋体" w:eastAsia="方正小标宋_GBK" w:cs="方正小标宋_GBK"/>
          <w:b w:val="0"/>
          <w:bCs w:val="0"/>
          <w:sz w:val="52"/>
          <w:szCs w:val="52"/>
          <w:lang w:val="en-US" w:eastAsia="zh-CN"/>
        </w:rPr>
        <w:t>规划</w:t>
      </w:r>
      <w:r>
        <w:rPr>
          <w:rFonts w:hint="eastAsia" w:ascii="宋体" w:hAnsi="宋体" w:eastAsia="方正小标宋_GBK" w:cs="方正小标宋_GBK"/>
          <w:b w:val="0"/>
          <w:bCs w:val="0"/>
          <w:sz w:val="52"/>
          <w:szCs w:val="52"/>
        </w:rPr>
        <w:t>方案</w:t>
      </w:r>
    </w:p>
    <w:p w14:paraId="4D24E97C">
      <w:pPr>
        <w:pageBreakBefore w:val="0"/>
        <w:kinsoku/>
        <w:wordWrap/>
        <w:overflowPunct/>
        <w:topLinePunct w:val="0"/>
        <w:bidi w:val="0"/>
        <w:jc w:val="center"/>
        <w:rPr>
          <w:rFonts w:hint="eastAsia" w:ascii="方正仿宋_GBK" w:hAnsi="方正仿宋_GBK" w:eastAsia="方正仿宋_GBK" w:cs="方正仿宋_GBK"/>
          <w:sz w:val="44"/>
          <w:szCs w:val="44"/>
          <w:lang w:eastAsia="zh-CN"/>
        </w:rPr>
      </w:pPr>
      <w:r>
        <w:rPr>
          <w:rFonts w:hint="eastAsia" w:ascii="宋体" w:hAnsi="宋体" w:eastAsia="方正仿宋_GBK" w:cs="方正仿宋_GBK"/>
          <w:b w:val="0"/>
          <w:bCs w:val="0"/>
          <w:sz w:val="44"/>
          <w:szCs w:val="44"/>
          <w:lang w:val="en-US" w:eastAsia="zh-CN"/>
        </w:rPr>
        <w:t>（征求意见稿）</w:t>
      </w:r>
    </w:p>
    <w:p w14:paraId="22AF0AC1">
      <w:pPr>
        <w:pageBreakBefore w:val="0"/>
        <w:kinsoku/>
        <w:wordWrap/>
        <w:overflowPunct/>
        <w:topLinePunct w:val="0"/>
        <w:bidi w:val="0"/>
        <w:rPr>
          <w:rFonts w:hint="eastAsia" w:ascii="宋体" w:hAnsi="宋体" w:eastAsia="宋体" w:cs="宋体"/>
        </w:rPr>
      </w:pPr>
    </w:p>
    <w:p w14:paraId="746B9CA5">
      <w:pPr>
        <w:pageBreakBefore w:val="0"/>
        <w:kinsoku/>
        <w:wordWrap/>
        <w:overflowPunct/>
        <w:topLinePunct w:val="0"/>
        <w:bidi w:val="0"/>
        <w:rPr>
          <w:rFonts w:hint="eastAsia" w:ascii="宋体" w:hAnsi="宋体" w:eastAsia="宋体" w:cs="宋体"/>
        </w:rPr>
      </w:pPr>
    </w:p>
    <w:p w14:paraId="273B9E95">
      <w:pPr>
        <w:pageBreakBefore w:val="0"/>
        <w:kinsoku/>
        <w:wordWrap/>
        <w:overflowPunct/>
        <w:topLinePunct w:val="0"/>
        <w:bidi w:val="0"/>
        <w:rPr>
          <w:rFonts w:hint="eastAsia" w:ascii="宋体" w:hAnsi="宋体" w:eastAsia="宋体" w:cs="宋体"/>
        </w:rPr>
      </w:pPr>
    </w:p>
    <w:p w14:paraId="72316E3D">
      <w:pPr>
        <w:pageBreakBefore w:val="0"/>
        <w:kinsoku/>
        <w:wordWrap/>
        <w:overflowPunct/>
        <w:topLinePunct w:val="0"/>
        <w:bidi w:val="0"/>
        <w:rPr>
          <w:rFonts w:hint="eastAsia" w:ascii="宋体" w:hAnsi="宋体" w:eastAsia="宋体" w:cs="宋体"/>
        </w:rPr>
      </w:pPr>
    </w:p>
    <w:p w14:paraId="24099E5C">
      <w:pPr>
        <w:pageBreakBefore w:val="0"/>
        <w:kinsoku/>
        <w:wordWrap/>
        <w:overflowPunct/>
        <w:topLinePunct w:val="0"/>
        <w:bidi w:val="0"/>
        <w:rPr>
          <w:rFonts w:hint="eastAsia" w:ascii="宋体" w:hAnsi="宋体" w:eastAsia="宋体" w:cs="宋体"/>
        </w:rPr>
      </w:pPr>
    </w:p>
    <w:p w14:paraId="27C642D8">
      <w:pPr>
        <w:pageBreakBefore w:val="0"/>
        <w:kinsoku/>
        <w:wordWrap/>
        <w:overflowPunct/>
        <w:topLinePunct w:val="0"/>
        <w:bidi w:val="0"/>
        <w:rPr>
          <w:rFonts w:hint="eastAsia" w:ascii="宋体" w:hAnsi="宋体" w:eastAsia="宋体" w:cs="宋体"/>
        </w:rPr>
      </w:pPr>
    </w:p>
    <w:p w14:paraId="2837B4A1">
      <w:pPr>
        <w:pageBreakBefore w:val="0"/>
        <w:kinsoku/>
        <w:wordWrap/>
        <w:overflowPunct/>
        <w:topLinePunct w:val="0"/>
        <w:bidi w:val="0"/>
        <w:rPr>
          <w:rFonts w:hint="eastAsia" w:ascii="宋体" w:hAnsi="宋体" w:eastAsia="宋体" w:cs="宋体"/>
        </w:rPr>
      </w:pPr>
    </w:p>
    <w:p w14:paraId="4A194C95">
      <w:pPr>
        <w:pageBreakBefore w:val="0"/>
        <w:kinsoku/>
        <w:wordWrap/>
        <w:overflowPunct/>
        <w:topLinePunct w:val="0"/>
        <w:bidi w:val="0"/>
        <w:rPr>
          <w:rFonts w:hint="eastAsia" w:ascii="宋体" w:hAnsi="宋体" w:eastAsia="宋体" w:cs="宋体"/>
        </w:rPr>
      </w:pPr>
    </w:p>
    <w:p w14:paraId="2B6F3501">
      <w:pPr>
        <w:pageBreakBefore w:val="0"/>
        <w:kinsoku/>
        <w:wordWrap/>
        <w:overflowPunct/>
        <w:topLinePunct w:val="0"/>
        <w:bidi w:val="0"/>
        <w:rPr>
          <w:rFonts w:hint="eastAsia" w:ascii="宋体" w:hAnsi="宋体" w:eastAsia="宋体" w:cs="宋体"/>
        </w:rPr>
      </w:pPr>
    </w:p>
    <w:p w14:paraId="130FE470">
      <w:pPr>
        <w:pageBreakBefore w:val="0"/>
        <w:kinsoku/>
        <w:wordWrap/>
        <w:overflowPunct/>
        <w:topLinePunct w:val="0"/>
        <w:bidi w:val="0"/>
        <w:rPr>
          <w:rFonts w:hint="eastAsia" w:ascii="宋体" w:hAnsi="宋体" w:eastAsia="宋体" w:cs="宋体"/>
        </w:rPr>
      </w:pPr>
    </w:p>
    <w:p w14:paraId="0674F64F">
      <w:pPr>
        <w:pageBreakBefore w:val="0"/>
        <w:kinsoku/>
        <w:wordWrap/>
        <w:overflowPunct/>
        <w:topLinePunct w:val="0"/>
        <w:bidi w:val="0"/>
        <w:rPr>
          <w:rFonts w:hint="eastAsia" w:ascii="宋体" w:hAnsi="宋体" w:eastAsia="宋体" w:cs="宋体"/>
        </w:rPr>
      </w:pPr>
    </w:p>
    <w:p w14:paraId="36BD6DEC">
      <w:pPr>
        <w:pageBreakBefore w:val="0"/>
        <w:kinsoku/>
        <w:wordWrap/>
        <w:overflowPunct/>
        <w:topLinePunct w:val="0"/>
        <w:bidi w:val="0"/>
        <w:rPr>
          <w:rFonts w:hint="eastAsia" w:ascii="宋体" w:hAnsi="宋体" w:eastAsia="宋体" w:cs="宋体"/>
        </w:rPr>
      </w:pPr>
    </w:p>
    <w:p w14:paraId="1F54D251">
      <w:pPr>
        <w:pageBreakBefore w:val="0"/>
        <w:kinsoku/>
        <w:wordWrap/>
        <w:overflowPunct/>
        <w:topLinePunct w:val="0"/>
        <w:bidi w:val="0"/>
        <w:rPr>
          <w:rFonts w:hint="eastAsia" w:ascii="宋体" w:hAnsi="宋体" w:eastAsia="宋体" w:cs="宋体"/>
        </w:rPr>
      </w:pPr>
    </w:p>
    <w:p w14:paraId="67E732C8">
      <w:pPr>
        <w:pageBreakBefore w:val="0"/>
        <w:kinsoku/>
        <w:wordWrap/>
        <w:overflowPunct/>
        <w:topLinePunct w:val="0"/>
        <w:bidi w:val="0"/>
        <w:rPr>
          <w:rFonts w:hint="eastAsia" w:ascii="宋体" w:hAnsi="宋体" w:eastAsia="宋体" w:cs="宋体"/>
        </w:rPr>
      </w:pPr>
    </w:p>
    <w:p w14:paraId="5EEE7152">
      <w:pPr>
        <w:pageBreakBefore w:val="0"/>
        <w:kinsoku/>
        <w:wordWrap/>
        <w:overflowPunct/>
        <w:topLinePunct w:val="0"/>
        <w:bidi w:val="0"/>
        <w:rPr>
          <w:rFonts w:hint="eastAsia" w:ascii="宋体" w:hAnsi="宋体" w:eastAsia="宋体" w:cs="宋体"/>
        </w:rPr>
      </w:pPr>
    </w:p>
    <w:p w14:paraId="495C9B42">
      <w:pPr>
        <w:pageBreakBefore w:val="0"/>
        <w:kinsoku/>
        <w:wordWrap/>
        <w:overflowPunct/>
        <w:topLinePunct w:val="0"/>
        <w:bidi w:val="0"/>
        <w:rPr>
          <w:rFonts w:hint="eastAsia" w:ascii="宋体" w:hAnsi="宋体" w:eastAsia="宋体" w:cs="宋体"/>
        </w:rPr>
      </w:pPr>
    </w:p>
    <w:p w14:paraId="6E568B55">
      <w:pPr>
        <w:pageBreakBefore w:val="0"/>
        <w:kinsoku/>
        <w:wordWrap/>
        <w:overflowPunct/>
        <w:topLinePunct w:val="0"/>
        <w:bidi w:val="0"/>
        <w:rPr>
          <w:rFonts w:hint="eastAsia" w:ascii="宋体" w:hAnsi="宋体" w:eastAsia="宋体" w:cs="宋体"/>
        </w:rPr>
      </w:pPr>
    </w:p>
    <w:p w14:paraId="21F59489">
      <w:pPr>
        <w:pageBreakBefore w:val="0"/>
        <w:kinsoku/>
        <w:wordWrap/>
        <w:overflowPunct/>
        <w:topLinePunct w:val="0"/>
        <w:bidi w:val="0"/>
        <w:rPr>
          <w:rFonts w:hint="eastAsia" w:ascii="宋体" w:hAnsi="宋体" w:eastAsia="宋体" w:cs="宋体"/>
        </w:rPr>
      </w:pPr>
    </w:p>
    <w:p w14:paraId="0C6CC877">
      <w:pPr>
        <w:pageBreakBefore w:val="0"/>
        <w:kinsoku/>
        <w:wordWrap/>
        <w:overflowPunct/>
        <w:topLinePunct w:val="0"/>
        <w:bidi w:val="0"/>
        <w:rPr>
          <w:rFonts w:hint="eastAsia" w:ascii="宋体" w:hAnsi="宋体" w:eastAsia="宋体" w:cs="宋体"/>
        </w:rPr>
      </w:pPr>
    </w:p>
    <w:p w14:paraId="642FE280">
      <w:pPr>
        <w:pageBreakBefore w:val="0"/>
        <w:kinsoku/>
        <w:wordWrap/>
        <w:overflowPunct/>
        <w:topLinePunct w:val="0"/>
        <w:bidi w:val="0"/>
        <w:jc w:val="both"/>
        <w:rPr>
          <w:rFonts w:hint="eastAsia" w:ascii="宋体" w:hAnsi="宋体" w:eastAsia="宋体" w:cs="宋体"/>
          <w:b/>
          <w:bCs/>
          <w:sz w:val="36"/>
          <w:szCs w:val="36"/>
        </w:rPr>
      </w:pPr>
    </w:p>
    <w:p w14:paraId="0342FE2A">
      <w:pPr>
        <w:pageBreakBefore w:val="0"/>
        <w:kinsoku/>
        <w:wordWrap/>
        <w:overflowPunct/>
        <w:topLinePunct w:val="0"/>
        <w:bidi w:val="0"/>
        <w:jc w:val="center"/>
        <w:rPr>
          <w:rFonts w:hint="eastAsia" w:ascii="宋体" w:hAnsi="宋体" w:eastAsia="宋体" w:cs="宋体"/>
          <w:b/>
          <w:bCs/>
          <w:sz w:val="36"/>
          <w:szCs w:val="36"/>
        </w:rPr>
      </w:pPr>
    </w:p>
    <w:p w14:paraId="387621CC">
      <w:pPr>
        <w:pageBreakBefore w:val="0"/>
        <w:kinsoku/>
        <w:wordWrap/>
        <w:overflowPunct/>
        <w:topLinePunct w:val="0"/>
        <w:bidi w:val="0"/>
        <w:jc w:val="center"/>
        <w:rPr>
          <w:rFonts w:hint="eastAsia" w:ascii="宋体" w:hAnsi="宋体" w:eastAsia="方正仿宋_GBK" w:cs="方正仿宋_GBK"/>
          <w:b w:val="0"/>
          <w:bCs w:val="0"/>
          <w:sz w:val="36"/>
          <w:szCs w:val="36"/>
        </w:rPr>
      </w:pPr>
      <w:r>
        <w:rPr>
          <w:rFonts w:hint="eastAsia" w:ascii="宋体" w:hAnsi="宋体" w:eastAsia="方正仿宋_GBK" w:cs="方正仿宋_GBK"/>
          <w:b w:val="0"/>
          <w:bCs w:val="0"/>
          <w:sz w:val="36"/>
          <w:szCs w:val="36"/>
        </w:rPr>
        <w:t>编制单位：德宏润界智能科技有限公司</w:t>
      </w:r>
    </w:p>
    <w:p w14:paraId="1E94ED53">
      <w:pPr>
        <w:pageBreakBefore w:val="0"/>
        <w:kinsoku/>
        <w:wordWrap/>
        <w:overflowPunct/>
        <w:topLinePunct w:val="0"/>
        <w:bidi w:val="0"/>
        <w:jc w:val="center"/>
        <w:rPr>
          <w:rFonts w:hint="eastAsia" w:ascii="宋体" w:hAnsi="宋体" w:eastAsia="方正仿宋_GBK" w:cs="方正仿宋_GBK"/>
          <w:b w:val="0"/>
          <w:bCs w:val="0"/>
          <w:sz w:val="36"/>
          <w:szCs w:val="36"/>
        </w:rPr>
        <w:sectPr>
          <w:footerReference r:id="rId3" w:type="default"/>
          <w:pgSz w:w="11906" w:h="16838"/>
          <w:pgMar w:top="2098" w:right="1474" w:bottom="1984" w:left="1587" w:header="851" w:footer="992" w:gutter="0"/>
          <w:pgNumType w:fmt="decimal" w:start="1"/>
          <w:cols w:space="425" w:num="1"/>
          <w:docGrid w:type="lines" w:linePitch="312" w:charSpace="0"/>
        </w:sectPr>
      </w:pPr>
      <w:r>
        <w:rPr>
          <w:rFonts w:hint="eastAsia" w:ascii="宋体" w:hAnsi="宋体" w:eastAsia="方正仿宋_GBK" w:cs="方正仿宋_GBK"/>
          <w:b w:val="0"/>
          <w:bCs w:val="0"/>
          <w:sz w:val="36"/>
          <w:szCs w:val="36"/>
        </w:rPr>
        <w:t>编制日期：二0二</w:t>
      </w:r>
      <w:r>
        <w:rPr>
          <w:rFonts w:hint="eastAsia" w:ascii="宋体" w:hAnsi="宋体" w:eastAsia="方正仿宋_GBK" w:cs="方正仿宋_GBK"/>
          <w:b w:val="0"/>
          <w:bCs w:val="0"/>
          <w:sz w:val="36"/>
          <w:szCs w:val="36"/>
          <w:lang w:val="en-US" w:eastAsia="zh-CN"/>
        </w:rPr>
        <w:t>五</w:t>
      </w:r>
      <w:r>
        <w:rPr>
          <w:rFonts w:hint="eastAsia" w:ascii="宋体" w:hAnsi="宋体" w:eastAsia="方正仿宋_GBK" w:cs="方正仿宋_GBK"/>
          <w:b w:val="0"/>
          <w:bCs w:val="0"/>
          <w:sz w:val="36"/>
          <w:szCs w:val="36"/>
        </w:rPr>
        <w:t>年</w:t>
      </w:r>
      <w:r>
        <w:rPr>
          <w:rFonts w:hint="eastAsia" w:ascii="宋体" w:hAnsi="宋体" w:eastAsia="方正仿宋_GBK" w:cs="方正仿宋_GBK"/>
          <w:b w:val="0"/>
          <w:bCs w:val="0"/>
          <w:sz w:val="36"/>
          <w:szCs w:val="36"/>
          <w:lang w:val="en-US" w:eastAsia="zh-CN"/>
        </w:rPr>
        <w:t>六</w:t>
      </w:r>
      <w:r>
        <w:rPr>
          <w:rFonts w:hint="eastAsia" w:ascii="宋体" w:hAnsi="宋体" w:eastAsia="方正仿宋_GBK" w:cs="方正仿宋_GBK"/>
          <w:b w:val="0"/>
          <w:bCs w:val="0"/>
          <w:sz w:val="36"/>
          <w:szCs w:val="36"/>
        </w:rPr>
        <w:t>月</w:t>
      </w:r>
    </w:p>
    <w:p w14:paraId="3AC6DAA1">
      <w:pPr>
        <w:pageBreakBefore w:val="0"/>
        <w:kinsoku/>
        <w:wordWrap/>
        <w:overflowPunct/>
        <w:topLinePunct w:val="0"/>
        <w:bidi w:val="0"/>
        <w:spacing w:line="480" w:lineRule="auto"/>
        <w:jc w:val="center"/>
        <w:rPr>
          <w:rFonts w:hint="eastAsia" w:ascii="方正小标宋_GBK" w:hAnsi="方正小标宋_GBK" w:eastAsia="方正小标宋_GBK" w:cs="方正小标宋_GBK"/>
          <w:b/>
          <w:sz w:val="44"/>
          <w:szCs w:val="44"/>
          <w:lang w:val="en-US" w:eastAsia="zh-CN"/>
        </w:rPr>
        <w:sectPr>
          <w:footerReference r:id="rId4" w:type="default"/>
          <w:pgSz w:w="11906" w:h="16838"/>
          <w:pgMar w:top="2098" w:right="1474" w:bottom="1984" w:left="1587" w:header="851" w:footer="992" w:gutter="0"/>
          <w:pgNumType w:fmt="decimal"/>
          <w:cols w:space="425" w:num="1"/>
          <w:docGrid w:type="lines" w:linePitch="312" w:charSpace="0"/>
        </w:sectPr>
      </w:pPr>
    </w:p>
    <w:p w14:paraId="718AE2FD">
      <w:pPr>
        <w:pageBreakBefore w:val="0"/>
        <w:kinsoku/>
        <w:wordWrap/>
        <w:overflowPunct/>
        <w:topLinePunct w:val="0"/>
        <w:bidi w:val="0"/>
        <w:spacing w:line="480" w:lineRule="auto"/>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sz w:val="44"/>
          <w:szCs w:val="44"/>
          <w:lang w:val="en-US" w:eastAsia="zh-CN"/>
        </w:rPr>
        <w:t>责 任 表</w:t>
      </w:r>
    </w:p>
    <w:p w14:paraId="1BFAFF26">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p>
    <w:p w14:paraId="64F11C2D">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p>
    <w:p w14:paraId="0E5C0DA3">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r>
        <w:rPr>
          <w:rFonts w:hint="eastAsia" w:ascii="宋体" w:hAnsi="宋体" w:eastAsia="方正仿宋_GBK" w:cs="方正仿宋_GBK"/>
          <w:b w:val="0"/>
          <w:bCs/>
          <w:sz w:val="32"/>
          <w:szCs w:val="32"/>
        </w:rPr>
        <w:t>批准：郭芳吟</w:t>
      </w:r>
    </w:p>
    <w:p w14:paraId="594BA768">
      <w:pPr>
        <w:pageBreakBefore w:val="0"/>
        <w:kinsoku/>
        <w:wordWrap/>
        <w:overflowPunct/>
        <w:topLinePunct w:val="0"/>
        <w:bidi w:val="0"/>
        <w:spacing w:line="480" w:lineRule="auto"/>
        <w:rPr>
          <w:rFonts w:hint="eastAsia" w:ascii="宋体" w:hAnsi="宋体" w:eastAsia="方正仿宋_GBK" w:cs="方正仿宋_GBK"/>
          <w:b w:val="0"/>
          <w:bCs/>
          <w:sz w:val="32"/>
          <w:szCs w:val="32"/>
        </w:rPr>
      </w:pPr>
    </w:p>
    <w:p w14:paraId="2B38107D">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r>
        <w:rPr>
          <w:rFonts w:hint="eastAsia" w:ascii="宋体" w:hAnsi="宋体" w:eastAsia="方正仿宋_GBK" w:cs="方正仿宋_GBK"/>
          <w:b w:val="0"/>
          <w:bCs/>
          <w:sz w:val="32"/>
          <w:szCs w:val="32"/>
        </w:rPr>
        <w:t>审查：李  昆</w:t>
      </w:r>
    </w:p>
    <w:p w14:paraId="5410A6C5">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p>
    <w:p w14:paraId="43888215">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r>
        <w:rPr>
          <w:rFonts w:hint="eastAsia" w:ascii="宋体" w:hAnsi="宋体" w:eastAsia="方正仿宋_GBK" w:cs="方正仿宋_GBK"/>
          <w:b w:val="0"/>
          <w:bCs/>
          <w:sz w:val="32"/>
          <w:szCs w:val="32"/>
        </w:rPr>
        <w:t>校核：赵约朋</w:t>
      </w:r>
    </w:p>
    <w:p w14:paraId="48BB53DE">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p>
    <w:p w14:paraId="317C1B61">
      <w:pPr>
        <w:pageBreakBefore w:val="0"/>
        <w:kinsoku/>
        <w:wordWrap/>
        <w:overflowPunct/>
        <w:topLinePunct w:val="0"/>
        <w:bidi w:val="0"/>
        <w:spacing w:line="480" w:lineRule="auto"/>
        <w:ind w:left="480"/>
        <w:rPr>
          <w:rFonts w:hint="eastAsia" w:ascii="宋体" w:hAnsi="宋体" w:eastAsia="方正仿宋_GBK" w:cs="方正仿宋_GBK"/>
          <w:b w:val="0"/>
          <w:bCs/>
          <w:sz w:val="32"/>
          <w:szCs w:val="32"/>
        </w:rPr>
      </w:pPr>
      <w:r>
        <w:rPr>
          <w:rFonts w:hint="eastAsia" w:ascii="宋体" w:hAnsi="宋体" w:eastAsia="方正仿宋_GBK" w:cs="方正仿宋_GBK"/>
          <w:b w:val="0"/>
          <w:bCs/>
          <w:sz w:val="32"/>
          <w:szCs w:val="32"/>
        </w:rPr>
        <w:t>编写：杨云芝  董丽莎</w:t>
      </w:r>
    </w:p>
    <w:p w14:paraId="44E4E609">
      <w:pPr>
        <w:pageBreakBefore w:val="0"/>
        <w:kinsoku/>
        <w:wordWrap/>
        <w:overflowPunct/>
        <w:topLinePunct w:val="0"/>
        <w:bidi w:val="0"/>
        <w:rPr>
          <w:rFonts w:hint="eastAsia" w:ascii="宋体" w:hAnsi="宋体" w:eastAsia="方正仿宋_GBK" w:cs="方正仿宋_GBK"/>
          <w:b w:val="0"/>
          <w:bCs/>
          <w:sz w:val="32"/>
          <w:szCs w:val="32"/>
        </w:rPr>
        <w:sectPr>
          <w:footerReference r:id="rId5" w:type="default"/>
          <w:pgSz w:w="11906" w:h="16838"/>
          <w:pgMar w:top="2098" w:right="1474" w:bottom="1984" w:left="1587" w:header="851" w:footer="992" w:gutter="0"/>
          <w:pgNumType w:fmt="decimal"/>
          <w:cols w:space="425" w:num="1"/>
          <w:docGrid w:type="lines" w:linePitch="312" w:charSpace="0"/>
        </w:sectPr>
      </w:pPr>
    </w:p>
    <w:sdt>
      <w:sdtPr>
        <w:rPr>
          <w:rFonts w:ascii="宋体" w:hAnsi="宋体" w:eastAsia="宋体" w:cstheme="minorBidi"/>
          <w:kern w:val="2"/>
          <w:sz w:val="21"/>
          <w:szCs w:val="22"/>
          <w:lang w:val="en-US" w:eastAsia="zh-CN" w:bidi="ar-SA"/>
        </w:rPr>
        <w:id w:val="147474180"/>
        <w15:color w:val="DBDBDB"/>
        <w:docPartObj>
          <w:docPartGallery w:val="Table of Contents"/>
          <w:docPartUnique/>
        </w:docPartObj>
      </w:sdtPr>
      <w:sdtEndPr>
        <w:rPr>
          <w:rFonts w:hint="eastAsia" w:ascii="宋体" w:hAnsi="宋体" w:eastAsia="宋体" w:cs="宋体"/>
          <w:b/>
          <w:kern w:val="2"/>
          <w:sz w:val="21"/>
          <w:szCs w:val="22"/>
          <w:lang w:val="en-US" w:eastAsia="zh-CN" w:bidi="ar-SA"/>
        </w:rPr>
      </w:sdtEndPr>
      <w:sdtContent>
        <w:p w14:paraId="76F46519">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ascii="宋体" w:hAnsi="宋体" w:eastAsia="宋体" w:cstheme="minorBidi"/>
              <w:kern w:val="2"/>
              <w:sz w:val="21"/>
              <w:szCs w:val="22"/>
              <w:lang w:val="en-US" w:eastAsia="zh-CN" w:bidi="ar-SA"/>
            </w:rPr>
            <w:sectPr>
              <w:footerReference r:id="rId6" w:type="default"/>
              <w:pgSz w:w="11906" w:h="16838"/>
              <w:pgMar w:top="2098" w:right="1474" w:bottom="1984" w:left="1587" w:header="851" w:footer="992" w:gutter="0"/>
              <w:pgNumType w:fmt="decimal"/>
              <w:cols w:space="720" w:num="1"/>
              <w:docGrid w:type="lines" w:linePitch="312" w:charSpace="0"/>
            </w:sectPr>
          </w:pPr>
        </w:p>
        <w:p w14:paraId="4468EB6D">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方正小标宋_GBK" w:cs="方正小标宋_GBK"/>
              <w:sz w:val="44"/>
              <w:szCs w:val="44"/>
            </w:rPr>
          </w:pPr>
          <w:r>
            <w:rPr>
              <w:rFonts w:hint="eastAsia" w:ascii="宋体" w:hAnsi="宋体" w:eastAsia="方正小标宋_GBK" w:cs="方正小标宋_GBK"/>
              <w:sz w:val="44"/>
              <w:szCs w:val="44"/>
            </w:rPr>
            <w:t>目录</w:t>
          </w:r>
        </w:p>
        <w:p w14:paraId="451070C8">
          <w:pPr>
            <w:pStyle w:val="22"/>
            <w:tabs>
              <w:tab w:val="right" w:leader="dot" w:pos="8845"/>
            </w:tabs>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"1-2" \h \u </w:instrText>
          </w:r>
          <w:r>
            <w:rPr>
              <w:rFonts w:hint="eastAsia" w:ascii="宋体" w:hAnsi="宋体" w:eastAsia="宋体" w:cs="宋体"/>
              <w:sz w:val="32"/>
              <w:szCs w:val="32"/>
            </w:rPr>
            <w:fldChar w:fldCharType="separate"/>
          </w:r>
          <w:r>
            <w:rPr>
              <w:rFonts w:hint="eastAsia" w:ascii="宋体" w:hAnsi="宋体" w:eastAsia="宋体" w:cs="宋体"/>
              <w:szCs w:val="32"/>
            </w:rPr>
            <w:fldChar w:fldCharType="begin"/>
          </w:r>
          <w:r>
            <w:rPr>
              <w:rFonts w:hint="eastAsia" w:ascii="宋体" w:hAnsi="宋体" w:eastAsia="宋体" w:cs="宋体"/>
              <w:szCs w:val="32"/>
            </w:rPr>
            <w:instrText xml:space="preserve"> HYPERLINK \l _Toc21283 </w:instrText>
          </w:r>
          <w:r>
            <w:rPr>
              <w:rFonts w:hint="eastAsia" w:ascii="宋体" w:hAnsi="宋体" w:eastAsia="宋体" w:cs="宋体"/>
              <w:szCs w:val="32"/>
            </w:rPr>
            <w:fldChar w:fldCharType="separate"/>
          </w:r>
          <w:r>
            <w:rPr>
              <w:rFonts w:hint="eastAsia" w:ascii="宋体" w:hAnsi="宋体" w:eastAsia="方正小标宋_GBK" w:cs="方正小标宋_GBK"/>
              <w:bCs/>
              <w:szCs w:val="44"/>
            </w:rPr>
            <w:t>第一章 总则</w:t>
          </w:r>
          <w:r>
            <w:tab/>
          </w:r>
          <w:r>
            <w:fldChar w:fldCharType="begin"/>
          </w:r>
          <w:r>
            <w:instrText xml:space="preserve"> PAGEREF _Toc21283 \h </w:instrText>
          </w:r>
          <w:r>
            <w:fldChar w:fldCharType="separate"/>
          </w:r>
          <w:r>
            <w:t>1</w:t>
          </w:r>
          <w:r>
            <w:fldChar w:fldCharType="end"/>
          </w:r>
          <w:r>
            <w:rPr>
              <w:rFonts w:hint="eastAsia" w:ascii="宋体" w:hAnsi="宋体" w:eastAsia="宋体" w:cs="宋体"/>
              <w:szCs w:val="32"/>
            </w:rPr>
            <w:fldChar w:fldCharType="end"/>
          </w:r>
        </w:p>
        <w:p w14:paraId="1EB41F41">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_Toc1358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1.1 项目简况</w:t>
          </w:r>
          <w:r>
            <w:tab/>
          </w:r>
          <w:r>
            <w:fldChar w:fldCharType="begin"/>
          </w:r>
          <w:r>
            <w:instrText xml:space="preserve"> PAGEREF _Toc1358 \h </w:instrText>
          </w:r>
          <w:r>
            <w:fldChar w:fldCharType="separate"/>
          </w:r>
          <w:r>
            <w:t>1</w:t>
          </w:r>
          <w:r>
            <w:fldChar w:fldCharType="end"/>
          </w:r>
          <w:r>
            <w:rPr>
              <w:rFonts w:hint="eastAsia" w:ascii="宋体" w:hAnsi="宋体" w:eastAsia="宋体" w:cs="宋体"/>
              <w:szCs w:val="32"/>
            </w:rPr>
            <w:fldChar w:fldCharType="end"/>
          </w:r>
        </w:p>
        <w:p w14:paraId="37CFAB3F">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_Toc25277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1.2项目背景</w:t>
          </w:r>
          <w:r>
            <w:tab/>
          </w:r>
          <w:r>
            <w:fldChar w:fldCharType="begin"/>
          </w:r>
          <w:r>
            <w:instrText xml:space="preserve"> PAGEREF _Toc25277 \h </w:instrText>
          </w:r>
          <w:r>
            <w:fldChar w:fldCharType="separate"/>
          </w:r>
          <w:r>
            <w:t>1</w:t>
          </w:r>
          <w:r>
            <w:fldChar w:fldCharType="end"/>
          </w:r>
          <w:r>
            <w:rPr>
              <w:rFonts w:hint="eastAsia" w:ascii="宋体" w:hAnsi="宋体" w:eastAsia="宋体" w:cs="宋体"/>
              <w:szCs w:val="32"/>
            </w:rPr>
            <w:fldChar w:fldCharType="end"/>
          </w:r>
        </w:p>
        <w:p w14:paraId="0163423F">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_Toc6605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1.3 编制依据</w:t>
          </w:r>
          <w:r>
            <w:tab/>
          </w:r>
          <w:r>
            <w:fldChar w:fldCharType="begin"/>
          </w:r>
          <w:r>
            <w:instrText xml:space="preserve"> PAGEREF _Toc6605 \h </w:instrText>
          </w:r>
          <w:r>
            <w:fldChar w:fldCharType="separate"/>
          </w:r>
          <w:r>
            <w:t>2</w:t>
          </w:r>
          <w:r>
            <w:fldChar w:fldCharType="end"/>
          </w:r>
          <w:r>
            <w:rPr>
              <w:rFonts w:hint="eastAsia" w:ascii="宋体" w:hAnsi="宋体" w:eastAsia="宋体" w:cs="宋体"/>
              <w:szCs w:val="32"/>
            </w:rPr>
            <w:fldChar w:fldCharType="end"/>
          </w:r>
        </w:p>
        <w:p w14:paraId="4A4660FE">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_Toc17655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1.4 编制目的</w:t>
          </w:r>
          <w:r>
            <w:tab/>
          </w:r>
          <w:r>
            <w:fldChar w:fldCharType="begin"/>
          </w:r>
          <w:r>
            <w:instrText xml:space="preserve"> PAGEREF _Toc17655 \h </w:instrText>
          </w:r>
          <w:r>
            <w:fldChar w:fldCharType="separate"/>
          </w:r>
          <w:r>
            <w:t>4</w:t>
          </w:r>
          <w:r>
            <w:fldChar w:fldCharType="end"/>
          </w:r>
          <w:r>
            <w:rPr>
              <w:rFonts w:hint="eastAsia" w:ascii="宋体" w:hAnsi="宋体" w:eastAsia="宋体" w:cs="宋体"/>
              <w:szCs w:val="32"/>
            </w:rPr>
            <w:fldChar w:fldCharType="end"/>
          </w:r>
        </w:p>
        <w:p w14:paraId="35797D45">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_Toc22299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highlight w:val="none"/>
              <w:lang w:val="en-US" w:eastAsia="zh-CN"/>
            </w:rPr>
            <w:t>1.5编制的必要性</w:t>
          </w:r>
          <w:r>
            <w:tab/>
          </w:r>
          <w:r>
            <w:fldChar w:fldCharType="begin"/>
          </w:r>
          <w:r>
            <w:instrText xml:space="preserve"> PAGEREF _Toc22299 \h </w:instrText>
          </w:r>
          <w:r>
            <w:fldChar w:fldCharType="separate"/>
          </w:r>
          <w:r>
            <w:t>5</w:t>
          </w:r>
          <w:r>
            <w:fldChar w:fldCharType="end"/>
          </w:r>
          <w:r>
            <w:rPr>
              <w:rFonts w:hint="eastAsia" w:ascii="宋体" w:hAnsi="宋体" w:eastAsia="宋体" w:cs="宋体"/>
              <w:szCs w:val="32"/>
            </w:rPr>
            <w:fldChar w:fldCharType="end"/>
          </w:r>
        </w:p>
        <w:p w14:paraId="1F42B3AD">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_Toc6920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2.1 地理位置及区域概况</w:t>
          </w:r>
          <w:r>
            <w:tab/>
          </w:r>
          <w:r>
            <w:fldChar w:fldCharType="begin"/>
          </w:r>
          <w:r>
            <w:instrText xml:space="preserve"> PAGEREF _Toc6920 \h </w:instrText>
          </w:r>
          <w:r>
            <w:fldChar w:fldCharType="separate"/>
          </w:r>
          <w:r>
            <w:t>6</w:t>
          </w:r>
          <w:r>
            <w:fldChar w:fldCharType="end"/>
          </w:r>
          <w:r>
            <w:rPr>
              <w:rFonts w:hint="eastAsia" w:ascii="宋体" w:hAnsi="宋体" w:eastAsia="宋体" w:cs="宋体"/>
              <w:szCs w:val="32"/>
            </w:rPr>
            <w:fldChar w:fldCharType="end"/>
          </w:r>
        </w:p>
        <w:p w14:paraId="02DE00A8">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_Toc795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2.2 工程基本情况</w:t>
          </w:r>
          <w:r>
            <w:tab/>
          </w:r>
          <w:r>
            <w:fldChar w:fldCharType="begin"/>
          </w:r>
          <w:r>
            <w:instrText xml:space="preserve"> PAGEREF _Toc795 \h </w:instrText>
          </w:r>
          <w:r>
            <w:fldChar w:fldCharType="separate"/>
          </w:r>
          <w:r>
            <w:t>7</w:t>
          </w:r>
          <w:r>
            <w:fldChar w:fldCharType="end"/>
          </w:r>
          <w:r>
            <w:rPr>
              <w:rFonts w:hint="eastAsia" w:ascii="宋体" w:hAnsi="宋体" w:eastAsia="宋体" w:cs="宋体"/>
              <w:szCs w:val="32"/>
            </w:rPr>
            <w:fldChar w:fldCharType="end"/>
          </w:r>
        </w:p>
        <w:p w14:paraId="53E1BE6C">
          <w:pPr>
            <w:pStyle w:val="22"/>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_Toc28785 </w:instrText>
          </w:r>
          <w:r>
            <w:rPr>
              <w:rFonts w:hint="eastAsia" w:ascii="宋体" w:hAnsi="宋体" w:eastAsia="宋体" w:cs="宋体"/>
              <w:szCs w:val="32"/>
            </w:rPr>
            <w:fldChar w:fldCharType="separate"/>
          </w:r>
          <w:r>
            <w:rPr>
              <w:rFonts w:hint="eastAsia" w:ascii="宋体" w:hAnsi="宋体" w:eastAsia="方正小标宋_GBK" w:cs="方正小标宋_GBK"/>
              <w:bCs/>
              <w:szCs w:val="44"/>
            </w:rPr>
            <w:t xml:space="preserve">第三章 </w:t>
          </w:r>
          <w:r>
            <w:rPr>
              <w:rFonts w:hint="eastAsia" w:ascii="宋体" w:hAnsi="宋体" w:eastAsia="方正小标宋_GBK" w:cs="方正小标宋_GBK"/>
              <w:bCs/>
              <w:kern w:val="2"/>
              <w:szCs w:val="44"/>
              <w:lang w:val="en-US" w:eastAsia="zh-CN" w:bidi="ar-SA"/>
            </w:rPr>
            <w:t>水库水质及污染源现状调查分析</w:t>
          </w:r>
          <w:r>
            <w:tab/>
          </w:r>
          <w:r>
            <w:fldChar w:fldCharType="begin"/>
          </w:r>
          <w:r>
            <w:instrText xml:space="preserve"> PAGEREF _Toc28785 \h </w:instrText>
          </w:r>
          <w:r>
            <w:fldChar w:fldCharType="separate"/>
          </w:r>
          <w:r>
            <w:t>16</w:t>
          </w:r>
          <w:r>
            <w:fldChar w:fldCharType="end"/>
          </w:r>
          <w:r>
            <w:rPr>
              <w:rFonts w:hint="eastAsia" w:ascii="宋体" w:hAnsi="宋体" w:eastAsia="宋体" w:cs="宋体"/>
              <w:szCs w:val="32"/>
            </w:rPr>
            <w:fldChar w:fldCharType="end"/>
          </w:r>
        </w:p>
        <w:p w14:paraId="18C9E099">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_Toc1203 </w:instrText>
          </w:r>
          <w:r>
            <w:rPr>
              <w:rFonts w:hint="eastAsia" w:ascii="宋体" w:hAnsi="宋体" w:eastAsia="宋体" w:cs="宋体"/>
              <w:szCs w:val="32"/>
            </w:rPr>
            <w:fldChar w:fldCharType="separate"/>
          </w:r>
          <w:r>
            <w:rPr>
              <w:rFonts w:hint="eastAsia" w:ascii="宋体" w:hAnsi="宋体" w:eastAsia="方正仿宋_GBK" w:cs="方正仿宋_GBK"/>
              <w:bCs w:val="0"/>
              <w:szCs w:val="32"/>
            </w:rPr>
            <w:t>3.1 周边环境现状调查</w:t>
          </w:r>
          <w:r>
            <w:tab/>
          </w:r>
          <w:r>
            <w:fldChar w:fldCharType="begin"/>
          </w:r>
          <w:r>
            <w:instrText xml:space="preserve"> PAGEREF _Toc1203 \h </w:instrText>
          </w:r>
          <w:r>
            <w:fldChar w:fldCharType="separate"/>
          </w:r>
          <w:r>
            <w:t>16</w:t>
          </w:r>
          <w:r>
            <w:fldChar w:fldCharType="end"/>
          </w:r>
          <w:r>
            <w:rPr>
              <w:rFonts w:hint="eastAsia" w:ascii="宋体" w:hAnsi="宋体" w:eastAsia="宋体" w:cs="宋体"/>
              <w:szCs w:val="32"/>
            </w:rPr>
            <w:fldChar w:fldCharType="end"/>
          </w:r>
        </w:p>
        <w:p w14:paraId="75D78932">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_Toc3152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3.2 水环境近期状况</w:t>
          </w:r>
          <w:r>
            <w:tab/>
          </w:r>
          <w:r>
            <w:fldChar w:fldCharType="begin"/>
          </w:r>
          <w:r>
            <w:instrText xml:space="preserve"> PAGEREF _Toc3152 \h </w:instrText>
          </w:r>
          <w:r>
            <w:fldChar w:fldCharType="separate"/>
          </w:r>
          <w:r>
            <w:t>17</w:t>
          </w:r>
          <w:r>
            <w:fldChar w:fldCharType="end"/>
          </w:r>
          <w:r>
            <w:rPr>
              <w:rFonts w:hint="eastAsia" w:ascii="宋体" w:hAnsi="宋体" w:eastAsia="宋体" w:cs="宋体"/>
              <w:szCs w:val="32"/>
            </w:rPr>
            <w:fldChar w:fldCharType="end"/>
          </w:r>
        </w:p>
        <w:p w14:paraId="49B34B38">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_Toc23744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rPr>
            <w:t>3.3 水库周边污染源现状调查</w:t>
          </w:r>
          <w:r>
            <w:tab/>
          </w:r>
          <w:r>
            <w:fldChar w:fldCharType="begin"/>
          </w:r>
          <w:r>
            <w:instrText xml:space="preserve"> PAGEREF _Toc23744 \h </w:instrText>
          </w:r>
          <w:r>
            <w:fldChar w:fldCharType="separate"/>
          </w:r>
          <w:r>
            <w:t>18</w:t>
          </w:r>
          <w:r>
            <w:fldChar w:fldCharType="end"/>
          </w:r>
          <w:r>
            <w:rPr>
              <w:rFonts w:hint="eastAsia" w:ascii="宋体" w:hAnsi="宋体" w:eastAsia="宋体" w:cs="宋体"/>
              <w:szCs w:val="32"/>
            </w:rPr>
            <w:fldChar w:fldCharType="end"/>
          </w:r>
        </w:p>
        <w:p w14:paraId="571B988A">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_Toc22597 </w:instrText>
          </w:r>
          <w:r>
            <w:rPr>
              <w:rFonts w:hint="eastAsia" w:ascii="宋体" w:hAnsi="宋体" w:eastAsia="宋体" w:cs="宋体"/>
              <w:szCs w:val="32"/>
            </w:rPr>
            <w:fldChar w:fldCharType="separate"/>
          </w:r>
          <w:r>
            <w:rPr>
              <w:rFonts w:hint="eastAsia" w:ascii="宋体" w:hAnsi="宋体" w:eastAsia="方正仿宋_GBK" w:cs="方正仿宋_GBK"/>
              <w:bCs/>
              <w:szCs w:val="32"/>
              <w:lang w:val="en-US" w:eastAsia="zh-CN"/>
            </w:rPr>
            <w:t>3.3.1</w:t>
          </w:r>
          <w:r>
            <w:rPr>
              <w:rFonts w:hint="eastAsia" w:ascii="宋体" w:hAnsi="宋体" w:eastAsia="方正仿宋_GBK" w:cs="方正仿宋_GBK"/>
              <w:bCs/>
              <w:szCs w:val="32"/>
            </w:rPr>
            <w:t xml:space="preserve"> 外源污染情况</w:t>
          </w:r>
          <w:r>
            <w:tab/>
          </w:r>
          <w:r>
            <w:fldChar w:fldCharType="begin"/>
          </w:r>
          <w:r>
            <w:instrText xml:space="preserve"> PAGEREF _Toc22597 \h </w:instrText>
          </w:r>
          <w:r>
            <w:fldChar w:fldCharType="separate"/>
          </w:r>
          <w:r>
            <w:t>18</w:t>
          </w:r>
          <w:r>
            <w:fldChar w:fldCharType="end"/>
          </w:r>
          <w:r>
            <w:rPr>
              <w:rFonts w:hint="eastAsia" w:ascii="宋体" w:hAnsi="宋体" w:eastAsia="宋体" w:cs="宋体"/>
              <w:szCs w:val="32"/>
            </w:rPr>
            <w:fldChar w:fldCharType="end"/>
          </w:r>
        </w:p>
        <w:p w14:paraId="4D23C7A3">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_Toc30504 </w:instrText>
          </w:r>
          <w:r>
            <w:rPr>
              <w:rFonts w:hint="eastAsia" w:ascii="宋体" w:hAnsi="宋体" w:eastAsia="宋体" w:cs="宋体"/>
              <w:szCs w:val="32"/>
            </w:rPr>
            <w:fldChar w:fldCharType="separate"/>
          </w:r>
          <w:r>
            <w:rPr>
              <w:rFonts w:hint="eastAsia" w:ascii="宋体" w:hAnsi="宋体" w:eastAsia="方正仿宋_GBK" w:cs="方正仿宋_GBK"/>
              <w:bCs/>
              <w:szCs w:val="32"/>
              <w:lang w:val="en-US" w:eastAsia="zh-CN"/>
            </w:rPr>
            <w:t>3.3.2</w:t>
          </w:r>
          <w:r>
            <w:rPr>
              <w:rFonts w:hint="eastAsia" w:ascii="宋体" w:hAnsi="宋体" w:eastAsia="方正仿宋_GBK" w:cs="方正仿宋_GBK"/>
              <w:bCs/>
              <w:szCs w:val="32"/>
            </w:rPr>
            <w:t>内源污染情况</w:t>
          </w:r>
          <w:r>
            <w:tab/>
          </w:r>
          <w:r>
            <w:fldChar w:fldCharType="begin"/>
          </w:r>
          <w:r>
            <w:instrText xml:space="preserve"> PAGEREF _Toc30504 \h </w:instrText>
          </w:r>
          <w:r>
            <w:fldChar w:fldCharType="separate"/>
          </w:r>
          <w:r>
            <w:t>20</w:t>
          </w:r>
          <w:r>
            <w:fldChar w:fldCharType="end"/>
          </w:r>
          <w:r>
            <w:rPr>
              <w:rFonts w:hint="eastAsia" w:ascii="宋体" w:hAnsi="宋体" w:eastAsia="宋体" w:cs="宋体"/>
              <w:szCs w:val="32"/>
            </w:rPr>
            <w:fldChar w:fldCharType="end"/>
          </w:r>
        </w:p>
        <w:p w14:paraId="396E05A4">
          <w:pPr>
            <w:pStyle w:val="22"/>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_Toc7772 </w:instrText>
          </w:r>
          <w:r>
            <w:rPr>
              <w:rFonts w:hint="eastAsia" w:ascii="宋体" w:hAnsi="宋体" w:eastAsia="宋体" w:cs="宋体"/>
              <w:szCs w:val="32"/>
            </w:rPr>
            <w:fldChar w:fldCharType="separate"/>
          </w:r>
          <w:r>
            <w:rPr>
              <w:rFonts w:hint="eastAsia" w:ascii="宋体" w:hAnsi="宋体" w:eastAsia="方正小标宋_GBK" w:cs="方正小标宋_GBK"/>
              <w:bCs w:val="0"/>
              <w:kern w:val="44"/>
              <w:szCs w:val="44"/>
              <w:highlight w:val="none"/>
              <w:lang w:val="en-US" w:eastAsia="zh-CN" w:bidi="ar-SA"/>
            </w:rPr>
            <w:t>第四章 水面开发项目设计方案</w:t>
          </w:r>
          <w:r>
            <w:tab/>
          </w:r>
          <w:r>
            <w:fldChar w:fldCharType="begin"/>
          </w:r>
          <w:r>
            <w:instrText xml:space="preserve"> PAGEREF _Toc7772 \h </w:instrText>
          </w:r>
          <w:r>
            <w:fldChar w:fldCharType="separate"/>
          </w:r>
          <w:r>
            <w:t>20</w:t>
          </w:r>
          <w:r>
            <w:fldChar w:fldCharType="end"/>
          </w:r>
          <w:r>
            <w:rPr>
              <w:rFonts w:hint="eastAsia" w:ascii="宋体" w:hAnsi="宋体" w:eastAsia="宋体" w:cs="宋体"/>
              <w:szCs w:val="32"/>
            </w:rPr>
            <w:fldChar w:fldCharType="end"/>
          </w:r>
        </w:p>
        <w:p w14:paraId="0564207D">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_Toc13460 </w:instrText>
          </w:r>
          <w:r>
            <w:rPr>
              <w:rFonts w:hint="eastAsia" w:ascii="宋体" w:hAnsi="宋体" w:eastAsia="宋体" w:cs="宋体"/>
              <w:szCs w:val="32"/>
            </w:rPr>
            <w:fldChar w:fldCharType="separate"/>
          </w:r>
          <w:r>
            <w:rPr>
              <w:rFonts w:hint="eastAsia" w:ascii="宋体" w:hAnsi="宋体" w:eastAsia="方正仿宋_GBK" w:cs="方正仿宋_GBK"/>
              <w:bCs w:val="0"/>
              <w:szCs w:val="32"/>
              <w:highlight w:val="none"/>
              <w:lang w:val="en-US" w:eastAsia="zh-CN"/>
            </w:rPr>
            <w:t>4</w:t>
          </w:r>
          <w:r>
            <w:rPr>
              <w:rFonts w:hint="eastAsia" w:ascii="宋体" w:hAnsi="宋体" w:eastAsia="方正仿宋_GBK" w:cs="方正仿宋_GBK"/>
              <w:bCs w:val="0"/>
              <w:szCs w:val="32"/>
              <w:highlight w:val="none"/>
            </w:rPr>
            <w:t>.1 项目总体规划</w:t>
          </w:r>
          <w:r>
            <w:tab/>
          </w:r>
          <w:r>
            <w:fldChar w:fldCharType="begin"/>
          </w:r>
          <w:r>
            <w:instrText xml:space="preserve"> PAGEREF _Toc13460 \h </w:instrText>
          </w:r>
          <w:r>
            <w:fldChar w:fldCharType="separate"/>
          </w:r>
          <w:r>
            <w:t>20</w:t>
          </w:r>
          <w:r>
            <w:fldChar w:fldCharType="end"/>
          </w:r>
          <w:r>
            <w:rPr>
              <w:rFonts w:hint="eastAsia" w:ascii="宋体" w:hAnsi="宋体" w:eastAsia="宋体" w:cs="宋体"/>
              <w:szCs w:val="32"/>
            </w:rPr>
            <w:fldChar w:fldCharType="end"/>
          </w:r>
        </w:p>
        <w:p w14:paraId="0529D74A">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_Toc18468 </w:instrText>
          </w:r>
          <w:r>
            <w:rPr>
              <w:rFonts w:hint="eastAsia" w:ascii="宋体" w:hAnsi="宋体" w:eastAsia="宋体" w:cs="宋体"/>
              <w:szCs w:val="32"/>
            </w:rPr>
            <w:fldChar w:fldCharType="separate"/>
          </w:r>
          <w:r>
            <w:rPr>
              <w:rFonts w:hint="eastAsia" w:ascii="宋体" w:hAnsi="宋体" w:eastAsia="方正仿宋_GBK" w:cs="方正仿宋_GBK"/>
              <w:bCs/>
              <w:szCs w:val="32"/>
              <w:lang w:val="en-US" w:eastAsia="zh-CN"/>
            </w:rPr>
            <w:t>4.1.2 功能分区与空间布局</w:t>
          </w:r>
          <w:r>
            <w:rPr>
              <w:rFonts w:hint="eastAsia" w:ascii="宋体" w:hAnsi="宋体" w:eastAsia="方正仿宋_GBK" w:cs="方正仿宋_GBK"/>
              <w:bCs w:val="0"/>
              <w:szCs w:val="32"/>
              <w:highlight w:val="none"/>
              <w:lang w:val="en-US" w:eastAsia="zh-CN"/>
            </w:rPr>
            <w:t>‌</w:t>
          </w:r>
          <w:r>
            <w:tab/>
          </w:r>
          <w:r>
            <w:fldChar w:fldCharType="begin"/>
          </w:r>
          <w:r>
            <w:instrText xml:space="preserve"> PAGEREF _Toc18468 \h </w:instrText>
          </w:r>
          <w:r>
            <w:fldChar w:fldCharType="separate"/>
          </w:r>
          <w:r>
            <w:t>21</w:t>
          </w:r>
          <w:r>
            <w:fldChar w:fldCharType="end"/>
          </w:r>
          <w:r>
            <w:rPr>
              <w:rFonts w:hint="eastAsia" w:ascii="宋体" w:hAnsi="宋体" w:eastAsia="宋体" w:cs="宋体"/>
              <w:szCs w:val="32"/>
            </w:rPr>
            <w:fldChar w:fldCharType="end"/>
          </w:r>
        </w:p>
        <w:p w14:paraId="3ADE9B91">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_Toc23995 </w:instrText>
          </w:r>
          <w:r>
            <w:rPr>
              <w:rFonts w:hint="eastAsia" w:ascii="宋体" w:hAnsi="宋体" w:eastAsia="宋体" w:cs="宋体"/>
              <w:szCs w:val="32"/>
            </w:rPr>
            <w:fldChar w:fldCharType="separate"/>
          </w:r>
          <w:r>
            <w:rPr>
              <w:rFonts w:hint="eastAsia" w:ascii="宋体" w:hAnsi="宋体" w:eastAsia="方正仿宋_GBK" w:cs="方正仿宋_GBK"/>
              <w:bCs w:val="0"/>
              <w:szCs w:val="32"/>
              <w:highlight w:val="none"/>
              <w:lang w:val="en-US" w:eastAsia="zh-CN"/>
            </w:rPr>
            <w:t>4.2设计原则</w:t>
          </w:r>
          <w:r>
            <w:tab/>
          </w:r>
          <w:r>
            <w:fldChar w:fldCharType="begin"/>
          </w:r>
          <w:r>
            <w:instrText xml:space="preserve"> PAGEREF _Toc23995 \h </w:instrText>
          </w:r>
          <w:r>
            <w:fldChar w:fldCharType="separate"/>
          </w:r>
          <w:r>
            <w:t>21</w:t>
          </w:r>
          <w:r>
            <w:fldChar w:fldCharType="end"/>
          </w:r>
          <w:r>
            <w:rPr>
              <w:rFonts w:hint="eastAsia" w:ascii="宋体" w:hAnsi="宋体" w:eastAsia="宋体" w:cs="宋体"/>
              <w:szCs w:val="32"/>
            </w:rPr>
            <w:fldChar w:fldCharType="end"/>
          </w:r>
        </w:p>
        <w:p w14:paraId="0D24D872">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_Toc29519 </w:instrText>
          </w:r>
          <w:r>
            <w:rPr>
              <w:rFonts w:hint="eastAsia" w:ascii="宋体" w:hAnsi="宋体" w:eastAsia="宋体" w:cs="宋体"/>
              <w:szCs w:val="32"/>
            </w:rPr>
            <w:fldChar w:fldCharType="separate"/>
          </w:r>
          <w:r>
            <w:rPr>
              <w:rFonts w:hint="eastAsia" w:ascii="宋体" w:hAnsi="宋体" w:eastAsia="方正仿宋_GBK" w:cs="方正仿宋_GBK"/>
              <w:bCs w:val="0"/>
              <w:szCs w:val="32"/>
              <w:highlight w:val="none"/>
              <w:lang w:val="en-US" w:eastAsia="zh-CN"/>
            </w:rPr>
            <w:t>4</w:t>
          </w:r>
          <w:r>
            <w:rPr>
              <w:rFonts w:hint="eastAsia" w:ascii="宋体" w:hAnsi="宋体" w:eastAsia="方正仿宋_GBK" w:cs="方正仿宋_GBK"/>
              <w:bCs w:val="0"/>
              <w:szCs w:val="32"/>
              <w:highlight w:val="none"/>
            </w:rPr>
            <w:t>.</w:t>
          </w:r>
          <w:r>
            <w:rPr>
              <w:rFonts w:hint="eastAsia" w:ascii="宋体" w:hAnsi="宋体" w:eastAsia="方正仿宋_GBK" w:cs="方正仿宋_GBK"/>
              <w:bCs w:val="0"/>
              <w:szCs w:val="32"/>
              <w:highlight w:val="none"/>
              <w:lang w:val="en-US" w:eastAsia="zh-CN"/>
            </w:rPr>
            <w:t>3</w:t>
          </w:r>
          <w:r>
            <w:rPr>
              <w:rFonts w:hint="eastAsia" w:ascii="宋体" w:hAnsi="宋体" w:eastAsia="方正仿宋_GBK" w:cs="方正仿宋_GBK"/>
              <w:bCs w:val="0"/>
              <w:szCs w:val="32"/>
              <w:highlight w:val="none"/>
            </w:rPr>
            <w:t xml:space="preserve"> </w:t>
          </w:r>
          <w:r>
            <w:rPr>
              <w:rFonts w:hint="eastAsia" w:ascii="宋体" w:hAnsi="宋体" w:eastAsia="方正仿宋_GBK" w:cs="方正仿宋_GBK"/>
              <w:bCs w:val="0"/>
              <w:szCs w:val="32"/>
              <w:highlight w:val="none"/>
              <w:lang w:val="en-US" w:eastAsia="zh-CN"/>
            </w:rPr>
            <w:t>水面开发项目设计</w:t>
          </w:r>
          <w:r>
            <w:tab/>
          </w:r>
          <w:r>
            <w:fldChar w:fldCharType="begin"/>
          </w:r>
          <w:r>
            <w:instrText xml:space="preserve"> PAGEREF _Toc29519 \h </w:instrText>
          </w:r>
          <w:r>
            <w:fldChar w:fldCharType="separate"/>
          </w:r>
          <w:r>
            <w:t>22</w:t>
          </w:r>
          <w:r>
            <w:fldChar w:fldCharType="end"/>
          </w:r>
          <w:r>
            <w:rPr>
              <w:rFonts w:hint="eastAsia" w:ascii="宋体" w:hAnsi="宋体" w:eastAsia="宋体" w:cs="宋体"/>
              <w:szCs w:val="32"/>
            </w:rPr>
            <w:fldChar w:fldCharType="end"/>
          </w:r>
        </w:p>
        <w:p w14:paraId="2819534D">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_Toc6651 </w:instrText>
          </w:r>
          <w:r>
            <w:rPr>
              <w:rFonts w:hint="eastAsia" w:ascii="宋体" w:hAnsi="宋体" w:eastAsia="宋体" w:cs="宋体"/>
              <w:szCs w:val="32"/>
            </w:rPr>
            <w:fldChar w:fldCharType="separate"/>
          </w:r>
          <w:r>
            <w:rPr>
              <w:rFonts w:hint="eastAsia" w:ascii="宋体" w:hAnsi="宋体" w:eastAsia="方正仿宋_GBK" w:cs="方正仿宋_GBK"/>
              <w:bCs w:val="0"/>
              <w:szCs w:val="32"/>
              <w:highlight w:val="none"/>
              <w:lang w:val="en-US" w:eastAsia="zh-CN"/>
            </w:rPr>
            <w:t>4.4基础设施建设</w:t>
          </w:r>
          <w:r>
            <w:tab/>
          </w:r>
          <w:r>
            <w:fldChar w:fldCharType="begin"/>
          </w:r>
          <w:r>
            <w:instrText xml:space="preserve"> PAGEREF _Toc6651 \h </w:instrText>
          </w:r>
          <w:r>
            <w:fldChar w:fldCharType="separate"/>
          </w:r>
          <w:r>
            <w:t>29</w:t>
          </w:r>
          <w:r>
            <w:fldChar w:fldCharType="end"/>
          </w:r>
          <w:r>
            <w:rPr>
              <w:rFonts w:hint="eastAsia" w:ascii="宋体" w:hAnsi="宋体" w:eastAsia="宋体" w:cs="宋体"/>
              <w:szCs w:val="32"/>
            </w:rPr>
            <w:fldChar w:fldCharType="end"/>
          </w:r>
        </w:p>
        <w:p w14:paraId="350C0F4D">
          <w:pPr>
            <w:pStyle w:val="22"/>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_Toc28781 </w:instrText>
          </w:r>
          <w:r>
            <w:rPr>
              <w:rFonts w:hint="eastAsia" w:ascii="宋体" w:hAnsi="宋体" w:eastAsia="宋体" w:cs="宋体"/>
              <w:szCs w:val="32"/>
            </w:rPr>
            <w:fldChar w:fldCharType="separate"/>
          </w:r>
          <w:r>
            <w:rPr>
              <w:rFonts w:hint="eastAsia" w:ascii="宋体" w:hAnsi="宋体" w:eastAsia="方正小标宋_GBK" w:cs="方正小标宋_GBK"/>
              <w:bCs/>
              <w:szCs w:val="44"/>
            </w:rPr>
            <w:t>第</w:t>
          </w:r>
          <w:r>
            <w:rPr>
              <w:rFonts w:hint="eastAsia" w:ascii="宋体" w:hAnsi="宋体" w:eastAsia="方正小标宋_GBK" w:cs="方正小标宋_GBK"/>
              <w:bCs/>
              <w:szCs w:val="44"/>
              <w:lang w:val="en-US" w:eastAsia="zh-CN"/>
            </w:rPr>
            <w:t>五</w:t>
          </w:r>
          <w:r>
            <w:rPr>
              <w:rFonts w:hint="eastAsia" w:ascii="宋体" w:hAnsi="宋体" w:eastAsia="方正小标宋_GBK" w:cs="方正小标宋_GBK"/>
              <w:bCs/>
              <w:szCs w:val="44"/>
            </w:rPr>
            <w:t>章</w:t>
          </w:r>
          <w:r>
            <w:rPr>
              <w:rFonts w:hint="eastAsia" w:ascii="宋体" w:hAnsi="宋体" w:eastAsia="方正小标宋_GBK" w:cs="方正小标宋_GBK"/>
              <w:bCs/>
              <w:szCs w:val="44"/>
              <w:lang w:val="en-US" w:eastAsia="zh-CN"/>
            </w:rPr>
            <w:t xml:space="preserve">  </w:t>
          </w:r>
          <w:r>
            <w:rPr>
              <w:rFonts w:hint="eastAsia" w:ascii="宋体" w:hAnsi="宋体" w:eastAsia="方正小标宋_GBK" w:cs="方正小标宋_GBK"/>
              <w:bCs/>
              <w:szCs w:val="44"/>
            </w:rPr>
            <w:t>营运预测分析</w:t>
          </w:r>
          <w:r>
            <w:tab/>
          </w:r>
          <w:r>
            <w:fldChar w:fldCharType="begin"/>
          </w:r>
          <w:r>
            <w:instrText xml:space="preserve"> PAGEREF _Toc28781 \h </w:instrText>
          </w:r>
          <w:r>
            <w:fldChar w:fldCharType="separate"/>
          </w:r>
          <w:r>
            <w:t>34</w:t>
          </w:r>
          <w:r>
            <w:fldChar w:fldCharType="end"/>
          </w:r>
          <w:r>
            <w:rPr>
              <w:rFonts w:hint="eastAsia" w:ascii="宋体" w:hAnsi="宋体" w:eastAsia="宋体" w:cs="宋体"/>
              <w:szCs w:val="32"/>
            </w:rPr>
            <w:fldChar w:fldCharType="end"/>
          </w:r>
        </w:p>
        <w:p w14:paraId="0166E4F1">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_Toc19364 </w:instrText>
          </w:r>
          <w:r>
            <w:rPr>
              <w:rFonts w:hint="eastAsia" w:ascii="宋体" w:hAnsi="宋体" w:eastAsia="宋体" w:cs="宋体"/>
              <w:szCs w:val="32"/>
            </w:rPr>
            <w:fldChar w:fldCharType="separate"/>
          </w:r>
          <w:r>
            <w:rPr>
              <w:rFonts w:hint="eastAsia" w:ascii="宋体" w:hAnsi="宋体" w:eastAsia="方正仿宋_GBK" w:cs="方正仿宋_GBK"/>
              <w:bCs/>
              <w:kern w:val="44"/>
              <w:szCs w:val="32"/>
              <w:lang w:val="en-US" w:eastAsia="zh-CN"/>
            </w:rPr>
            <w:t>5</w:t>
          </w:r>
          <w:r>
            <w:rPr>
              <w:rFonts w:hint="eastAsia" w:ascii="宋体" w:hAnsi="宋体" w:eastAsia="方正仿宋_GBK" w:cs="方正仿宋_GBK"/>
              <w:bCs/>
              <w:kern w:val="44"/>
              <w:szCs w:val="32"/>
            </w:rPr>
            <w:t xml:space="preserve">.1 </w:t>
          </w:r>
          <w:r>
            <w:rPr>
              <w:rFonts w:hint="eastAsia" w:ascii="宋体" w:hAnsi="宋体" w:eastAsia="方正仿宋_GBK" w:cs="方正仿宋_GBK"/>
              <w:bCs/>
              <w:kern w:val="44"/>
              <w:szCs w:val="32"/>
              <w:lang w:val="en-US" w:eastAsia="zh-CN"/>
            </w:rPr>
            <w:t>项目</w:t>
          </w:r>
          <w:r>
            <w:rPr>
              <w:rFonts w:hint="eastAsia" w:ascii="宋体" w:hAnsi="宋体" w:eastAsia="方正仿宋_GBK" w:cs="方正仿宋_GBK"/>
              <w:bCs/>
              <w:kern w:val="44"/>
              <w:szCs w:val="32"/>
            </w:rPr>
            <w:t>投资成本分析</w:t>
          </w:r>
          <w:r>
            <w:tab/>
          </w:r>
          <w:r>
            <w:fldChar w:fldCharType="begin"/>
          </w:r>
          <w:r>
            <w:instrText xml:space="preserve"> PAGEREF _Toc19364 \h </w:instrText>
          </w:r>
          <w:r>
            <w:fldChar w:fldCharType="separate"/>
          </w:r>
          <w:r>
            <w:t>34</w:t>
          </w:r>
          <w:r>
            <w:fldChar w:fldCharType="end"/>
          </w:r>
          <w:r>
            <w:rPr>
              <w:rFonts w:hint="eastAsia" w:ascii="宋体" w:hAnsi="宋体" w:eastAsia="宋体" w:cs="宋体"/>
              <w:szCs w:val="32"/>
            </w:rPr>
            <w:fldChar w:fldCharType="end"/>
          </w:r>
        </w:p>
        <w:p w14:paraId="3CEDB7B3">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_Toc9356 </w:instrText>
          </w:r>
          <w:r>
            <w:rPr>
              <w:rFonts w:hint="eastAsia" w:ascii="宋体" w:hAnsi="宋体" w:eastAsia="宋体" w:cs="宋体"/>
              <w:szCs w:val="32"/>
            </w:rPr>
            <w:fldChar w:fldCharType="separate"/>
          </w:r>
          <w:r>
            <w:rPr>
              <w:rFonts w:hint="eastAsia" w:ascii="宋体" w:hAnsi="宋体" w:eastAsia="方正仿宋_GBK" w:cs="方正仿宋_GBK"/>
              <w:bCs w:val="0"/>
              <w:szCs w:val="32"/>
              <w:highlight w:val="none"/>
              <w:lang w:val="en-US" w:eastAsia="zh-CN"/>
            </w:rPr>
            <w:t>5.1.4基础设施建设</w:t>
          </w:r>
          <w:r>
            <w:tab/>
          </w:r>
          <w:r>
            <w:fldChar w:fldCharType="begin"/>
          </w:r>
          <w:r>
            <w:instrText xml:space="preserve"> PAGEREF _Toc9356 \h </w:instrText>
          </w:r>
          <w:r>
            <w:fldChar w:fldCharType="separate"/>
          </w:r>
          <w:r>
            <w:t>37</w:t>
          </w:r>
          <w:r>
            <w:fldChar w:fldCharType="end"/>
          </w:r>
          <w:r>
            <w:rPr>
              <w:rFonts w:hint="eastAsia" w:ascii="宋体" w:hAnsi="宋体" w:eastAsia="宋体" w:cs="宋体"/>
              <w:szCs w:val="32"/>
            </w:rPr>
            <w:fldChar w:fldCharType="end"/>
          </w:r>
        </w:p>
        <w:p w14:paraId="74D83DD3">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_Toc1948 </w:instrText>
          </w:r>
          <w:r>
            <w:rPr>
              <w:rFonts w:hint="eastAsia" w:ascii="宋体" w:hAnsi="宋体" w:eastAsia="宋体" w:cs="宋体"/>
              <w:szCs w:val="32"/>
            </w:rPr>
            <w:fldChar w:fldCharType="separate"/>
          </w:r>
          <w:r>
            <w:rPr>
              <w:rFonts w:hint="eastAsia" w:ascii="宋体" w:hAnsi="宋体" w:eastAsia="方正仿宋_GBK" w:cs="方正仿宋_GBK"/>
              <w:bCs w:val="0"/>
              <w:szCs w:val="32"/>
              <w:highlight w:val="none"/>
              <w:lang w:val="en-US" w:eastAsia="zh-CN"/>
            </w:rPr>
            <w:t>5.1.5水库景观打造投入</w:t>
          </w:r>
          <w:r>
            <w:tab/>
          </w:r>
          <w:r>
            <w:fldChar w:fldCharType="begin"/>
          </w:r>
          <w:r>
            <w:instrText xml:space="preserve"> PAGEREF _Toc1948 \h </w:instrText>
          </w:r>
          <w:r>
            <w:fldChar w:fldCharType="separate"/>
          </w:r>
          <w:r>
            <w:t>37</w:t>
          </w:r>
          <w:r>
            <w:fldChar w:fldCharType="end"/>
          </w:r>
          <w:r>
            <w:rPr>
              <w:rFonts w:hint="eastAsia" w:ascii="宋体" w:hAnsi="宋体" w:eastAsia="宋体" w:cs="宋体"/>
              <w:szCs w:val="32"/>
            </w:rPr>
            <w:fldChar w:fldCharType="end"/>
          </w:r>
        </w:p>
        <w:p w14:paraId="18A3E1CB">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_Toc19646 </w:instrText>
          </w:r>
          <w:r>
            <w:rPr>
              <w:rFonts w:hint="eastAsia" w:ascii="宋体" w:hAnsi="宋体" w:eastAsia="宋体" w:cs="宋体"/>
              <w:szCs w:val="32"/>
            </w:rPr>
            <w:fldChar w:fldCharType="separate"/>
          </w:r>
          <w:r>
            <w:rPr>
              <w:rFonts w:hint="eastAsia" w:ascii="宋体" w:hAnsi="宋体" w:eastAsia="方正仿宋_GBK" w:cs="方正仿宋_GBK"/>
              <w:bCs w:val="0"/>
              <w:szCs w:val="32"/>
              <w:lang w:val="en-US" w:eastAsia="zh-CN"/>
            </w:rPr>
            <w:t>5</w:t>
          </w:r>
          <w:r>
            <w:rPr>
              <w:rFonts w:hint="eastAsia" w:ascii="宋体" w:hAnsi="宋体" w:eastAsia="方正仿宋_GBK" w:cs="方正仿宋_GBK"/>
              <w:bCs w:val="0"/>
              <w:szCs w:val="32"/>
            </w:rPr>
            <w:t>.2项目开发</w:t>
          </w:r>
          <w:r>
            <w:rPr>
              <w:rFonts w:hint="eastAsia" w:ascii="宋体" w:hAnsi="宋体" w:eastAsia="方正仿宋_GBK" w:cs="方正仿宋_GBK"/>
              <w:bCs w:val="0"/>
              <w:szCs w:val="32"/>
              <w:lang w:val="en-US" w:eastAsia="zh-CN"/>
            </w:rPr>
            <w:t>资金筹措、总成本测算与预期</w:t>
          </w:r>
          <w:r>
            <w:rPr>
              <w:rFonts w:hint="eastAsia" w:ascii="宋体" w:hAnsi="宋体" w:eastAsia="方正仿宋_GBK" w:cs="方正仿宋_GBK"/>
              <w:bCs w:val="0"/>
              <w:szCs w:val="32"/>
            </w:rPr>
            <w:t>收益分析</w:t>
          </w:r>
          <w:r>
            <w:tab/>
          </w:r>
          <w:r>
            <w:fldChar w:fldCharType="begin"/>
          </w:r>
          <w:r>
            <w:instrText xml:space="preserve"> PAGEREF _Toc19646 \h </w:instrText>
          </w:r>
          <w:r>
            <w:fldChar w:fldCharType="separate"/>
          </w:r>
          <w:r>
            <w:t>40</w:t>
          </w:r>
          <w:r>
            <w:fldChar w:fldCharType="end"/>
          </w:r>
          <w:r>
            <w:rPr>
              <w:rFonts w:hint="eastAsia" w:ascii="宋体" w:hAnsi="宋体" w:eastAsia="宋体" w:cs="宋体"/>
              <w:szCs w:val="32"/>
            </w:rPr>
            <w:fldChar w:fldCharType="end"/>
          </w:r>
        </w:p>
        <w:p w14:paraId="37B7B21F">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_Toc19285 </w:instrText>
          </w:r>
          <w:r>
            <w:rPr>
              <w:rFonts w:hint="eastAsia" w:ascii="宋体" w:hAnsi="宋体" w:eastAsia="宋体" w:cs="宋体"/>
              <w:szCs w:val="32"/>
            </w:rPr>
            <w:fldChar w:fldCharType="separate"/>
          </w:r>
          <w:r>
            <w:rPr>
              <w:rFonts w:hint="eastAsia" w:ascii="宋体" w:hAnsi="宋体" w:eastAsia="方正仿宋_GBK" w:cs="方正仿宋_GBK"/>
              <w:bCs w:val="0"/>
              <w:szCs w:val="32"/>
              <w:lang w:val="en-US" w:eastAsia="zh-CN"/>
            </w:rPr>
            <w:t>5</w:t>
          </w:r>
          <w:r>
            <w:rPr>
              <w:rFonts w:hint="eastAsia" w:ascii="宋体" w:hAnsi="宋体" w:eastAsia="方正仿宋_GBK" w:cs="方正仿宋_GBK"/>
              <w:bCs w:val="0"/>
              <w:szCs w:val="32"/>
            </w:rPr>
            <w:t>.3开发项目</w:t>
          </w:r>
          <w:r>
            <w:rPr>
              <w:rFonts w:hint="eastAsia" w:ascii="宋体" w:hAnsi="宋体" w:eastAsia="方正仿宋_GBK" w:cs="方正仿宋_GBK"/>
              <w:bCs w:val="0"/>
              <w:szCs w:val="32"/>
              <w:highlight w:val="none"/>
            </w:rPr>
            <w:t>20年营运收支</w:t>
          </w:r>
          <w:r>
            <w:rPr>
              <w:rFonts w:hint="eastAsia" w:ascii="宋体" w:hAnsi="宋体" w:eastAsia="方正仿宋_GBK" w:cs="方正仿宋_GBK"/>
              <w:bCs w:val="0"/>
              <w:szCs w:val="32"/>
            </w:rPr>
            <w:t>预测</w:t>
          </w:r>
          <w:r>
            <w:tab/>
          </w:r>
          <w:r>
            <w:fldChar w:fldCharType="begin"/>
          </w:r>
          <w:r>
            <w:instrText xml:space="preserve"> PAGEREF _Toc19285 \h </w:instrText>
          </w:r>
          <w:r>
            <w:fldChar w:fldCharType="separate"/>
          </w:r>
          <w:r>
            <w:t>42</w:t>
          </w:r>
          <w:r>
            <w:fldChar w:fldCharType="end"/>
          </w:r>
          <w:r>
            <w:rPr>
              <w:rFonts w:hint="eastAsia" w:ascii="宋体" w:hAnsi="宋体" w:eastAsia="宋体" w:cs="宋体"/>
              <w:szCs w:val="32"/>
            </w:rPr>
            <w:fldChar w:fldCharType="end"/>
          </w:r>
        </w:p>
        <w:p w14:paraId="17CEA8E0">
          <w:pPr>
            <w:pStyle w:val="22"/>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_Toc23244 </w:instrText>
          </w:r>
          <w:r>
            <w:rPr>
              <w:rFonts w:hint="eastAsia" w:ascii="宋体" w:hAnsi="宋体" w:eastAsia="宋体" w:cs="宋体"/>
              <w:szCs w:val="32"/>
            </w:rPr>
            <w:fldChar w:fldCharType="separate"/>
          </w:r>
          <w:r>
            <w:rPr>
              <w:rFonts w:hint="eastAsia" w:ascii="宋体" w:hAnsi="宋体" w:eastAsia="方正小标宋_GBK" w:cs="方正小标宋_GBK"/>
              <w:bCs w:val="0"/>
              <w:szCs w:val="44"/>
            </w:rPr>
            <w:t>第</w:t>
          </w:r>
          <w:r>
            <w:rPr>
              <w:rFonts w:hint="eastAsia" w:ascii="宋体" w:hAnsi="宋体" w:eastAsia="方正小标宋_GBK" w:cs="方正小标宋_GBK"/>
              <w:bCs w:val="0"/>
              <w:szCs w:val="44"/>
              <w:lang w:val="en-US" w:eastAsia="zh-CN"/>
            </w:rPr>
            <w:t>六</w:t>
          </w:r>
          <w:r>
            <w:rPr>
              <w:rFonts w:hint="eastAsia" w:ascii="宋体" w:hAnsi="宋体" w:eastAsia="方正小标宋_GBK" w:cs="方正小标宋_GBK"/>
              <w:bCs w:val="0"/>
              <w:szCs w:val="44"/>
            </w:rPr>
            <w:t>章 效益分析</w:t>
          </w:r>
          <w:r>
            <w:tab/>
          </w:r>
          <w:r>
            <w:fldChar w:fldCharType="begin"/>
          </w:r>
          <w:r>
            <w:instrText xml:space="preserve"> PAGEREF _Toc23244 \h </w:instrText>
          </w:r>
          <w:r>
            <w:fldChar w:fldCharType="separate"/>
          </w:r>
          <w:r>
            <w:t>44</w:t>
          </w:r>
          <w:r>
            <w:fldChar w:fldCharType="end"/>
          </w:r>
          <w:r>
            <w:rPr>
              <w:rFonts w:hint="eastAsia" w:ascii="宋体" w:hAnsi="宋体" w:eastAsia="宋体" w:cs="宋体"/>
              <w:szCs w:val="32"/>
            </w:rPr>
            <w:fldChar w:fldCharType="end"/>
          </w:r>
        </w:p>
        <w:p w14:paraId="579B742C">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_Toc27424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lang w:val="en-US" w:eastAsia="zh-CN"/>
            </w:rPr>
            <w:t>6</w:t>
          </w:r>
          <w:r>
            <w:rPr>
              <w:rFonts w:hint="eastAsia" w:ascii="宋体" w:hAnsi="宋体" w:eastAsia="方正仿宋_GBK" w:cs="方正仿宋_GBK"/>
              <w:bCs/>
              <w:kern w:val="0"/>
              <w:szCs w:val="32"/>
            </w:rPr>
            <w:t>.1 社会效益</w:t>
          </w:r>
          <w:r>
            <w:tab/>
          </w:r>
          <w:r>
            <w:fldChar w:fldCharType="begin"/>
          </w:r>
          <w:r>
            <w:instrText xml:space="preserve"> PAGEREF _Toc27424 \h </w:instrText>
          </w:r>
          <w:r>
            <w:fldChar w:fldCharType="separate"/>
          </w:r>
          <w:r>
            <w:t>44</w:t>
          </w:r>
          <w:r>
            <w:fldChar w:fldCharType="end"/>
          </w:r>
          <w:r>
            <w:rPr>
              <w:rFonts w:hint="eastAsia" w:ascii="宋体" w:hAnsi="宋体" w:eastAsia="宋体" w:cs="宋体"/>
              <w:szCs w:val="32"/>
            </w:rPr>
            <w:fldChar w:fldCharType="end"/>
          </w:r>
        </w:p>
        <w:p w14:paraId="694D315F">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_Toc7340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lang w:val="en-US" w:eastAsia="zh-CN"/>
            </w:rPr>
            <w:t>6</w:t>
          </w:r>
          <w:r>
            <w:rPr>
              <w:rFonts w:hint="eastAsia" w:ascii="宋体" w:hAnsi="宋体" w:eastAsia="方正仿宋_GBK" w:cs="方正仿宋_GBK"/>
              <w:bCs/>
              <w:kern w:val="0"/>
              <w:szCs w:val="32"/>
            </w:rPr>
            <w:t>.2 生态效益</w:t>
          </w:r>
          <w:r>
            <w:tab/>
          </w:r>
          <w:r>
            <w:fldChar w:fldCharType="begin"/>
          </w:r>
          <w:r>
            <w:instrText xml:space="preserve"> PAGEREF _Toc7340 \h </w:instrText>
          </w:r>
          <w:r>
            <w:fldChar w:fldCharType="separate"/>
          </w:r>
          <w:r>
            <w:t>44</w:t>
          </w:r>
          <w:r>
            <w:fldChar w:fldCharType="end"/>
          </w:r>
          <w:r>
            <w:rPr>
              <w:rFonts w:hint="eastAsia" w:ascii="宋体" w:hAnsi="宋体" w:eastAsia="宋体" w:cs="宋体"/>
              <w:szCs w:val="32"/>
            </w:rPr>
            <w:fldChar w:fldCharType="end"/>
          </w:r>
        </w:p>
        <w:p w14:paraId="760357F4">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_Toc17504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lang w:val="en-US" w:eastAsia="zh-CN"/>
            </w:rPr>
            <w:t>6</w:t>
          </w:r>
          <w:r>
            <w:rPr>
              <w:rFonts w:hint="eastAsia" w:ascii="宋体" w:hAnsi="宋体" w:eastAsia="方正仿宋_GBK" w:cs="方正仿宋_GBK"/>
              <w:bCs/>
              <w:kern w:val="0"/>
              <w:szCs w:val="32"/>
            </w:rPr>
            <w:t>.3 经济效益</w:t>
          </w:r>
          <w:r>
            <w:tab/>
          </w:r>
          <w:r>
            <w:fldChar w:fldCharType="begin"/>
          </w:r>
          <w:r>
            <w:instrText xml:space="preserve"> PAGEREF _Toc17504 \h </w:instrText>
          </w:r>
          <w:r>
            <w:fldChar w:fldCharType="separate"/>
          </w:r>
          <w:r>
            <w:t>46</w:t>
          </w:r>
          <w:r>
            <w:fldChar w:fldCharType="end"/>
          </w:r>
          <w:r>
            <w:rPr>
              <w:rFonts w:hint="eastAsia" w:ascii="宋体" w:hAnsi="宋体" w:eastAsia="宋体" w:cs="宋体"/>
              <w:szCs w:val="32"/>
            </w:rPr>
            <w:fldChar w:fldCharType="end"/>
          </w:r>
        </w:p>
        <w:p w14:paraId="7800754E">
          <w:pPr>
            <w:pStyle w:val="22"/>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_Toc11374 </w:instrText>
          </w:r>
          <w:r>
            <w:rPr>
              <w:rFonts w:hint="eastAsia" w:ascii="宋体" w:hAnsi="宋体" w:eastAsia="宋体" w:cs="宋体"/>
              <w:szCs w:val="32"/>
            </w:rPr>
            <w:fldChar w:fldCharType="separate"/>
          </w:r>
          <w:r>
            <w:rPr>
              <w:rFonts w:hint="eastAsia" w:ascii="宋体" w:hAnsi="宋体" w:eastAsia="方正小标宋_GBK" w:cs="方正小标宋_GBK"/>
              <w:bCs w:val="0"/>
              <w:szCs w:val="44"/>
            </w:rPr>
            <w:t>第</w:t>
          </w:r>
          <w:r>
            <w:rPr>
              <w:rFonts w:hint="eastAsia" w:ascii="宋体" w:hAnsi="宋体" w:eastAsia="方正小标宋_GBK" w:cs="方正小标宋_GBK"/>
              <w:bCs w:val="0"/>
              <w:szCs w:val="44"/>
              <w:lang w:val="en-US" w:eastAsia="zh-CN"/>
            </w:rPr>
            <w:t>七</w:t>
          </w:r>
          <w:r>
            <w:rPr>
              <w:rFonts w:hint="eastAsia" w:ascii="宋体" w:hAnsi="宋体" w:eastAsia="方正小标宋_GBK" w:cs="方正小标宋_GBK"/>
              <w:bCs w:val="0"/>
              <w:szCs w:val="44"/>
            </w:rPr>
            <w:t xml:space="preserve">章 </w:t>
          </w:r>
          <w:r>
            <w:rPr>
              <w:rFonts w:hint="eastAsia" w:ascii="宋体" w:hAnsi="宋体" w:eastAsia="方正小标宋_GBK" w:cs="方正小标宋_GBK"/>
              <w:bCs w:val="0"/>
              <w:szCs w:val="44"/>
              <w:lang w:eastAsia="zh-CN"/>
            </w:rPr>
            <w:t>水面开发利用</w:t>
          </w:r>
          <w:r>
            <w:rPr>
              <w:rFonts w:hint="eastAsia" w:ascii="宋体" w:hAnsi="宋体" w:eastAsia="方正小标宋_GBK" w:cs="方正小标宋_GBK"/>
              <w:bCs w:val="0"/>
              <w:szCs w:val="44"/>
            </w:rPr>
            <w:t>风险评估分析</w:t>
          </w:r>
          <w:r>
            <w:tab/>
          </w:r>
          <w:r>
            <w:fldChar w:fldCharType="begin"/>
          </w:r>
          <w:r>
            <w:instrText xml:space="preserve"> PAGEREF _Toc11374 \h </w:instrText>
          </w:r>
          <w:r>
            <w:fldChar w:fldCharType="separate"/>
          </w:r>
          <w:r>
            <w:t>46</w:t>
          </w:r>
          <w:r>
            <w:fldChar w:fldCharType="end"/>
          </w:r>
          <w:r>
            <w:rPr>
              <w:rFonts w:hint="eastAsia" w:ascii="宋体" w:hAnsi="宋体" w:eastAsia="宋体" w:cs="宋体"/>
              <w:szCs w:val="32"/>
            </w:rPr>
            <w:fldChar w:fldCharType="end"/>
          </w:r>
        </w:p>
        <w:p w14:paraId="37E42148">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_Toc23094 </w:instrText>
          </w:r>
          <w:r>
            <w:rPr>
              <w:rFonts w:hint="eastAsia" w:ascii="宋体" w:hAnsi="宋体" w:eastAsia="宋体" w:cs="宋体"/>
              <w:szCs w:val="32"/>
            </w:rPr>
            <w:fldChar w:fldCharType="separate"/>
          </w:r>
          <w:r>
            <w:rPr>
              <w:rFonts w:hint="eastAsia" w:ascii="宋体" w:hAnsi="宋体" w:eastAsia="方正仿宋_GBK" w:cs="方正仿宋_GBK"/>
              <w:bCs/>
              <w:szCs w:val="32"/>
              <w:lang w:val="en-US" w:eastAsia="zh-CN"/>
            </w:rPr>
            <w:t>7</w:t>
          </w:r>
          <w:r>
            <w:rPr>
              <w:rFonts w:hint="eastAsia" w:ascii="宋体" w:hAnsi="宋体" w:eastAsia="方正仿宋_GBK" w:cs="方正仿宋_GBK"/>
              <w:bCs/>
              <w:szCs w:val="32"/>
            </w:rPr>
            <w:t>.1 市场环境评估</w:t>
          </w:r>
          <w:r>
            <w:tab/>
          </w:r>
          <w:r>
            <w:fldChar w:fldCharType="begin"/>
          </w:r>
          <w:r>
            <w:instrText xml:space="preserve"> PAGEREF _Toc23094 \h </w:instrText>
          </w:r>
          <w:r>
            <w:fldChar w:fldCharType="separate"/>
          </w:r>
          <w:r>
            <w:t>46</w:t>
          </w:r>
          <w:r>
            <w:fldChar w:fldCharType="end"/>
          </w:r>
          <w:r>
            <w:rPr>
              <w:rFonts w:hint="eastAsia" w:ascii="宋体" w:hAnsi="宋体" w:eastAsia="宋体" w:cs="宋体"/>
              <w:szCs w:val="32"/>
            </w:rPr>
            <w:fldChar w:fldCharType="end"/>
          </w:r>
        </w:p>
        <w:p w14:paraId="7182B79B">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_Toc21687 </w:instrText>
          </w:r>
          <w:r>
            <w:rPr>
              <w:rFonts w:hint="eastAsia" w:ascii="宋体" w:hAnsi="宋体" w:eastAsia="宋体" w:cs="宋体"/>
              <w:szCs w:val="32"/>
            </w:rPr>
            <w:fldChar w:fldCharType="separate"/>
          </w:r>
          <w:r>
            <w:rPr>
              <w:rFonts w:hint="eastAsia" w:ascii="宋体" w:hAnsi="宋体" w:eastAsia="方正仿宋_GBK" w:cs="方正仿宋_GBK"/>
              <w:bCs w:val="0"/>
              <w:szCs w:val="32"/>
              <w:lang w:val="en-US" w:eastAsia="zh-CN"/>
            </w:rPr>
            <w:t>7</w:t>
          </w:r>
          <w:r>
            <w:rPr>
              <w:rFonts w:hint="eastAsia" w:ascii="宋体" w:hAnsi="宋体" w:eastAsia="方正仿宋_GBK" w:cs="方正仿宋_GBK"/>
              <w:bCs w:val="0"/>
              <w:szCs w:val="32"/>
            </w:rPr>
            <w:t>.2</w:t>
          </w:r>
          <w:r>
            <w:rPr>
              <w:rFonts w:hint="eastAsia" w:ascii="宋体" w:hAnsi="宋体" w:eastAsia="方正仿宋_GBK" w:cs="方正仿宋_GBK"/>
              <w:bCs w:val="0"/>
              <w:szCs w:val="32"/>
              <w:lang w:eastAsia="zh-CN"/>
            </w:rPr>
            <w:t>水面开发利用</w:t>
          </w:r>
          <w:r>
            <w:rPr>
              <w:rFonts w:hint="eastAsia" w:ascii="宋体" w:hAnsi="宋体" w:eastAsia="方正仿宋_GBK" w:cs="方正仿宋_GBK"/>
              <w:bCs w:val="0"/>
              <w:szCs w:val="32"/>
            </w:rPr>
            <w:t>风险评估</w:t>
          </w:r>
          <w:r>
            <w:tab/>
          </w:r>
          <w:r>
            <w:fldChar w:fldCharType="begin"/>
          </w:r>
          <w:r>
            <w:instrText xml:space="preserve"> PAGEREF _Toc21687 \h </w:instrText>
          </w:r>
          <w:r>
            <w:fldChar w:fldCharType="separate"/>
          </w:r>
          <w:r>
            <w:t>48</w:t>
          </w:r>
          <w:r>
            <w:fldChar w:fldCharType="end"/>
          </w:r>
          <w:r>
            <w:rPr>
              <w:rFonts w:hint="eastAsia" w:ascii="宋体" w:hAnsi="宋体" w:eastAsia="宋体" w:cs="宋体"/>
              <w:szCs w:val="32"/>
            </w:rPr>
            <w:fldChar w:fldCharType="end"/>
          </w:r>
        </w:p>
        <w:p w14:paraId="3FF52F16">
          <w:pPr>
            <w:pStyle w:val="22"/>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_Toc30869 </w:instrText>
          </w:r>
          <w:r>
            <w:rPr>
              <w:rFonts w:hint="eastAsia" w:ascii="宋体" w:hAnsi="宋体" w:eastAsia="宋体" w:cs="宋体"/>
              <w:szCs w:val="32"/>
            </w:rPr>
            <w:fldChar w:fldCharType="separate"/>
          </w:r>
          <w:r>
            <w:rPr>
              <w:rFonts w:hint="eastAsia" w:ascii="宋体" w:hAnsi="宋体" w:eastAsia="方正小标宋_GBK" w:cs="方正小标宋_GBK"/>
              <w:bCs w:val="0"/>
              <w:szCs w:val="44"/>
            </w:rPr>
            <w:t>第</w:t>
          </w:r>
          <w:r>
            <w:rPr>
              <w:rFonts w:hint="eastAsia" w:ascii="宋体" w:hAnsi="宋体" w:eastAsia="方正小标宋_GBK" w:cs="方正小标宋_GBK"/>
              <w:bCs w:val="0"/>
              <w:szCs w:val="44"/>
              <w:lang w:val="en-US" w:eastAsia="zh-CN"/>
            </w:rPr>
            <w:t>八</w:t>
          </w:r>
          <w:r>
            <w:rPr>
              <w:rFonts w:hint="eastAsia" w:ascii="宋体" w:hAnsi="宋体" w:eastAsia="方正小标宋_GBK" w:cs="方正小标宋_GBK"/>
              <w:bCs w:val="0"/>
              <w:szCs w:val="44"/>
            </w:rPr>
            <w:t xml:space="preserve">章 </w:t>
          </w:r>
          <w:r>
            <w:rPr>
              <w:rFonts w:hint="eastAsia" w:ascii="宋体" w:hAnsi="宋体" w:eastAsia="方正小标宋_GBK" w:cs="方正小标宋_GBK"/>
              <w:bCs w:val="0"/>
              <w:szCs w:val="44"/>
              <w:lang w:eastAsia="zh-CN"/>
            </w:rPr>
            <w:t>水面开发利用</w:t>
          </w:r>
          <w:r>
            <w:rPr>
              <w:rFonts w:hint="eastAsia" w:ascii="宋体" w:hAnsi="宋体" w:eastAsia="方正小标宋_GBK" w:cs="方正小标宋_GBK"/>
              <w:bCs w:val="0"/>
              <w:szCs w:val="44"/>
            </w:rPr>
            <w:t>对水库水质的影响分析及保障措施</w:t>
          </w:r>
          <w:r>
            <w:tab/>
          </w:r>
          <w:r>
            <w:fldChar w:fldCharType="begin"/>
          </w:r>
          <w:r>
            <w:instrText xml:space="preserve"> PAGEREF _Toc30869 \h </w:instrText>
          </w:r>
          <w:r>
            <w:fldChar w:fldCharType="separate"/>
          </w:r>
          <w:r>
            <w:t>50</w:t>
          </w:r>
          <w:r>
            <w:fldChar w:fldCharType="end"/>
          </w:r>
          <w:r>
            <w:rPr>
              <w:rFonts w:hint="eastAsia" w:ascii="宋体" w:hAnsi="宋体" w:eastAsia="宋体" w:cs="宋体"/>
              <w:szCs w:val="32"/>
            </w:rPr>
            <w:fldChar w:fldCharType="end"/>
          </w:r>
        </w:p>
        <w:p w14:paraId="689A988F">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_Toc13838 </w:instrText>
          </w:r>
          <w:r>
            <w:rPr>
              <w:rFonts w:hint="eastAsia" w:ascii="宋体" w:hAnsi="宋体" w:eastAsia="宋体" w:cs="宋体"/>
              <w:szCs w:val="32"/>
            </w:rPr>
            <w:fldChar w:fldCharType="separate"/>
          </w:r>
          <w:r>
            <w:rPr>
              <w:rFonts w:hint="eastAsia" w:ascii="宋体" w:hAnsi="宋体" w:eastAsia="方正仿宋_GBK" w:cs="方正仿宋_GBK"/>
              <w:bCs/>
              <w:szCs w:val="32"/>
              <w:highlight w:val="none"/>
              <w:lang w:val="en-US" w:eastAsia="zh-CN"/>
            </w:rPr>
            <w:t>8</w:t>
          </w:r>
          <w:r>
            <w:rPr>
              <w:rFonts w:hint="eastAsia" w:ascii="宋体" w:hAnsi="宋体" w:eastAsia="方正仿宋_GBK" w:cs="方正仿宋_GBK"/>
              <w:bCs/>
              <w:szCs w:val="32"/>
              <w:highlight w:val="none"/>
            </w:rPr>
            <w:t>.1库区外源污染防控措施</w:t>
          </w:r>
          <w:r>
            <w:tab/>
          </w:r>
          <w:r>
            <w:fldChar w:fldCharType="begin"/>
          </w:r>
          <w:r>
            <w:instrText xml:space="preserve"> PAGEREF _Toc13838 \h </w:instrText>
          </w:r>
          <w:r>
            <w:fldChar w:fldCharType="separate"/>
          </w:r>
          <w:r>
            <w:t>50</w:t>
          </w:r>
          <w:r>
            <w:fldChar w:fldCharType="end"/>
          </w:r>
          <w:r>
            <w:rPr>
              <w:rFonts w:hint="eastAsia" w:ascii="宋体" w:hAnsi="宋体" w:eastAsia="宋体" w:cs="宋体"/>
              <w:szCs w:val="32"/>
            </w:rPr>
            <w:fldChar w:fldCharType="end"/>
          </w:r>
        </w:p>
        <w:p w14:paraId="2A0527FF">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_Toc6363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lang w:val="en-US" w:eastAsia="zh-CN"/>
            </w:rPr>
            <w:t>8</w:t>
          </w:r>
          <w:r>
            <w:rPr>
              <w:rFonts w:hint="eastAsia" w:ascii="宋体" w:hAnsi="宋体" w:eastAsia="方正仿宋_GBK" w:cs="方正仿宋_GBK"/>
              <w:bCs/>
              <w:kern w:val="0"/>
              <w:szCs w:val="32"/>
              <w:lang w:val="zh-CN"/>
            </w:rPr>
            <w:t>.2 库区内源污染防控措施</w:t>
          </w:r>
          <w:r>
            <w:tab/>
          </w:r>
          <w:r>
            <w:fldChar w:fldCharType="begin"/>
          </w:r>
          <w:r>
            <w:instrText xml:space="preserve"> PAGEREF _Toc6363 \h </w:instrText>
          </w:r>
          <w:r>
            <w:fldChar w:fldCharType="separate"/>
          </w:r>
          <w:r>
            <w:t>52</w:t>
          </w:r>
          <w:r>
            <w:fldChar w:fldCharType="end"/>
          </w:r>
          <w:r>
            <w:rPr>
              <w:rFonts w:hint="eastAsia" w:ascii="宋体" w:hAnsi="宋体" w:eastAsia="宋体" w:cs="宋体"/>
              <w:szCs w:val="32"/>
            </w:rPr>
            <w:fldChar w:fldCharType="end"/>
          </w:r>
        </w:p>
        <w:p w14:paraId="42612271">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_Toc7036 </w:instrText>
          </w:r>
          <w:r>
            <w:rPr>
              <w:rFonts w:hint="eastAsia" w:ascii="宋体" w:hAnsi="宋体" w:eastAsia="宋体" w:cs="宋体"/>
              <w:szCs w:val="32"/>
            </w:rPr>
            <w:fldChar w:fldCharType="separate"/>
          </w:r>
          <w:r>
            <w:rPr>
              <w:rFonts w:hint="eastAsia" w:ascii="宋体" w:hAnsi="宋体" w:eastAsia="方正仿宋_GBK" w:cs="方正仿宋_GBK"/>
              <w:bCs/>
              <w:szCs w:val="32"/>
              <w:lang w:val="en-US" w:eastAsia="zh-CN"/>
            </w:rPr>
            <w:t>8</w:t>
          </w:r>
          <w:r>
            <w:rPr>
              <w:rFonts w:hint="eastAsia" w:ascii="宋体" w:hAnsi="宋体" w:eastAsia="方正仿宋_GBK" w:cs="方正仿宋_GBK"/>
              <w:bCs/>
              <w:szCs w:val="32"/>
            </w:rPr>
            <w:t>.3</w:t>
          </w:r>
          <w:r>
            <w:rPr>
              <w:rFonts w:hint="eastAsia" w:ascii="宋体" w:hAnsi="宋体" w:eastAsia="方正仿宋_GBK" w:cs="方正仿宋_GBK"/>
              <w:bCs/>
              <w:kern w:val="0"/>
              <w:szCs w:val="32"/>
              <w:lang w:val="zh-CN"/>
            </w:rPr>
            <w:t>行政监督保障措施</w:t>
          </w:r>
          <w:r>
            <w:tab/>
          </w:r>
          <w:r>
            <w:fldChar w:fldCharType="begin"/>
          </w:r>
          <w:r>
            <w:instrText xml:space="preserve"> PAGEREF _Toc7036 \h </w:instrText>
          </w:r>
          <w:r>
            <w:fldChar w:fldCharType="separate"/>
          </w:r>
          <w:r>
            <w:t>57</w:t>
          </w:r>
          <w:r>
            <w:fldChar w:fldCharType="end"/>
          </w:r>
          <w:r>
            <w:rPr>
              <w:rFonts w:hint="eastAsia" w:ascii="宋体" w:hAnsi="宋体" w:eastAsia="宋体" w:cs="宋体"/>
              <w:szCs w:val="32"/>
            </w:rPr>
            <w:fldChar w:fldCharType="end"/>
          </w:r>
        </w:p>
        <w:p w14:paraId="4792AEA7">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_Toc23658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lang w:val="en-US" w:eastAsia="zh-CN"/>
            </w:rPr>
            <w:t>8</w:t>
          </w:r>
          <w:r>
            <w:rPr>
              <w:rFonts w:hint="eastAsia" w:ascii="宋体" w:hAnsi="宋体" w:eastAsia="方正仿宋_GBK" w:cs="方正仿宋_GBK"/>
              <w:bCs/>
              <w:kern w:val="0"/>
              <w:szCs w:val="32"/>
              <w:lang w:val="zh-CN"/>
            </w:rPr>
            <w:t>.4 水域生态修复应急措施</w:t>
          </w:r>
          <w:r>
            <w:tab/>
          </w:r>
          <w:r>
            <w:fldChar w:fldCharType="begin"/>
          </w:r>
          <w:r>
            <w:instrText xml:space="preserve"> PAGEREF _Toc23658 \h </w:instrText>
          </w:r>
          <w:r>
            <w:fldChar w:fldCharType="separate"/>
          </w:r>
          <w:r>
            <w:t>57</w:t>
          </w:r>
          <w:r>
            <w:fldChar w:fldCharType="end"/>
          </w:r>
          <w:r>
            <w:rPr>
              <w:rFonts w:hint="eastAsia" w:ascii="宋体" w:hAnsi="宋体" w:eastAsia="宋体" w:cs="宋体"/>
              <w:szCs w:val="32"/>
            </w:rPr>
            <w:fldChar w:fldCharType="end"/>
          </w:r>
        </w:p>
        <w:p w14:paraId="4145B049">
          <w:pPr>
            <w:pStyle w:val="22"/>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_Toc8536 </w:instrText>
          </w:r>
          <w:r>
            <w:rPr>
              <w:rFonts w:hint="eastAsia" w:ascii="宋体" w:hAnsi="宋体" w:eastAsia="宋体" w:cs="宋体"/>
              <w:szCs w:val="32"/>
            </w:rPr>
            <w:fldChar w:fldCharType="separate"/>
          </w:r>
          <w:r>
            <w:rPr>
              <w:rFonts w:hint="eastAsia" w:ascii="宋体" w:hAnsi="宋体" w:eastAsia="方正小标宋_GBK" w:cs="方正小标宋_GBK"/>
              <w:bCs/>
              <w:szCs w:val="44"/>
            </w:rPr>
            <w:t>第</w:t>
          </w:r>
          <w:r>
            <w:rPr>
              <w:rFonts w:hint="eastAsia" w:ascii="宋体" w:hAnsi="宋体" w:eastAsia="方正小标宋_GBK" w:cs="方正小标宋_GBK"/>
              <w:bCs/>
              <w:szCs w:val="44"/>
              <w:lang w:val="en-US" w:eastAsia="zh-CN"/>
            </w:rPr>
            <w:t>九</w:t>
          </w:r>
          <w:r>
            <w:rPr>
              <w:rFonts w:hint="eastAsia" w:ascii="宋体" w:hAnsi="宋体" w:eastAsia="方正小标宋_GBK" w:cs="方正小标宋_GBK"/>
              <w:bCs/>
              <w:szCs w:val="44"/>
            </w:rPr>
            <w:t xml:space="preserve">章 </w:t>
          </w:r>
          <w:r>
            <w:rPr>
              <w:rFonts w:hint="eastAsia" w:ascii="宋体" w:hAnsi="宋体" w:eastAsia="方正小标宋_GBK" w:cs="方正小标宋_GBK"/>
              <w:bCs/>
              <w:szCs w:val="44"/>
              <w:lang w:eastAsia="zh-CN"/>
            </w:rPr>
            <w:t>保障</w:t>
          </w:r>
          <w:r>
            <w:rPr>
              <w:rFonts w:hint="eastAsia" w:ascii="宋体" w:hAnsi="宋体" w:eastAsia="方正小标宋_GBK" w:cs="方正小标宋_GBK"/>
              <w:bCs/>
              <w:szCs w:val="44"/>
            </w:rPr>
            <w:t>措施</w:t>
          </w:r>
          <w:r>
            <w:tab/>
          </w:r>
          <w:r>
            <w:fldChar w:fldCharType="begin"/>
          </w:r>
          <w:r>
            <w:instrText xml:space="preserve"> PAGEREF _Toc8536 \h </w:instrText>
          </w:r>
          <w:r>
            <w:fldChar w:fldCharType="separate"/>
          </w:r>
          <w:r>
            <w:t>57</w:t>
          </w:r>
          <w:r>
            <w:fldChar w:fldCharType="end"/>
          </w:r>
          <w:r>
            <w:rPr>
              <w:rFonts w:hint="eastAsia" w:ascii="宋体" w:hAnsi="宋体" w:eastAsia="宋体" w:cs="宋体"/>
              <w:szCs w:val="32"/>
            </w:rPr>
            <w:fldChar w:fldCharType="end"/>
          </w:r>
        </w:p>
        <w:p w14:paraId="6032C63C">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_Toc21720 </w:instrText>
          </w:r>
          <w:r>
            <w:rPr>
              <w:rFonts w:hint="eastAsia" w:ascii="宋体" w:hAnsi="宋体" w:eastAsia="宋体" w:cs="宋体"/>
              <w:szCs w:val="32"/>
            </w:rPr>
            <w:fldChar w:fldCharType="separate"/>
          </w:r>
          <w:r>
            <w:rPr>
              <w:rFonts w:hint="eastAsia" w:ascii="宋体" w:hAnsi="宋体" w:eastAsia="方正仿宋_GBK" w:cs="方正仿宋_GBK"/>
              <w:bCs w:val="0"/>
              <w:kern w:val="0"/>
              <w:szCs w:val="32"/>
              <w:lang w:val="en-US" w:eastAsia="zh-CN"/>
            </w:rPr>
            <w:t>9</w:t>
          </w:r>
          <w:r>
            <w:rPr>
              <w:rFonts w:hint="eastAsia" w:ascii="宋体" w:hAnsi="宋体" w:eastAsia="方正仿宋_GBK" w:cs="方正仿宋_GBK"/>
              <w:bCs w:val="0"/>
              <w:kern w:val="0"/>
              <w:szCs w:val="32"/>
            </w:rPr>
            <w:t>.1 组织领导</w:t>
          </w:r>
          <w:r>
            <w:tab/>
          </w:r>
          <w:r>
            <w:fldChar w:fldCharType="begin"/>
          </w:r>
          <w:r>
            <w:instrText xml:space="preserve"> PAGEREF _Toc21720 \h </w:instrText>
          </w:r>
          <w:r>
            <w:fldChar w:fldCharType="separate"/>
          </w:r>
          <w:r>
            <w:t>57</w:t>
          </w:r>
          <w:r>
            <w:fldChar w:fldCharType="end"/>
          </w:r>
          <w:r>
            <w:rPr>
              <w:rFonts w:hint="eastAsia" w:ascii="宋体" w:hAnsi="宋体" w:eastAsia="宋体" w:cs="宋体"/>
              <w:szCs w:val="32"/>
            </w:rPr>
            <w:fldChar w:fldCharType="end"/>
          </w:r>
        </w:p>
        <w:p w14:paraId="380B8A73">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_Toc10029 </w:instrText>
          </w:r>
          <w:r>
            <w:rPr>
              <w:rFonts w:hint="eastAsia" w:ascii="宋体" w:hAnsi="宋体" w:eastAsia="宋体" w:cs="宋体"/>
              <w:szCs w:val="32"/>
            </w:rPr>
            <w:fldChar w:fldCharType="separate"/>
          </w:r>
          <w:r>
            <w:rPr>
              <w:rFonts w:hint="eastAsia" w:ascii="宋体" w:hAnsi="宋体" w:eastAsia="方正仿宋_GBK" w:cs="方正仿宋_GBK"/>
              <w:bCs w:val="0"/>
              <w:kern w:val="0"/>
              <w:szCs w:val="32"/>
              <w:lang w:val="en-US" w:eastAsia="zh-CN"/>
            </w:rPr>
            <w:t>9</w:t>
          </w:r>
          <w:r>
            <w:rPr>
              <w:rFonts w:hint="eastAsia" w:ascii="宋体" w:hAnsi="宋体" w:eastAsia="方正仿宋_GBK" w:cs="方正仿宋_GBK"/>
              <w:bCs w:val="0"/>
              <w:kern w:val="0"/>
              <w:szCs w:val="32"/>
            </w:rPr>
            <w:t>.2 强化管理责任制，经营与工程管理分开</w:t>
          </w:r>
          <w:r>
            <w:tab/>
          </w:r>
          <w:r>
            <w:fldChar w:fldCharType="begin"/>
          </w:r>
          <w:r>
            <w:instrText xml:space="preserve"> PAGEREF _Toc10029 \h </w:instrText>
          </w:r>
          <w:r>
            <w:fldChar w:fldCharType="separate"/>
          </w:r>
          <w:r>
            <w:t>58</w:t>
          </w:r>
          <w:r>
            <w:fldChar w:fldCharType="end"/>
          </w:r>
          <w:r>
            <w:rPr>
              <w:rFonts w:hint="eastAsia" w:ascii="宋体" w:hAnsi="宋体" w:eastAsia="宋体" w:cs="宋体"/>
              <w:szCs w:val="32"/>
            </w:rPr>
            <w:fldChar w:fldCharType="end"/>
          </w:r>
        </w:p>
        <w:p w14:paraId="794E450E">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_Toc20129 </w:instrText>
          </w:r>
          <w:r>
            <w:rPr>
              <w:rFonts w:hint="eastAsia" w:ascii="宋体" w:hAnsi="宋体" w:eastAsia="宋体" w:cs="宋体"/>
              <w:szCs w:val="32"/>
            </w:rPr>
            <w:fldChar w:fldCharType="separate"/>
          </w:r>
          <w:r>
            <w:rPr>
              <w:rFonts w:hint="eastAsia" w:ascii="宋体" w:hAnsi="宋体" w:eastAsia="方正仿宋_GBK" w:cs="方正仿宋_GBK"/>
              <w:bCs/>
              <w:kern w:val="0"/>
              <w:szCs w:val="32"/>
              <w:lang w:val="en-US" w:eastAsia="zh-CN"/>
            </w:rPr>
            <w:t>9</w:t>
          </w:r>
          <w:r>
            <w:rPr>
              <w:rFonts w:hint="eastAsia" w:ascii="宋体" w:hAnsi="宋体" w:eastAsia="方正仿宋_GBK" w:cs="方正仿宋_GBK"/>
              <w:bCs/>
              <w:kern w:val="0"/>
              <w:szCs w:val="32"/>
            </w:rPr>
            <w:t xml:space="preserve">.3 </w:t>
          </w:r>
          <w:r>
            <w:rPr>
              <w:rFonts w:hint="eastAsia" w:ascii="宋体" w:hAnsi="宋体" w:eastAsia="方正仿宋_GBK" w:cs="方正仿宋_GBK"/>
              <w:bCs/>
              <w:kern w:val="0"/>
              <w:szCs w:val="32"/>
              <w:lang w:val="zh-CN"/>
            </w:rPr>
            <w:t>安全保障措施</w:t>
          </w:r>
          <w:r>
            <w:tab/>
          </w:r>
          <w:r>
            <w:fldChar w:fldCharType="begin"/>
          </w:r>
          <w:r>
            <w:instrText xml:space="preserve"> PAGEREF _Toc20129 \h </w:instrText>
          </w:r>
          <w:r>
            <w:fldChar w:fldCharType="separate"/>
          </w:r>
          <w:r>
            <w:t>58</w:t>
          </w:r>
          <w:r>
            <w:fldChar w:fldCharType="end"/>
          </w:r>
          <w:r>
            <w:rPr>
              <w:rFonts w:hint="eastAsia" w:ascii="宋体" w:hAnsi="宋体" w:eastAsia="宋体" w:cs="宋体"/>
              <w:szCs w:val="32"/>
            </w:rPr>
            <w:fldChar w:fldCharType="end"/>
          </w:r>
        </w:p>
        <w:p w14:paraId="00ACC513">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_Toc3614 </w:instrText>
          </w:r>
          <w:r>
            <w:rPr>
              <w:rFonts w:hint="eastAsia" w:ascii="宋体" w:hAnsi="宋体" w:eastAsia="宋体" w:cs="宋体"/>
              <w:szCs w:val="32"/>
            </w:rPr>
            <w:fldChar w:fldCharType="separate"/>
          </w:r>
          <w:r>
            <w:rPr>
              <w:rFonts w:hint="eastAsia" w:ascii="宋体" w:hAnsi="宋体" w:eastAsia="方正仿宋_GBK" w:cs="方正仿宋_GBK"/>
              <w:bCs/>
              <w:szCs w:val="32"/>
              <w:lang w:val="en-US" w:eastAsia="zh-CN"/>
            </w:rPr>
            <w:t>9</w:t>
          </w:r>
          <w:r>
            <w:rPr>
              <w:rFonts w:hint="eastAsia" w:ascii="宋体" w:hAnsi="宋体" w:eastAsia="方正仿宋_GBK" w:cs="方正仿宋_GBK"/>
              <w:bCs/>
              <w:szCs w:val="32"/>
            </w:rPr>
            <w:t>.4</w:t>
          </w:r>
          <w:r>
            <w:rPr>
              <w:rFonts w:hint="eastAsia" w:ascii="宋体" w:hAnsi="宋体" w:eastAsia="方正仿宋_GBK" w:cs="方正仿宋_GBK"/>
              <w:bCs/>
              <w:kern w:val="0"/>
              <w:szCs w:val="32"/>
              <w:lang w:val="zh-CN"/>
            </w:rPr>
            <w:t>职能部门服务保障措施</w:t>
          </w:r>
          <w:r>
            <w:tab/>
          </w:r>
          <w:r>
            <w:fldChar w:fldCharType="begin"/>
          </w:r>
          <w:r>
            <w:instrText xml:space="preserve"> PAGEREF _Toc3614 \h </w:instrText>
          </w:r>
          <w:r>
            <w:fldChar w:fldCharType="separate"/>
          </w:r>
          <w:r>
            <w:t>58</w:t>
          </w:r>
          <w:r>
            <w:fldChar w:fldCharType="end"/>
          </w:r>
          <w:r>
            <w:rPr>
              <w:rFonts w:hint="eastAsia" w:ascii="宋体" w:hAnsi="宋体" w:eastAsia="宋体" w:cs="宋体"/>
              <w:szCs w:val="32"/>
            </w:rPr>
            <w:fldChar w:fldCharType="end"/>
          </w:r>
        </w:p>
        <w:p w14:paraId="57B1486B">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_Toc14988 </w:instrText>
          </w:r>
          <w:r>
            <w:rPr>
              <w:rFonts w:hint="eastAsia" w:ascii="宋体" w:hAnsi="宋体" w:eastAsia="宋体" w:cs="宋体"/>
              <w:szCs w:val="32"/>
            </w:rPr>
            <w:fldChar w:fldCharType="separate"/>
          </w:r>
          <w:r>
            <w:rPr>
              <w:rFonts w:hint="eastAsia" w:ascii="宋体" w:hAnsi="宋体" w:eastAsia="方正仿宋_GBK" w:cs="方正仿宋_GBK"/>
              <w:bCs/>
              <w:szCs w:val="32"/>
              <w:lang w:val="en-US" w:eastAsia="zh-CN"/>
            </w:rPr>
            <w:t>9</w:t>
          </w:r>
          <w:r>
            <w:rPr>
              <w:rFonts w:hint="eastAsia" w:ascii="宋体" w:hAnsi="宋体" w:eastAsia="方正仿宋_GBK" w:cs="方正仿宋_GBK"/>
              <w:bCs/>
              <w:szCs w:val="32"/>
            </w:rPr>
            <w:t xml:space="preserve">.5 </w:t>
          </w:r>
          <w:r>
            <w:rPr>
              <w:rFonts w:hint="eastAsia" w:ascii="宋体" w:hAnsi="宋体" w:eastAsia="方正仿宋_GBK" w:cs="方正仿宋_GBK"/>
              <w:bCs/>
              <w:kern w:val="0"/>
              <w:szCs w:val="32"/>
              <w:lang w:val="zh-CN"/>
            </w:rPr>
            <w:t>信息服务保障措施</w:t>
          </w:r>
          <w:r>
            <w:tab/>
          </w:r>
          <w:r>
            <w:fldChar w:fldCharType="begin"/>
          </w:r>
          <w:r>
            <w:instrText xml:space="preserve"> PAGEREF _Toc14988 \h </w:instrText>
          </w:r>
          <w:r>
            <w:fldChar w:fldCharType="separate"/>
          </w:r>
          <w:r>
            <w:t>60</w:t>
          </w:r>
          <w:r>
            <w:fldChar w:fldCharType="end"/>
          </w:r>
          <w:r>
            <w:rPr>
              <w:rFonts w:hint="eastAsia" w:ascii="宋体" w:hAnsi="宋体" w:eastAsia="宋体" w:cs="宋体"/>
              <w:szCs w:val="32"/>
            </w:rPr>
            <w:fldChar w:fldCharType="end"/>
          </w:r>
        </w:p>
        <w:p w14:paraId="4701174B">
          <w:pPr>
            <w:pStyle w:val="25"/>
            <w:tabs>
              <w:tab w:val="right" w:leader="dot" w:pos="8845"/>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_Toc3903 </w:instrText>
          </w:r>
          <w:r>
            <w:rPr>
              <w:rFonts w:hint="eastAsia" w:ascii="宋体" w:hAnsi="宋体" w:eastAsia="宋体" w:cs="宋体"/>
              <w:szCs w:val="32"/>
            </w:rPr>
            <w:fldChar w:fldCharType="separate"/>
          </w:r>
          <w:r>
            <w:rPr>
              <w:rFonts w:hint="eastAsia" w:ascii="方正黑体_GBK" w:hAnsi="方正黑体_GBK" w:eastAsia="方正黑体_GBK" w:cs="方正黑体_GBK"/>
              <w:bCs/>
              <w:szCs w:val="32"/>
            </w:rPr>
            <w:t>结论</w:t>
          </w:r>
          <w:r>
            <w:tab/>
          </w:r>
          <w:r>
            <w:fldChar w:fldCharType="begin"/>
          </w:r>
          <w:r>
            <w:instrText xml:space="preserve"> PAGEREF _Toc3903 \h </w:instrText>
          </w:r>
          <w:r>
            <w:fldChar w:fldCharType="separate"/>
          </w:r>
          <w:r>
            <w:t>61</w:t>
          </w:r>
          <w:r>
            <w:fldChar w:fldCharType="end"/>
          </w:r>
          <w:r>
            <w:rPr>
              <w:rFonts w:hint="eastAsia" w:ascii="宋体" w:hAnsi="宋体" w:eastAsia="宋体" w:cs="宋体"/>
              <w:szCs w:val="32"/>
            </w:rPr>
            <w:fldChar w:fldCharType="end"/>
          </w:r>
        </w:p>
        <w:p w14:paraId="522152A5">
          <w:pPr>
            <w:pStyle w:val="2"/>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宋体" w:hAnsi="宋体" w:eastAsia="宋体" w:cs="宋体"/>
              <w:b/>
              <w:kern w:val="2"/>
              <w:sz w:val="21"/>
              <w:szCs w:val="22"/>
              <w:lang w:val="en-US" w:eastAsia="zh-CN" w:bidi="ar-SA"/>
            </w:rPr>
          </w:pPr>
          <w:r>
            <w:rPr>
              <w:rFonts w:hint="eastAsia" w:ascii="宋体" w:hAnsi="宋体" w:eastAsia="宋体" w:cs="宋体"/>
              <w:szCs w:val="32"/>
            </w:rPr>
            <w:fldChar w:fldCharType="end"/>
          </w:r>
        </w:p>
      </w:sdtContent>
    </w:sdt>
    <w:p w14:paraId="75135465">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bookmarkStart w:id="0" w:name="_Toc77330243"/>
      <w:bookmarkStart w:id="1" w:name="_Toc28787_WPSOffice_Level1"/>
      <w:bookmarkStart w:id="2" w:name="_Toc30243"/>
    </w:p>
    <w:p w14:paraId="7E16C81B">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p>
    <w:p w14:paraId="7B163B69">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p>
    <w:p w14:paraId="64F60965">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p>
    <w:p w14:paraId="6CB000BA">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p>
    <w:p w14:paraId="24BE47D1">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p>
    <w:p w14:paraId="3D53F7B4">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p>
    <w:p w14:paraId="32486C64">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pPr>
    </w:p>
    <w:p w14:paraId="05E90D84">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方正小标宋_GBK" w:cs="方正小标宋_GBK"/>
          <w:b w:val="0"/>
          <w:bCs/>
          <w:sz w:val="44"/>
          <w:szCs w:val="44"/>
        </w:rPr>
        <w:sectPr>
          <w:footerReference r:id="rId7" w:type="default"/>
          <w:pgSz w:w="11906" w:h="16838"/>
          <w:pgMar w:top="2098" w:right="1474" w:bottom="1984" w:left="1587" w:header="851" w:footer="992" w:gutter="0"/>
          <w:pgNumType w:fmt="decimal"/>
          <w:cols w:space="720" w:num="1"/>
          <w:docGrid w:type="lines" w:linePitch="312" w:charSpace="0"/>
        </w:sectPr>
      </w:pPr>
    </w:p>
    <w:p w14:paraId="0DBC4D6C">
      <w:pPr>
        <w:keepNext/>
        <w:keepLines/>
        <w:pageBreakBefore w:val="0"/>
        <w:kinsoku/>
        <w:wordWrap/>
        <w:overflowPunct/>
        <w:topLinePunct w:val="0"/>
        <w:bidi w:val="0"/>
        <w:spacing w:line="520" w:lineRule="exact"/>
        <w:ind w:firstLine="290" w:firstLineChars="66"/>
        <w:jc w:val="center"/>
        <w:outlineLvl w:val="0"/>
        <w:rPr>
          <w:rFonts w:hint="eastAsia" w:ascii="宋体" w:hAnsi="宋体" w:eastAsia="宋体" w:cs="宋体"/>
          <w:b w:val="0"/>
          <w:bCs/>
          <w:sz w:val="32"/>
          <w:szCs w:val="32"/>
        </w:rPr>
      </w:pPr>
      <w:bookmarkStart w:id="3" w:name="_Toc21283"/>
      <w:r>
        <w:rPr>
          <w:rFonts w:hint="eastAsia" w:ascii="宋体" w:hAnsi="宋体" w:eastAsia="方正小标宋_GBK" w:cs="方正小标宋_GBK"/>
          <w:b w:val="0"/>
          <w:bCs/>
          <w:sz w:val="44"/>
          <w:szCs w:val="44"/>
        </w:rPr>
        <w:t>第一章 总则</w:t>
      </w:r>
      <w:bookmarkEnd w:id="0"/>
      <w:bookmarkEnd w:id="1"/>
      <w:bookmarkEnd w:id="2"/>
      <w:bookmarkEnd w:id="3"/>
    </w:p>
    <w:p w14:paraId="1A0502D7">
      <w:pPr>
        <w:pageBreakBefore w:val="0"/>
        <w:kinsoku/>
        <w:wordWrap/>
        <w:overflowPunct/>
        <w:topLinePunct w:val="0"/>
        <w:bidi w:val="0"/>
        <w:ind w:firstLine="560" w:firstLineChars="200"/>
        <w:rPr>
          <w:rFonts w:hint="eastAsia" w:ascii="宋体" w:hAnsi="宋体" w:eastAsia="宋体" w:cs="宋体"/>
          <w:sz w:val="28"/>
          <w:szCs w:val="28"/>
        </w:rPr>
      </w:pPr>
    </w:p>
    <w:p w14:paraId="484B20D6">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
          <w:bCs/>
          <w:sz w:val="32"/>
          <w:szCs w:val="32"/>
        </w:rPr>
      </w:pPr>
      <w:r>
        <w:rPr>
          <w:rFonts w:hint="eastAsia" w:ascii="宋体" w:hAnsi="宋体" w:eastAsia="方正仿宋_GBK" w:cs="方正仿宋_GBK"/>
          <w:sz w:val="32"/>
          <w:szCs w:val="32"/>
        </w:rPr>
        <w:t>习近平主席提出“节水优先，空间均衡，系统治理，两手发力”的指示，明确指出了新时期水生态文明建设的方向。水是一种不可替代的资源，它与矿产、土地、能源等其他资源一样，具有资源的一般属性，具有独特的使用价值和稀缺性。在水资源短缺地区，经济发展的需求使水资源的价值不断增值。人们在经济高速发展中对水资源的开发和利用效率没有得到高度重视，因此，水资源的破坏和水质污染问题越来越突出，以上行为都直接或间接地影响了区域内水的总量和水质，对水资源价值产生了极大影响。</w:t>
      </w:r>
      <w:r>
        <w:rPr>
          <w:rFonts w:hint="eastAsia" w:ascii="宋体" w:hAnsi="宋体" w:eastAsia="方正仿宋_GBK" w:cs="方正仿宋_GBK"/>
          <w:bCs/>
          <w:sz w:val="32"/>
          <w:szCs w:val="32"/>
        </w:rPr>
        <w:t>通过综合治理与</w:t>
      </w:r>
      <w:r>
        <w:rPr>
          <w:rFonts w:hint="eastAsia" w:ascii="宋体" w:hAnsi="宋体" w:eastAsia="方正仿宋_GBK" w:cs="方正仿宋_GBK"/>
          <w:bCs/>
          <w:sz w:val="32"/>
          <w:szCs w:val="32"/>
          <w:lang w:eastAsia="zh-CN"/>
        </w:rPr>
        <w:t>水面开发利用</w:t>
      </w:r>
      <w:r>
        <w:rPr>
          <w:rFonts w:hint="eastAsia" w:ascii="宋体" w:hAnsi="宋体" w:eastAsia="方正仿宋_GBK" w:cs="方正仿宋_GBK"/>
          <w:bCs/>
          <w:sz w:val="32"/>
          <w:szCs w:val="32"/>
        </w:rPr>
        <w:t>相结合模式形成具有战略性、政策性、综合性和可操作性的可行性方案，优化水资源配置，调整产业结构布局，提高水资源利用效率和效益，实现水资源、水环境与经济社会的协调发展，整体推进水生态文明建设。</w:t>
      </w:r>
    </w:p>
    <w:p w14:paraId="6CFA78AD">
      <w:pPr>
        <w:keepNext/>
        <w:keepLines/>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方正仿宋_GBK" w:cs="方正仿宋_GBK"/>
          <w:b/>
          <w:bCs/>
          <w:kern w:val="0"/>
          <w:sz w:val="32"/>
          <w:szCs w:val="32"/>
        </w:rPr>
      </w:pPr>
      <w:bookmarkStart w:id="4" w:name="_Toc28787_WPSOffice_Level2"/>
      <w:bookmarkStart w:id="5" w:name="_Toc1358"/>
      <w:bookmarkStart w:id="6" w:name="_Toc77330244"/>
      <w:bookmarkStart w:id="7" w:name="_Toc12080"/>
      <w:r>
        <w:rPr>
          <w:rFonts w:hint="eastAsia" w:ascii="宋体" w:hAnsi="宋体" w:eastAsia="方正仿宋_GBK" w:cs="方正仿宋_GBK"/>
          <w:b/>
          <w:bCs/>
          <w:kern w:val="0"/>
          <w:sz w:val="32"/>
          <w:szCs w:val="32"/>
        </w:rPr>
        <w:t>1.1 项目简况</w:t>
      </w:r>
      <w:bookmarkEnd w:id="4"/>
      <w:bookmarkEnd w:id="5"/>
      <w:bookmarkEnd w:id="6"/>
      <w:bookmarkEnd w:id="7"/>
    </w:p>
    <w:p w14:paraId="4C15C6B6">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宋体" w:hAnsi="宋体" w:eastAsia="方正仿宋_GBK" w:cs="方正仿宋_GBK"/>
          <w:bCs/>
          <w:sz w:val="32"/>
          <w:szCs w:val="32"/>
          <w:lang w:eastAsia="zh-CN"/>
        </w:rPr>
      </w:pPr>
      <w:r>
        <w:rPr>
          <w:rFonts w:hint="eastAsia" w:ascii="宋体" w:hAnsi="宋体" w:eastAsia="方正仿宋_GBK" w:cs="方正仿宋_GBK"/>
          <w:b/>
          <w:bCs/>
          <w:sz w:val="32"/>
          <w:szCs w:val="32"/>
        </w:rPr>
        <w:t>项目名称：</w:t>
      </w:r>
      <w:r>
        <w:rPr>
          <w:rFonts w:hint="eastAsia" w:ascii="宋体" w:hAnsi="宋体" w:eastAsia="方正仿宋_GBK" w:cs="方正仿宋_GBK"/>
          <w:bCs/>
          <w:sz w:val="32"/>
          <w:szCs w:val="32"/>
        </w:rPr>
        <w:t>芒市</w:t>
      </w:r>
      <w:r>
        <w:rPr>
          <w:rFonts w:hint="eastAsia" w:ascii="宋体" w:hAnsi="宋体" w:eastAsia="方正仿宋_GBK" w:cs="方正仿宋_GBK"/>
          <w:bCs/>
          <w:sz w:val="32"/>
          <w:szCs w:val="32"/>
          <w:lang w:eastAsia="zh-CN"/>
        </w:rPr>
        <w:t>芒究</w:t>
      </w:r>
      <w:r>
        <w:rPr>
          <w:rFonts w:hint="eastAsia" w:ascii="宋体" w:hAnsi="宋体" w:eastAsia="方正仿宋_GBK" w:cs="方正仿宋_GBK"/>
          <w:bCs/>
          <w:sz w:val="32"/>
          <w:szCs w:val="32"/>
        </w:rPr>
        <w:t>水库</w:t>
      </w:r>
      <w:r>
        <w:rPr>
          <w:rFonts w:hint="eastAsia" w:ascii="宋体" w:hAnsi="宋体" w:eastAsia="方正仿宋_GBK" w:cs="方正仿宋_GBK"/>
          <w:bCs/>
          <w:sz w:val="32"/>
          <w:szCs w:val="32"/>
          <w:lang w:eastAsia="zh-CN"/>
        </w:rPr>
        <w:t>水面开发利用</w:t>
      </w:r>
    </w:p>
    <w:p w14:paraId="378104C0">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
          <w:bCs/>
          <w:sz w:val="32"/>
          <w:szCs w:val="32"/>
        </w:rPr>
        <w:t>建设单位：</w:t>
      </w:r>
      <w:r>
        <w:rPr>
          <w:rFonts w:hint="eastAsia" w:ascii="宋体" w:hAnsi="宋体" w:eastAsia="方正仿宋_GBK" w:cs="方正仿宋_GBK"/>
          <w:bCs/>
          <w:sz w:val="32"/>
          <w:szCs w:val="32"/>
        </w:rPr>
        <w:t>芒市人民政府水利局</w:t>
      </w:r>
    </w:p>
    <w:p w14:paraId="1C340566">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
          <w:bCs/>
          <w:sz w:val="32"/>
          <w:szCs w:val="32"/>
        </w:rPr>
        <w:t>方案编制单位：</w:t>
      </w:r>
      <w:r>
        <w:rPr>
          <w:rFonts w:hint="eastAsia" w:ascii="宋体" w:hAnsi="宋体" w:eastAsia="方正仿宋_GBK" w:cs="方正仿宋_GBK"/>
          <w:bCs/>
          <w:sz w:val="32"/>
          <w:szCs w:val="32"/>
        </w:rPr>
        <w:t>德宏润界智能科技有限公司</w:t>
      </w:r>
    </w:p>
    <w:p w14:paraId="69721F7D">
      <w:pPr>
        <w:keepNext/>
        <w:keepLines/>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方正仿宋_GBK" w:cs="方正仿宋_GBK"/>
          <w:b/>
          <w:bCs/>
          <w:kern w:val="0"/>
          <w:sz w:val="32"/>
          <w:szCs w:val="32"/>
        </w:rPr>
      </w:pPr>
      <w:bookmarkStart w:id="8" w:name="_Toc25277"/>
      <w:bookmarkStart w:id="9" w:name="_Toc25802_WPSOffice_Level2"/>
      <w:bookmarkStart w:id="10" w:name="_Toc28844"/>
      <w:r>
        <w:rPr>
          <w:rFonts w:hint="eastAsia" w:ascii="宋体" w:hAnsi="宋体" w:eastAsia="方正仿宋_GBK" w:cs="方正仿宋_GBK"/>
          <w:b/>
          <w:bCs/>
          <w:kern w:val="0"/>
          <w:sz w:val="32"/>
          <w:szCs w:val="32"/>
        </w:rPr>
        <w:t>1.2项目背景</w:t>
      </w:r>
      <w:bookmarkEnd w:id="8"/>
      <w:bookmarkEnd w:id="9"/>
      <w:bookmarkEnd w:id="10"/>
    </w:p>
    <w:p w14:paraId="2296BD80">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sz w:val="32"/>
          <w:szCs w:val="32"/>
          <w:highlight w:val="none"/>
        </w:rPr>
      </w:pPr>
      <w:bookmarkStart w:id="11" w:name="_Toc31375_WPSOffice_Level2"/>
      <w:bookmarkStart w:id="12" w:name="_Toc77330245"/>
      <w:r>
        <w:rPr>
          <w:rFonts w:hint="eastAsia" w:ascii="宋体" w:hAnsi="宋体" w:eastAsia="方正仿宋_GBK" w:cs="方正仿宋_GBK"/>
          <w:sz w:val="32"/>
          <w:szCs w:val="32"/>
          <w:lang w:eastAsia="zh-CN"/>
        </w:rPr>
        <w:t>为深入贯彻落实习近平生态文明思想，实现“美丽河湖”“绿美河湖”向“幸福河湖”的迭代升级，推动经济社会发展全面绿色转型和美丽云南建设。《</w:t>
      </w:r>
      <w:r>
        <w:rPr>
          <w:rFonts w:hint="eastAsia" w:ascii="宋体" w:hAnsi="宋体" w:eastAsia="方正仿宋_GBK" w:cs="方正仿宋_GBK"/>
          <w:sz w:val="32"/>
          <w:szCs w:val="32"/>
          <w:lang w:val="en-US" w:eastAsia="zh-CN"/>
        </w:rPr>
        <w:t>中华人民共和国水法</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lang w:val="en-US" w:eastAsia="zh-CN"/>
        </w:rPr>
        <w:t>第六条“</w:t>
      </w:r>
      <w:r>
        <w:rPr>
          <w:rFonts w:hint="eastAsia" w:ascii="宋体" w:hAnsi="宋体" w:eastAsia="方正仿宋_GBK" w:cs="方正仿宋_GBK"/>
          <w:sz w:val="32"/>
          <w:szCs w:val="32"/>
          <w:lang w:eastAsia="zh-CN"/>
        </w:rPr>
        <w:t>国家鼓励单位和个人依法开发、利用水资源，并保护其合法权益”；《国家水网建设规划纲要》（中共中央、国务院印发）明确提出“统筹解决水资源、水生态、水环境、水灾害问题”，通过优化水网布局实现‌生产、生活、生态‌协同发展，通过‌系统布局、功能协同、技术创新‌三大路径，统筹解决水资源配置效率、民生保障水平提升及生态系统保护等核心问题。</w:t>
      </w:r>
      <w:r>
        <w:rPr>
          <w:rFonts w:hint="eastAsia" w:ascii="宋体" w:hAnsi="宋体" w:eastAsia="方正仿宋_GBK" w:cs="方正仿宋_GBK"/>
          <w:sz w:val="32"/>
          <w:szCs w:val="32"/>
          <w:lang w:val="en-US" w:eastAsia="zh-CN"/>
        </w:rPr>
        <w:t>目前</w:t>
      </w:r>
      <w:r>
        <w:rPr>
          <w:rFonts w:hint="eastAsia" w:ascii="宋体" w:hAnsi="宋体" w:eastAsia="方正仿宋_GBK" w:cs="方正仿宋_GBK"/>
          <w:sz w:val="32"/>
          <w:szCs w:val="32"/>
        </w:rPr>
        <w:t>我国水库平均综合利用率不足40%，存在功能重叠、管理碎片化问题；</w:t>
      </w:r>
      <w:r>
        <w:rPr>
          <w:rFonts w:hint="eastAsia" w:ascii="宋体" w:hAnsi="宋体" w:eastAsia="方正仿宋_GBK" w:cs="方正仿宋_GBK"/>
          <w:sz w:val="32"/>
          <w:szCs w:val="32"/>
          <w:lang w:val="en-US" w:eastAsia="zh-CN"/>
        </w:rPr>
        <w:t>为抓住绿色发展机遇，创新投融资机制，推进国有资产资源市场化运作，</w:t>
      </w:r>
      <w:r>
        <w:rPr>
          <w:rFonts w:hint="eastAsia" w:ascii="宋体" w:hAnsi="宋体" w:eastAsia="方正仿宋_GBK" w:cs="方正仿宋_GBK"/>
          <w:sz w:val="32"/>
          <w:szCs w:val="32"/>
        </w:rPr>
        <w:t>根据</w:t>
      </w:r>
      <w:r>
        <w:rPr>
          <w:rFonts w:hint="eastAsia" w:ascii="宋体" w:hAnsi="宋体" w:eastAsia="方正仿宋_GBK" w:cs="方正仿宋_GBK"/>
          <w:sz w:val="32"/>
          <w:szCs w:val="32"/>
          <w:lang w:val="en-US" w:eastAsia="zh-CN"/>
        </w:rPr>
        <w:t>《德宏州芒市孔雀湖旅游发展总体规划》及芒究水库（孔雀湖）</w:t>
      </w:r>
      <w:r>
        <w:rPr>
          <w:rFonts w:hint="eastAsia" w:ascii="宋体" w:hAnsi="宋体" w:eastAsia="方正仿宋_GBK" w:cs="方正仿宋_GBK"/>
          <w:sz w:val="32"/>
          <w:szCs w:val="32"/>
        </w:rPr>
        <w:t>开发水域的地理位置、现状及周边环境，计划对</w:t>
      </w:r>
      <w:r>
        <w:rPr>
          <w:rFonts w:hint="eastAsia" w:ascii="宋体" w:hAnsi="宋体" w:eastAsia="方正仿宋_GBK" w:cs="方正仿宋_GBK"/>
          <w:sz w:val="32"/>
          <w:szCs w:val="32"/>
          <w:lang w:val="en-US" w:eastAsia="zh-CN"/>
        </w:rPr>
        <w:t>芒究水库（孔雀湖）进行水面开发利用</w:t>
      </w:r>
      <w:r>
        <w:rPr>
          <w:rFonts w:hint="eastAsia" w:ascii="宋体" w:hAnsi="宋体" w:eastAsia="方正仿宋_GBK" w:cs="方正仿宋_GBK"/>
          <w:sz w:val="32"/>
          <w:szCs w:val="32"/>
        </w:rPr>
        <w:t>。有效盘活水利资产资源，充分发挥水库经济效益，保护生态环境，维护水库综合功能，确保经济、社会和生态三效益统一。</w:t>
      </w:r>
    </w:p>
    <w:p w14:paraId="7C77648E">
      <w:pPr>
        <w:keepNext/>
        <w:keepLines/>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方正仿宋_GBK" w:cs="方正仿宋_GBK"/>
          <w:b/>
          <w:bCs/>
          <w:kern w:val="0"/>
          <w:sz w:val="32"/>
          <w:szCs w:val="32"/>
        </w:rPr>
      </w:pPr>
      <w:bookmarkStart w:id="13" w:name="_Toc133"/>
      <w:bookmarkStart w:id="14" w:name="_Toc6605"/>
      <w:r>
        <w:rPr>
          <w:rFonts w:hint="eastAsia" w:ascii="宋体" w:hAnsi="宋体" w:eastAsia="方正仿宋_GBK" w:cs="方正仿宋_GBK"/>
          <w:b/>
          <w:bCs/>
          <w:kern w:val="0"/>
          <w:sz w:val="32"/>
          <w:szCs w:val="32"/>
        </w:rPr>
        <w:t>1.3 编制依据</w:t>
      </w:r>
      <w:bookmarkEnd w:id="11"/>
      <w:bookmarkEnd w:id="12"/>
      <w:bookmarkEnd w:id="13"/>
      <w:bookmarkEnd w:id="14"/>
    </w:p>
    <w:p w14:paraId="56495BE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（1）《中华人民共和国水法》（2016年7月2日修订）；</w:t>
      </w:r>
    </w:p>
    <w:p w14:paraId="676A898C">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（2）《中华人民共和国防洪法》（全国人大常委会，2016年7月2日第二次修订）；</w:t>
      </w:r>
    </w:p>
    <w:p w14:paraId="7AE99F49">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（3）《建设项目环境保护管理条例》（1998年11月29日国务院令第253号发布，根据2017年7月16日《国务院关于修改〈建设项目环境保护管理条例〉的决定》修订，2017年10月1日实施）；</w:t>
      </w:r>
    </w:p>
    <w:p w14:paraId="387AA104">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（4）《中华人民共和国水土保持法》（1991年6月29日颁布，2010年12月25日修订，2011年3月1日起实施）；</w:t>
      </w:r>
    </w:p>
    <w:p w14:paraId="7EFAAEFA">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（5）《中华人民共和国水污染防治法》（2017年6月27日第十二届全国人民代表大会常委会第28次会议修正，自2018年1月1日起实施）</w:t>
      </w:r>
    </w:p>
    <w:p w14:paraId="5D78B512">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（6）《中华人民共和国环境影响评价法》（2018年12月29日修订）；</w:t>
      </w:r>
    </w:p>
    <w:p w14:paraId="09707AED">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（7）《中华人民共和国固体废物污染环境防治法》（2020年4月29日第十三届全国人大常委会第17次会议修订，自2020年9月1日实施）；</w:t>
      </w:r>
    </w:p>
    <w:p w14:paraId="4F45C391">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（8）《中华人民共和国环境保护法》（2015年1月1日起实施）；</w:t>
      </w:r>
    </w:p>
    <w:p w14:paraId="2475D4E8">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w:t>
      </w:r>
      <w:r>
        <w:rPr>
          <w:rFonts w:hint="eastAsia" w:ascii="宋体" w:hAnsi="宋体" w:eastAsia="方正仿宋_GBK" w:cs="方正仿宋_GBK"/>
          <w:bCs/>
          <w:sz w:val="32"/>
          <w:szCs w:val="32"/>
          <w:lang w:val="en-US" w:eastAsia="zh-CN"/>
        </w:rPr>
        <w:t>9</w:t>
      </w:r>
      <w:r>
        <w:rPr>
          <w:rFonts w:hint="eastAsia" w:ascii="宋体" w:hAnsi="宋体" w:eastAsia="方正仿宋_GBK" w:cs="方正仿宋_GBK"/>
          <w:bCs/>
          <w:sz w:val="32"/>
          <w:szCs w:val="32"/>
        </w:rPr>
        <w:t>）《云南省水土保持条例》(云南省第十二届人民代表大会常务委员会第十次会议于2014年7月27日审议通过，自2014年10月1日起施行)；</w:t>
      </w:r>
    </w:p>
    <w:p w14:paraId="3CCFA002">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（1</w:t>
      </w:r>
      <w:r>
        <w:rPr>
          <w:rFonts w:hint="eastAsia" w:ascii="宋体" w:hAnsi="宋体" w:eastAsia="方正仿宋_GBK" w:cs="方正仿宋_GBK"/>
          <w:bCs/>
          <w:sz w:val="32"/>
          <w:szCs w:val="32"/>
          <w:lang w:val="en-US" w:eastAsia="zh-CN"/>
        </w:rPr>
        <w:t>0</w:t>
      </w:r>
      <w:r>
        <w:rPr>
          <w:rFonts w:hint="eastAsia" w:ascii="宋体" w:hAnsi="宋体" w:eastAsia="方正仿宋_GBK" w:cs="方正仿宋_GBK"/>
          <w:bCs/>
          <w:sz w:val="32"/>
          <w:szCs w:val="32"/>
        </w:rPr>
        <w:t>）《水功能区监督管理办法》（2017年2月27日颁布，2017年4月1日实施）；</w:t>
      </w:r>
    </w:p>
    <w:p w14:paraId="392D4DA7">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（1</w:t>
      </w:r>
      <w:r>
        <w:rPr>
          <w:rFonts w:hint="eastAsia" w:ascii="宋体" w:hAnsi="宋体" w:eastAsia="方正仿宋_GBK" w:cs="方正仿宋_GBK"/>
          <w:bCs/>
          <w:sz w:val="32"/>
          <w:szCs w:val="32"/>
          <w:lang w:val="en-US" w:eastAsia="zh-CN"/>
        </w:rPr>
        <w:t>1</w:t>
      </w:r>
      <w:r>
        <w:rPr>
          <w:rFonts w:hint="eastAsia" w:ascii="宋体" w:hAnsi="宋体" w:eastAsia="方正仿宋_GBK" w:cs="方正仿宋_GBK"/>
          <w:bCs/>
          <w:sz w:val="32"/>
          <w:szCs w:val="32"/>
        </w:rPr>
        <w:t>）《“一河（湖）一策方案”编制指南（试行）》（水利部2017 年9 月）；</w:t>
      </w:r>
    </w:p>
    <w:p w14:paraId="65B52C25">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（1</w:t>
      </w:r>
      <w:r>
        <w:rPr>
          <w:rFonts w:hint="eastAsia" w:ascii="宋体" w:hAnsi="宋体" w:eastAsia="方正仿宋_GBK" w:cs="方正仿宋_GBK"/>
          <w:bCs/>
          <w:sz w:val="32"/>
          <w:szCs w:val="32"/>
          <w:lang w:val="en-US" w:eastAsia="zh-CN"/>
        </w:rPr>
        <w:t>2</w:t>
      </w:r>
      <w:r>
        <w:rPr>
          <w:rFonts w:hint="eastAsia" w:ascii="宋体" w:hAnsi="宋体" w:eastAsia="方正仿宋_GBK" w:cs="方正仿宋_GBK"/>
          <w:bCs/>
          <w:sz w:val="32"/>
          <w:szCs w:val="32"/>
        </w:rPr>
        <w:t>）《水功能区划分标准》（GB/T50594-2010）；</w:t>
      </w:r>
    </w:p>
    <w:p w14:paraId="5A4423AD">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（1</w:t>
      </w:r>
      <w:r>
        <w:rPr>
          <w:rFonts w:hint="eastAsia" w:ascii="宋体" w:hAnsi="宋体" w:eastAsia="方正仿宋_GBK" w:cs="方正仿宋_GBK"/>
          <w:bCs/>
          <w:sz w:val="32"/>
          <w:szCs w:val="32"/>
          <w:lang w:val="en-US" w:eastAsia="zh-CN"/>
        </w:rPr>
        <w:t>3</w:t>
      </w:r>
      <w:r>
        <w:rPr>
          <w:rFonts w:hint="eastAsia" w:ascii="宋体" w:hAnsi="宋体" w:eastAsia="方正仿宋_GBK" w:cs="方正仿宋_GBK"/>
          <w:bCs/>
          <w:sz w:val="32"/>
          <w:szCs w:val="32"/>
        </w:rPr>
        <w:t>）《地表水环境质量标准》（GB3838-2002）；</w:t>
      </w:r>
    </w:p>
    <w:p w14:paraId="182CCDC5">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（1</w:t>
      </w:r>
      <w:r>
        <w:rPr>
          <w:rFonts w:hint="eastAsia" w:ascii="宋体" w:hAnsi="宋体" w:eastAsia="方正仿宋_GBK" w:cs="方正仿宋_GBK"/>
          <w:bCs/>
          <w:sz w:val="32"/>
          <w:szCs w:val="32"/>
          <w:lang w:val="en-US" w:eastAsia="zh-CN"/>
        </w:rPr>
        <w:t>4</w:t>
      </w:r>
      <w:r>
        <w:rPr>
          <w:rFonts w:hint="eastAsia" w:ascii="宋体" w:hAnsi="宋体" w:eastAsia="方正仿宋_GBK" w:cs="方正仿宋_GBK"/>
          <w:bCs/>
          <w:sz w:val="32"/>
          <w:szCs w:val="32"/>
        </w:rPr>
        <w:t>）《污水综合排放标准》（GB8978-1996）；</w:t>
      </w:r>
    </w:p>
    <w:p w14:paraId="62906B9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Cs/>
          <w:sz w:val="32"/>
          <w:szCs w:val="32"/>
        </w:rPr>
      </w:pPr>
      <w:r>
        <w:rPr>
          <w:rFonts w:hint="eastAsia" w:ascii="宋体" w:hAnsi="宋体" w:eastAsia="方正仿宋_GBK" w:cs="方正仿宋_GBK"/>
          <w:bCs/>
          <w:sz w:val="32"/>
          <w:szCs w:val="32"/>
        </w:rPr>
        <w:t>（1</w:t>
      </w:r>
      <w:r>
        <w:rPr>
          <w:rFonts w:hint="eastAsia" w:ascii="宋体" w:hAnsi="宋体" w:eastAsia="方正仿宋_GBK" w:cs="方正仿宋_GBK"/>
          <w:bCs/>
          <w:sz w:val="32"/>
          <w:szCs w:val="32"/>
          <w:lang w:val="en-US" w:eastAsia="zh-CN"/>
        </w:rPr>
        <w:t>5</w:t>
      </w:r>
      <w:r>
        <w:rPr>
          <w:rFonts w:hint="eastAsia" w:ascii="宋体" w:hAnsi="宋体" w:eastAsia="方正仿宋_GBK" w:cs="方正仿宋_GBK"/>
          <w:bCs/>
          <w:sz w:val="32"/>
          <w:szCs w:val="32"/>
        </w:rPr>
        <w:t>6）《地表水资源质量标准》（SL63-1994）；</w:t>
      </w:r>
    </w:p>
    <w:p w14:paraId="120997D1">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（1</w:t>
      </w:r>
      <w:r>
        <w:rPr>
          <w:rFonts w:hint="eastAsia" w:ascii="宋体" w:hAnsi="宋体" w:eastAsia="方正仿宋_GBK" w:cs="方正仿宋_GBK"/>
          <w:sz w:val="32"/>
          <w:szCs w:val="32"/>
          <w:lang w:val="en-US" w:eastAsia="zh-CN"/>
        </w:rPr>
        <w:t>6</w:t>
      </w:r>
      <w:r>
        <w:rPr>
          <w:rFonts w:hint="eastAsia" w:ascii="宋体" w:hAnsi="宋体" w:eastAsia="方正仿宋_GBK" w:cs="方正仿宋_GBK"/>
          <w:sz w:val="32"/>
          <w:szCs w:val="32"/>
        </w:rPr>
        <w:t>）《河湖生态保护与修复规划导则》（SL709-2015）</w:t>
      </w:r>
    </w:p>
    <w:p w14:paraId="48988EE6">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（1</w:t>
      </w:r>
      <w:r>
        <w:rPr>
          <w:rFonts w:hint="eastAsia" w:ascii="宋体" w:hAnsi="宋体" w:eastAsia="方正仿宋_GBK" w:cs="方正仿宋_GBK"/>
          <w:sz w:val="32"/>
          <w:szCs w:val="32"/>
          <w:lang w:val="en-US" w:eastAsia="zh-CN"/>
        </w:rPr>
        <w:t>7</w:t>
      </w:r>
      <w:r>
        <w:rPr>
          <w:rFonts w:hint="eastAsia" w:ascii="宋体" w:hAnsi="宋体" w:eastAsia="方正仿宋_GBK" w:cs="方正仿宋_GBK"/>
          <w:sz w:val="32"/>
          <w:szCs w:val="32"/>
        </w:rPr>
        <w:t>）《水域纳污能力计算规程》（SL348-2006）</w:t>
      </w:r>
    </w:p>
    <w:p w14:paraId="44C9DC6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（1</w:t>
      </w:r>
      <w:r>
        <w:rPr>
          <w:rFonts w:hint="eastAsia" w:ascii="宋体" w:hAnsi="宋体" w:eastAsia="方正仿宋_GBK" w:cs="方正仿宋_GBK"/>
          <w:sz w:val="32"/>
          <w:szCs w:val="32"/>
          <w:lang w:val="en-US" w:eastAsia="zh-CN"/>
        </w:rPr>
        <w:t>8</w:t>
      </w:r>
      <w:r>
        <w:rPr>
          <w:rFonts w:hint="eastAsia" w:ascii="宋体" w:hAnsi="宋体" w:eastAsia="方正仿宋_GBK" w:cs="方正仿宋_GBK"/>
          <w:sz w:val="32"/>
          <w:szCs w:val="32"/>
        </w:rPr>
        <w:t>）</w:t>
      </w:r>
      <w:r>
        <w:rPr>
          <w:rFonts w:hint="eastAsia" w:ascii="宋体" w:hAnsi="宋体" w:eastAsia="方正仿宋_GBK" w:cs="方正仿宋_GBK"/>
          <w:sz w:val="32"/>
          <w:szCs w:val="32"/>
          <w:lang w:eastAsia="zh-CN"/>
        </w:rPr>
        <w:t>《水库大坝安全管理条例》（2011修订）</w:t>
      </w:r>
    </w:p>
    <w:p w14:paraId="15AABF80">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w:t>
      </w:r>
      <w:r>
        <w:rPr>
          <w:rFonts w:hint="eastAsia" w:ascii="宋体" w:hAnsi="宋体" w:eastAsia="方正仿宋_GBK" w:cs="方正仿宋_GBK"/>
          <w:sz w:val="32"/>
          <w:szCs w:val="32"/>
          <w:lang w:val="en-US" w:eastAsia="zh-CN"/>
        </w:rPr>
        <w:t>19</w:t>
      </w:r>
      <w:r>
        <w:rPr>
          <w:rFonts w:hint="eastAsia" w:ascii="宋体" w:hAnsi="宋体" w:eastAsia="方正仿宋_GBK" w:cs="方正仿宋_GBK"/>
          <w:sz w:val="32"/>
          <w:szCs w:val="32"/>
        </w:rPr>
        <w:t>）《德宏州水功能区划复核和调整报告》（2014年）</w:t>
      </w:r>
    </w:p>
    <w:p w14:paraId="3F258C1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sz w:val="32"/>
          <w:szCs w:val="32"/>
          <w:lang w:val="en-US" w:eastAsia="zh-CN"/>
        </w:rPr>
      </w:pP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lang w:val="en-US" w:eastAsia="zh-CN"/>
        </w:rPr>
        <w:t>20</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lang w:val="en-US" w:eastAsia="zh-CN"/>
        </w:rPr>
        <w:t>云南省水利工程管理条例》（2024年2月）</w:t>
      </w:r>
    </w:p>
    <w:p w14:paraId="00520870">
      <w:pPr>
        <w:keepNext/>
        <w:keepLines/>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方正仿宋_GBK" w:cs="方正仿宋_GBK"/>
          <w:b w:val="0"/>
          <w:bCs w:val="0"/>
          <w:kern w:val="0"/>
          <w:sz w:val="32"/>
          <w:szCs w:val="32"/>
        </w:rPr>
      </w:pPr>
      <w:bookmarkStart w:id="15" w:name="_Toc77330246"/>
      <w:bookmarkStart w:id="16" w:name="_Toc17792"/>
      <w:bookmarkStart w:id="17" w:name="_Toc17655"/>
      <w:bookmarkStart w:id="18" w:name="_Toc22995_WPSOffice_Level2"/>
      <w:r>
        <w:rPr>
          <w:rFonts w:hint="eastAsia" w:ascii="宋体" w:hAnsi="宋体" w:eastAsia="方正仿宋_GBK" w:cs="方正仿宋_GBK"/>
          <w:b/>
          <w:bCs/>
          <w:kern w:val="0"/>
          <w:sz w:val="32"/>
          <w:szCs w:val="32"/>
        </w:rPr>
        <w:t>1.4 编制</w:t>
      </w:r>
      <w:bookmarkEnd w:id="15"/>
      <w:r>
        <w:rPr>
          <w:rFonts w:hint="eastAsia" w:ascii="宋体" w:hAnsi="宋体" w:eastAsia="方正仿宋_GBK" w:cs="方正仿宋_GBK"/>
          <w:b/>
          <w:bCs/>
          <w:kern w:val="0"/>
          <w:sz w:val="32"/>
          <w:szCs w:val="32"/>
        </w:rPr>
        <w:t>目的</w:t>
      </w:r>
      <w:bookmarkEnd w:id="16"/>
      <w:bookmarkEnd w:id="17"/>
      <w:bookmarkEnd w:id="18"/>
    </w:p>
    <w:p w14:paraId="626B65B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highlight w:val="none"/>
          <w:lang w:eastAsia="zh-CN"/>
        </w:rPr>
      </w:pPr>
      <w:r>
        <w:rPr>
          <w:rFonts w:hint="eastAsia" w:ascii="宋体" w:hAnsi="宋体" w:eastAsia="方正仿宋_GBK" w:cs="方正仿宋_GBK"/>
          <w:bCs/>
          <w:sz w:val="32"/>
          <w:szCs w:val="32"/>
          <w:highlight w:val="none"/>
          <w:lang w:val="en-US" w:eastAsia="zh-CN"/>
        </w:rPr>
        <w:t>通过</w:t>
      </w:r>
      <w:r>
        <w:rPr>
          <w:rFonts w:hint="eastAsia" w:ascii="宋体" w:hAnsi="宋体" w:eastAsia="方正仿宋_GBK" w:cs="方正仿宋_GBK"/>
          <w:bCs/>
          <w:sz w:val="32"/>
          <w:szCs w:val="32"/>
          <w:highlight w:val="none"/>
        </w:rPr>
        <w:t>全面规划、统筹兼顾、综合利用，发挥</w:t>
      </w:r>
      <w:r>
        <w:rPr>
          <w:rFonts w:hint="eastAsia" w:ascii="宋体" w:hAnsi="宋体" w:eastAsia="方正仿宋_GBK" w:cs="方正仿宋_GBK"/>
          <w:bCs/>
          <w:sz w:val="32"/>
          <w:szCs w:val="32"/>
          <w:highlight w:val="none"/>
          <w:lang w:val="en-US" w:eastAsia="zh-CN"/>
        </w:rPr>
        <w:t>水库</w:t>
      </w:r>
      <w:r>
        <w:rPr>
          <w:rFonts w:hint="eastAsia" w:ascii="宋体" w:hAnsi="宋体" w:eastAsia="方正仿宋_GBK" w:cs="方正仿宋_GBK"/>
          <w:bCs/>
          <w:sz w:val="32"/>
          <w:szCs w:val="32"/>
          <w:highlight w:val="none"/>
        </w:rPr>
        <w:t>防洪、供水、生态等多重功能</w:t>
      </w:r>
      <w:r>
        <w:rPr>
          <w:rFonts w:hint="eastAsia" w:ascii="宋体" w:hAnsi="宋体" w:eastAsia="方正仿宋_GBK" w:cs="方正仿宋_GBK"/>
          <w:bCs/>
          <w:sz w:val="32"/>
          <w:szCs w:val="32"/>
          <w:highlight w:val="none"/>
          <w:lang w:eastAsia="zh-CN"/>
        </w:rPr>
        <w:t>。</w:t>
      </w:r>
      <w:r>
        <w:rPr>
          <w:rFonts w:hint="eastAsia" w:ascii="宋体" w:hAnsi="宋体" w:eastAsia="方正仿宋_GBK" w:cs="方正仿宋_GBK"/>
          <w:bCs/>
          <w:sz w:val="32"/>
          <w:szCs w:val="32"/>
          <w:highlight w:val="none"/>
        </w:rPr>
        <w:t>通过综合考察水库周边环境、水域状况，调查水库及周边各种污染源，了解水库水域资源开发条件，提出可行的开发、管理、防治措施，改善、提升、稳定水库周边及库区环境卫生、水域水质符合《德宏州水功能区划复核和调整报告》规划的水质管理目标为Ⅱ类水，并通过强化工程管理、环保监督、农业生产水平优化、</w:t>
      </w:r>
      <w:r>
        <w:rPr>
          <w:rFonts w:hint="eastAsia" w:ascii="宋体" w:hAnsi="宋体" w:eastAsia="方正仿宋_GBK" w:cs="方正仿宋_GBK"/>
          <w:bCs/>
          <w:sz w:val="32"/>
          <w:szCs w:val="32"/>
          <w:highlight w:val="none"/>
          <w:lang w:eastAsia="zh-CN"/>
        </w:rPr>
        <w:t>水面开发利用</w:t>
      </w:r>
      <w:r>
        <w:rPr>
          <w:rFonts w:hint="eastAsia" w:ascii="宋体" w:hAnsi="宋体" w:eastAsia="方正仿宋_GBK" w:cs="方正仿宋_GBK"/>
          <w:bCs/>
          <w:sz w:val="32"/>
          <w:szCs w:val="32"/>
          <w:highlight w:val="none"/>
        </w:rPr>
        <w:t>等手段，使库区周边（含库区水域）范围环境水体水质长期稳定，并处于不低于Ⅱ类水的水质目标。</w:t>
      </w:r>
      <w:r>
        <w:rPr>
          <w:rFonts w:hint="eastAsia" w:ascii="宋体" w:hAnsi="宋体" w:eastAsia="方正仿宋_GBK" w:cs="方正仿宋_GBK"/>
          <w:kern w:val="0"/>
          <w:sz w:val="32"/>
          <w:szCs w:val="32"/>
          <w:highlight w:val="none"/>
        </w:rPr>
        <w:t>同时带动水库周边上下游产生一定的社会、生态和经济效益。经济效益：开发低碳旅游产业，规划年接待游客30万人次，带动周边村民就业200人以上</w:t>
      </w:r>
      <w:r>
        <w:rPr>
          <w:rFonts w:hint="eastAsia" w:ascii="宋体" w:hAnsi="宋体" w:eastAsia="方正仿宋_GBK" w:cs="方正仿宋_GBK"/>
          <w:kern w:val="0"/>
          <w:sz w:val="32"/>
          <w:szCs w:val="32"/>
          <w:highlight w:val="none"/>
          <w:lang w:eastAsia="zh-CN"/>
        </w:rPr>
        <w:t>。</w:t>
      </w:r>
      <w:r>
        <w:rPr>
          <w:rFonts w:hint="eastAsia" w:ascii="宋体" w:hAnsi="宋体" w:eastAsia="方正仿宋_GBK" w:cs="方正仿宋_GBK"/>
          <w:kern w:val="0"/>
          <w:sz w:val="32"/>
          <w:szCs w:val="32"/>
          <w:highlight w:val="none"/>
        </w:rPr>
        <w:t>生态效益：采用人工湿地与土著鱼类增殖放流相结合的方式，恢复水域生物多样性，维护水生生态系统完整性</w:t>
      </w:r>
      <w:r>
        <w:rPr>
          <w:rFonts w:hint="eastAsia" w:ascii="宋体" w:hAnsi="宋体" w:eastAsia="方正仿宋_GBK" w:cs="方正仿宋_GBK"/>
          <w:kern w:val="0"/>
          <w:sz w:val="32"/>
          <w:szCs w:val="32"/>
          <w:highlight w:val="none"/>
          <w:lang w:eastAsia="zh-CN"/>
        </w:rPr>
        <w:t>。</w:t>
      </w:r>
      <w:r>
        <w:rPr>
          <w:rFonts w:hint="eastAsia" w:ascii="宋体" w:hAnsi="宋体" w:eastAsia="方正仿宋_GBK" w:cs="方正仿宋_GBK"/>
          <w:kern w:val="0"/>
          <w:sz w:val="32"/>
          <w:szCs w:val="32"/>
          <w:highlight w:val="none"/>
        </w:rPr>
        <w:t>社会效益：通过水资源科普教育基地提升公众环保意识</w:t>
      </w:r>
      <w:r>
        <w:rPr>
          <w:rFonts w:hint="eastAsia" w:ascii="宋体" w:hAnsi="宋体" w:eastAsia="方正仿宋_GBK" w:cs="方正仿宋_GBK"/>
          <w:kern w:val="0"/>
          <w:sz w:val="32"/>
          <w:szCs w:val="32"/>
          <w:highlight w:val="none"/>
          <w:lang w:eastAsia="zh-CN"/>
        </w:rPr>
        <w:t>，通过工程措施与非工程措施协同发力，实现水资源价值最大化与生态系统保护的双赢。</w:t>
      </w:r>
    </w:p>
    <w:p w14:paraId="4927CB87">
      <w:pPr>
        <w:keepNext/>
        <w:keepLines/>
        <w:pageBreakBefore w:val="0"/>
        <w:widowControl w:val="0"/>
        <w:kinsoku/>
        <w:wordWrap/>
        <w:overflowPunct/>
        <w:topLinePunct w:val="0"/>
        <w:autoSpaceDE/>
        <w:autoSpaceDN/>
        <w:bidi w:val="0"/>
        <w:adjustRightInd/>
        <w:snapToGrid/>
        <w:spacing w:line="560" w:lineRule="exact"/>
        <w:textAlignment w:val="auto"/>
        <w:outlineLvl w:val="1"/>
        <w:rPr>
          <w:rFonts w:hint="default" w:ascii="宋体" w:hAnsi="宋体" w:eastAsia="方正仿宋_GBK" w:cs="方正仿宋_GBK"/>
          <w:b/>
          <w:bCs/>
          <w:kern w:val="0"/>
          <w:sz w:val="32"/>
          <w:szCs w:val="32"/>
          <w:highlight w:val="none"/>
          <w:lang w:val="en-US" w:eastAsia="zh-CN"/>
        </w:rPr>
      </w:pPr>
      <w:bookmarkStart w:id="19" w:name="_Toc22299"/>
      <w:r>
        <w:rPr>
          <w:rFonts w:hint="eastAsia" w:ascii="宋体" w:hAnsi="宋体" w:eastAsia="方正仿宋_GBK" w:cs="方正仿宋_GBK"/>
          <w:b/>
          <w:bCs/>
          <w:kern w:val="0"/>
          <w:sz w:val="32"/>
          <w:szCs w:val="32"/>
          <w:highlight w:val="none"/>
          <w:lang w:val="en-US" w:eastAsia="zh-CN"/>
        </w:rPr>
        <w:t>1.5编制的必要性</w:t>
      </w:r>
      <w:bookmarkEnd w:id="19"/>
    </w:p>
    <w:p w14:paraId="155E5323">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highlight w:val="none"/>
          <w:lang w:eastAsia="zh-CN"/>
        </w:rPr>
      </w:pPr>
      <w:r>
        <w:rPr>
          <w:rFonts w:hint="eastAsia" w:ascii="宋体" w:hAnsi="宋体" w:eastAsia="方正仿宋_GBK" w:cs="方正仿宋_GBK"/>
          <w:kern w:val="0"/>
          <w:sz w:val="32"/>
          <w:szCs w:val="32"/>
          <w:highlight w:val="none"/>
          <w:lang w:eastAsia="zh-CN"/>
        </w:rPr>
        <w:t>芒究水库位于芒市城区东南方向，水面宽阔、水质清冽，风景优美，是芒市市民日常休闲首选的场所。2005年8月，经水利部批准为潞西市孔雀湖生态风景区。芒市人民政府在此投入非常大，打造芒市美丽示范公路路段，增设休闲步道、栈道、亭台等，滨湖路沿线种植各种观赏花卉，并编制《德宏州芒市孔雀湖旅游发展总体规划》申报打造芒市孔雀湖生态旅游观光度假区。2024年6月，经国家文旅部评为芒市孔雀湖国家级旅游度假区。水库因其地理位置、植被、水深、气候环境等先天要素，非常适合发展旅游业。孔雀湖从“水利风景区”升级为国家级旅游度假区，通过系统性规划编制，可实现从“单一景区”到“产城人文景”融合体的转型，形成“水源保护-休闲度假”互补格局，</w:t>
      </w:r>
      <w:r>
        <w:rPr>
          <w:rFonts w:hint="eastAsia" w:ascii="宋体" w:hAnsi="宋体" w:eastAsia="方正仿宋_GBK" w:cs="方正仿宋_GBK"/>
          <w:kern w:val="0"/>
          <w:sz w:val="32"/>
          <w:szCs w:val="32"/>
          <w:highlight w:val="none"/>
          <w:lang w:val="en-US" w:eastAsia="zh-CN"/>
        </w:rPr>
        <w:t>从而</w:t>
      </w:r>
      <w:r>
        <w:rPr>
          <w:rFonts w:hint="eastAsia" w:ascii="宋体" w:hAnsi="宋体" w:eastAsia="方正仿宋_GBK" w:cs="方正仿宋_GBK"/>
          <w:kern w:val="0"/>
          <w:sz w:val="32"/>
          <w:szCs w:val="32"/>
          <w:highlight w:val="none"/>
          <w:lang w:eastAsia="zh-CN"/>
        </w:rPr>
        <w:t>推动</w:t>
      </w:r>
      <w:r>
        <w:rPr>
          <w:rFonts w:hint="eastAsia" w:ascii="宋体" w:hAnsi="宋体" w:eastAsia="方正仿宋_GBK" w:cs="方正仿宋_GBK"/>
          <w:kern w:val="0"/>
          <w:sz w:val="32"/>
          <w:szCs w:val="32"/>
          <w:highlight w:val="none"/>
          <w:lang w:val="en-US" w:eastAsia="zh-CN"/>
        </w:rPr>
        <w:t>芒市</w:t>
      </w:r>
      <w:r>
        <w:rPr>
          <w:rFonts w:hint="eastAsia" w:ascii="宋体" w:hAnsi="宋体" w:eastAsia="方正仿宋_GBK" w:cs="方正仿宋_GBK"/>
          <w:kern w:val="0"/>
          <w:sz w:val="32"/>
          <w:szCs w:val="32"/>
          <w:highlight w:val="none"/>
          <w:lang w:eastAsia="zh-CN"/>
        </w:rPr>
        <w:t>旅游产业提质升级。</w:t>
      </w:r>
    </w:p>
    <w:p w14:paraId="4CAF85C4">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highlight w:val="none"/>
          <w:lang w:eastAsia="zh-CN"/>
        </w:rPr>
      </w:pPr>
    </w:p>
    <w:p w14:paraId="0C763790">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highlight w:val="none"/>
          <w:lang w:eastAsia="zh-CN"/>
        </w:rPr>
      </w:pPr>
    </w:p>
    <w:p w14:paraId="1A6A2049">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highlight w:val="none"/>
          <w:lang w:eastAsia="zh-CN"/>
        </w:rPr>
      </w:pPr>
    </w:p>
    <w:p w14:paraId="6A47377C">
      <w:pPr>
        <w:pStyle w:val="2"/>
        <w:rPr>
          <w:rFonts w:hint="eastAsia" w:ascii="宋体" w:hAnsi="宋体" w:eastAsia="方正仿宋_GBK" w:cs="方正仿宋_GBK"/>
          <w:kern w:val="0"/>
          <w:sz w:val="32"/>
          <w:szCs w:val="32"/>
          <w:highlight w:val="none"/>
          <w:lang w:eastAsia="zh-CN"/>
        </w:rPr>
      </w:pPr>
    </w:p>
    <w:p w14:paraId="69A3C0B1">
      <w:pPr>
        <w:pStyle w:val="2"/>
        <w:rPr>
          <w:rFonts w:hint="eastAsia" w:ascii="宋体" w:hAnsi="宋体" w:eastAsia="方正仿宋_GBK" w:cs="方正仿宋_GBK"/>
          <w:kern w:val="0"/>
          <w:sz w:val="32"/>
          <w:szCs w:val="32"/>
          <w:highlight w:val="none"/>
          <w:lang w:eastAsia="zh-CN"/>
        </w:rPr>
      </w:pPr>
    </w:p>
    <w:p w14:paraId="7A9C958F">
      <w:pPr>
        <w:pageBreakBefore w:val="0"/>
        <w:widowControl/>
        <w:kinsoku/>
        <w:wordWrap/>
        <w:overflowPunct/>
        <w:topLinePunct w:val="0"/>
        <w:bidi w:val="0"/>
        <w:jc w:val="left"/>
        <w:rPr>
          <w:rFonts w:hint="eastAsia" w:ascii="宋体" w:hAnsi="宋体" w:eastAsia="方正小标宋_GBK" w:cs="方正小标宋_GBK"/>
          <w:b w:val="0"/>
          <w:bCs/>
          <w:sz w:val="44"/>
          <w:szCs w:val="44"/>
        </w:rPr>
      </w:pPr>
      <w:bookmarkStart w:id="20" w:name="_Toc77330248"/>
      <w:bookmarkStart w:id="21" w:name="_Toc25802_WPSOffice_Level1"/>
      <w:bookmarkStart w:id="22" w:name="_Toc1193"/>
    </w:p>
    <w:p w14:paraId="761A5979">
      <w:pPr>
        <w:pageBreakBefore w:val="0"/>
        <w:widowControl/>
        <w:kinsoku/>
        <w:wordWrap/>
        <w:overflowPunct/>
        <w:topLinePunct w:val="0"/>
        <w:bidi w:val="0"/>
        <w:jc w:val="center"/>
        <w:rPr>
          <w:rFonts w:hint="eastAsia" w:ascii="宋体" w:hAnsi="宋体" w:eastAsia="方正小标宋_GBK" w:cs="方正小标宋_GBK"/>
          <w:b w:val="0"/>
          <w:bCs/>
          <w:sz w:val="44"/>
          <w:szCs w:val="44"/>
        </w:rPr>
        <w:sectPr>
          <w:footerReference r:id="rId8" w:type="default"/>
          <w:pgSz w:w="11906" w:h="16838"/>
          <w:pgMar w:top="2098" w:right="1474" w:bottom="1984" w:left="1587" w:header="851" w:footer="992" w:gutter="0"/>
          <w:pgNumType w:fmt="decimal" w:start="1"/>
          <w:cols w:space="720" w:num="1"/>
          <w:docGrid w:type="lines" w:linePitch="312" w:charSpace="0"/>
        </w:sectPr>
      </w:pPr>
    </w:p>
    <w:p w14:paraId="325983D4">
      <w:pPr>
        <w:pageBreakBefore w:val="0"/>
        <w:widowControl/>
        <w:kinsoku/>
        <w:wordWrap/>
        <w:overflowPunct/>
        <w:topLinePunct w:val="0"/>
        <w:bidi w:val="0"/>
        <w:jc w:val="center"/>
        <w:rPr>
          <w:rFonts w:hint="eastAsia" w:ascii="宋体" w:hAnsi="宋体" w:eastAsia="宋体" w:cs="宋体"/>
          <w:b w:val="0"/>
          <w:bCs w:val="0"/>
          <w:kern w:val="0"/>
          <w:sz w:val="32"/>
          <w:szCs w:val="32"/>
        </w:rPr>
      </w:pPr>
      <w:r>
        <w:rPr>
          <w:rFonts w:hint="eastAsia" w:ascii="宋体" w:hAnsi="宋体" w:eastAsia="方正小标宋_GBK" w:cs="方正小标宋_GBK"/>
          <w:b w:val="0"/>
          <w:bCs/>
          <w:sz w:val="44"/>
          <w:szCs w:val="44"/>
        </w:rPr>
        <w:t xml:space="preserve">第二章 </w:t>
      </w:r>
      <w:bookmarkEnd w:id="20"/>
      <w:r>
        <w:rPr>
          <w:rFonts w:hint="eastAsia" w:ascii="宋体" w:hAnsi="宋体" w:eastAsia="方正小标宋_GBK" w:cs="方正小标宋_GBK"/>
          <w:b w:val="0"/>
          <w:bCs/>
          <w:sz w:val="44"/>
          <w:szCs w:val="44"/>
          <w:lang w:val="en-US" w:eastAsia="zh-CN"/>
        </w:rPr>
        <w:t>工程</w:t>
      </w:r>
      <w:r>
        <w:rPr>
          <w:rFonts w:hint="eastAsia" w:ascii="宋体" w:hAnsi="宋体" w:eastAsia="方正小标宋_GBK" w:cs="方正小标宋_GBK"/>
          <w:b w:val="0"/>
          <w:bCs/>
          <w:sz w:val="44"/>
          <w:szCs w:val="44"/>
        </w:rPr>
        <w:t>概况</w:t>
      </w:r>
      <w:bookmarkEnd w:id="21"/>
      <w:bookmarkEnd w:id="22"/>
      <w:bookmarkStart w:id="23" w:name="_Toc12156_WPSOffice_Level2"/>
      <w:bookmarkStart w:id="24" w:name="_Toc6608"/>
      <w:bookmarkStart w:id="25" w:name="_Toc77330249"/>
    </w:p>
    <w:p w14:paraId="5B74FC62">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kern w:val="0"/>
          <w:sz w:val="32"/>
          <w:szCs w:val="32"/>
        </w:rPr>
      </w:pPr>
      <w:bookmarkStart w:id="26" w:name="_Toc6920"/>
      <w:r>
        <w:rPr>
          <w:rFonts w:hint="eastAsia" w:ascii="宋体" w:hAnsi="宋体" w:eastAsia="方正仿宋_GBK" w:cs="方正仿宋_GBK"/>
          <w:b/>
          <w:bCs/>
          <w:kern w:val="0"/>
          <w:sz w:val="32"/>
          <w:szCs w:val="32"/>
        </w:rPr>
        <w:t>2.1</w:t>
      </w:r>
      <w:bookmarkStart w:id="27" w:name="_Toc277106412"/>
      <w:r>
        <w:rPr>
          <w:rFonts w:hint="eastAsia" w:ascii="宋体" w:hAnsi="宋体" w:eastAsia="方正仿宋_GBK" w:cs="方正仿宋_GBK"/>
          <w:b/>
          <w:bCs/>
          <w:kern w:val="0"/>
          <w:sz w:val="32"/>
          <w:szCs w:val="32"/>
        </w:rPr>
        <w:t xml:space="preserve"> 地理位置及区域概况</w:t>
      </w:r>
      <w:bookmarkEnd w:id="23"/>
      <w:bookmarkEnd w:id="24"/>
      <w:bookmarkEnd w:id="25"/>
      <w:bookmarkEnd w:id="26"/>
      <w:bookmarkEnd w:id="27"/>
    </w:p>
    <w:p w14:paraId="794ED3F3">
      <w:pPr>
        <w:pStyle w:val="59"/>
        <w:ind w:firstLine="480"/>
        <w:rPr>
          <w:rFonts w:hint="eastAsia" w:ascii="宋体" w:hAnsi="宋体" w:eastAsia="方正仿宋_GBK" w:cs="方正仿宋_GBK"/>
          <w:sz w:val="32"/>
          <w:szCs w:val="32"/>
        </w:rPr>
      </w:pPr>
      <w:r>
        <w:rPr>
          <w:rFonts w:hint="eastAsia" w:ascii="宋体" w:hAnsi="宋体" w:eastAsia="方正仿宋_GBK" w:cs="方正仿宋_GBK"/>
          <w:sz w:val="32"/>
          <w:szCs w:val="32"/>
          <w:lang w:val="zh-CN"/>
        </w:rPr>
        <w:t>芒究水库位于德宏州傣族景颇族自治州</w:t>
      </w:r>
      <w:r>
        <w:rPr>
          <w:rFonts w:hint="eastAsia" w:ascii="宋体" w:hAnsi="宋体" w:eastAsia="方正仿宋_GBK" w:cs="方正仿宋_GBK"/>
          <w:sz w:val="32"/>
          <w:szCs w:val="32"/>
        </w:rPr>
        <w:t>芒市河支流南木黑河上游，</w:t>
      </w:r>
      <w:r>
        <w:rPr>
          <w:rFonts w:hint="eastAsia" w:ascii="宋体" w:hAnsi="宋体" w:eastAsia="方正仿宋_GBK" w:cs="方正仿宋_GBK"/>
          <w:sz w:val="32"/>
          <w:szCs w:val="32"/>
          <w:lang w:eastAsia="zh-CN"/>
        </w:rPr>
        <w:t>其</w:t>
      </w:r>
      <w:r>
        <w:rPr>
          <w:rFonts w:hint="eastAsia" w:ascii="宋体" w:hAnsi="宋体" w:eastAsia="方正仿宋_GBK" w:cs="方正仿宋_GBK"/>
          <w:sz w:val="32"/>
          <w:szCs w:val="32"/>
        </w:rPr>
        <w:t>地理坐标为东经98°27′，北纬24°24′，距州府芒市5km，属伊洛瓦底江水系。</w:t>
      </w:r>
    </w:p>
    <w:p w14:paraId="4F37A10F">
      <w:pPr>
        <w:pageBreakBefore w:val="0"/>
        <w:kinsoku/>
        <w:wordWrap/>
        <w:overflowPunct/>
        <w:topLinePunct w:val="0"/>
        <w:autoSpaceDE w:val="0"/>
        <w:autoSpaceDN w:val="0"/>
        <w:bidi w:val="0"/>
        <w:adjustRightInd w:val="0"/>
        <w:ind w:firstLine="640" w:firstLineChars="200"/>
        <w:jc w:val="both"/>
        <w:rPr>
          <w:rFonts w:hint="eastAsia" w:ascii="宋体" w:hAnsi="宋体" w:eastAsia="方正仿宋_GBK" w:cs="方正仿宋_GBK"/>
          <w:sz w:val="32"/>
          <w:szCs w:val="32"/>
        </w:rPr>
      </w:pPr>
      <w:r>
        <w:rPr>
          <w:rFonts w:hint="eastAsia" w:ascii="宋体" w:hAnsi="宋体" w:eastAsia="方正仿宋_GBK" w:cs="方正仿宋_GBK"/>
          <w:sz w:val="32"/>
          <w:szCs w:val="32"/>
        </w:rPr>
        <w:t>芒市属边境市，位于云南省西部，</w:t>
      </w:r>
      <w:r>
        <w:rPr>
          <w:rFonts w:hint="eastAsia" w:ascii="宋体" w:hAnsi="宋体" w:eastAsia="方正仿宋_GBK" w:cs="方正仿宋_GBK"/>
          <w:sz w:val="32"/>
          <w:szCs w:val="32"/>
          <w:lang w:val="en-US" w:eastAsia="zh-CN"/>
        </w:rPr>
        <w:t>德宏州东南部，</w:t>
      </w:r>
      <w:r>
        <w:rPr>
          <w:rFonts w:hint="eastAsia" w:ascii="宋体" w:hAnsi="宋体" w:eastAsia="方正仿宋_GBK" w:cs="方正仿宋_GBK"/>
          <w:sz w:val="32"/>
          <w:szCs w:val="32"/>
        </w:rPr>
        <w:t>南与缅甸接壤，边境线长68.23公里，占全州边境线的13.54%，是德宏州的经济、政治、文化中心及区域性重要信息通讯和交通枢纽，是中国通向南亚、东南亚的重要门户，也是国家园林城市、全国科普示范市、全国双拥模范城、云南省文明城市。陆距省会昆明679公里，空距427公里。</w:t>
      </w:r>
      <w:r>
        <w:rPr>
          <w:rFonts w:hint="eastAsia" w:ascii="宋体" w:hAnsi="宋体" w:eastAsia="方正仿宋_GBK" w:cs="方正仿宋_GBK"/>
          <w:sz w:val="32"/>
          <w:szCs w:val="32"/>
          <w:lang w:val="en-US" w:eastAsia="zh-CN"/>
        </w:rPr>
        <w:t>根据</w:t>
      </w:r>
      <w:r>
        <w:rPr>
          <w:rFonts w:hint="eastAsia" w:ascii="宋体" w:hAnsi="宋体" w:eastAsia="方正仿宋_GBK" w:cs="方正仿宋_GBK"/>
          <w:sz w:val="32"/>
          <w:szCs w:val="32"/>
        </w:rPr>
        <w:t>2024年</w:t>
      </w:r>
      <w:r>
        <w:rPr>
          <w:rFonts w:hint="eastAsia" w:ascii="宋体" w:hAnsi="宋体" w:eastAsia="方正仿宋_GBK" w:cs="方正仿宋_GBK"/>
          <w:sz w:val="32"/>
          <w:szCs w:val="32"/>
          <w:lang w:val="en-US" w:eastAsia="zh-CN"/>
        </w:rPr>
        <w:t>统计资料显示</w:t>
      </w:r>
      <w:r>
        <w:rPr>
          <w:rFonts w:hint="eastAsia" w:ascii="宋体" w:hAnsi="宋体" w:eastAsia="方正仿宋_GBK" w:cs="方正仿宋_GBK"/>
          <w:sz w:val="32"/>
          <w:szCs w:val="32"/>
        </w:rPr>
        <w:t>，芒市</w:t>
      </w:r>
      <w:r>
        <w:rPr>
          <w:rFonts w:hint="eastAsia" w:ascii="宋体" w:hAnsi="宋体" w:eastAsia="方正仿宋_GBK" w:cs="方正仿宋_GBK"/>
          <w:sz w:val="32"/>
          <w:szCs w:val="32"/>
          <w:lang w:val="en-US" w:eastAsia="zh-CN"/>
        </w:rPr>
        <w:t>下辖</w:t>
      </w:r>
      <w:r>
        <w:rPr>
          <w:rFonts w:hint="eastAsia" w:ascii="宋体" w:hAnsi="宋体" w:eastAsia="方正仿宋_GBK" w:cs="方正仿宋_GBK"/>
          <w:sz w:val="32"/>
          <w:szCs w:val="32"/>
        </w:rPr>
        <w:t>11个乡镇（5镇6乡）、1个街道、1个农场，85个村委会、36个居委会、1000个村民小组，839个居民小组。东西长约71km，南北宽约62km，辖区面积2900.83</w:t>
      </w:r>
      <w:r>
        <w:rPr>
          <w:rFonts w:hint="eastAsia" w:ascii="宋体" w:hAnsi="宋体" w:eastAsia="方正仿宋_GBK" w:cs="方正仿宋_GBK"/>
          <w:sz w:val="32"/>
          <w:szCs w:val="32"/>
          <w:lang w:val="en-US" w:eastAsia="zh-CN"/>
        </w:rPr>
        <w:t>km</w:t>
      </w:r>
      <w:r>
        <w:rPr>
          <w:rFonts w:hint="eastAsia" w:ascii="宋体" w:hAnsi="宋体" w:eastAsia="方正仿宋_GBK" w:cs="方正仿宋_GBK"/>
          <w:sz w:val="32"/>
          <w:szCs w:val="32"/>
          <w:vertAlign w:val="superscript"/>
          <w:lang w:val="en-US" w:eastAsia="zh-CN"/>
        </w:rPr>
        <w:t>2</w:t>
      </w:r>
      <w:r>
        <w:rPr>
          <w:rFonts w:hint="eastAsia" w:ascii="宋体" w:hAnsi="宋体" w:eastAsia="方正仿宋_GBK" w:cs="方正仿宋_GBK"/>
          <w:sz w:val="32"/>
          <w:szCs w:val="32"/>
        </w:rPr>
        <w:t>，占全州的25.97%、全省的0.74%，排全州第2位，其中，山区占90.7%、坝区占9.3%。芒市常住人口46.43万人（城镇人口23.95万人、农村人口22.48万人），其中，汉族25.88万人，占全市的55.7%；少数民族20.55万人，占全市的44.3%；傣族、景颇族、德昂族、阿昌族、傈僳族等五种世居少数民族19.05万人、占全市的41%，城镇化率51.58％，森林覆盖率63.06%，建城区面积24.3平方公里。</w:t>
      </w:r>
    </w:p>
    <w:p w14:paraId="04D0ACFC">
      <w:pPr>
        <w:pageBreakBefore w:val="0"/>
        <w:kinsoku/>
        <w:wordWrap/>
        <w:overflowPunct/>
        <w:topLinePunct w:val="0"/>
        <w:autoSpaceDE w:val="0"/>
        <w:autoSpaceDN w:val="0"/>
        <w:bidi w:val="0"/>
        <w:adjustRightInd w:val="0"/>
        <w:ind w:firstLine="643" w:firstLineChars="200"/>
        <w:jc w:val="center"/>
        <w:rPr>
          <w:rFonts w:hint="eastAsia" w:ascii="宋体" w:hAnsi="宋体" w:eastAsia="方正仿宋_GBK" w:cs="方正仿宋_GBK"/>
          <w:b/>
          <w:sz w:val="32"/>
          <w:szCs w:val="32"/>
          <w:lang w:eastAsia="zh-CN"/>
        </w:rPr>
      </w:pPr>
      <w:r>
        <w:rPr>
          <w:rFonts w:hint="eastAsia" w:ascii="宋体" w:hAnsi="宋体" w:eastAsia="方正仿宋_GBK" w:cs="方正仿宋_GBK"/>
          <w:b/>
          <w:sz w:val="32"/>
          <w:szCs w:val="32"/>
          <w:lang w:eastAsia="zh-CN"/>
        </w:rPr>
        <w:drawing>
          <wp:inline distT="0" distB="0" distL="114300" distR="114300">
            <wp:extent cx="3276600" cy="3702050"/>
            <wp:effectExtent l="0" t="0" r="0" b="12700"/>
            <wp:docPr id="30" name="图片 30" descr="174519789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45197894371"/>
                    <pic:cNvPicPr>
                      <a:picLocks noChangeAspect="1"/>
                    </pic:cNvPicPr>
                  </pic:nvPicPr>
                  <pic:blipFill>
                    <a:blip r:embed="rId11"/>
                    <a:stretch>
                      <a:fillRect/>
                    </a:stretch>
                  </pic:blipFill>
                  <pic:spPr>
                    <a:xfrm>
                      <a:off x="0" y="0"/>
                      <a:ext cx="3276600" cy="3702050"/>
                    </a:xfrm>
                    <a:prstGeom prst="rect">
                      <a:avLst/>
                    </a:prstGeom>
                  </pic:spPr>
                </pic:pic>
              </a:graphicData>
            </a:graphic>
          </wp:inline>
        </w:drawing>
      </w:r>
    </w:p>
    <w:p w14:paraId="7DBBADB8">
      <w:pPr>
        <w:pageBreakBefore w:val="0"/>
        <w:kinsoku/>
        <w:wordWrap/>
        <w:overflowPunct/>
        <w:topLinePunct w:val="0"/>
        <w:autoSpaceDE w:val="0"/>
        <w:autoSpaceDN w:val="0"/>
        <w:bidi w:val="0"/>
        <w:adjustRightInd w:val="0"/>
        <w:ind w:firstLine="560" w:firstLineChars="200"/>
        <w:jc w:val="center"/>
        <w:outlineLvl w:val="9"/>
        <w:rPr>
          <w:rFonts w:hint="eastAsia" w:ascii="宋体" w:hAnsi="宋体" w:eastAsia="方正仿宋_GBK" w:cs="方正仿宋_GBK"/>
          <w:b w:val="0"/>
          <w:bCs/>
          <w:kern w:val="0"/>
          <w:sz w:val="28"/>
          <w:szCs w:val="28"/>
        </w:rPr>
      </w:pPr>
      <w:bookmarkStart w:id="28" w:name="_Toc19162_WPSOffice_Level2"/>
      <w:bookmarkStart w:id="29" w:name="_Toc29459_WPSOffice_Level2"/>
      <w:r>
        <w:rPr>
          <w:rFonts w:hint="eastAsia" w:ascii="宋体" w:hAnsi="宋体" w:eastAsia="方正黑体_GBK" w:cs="方正黑体_GBK"/>
          <w:b w:val="0"/>
          <w:bCs/>
          <w:sz w:val="28"/>
          <w:szCs w:val="28"/>
          <w:lang w:val="en-US" w:eastAsia="zh-CN"/>
        </w:rPr>
        <w:t>图</w:t>
      </w:r>
      <w:r>
        <w:rPr>
          <w:rFonts w:hint="eastAsia" w:ascii="宋体" w:hAnsi="宋体" w:eastAsia="方正黑体_GBK" w:cs="方正黑体_GBK"/>
          <w:b w:val="0"/>
          <w:bCs/>
          <w:sz w:val="28"/>
          <w:szCs w:val="28"/>
        </w:rPr>
        <w:t>2.1水库现状俯视图</w:t>
      </w:r>
      <w:bookmarkEnd w:id="28"/>
      <w:bookmarkEnd w:id="29"/>
      <w:bookmarkStart w:id="30" w:name="_Toc77330250"/>
      <w:bookmarkStart w:id="31" w:name="_Toc11175"/>
      <w:bookmarkStart w:id="32" w:name="_Toc5266_WPSOffice_Level2"/>
    </w:p>
    <w:p w14:paraId="3CC438A0">
      <w:pPr>
        <w:keepNext/>
        <w:keepLines/>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方正仿宋_GBK" w:cs="方正仿宋_GBK"/>
          <w:b w:val="0"/>
          <w:bCs w:val="0"/>
          <w:kern w:val="0"/>
          <w:sz w:val="32"/>
          <w:szCs w:val="32"/>
        </w:rPr>
      </w:pPr>
      <w:bookmarkStart w:id="33" w:name="_Toc795"/>
      <w:r>
        <w:rPr>
          <w:rFonts w:hint="eastAsia" w:ascii="宋体" w:hAnsi="宋体" w:eastAsia="方正仿宋_GBK" w:cs="方正仿宋_GBK"/>
          <w:b/>
          <w:bCs/>
          <w:kern w:val="0"/>
          <w:sz w:val="32"/>
          <w:szCs w:val="32"/>
        </w:rPr>
        <w:t>2.2 工程基本情况</w:t>
      </w:r>
      <w:bookmarkEnd w:id="30"/>
      <w:bookmarkEnd w:id="31"/>
      <w:bookmarkEnd w:id="32"/>
      <w:bookmarkEnd w:id="33"/>
    </w:p>
    <w:p w14:paraId="4ADA843C">
      <w:pPr>
        <w:pageBreakBefore w:val="0"/>
        <w:widowControl w:val="0"/>
        <w:kinsoku/>
        <w:wordWrap/>
        <w:overflowPunct/>
        <w:topLinePunct w:val="0"/>
        <w:autoSpaceDE/>
        <w:autoSpaceDN/>
        <w:bidi w:val="0"/>
        <w:adjustRightInd/>
        <w:snapToGrid/>
        <w:spacing w:line="560" w:lineRule="exact"/>
        <w:textAlignment w:val="auto"/>
        <w:outlineLvl w:val="2"/>
        <w:rPr>
          <w:rFonts w:hint="eastAsia" w:ascii="宋体" w:hAnsi="宋体" w:eastAsia="方正仿宋_GBK" w:cs="方正仿宋_GBK"/>
          <w:b/>
          <w:bCs/>
          <w:sz w:val="32"/>
          <w:szCs w:val="32"/>
        </w:rPr>
      </w:pPr>
      <w:bookmarkStart w:id="34" w:name="_Toc26280"/>
      <w:r>
        <w:rPr>
          <w:rFonts w:hint="eastAsia" w:ascii="宋体" w:hAnsi="宋体" w:eastAsia="方正仿宋_GBK" w:cs="方正仿宋_GBK"/>
          <w:b/>
          <w:bCs/>
          <w:sz w:val="32"/>
          <w:szCs w:val="32"/>
        </w:rPr>
        <w:t>2.2.1 工程建设情况</w:t>
      </w:r>
      <w:bookmarkEnd w:id="34"/>
    </w:p>
    <w:p w14:paraId="51BB9318">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方正仿宋_GBK" w:cs="方正仿宋_GBK"/>
          <w:b/>
          <w:bCs/>
          <w:sz w:val="32"/>
          <w:szCs w:val="32"/>
        </w:rPr>
      </w:pPr>
      <w:r>
        <w:rPr>
          <w:rFonts w:hint="eastAsia" w:ascii="宋体" w:hAnsi="宋体" w:eastAsia="方正仿宋_GBK" w:cs="方正仿宋_GBK"/>
          <w:b/>
          <w:bCs/>
          <w:sz w:val="32"/>
          <w:szCs w:val="32"/>
        </w:rPr>
        <w:t xml:space="preserve">2.2.1.1水库主体枢纽 </w:t>
      </w:r>
    </w:p>
    <w:p w14:paraId="32D0A26A">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b/>
          <w:bCs/>
          <w:sz w:val="32"/>
          <w:szCs w:val="32"/>
        </w:rPr>
      </w:pPr>
      <w:r>
        <w:rPr>
          <w:rFonts w:hint="eastAsia" w:ascii="宋体" w:hAnsi="宋体" w:eastAsia="方正仿宋_GBK" w:cs="方正仿宋_GBK"/>
          <w:sz w:val="32"/>
          <w:szCs w:val="32"/>
        </w:rPr>
        <w:t>芒市芒究水库始建于1958年，位于云南省德宏州芒市东南方向，距市区2km，是一座以农业灌溉为主，兼芒市城镇工业生产，生活用水，并具有防洪作用的</w:t>
      </w:r>
      <w:r>
        <w:rPr>
          <w:rFonts w:hint="eastAsia" w:ascii="宋体" w:hAnsi="宋体" w:eastAsia="方正仿宋_GBK" w:cs="方正仿宋_GBK"/>
          <w:sz w:val="32"/>
          <w:szCs w:val="32"/>
          <w:lang w:val="en-US" w:eastAsia="zh-CN"/>
        </w:rPr>
        <w:t>中型</w:t>
      </w:r>
      <w:r>
        <w:rPr>
          <w:rFonts w:hint="eastAsia" w:ascii="宋体" w:hAnsi="宋体" w:eastAsia="方正仿宋_GBK" w:cs="方正仿宋_GBK"/>
          <w:sz w:val="32"/>
          <w:szCs w:val="32"/>
        </w:rPr>
        <w:t>综合利用水库。水库坝址以上</w:t>
      </w:r>
      <w:r>
        <w:rPr>
          <w:rFonts w:hint="eastAsia" w:ascii="宋体" w:hAnsi="宋体" w:eastAsia="方正仿宋_GBK" w:cs="方正仿宋_GBK"/>
          <w:sz w:val="32"/>
          <w:szCs w:val="32"/>
          <w:lang w:val="zh-CN"/>
        </w:rPr>
        <w:t>流域面积31.7</w:t>
      </w:r>
      <w:r>
        <w:rPr>
          <w:rFonts w:hint="eastAsia" w:ascii="宋体" w:hAnsi="宋体" w:eastAsia="方正仿宋_GBK" w:cs="方正仿宋_GBK"/>
          <w:sz w:val="32"/>
          <w:szCs w:val="32"/>
        </w:rPr>
        <w:t>km²，引流区集水面积12.0km²，流域现状呈枫叶状，河流由东向西进入水库。坝址以上河长9.43km，河道平均比降5.18%；引水渠引水口以上河长5.02km，河道平均比降8.67%。</w:t>
      </w:r>
    </w:p>
    <w:p w14:paraId="18C2244C">
      <w:pPr>
        <w:pStyle w:val="59"/>
        <w:ind w:firstLine="480"/>
        <w:rPr>
          <w:rFonts w:hint="eastAsia" w:ascii="宋体" w:hAnsi="宋体" w:eastAsia="方正仿宋_GBK" w:cs="方正仿宋_GBK"/>
          <w:sz w:val="32"/>
          <w:szCs w:val="32"/>
        </w:rPr>
      </w:pPr>
      <w:r>
        <w:rPr>
          <w:rFonts w:hint="eastAsia" w:ascii="宋体" w:hAnsi="宋体" w:eastAsia="方正仿宋_GBK" w:cs="方正仿宋_GBK"/>
          <w:kern w:val="2"/>
          <w:sz w:val="32"/>
          <w:szCs w:val="32"/>
          <w:lang w:val="en-US" w:eastAsia="zh-CN" w:bidi="ar-SA"/>
        </w:rPr>
        <w:t>芒究水库枢纽由</w:t>
      </w:r>
      <w:r>
        <w:rPr>
          <w:rFonts w:hint="eastAsia" w:ascii="宋体" w:hAnsi="宋体" w:eastAsia="方正仿宋_GBK" w:cs="方正仿宋_GBK"/>
          <w:kern w:val="2"/>
          <w:sz w:val="32"/>
          <w:szCs w:val="32"/>
          <w:lang w:val="zh-CN" w:eastAsia="zh-CN" w:bidi="ar-SA"/>
        </w:rPr>
        <w:t>主坝、副坝、溢洪道、输水隧洞等</w:t>
      </w:r>
      <w:r>
        <w:rPr>
          <w:rFonts w:hint="eastAsia" w:ascii="宋体" w:hAnsi="宋体" w:eastAsia="方正仿宋_GBK" w:cs="方正仿宋_GBK"/>
          <w:kern w:val="2"/>
          <w:sz w:val="32"/>
          <w:szCs w:val="32"/>
          <w:lang w:val="en-US" w:eastAsia="zh-CN" w:bidi="ar-SA"/>
        </w:rPr>
        <w:t>组成。</w:t>
      </w:r>
      <w:r>
        <w:rPr>
          <w:rFonts w:hint="eastAsia" w:ascii="宋体" w:hAnsi="宋体" w:eastAsia="方正仿宋_GBK" w:cs="方正仿宋_GBK"/>
          <w:kern w:val="2"/>
          <w:sz w:val="32"/>
          <w:szCs w:val="32"/>
          <w:lang w:val="zh-CN" w:eastAsia="zh-CN" w:bidi="ar-SA"/>
        </w:rPr>
        <w:t>主坝为均质土坝，最大坝高42m，坝顶兼作环湖公路，路面为沥青混凝土，坝顶高程为946.00m，</w:t>
      </w:r>
      <w:r>
        <w:rPr>
          <w:rFonts w:hint="eastAsia" w:ascii="宋体" w:hAnsi="宋体" w:eastAsia="方正仿宋_GBK" w:cs="方正仿宋_GBK"/>
          <w:kern w:val="2"/>
          <w:sz w:val="32"/>
          <w:szCs w:val="32"/>
          <w:lang w:val="en-US" w:eastAsia="zh-CN" w:bidi="ar-SA"/>
        </w:rPr>
        <w:t>水库原设计总库容1861万m³，</w:t>
      </w:r>
      <w:r>
        <w:rPr>
          <w:rFonts w:hint="eastAsia" w:ascii="宋体" w:hAnsi="宋体" w:eastAsia="方正仿宋_GBK" w:cs="方正仿宋_GBK"/>
          <w:color w:val="auto"/>
          <w:kern w:val="2"/>
          <w:sz w:val="32"/>
          <w:szCs w:val="32"/>
          <w:highlight w:val="none"/>
          <w:lang w:val="en-US" w:eastAsia="zh-CN" w:bidi="ar-SA"/>
        </w:rPr>
        <w:t>正常蓄水位944.50m，相应水面面积</w:t>
      </w:r>
      <w:r>
        <w:rPr>
          <w:rFonts w:hint="eastAsia" w:ascii="宋体" w:hAnsi="宋体" w:eastAsia="方正仿宋_GBK" w:cs="方正仿宋_GBK"/>
          <w:color w:val="auto"/>
          <w:sz w:val="32"/>
          <w:szCs w:val="32"/>
          <w:highlight w:val="none"/>
          <w:lang w:val="en-US" w:eastAsia="zh-CN"/>
        </w:rPr>
        <w:t>1.083km</w:t>
      </w:r>
      <w:r>
        <w:rPr>
          <w:rFonts w:hint="eastAsia" w:ascii="宋体" w:hAnsi="宋体" w:eastAsia="方正仿宋_GBK" w:cs="方正仿宋_GBK"/>
          <w:color w:val="auto"/>
          <w:sz w:val="32"/>
          <w:szCs w:val="32"/>
          <w:highlight w:val="none"/>
          <w:vertAlign w:val="superscript"/>
          <w:lang w:val="en-US" w:eastAsia="zh-CN"/>
        </w:rPr>
        <w:t>2</w:t>
      </w:r>
      <w:r>
        <w:rPr>
          <w:rFonts w:hint="eastAsia" w:ascii="宋体" w:hAnsi="宋体" w:eastAsia="方正仿宋_GBK" w:cs="方正仿宋_GBK"/>
          <w:sz w:val="32"/>
          <w:szCs w:val="32"/>
          <w:highlight w:val="none"/>
        </w:rPr>
        <w:t>，</w:t>
      </w:r>
      <w:r>
        <w:rPr>
          <w:rFonts w:hint="eastAsia" w:ascii="宋体" w:hAnsi="宋体" w:eastAsia="方正仿宋_GBK" w:cs="方正仿宋_GBK"/>
          <w:sz w:val="32"/>
          <w:szCs w:val="32"/>
          <w:lang w:val="en-US" w:eastAsia="zh-CN"/>
        </w:rPr>
        <w:t>第三次除险加固</w:t>
      </w:r>
      <w:r>
        <w:rPr>
          <w:rFonts w:hint="eastAsia" w:ascii="宋体" w:hAnsi="宋体" w:eastAsia="方正仿宋_GBK" w:cs="方正仿宋_GBK"/>
          <w:color w:val="auto"/>
          <w:sz w:val="32"/>
          <w:szCs w:val="32"/>
          <w:lang w:val="en-US" w:eastAsia="zh-CN"/>
        </w:rPr>
        <w:t>复核结论：</w:t>
      </w:r>
      <w:r>
        <w:rPr>
          <w:rFonts w:hint="eastAsia" w:ascii="宋体" w:hAnsi="宋体" w:eastAsia="方正仿宋_GBK" w:cs="方正仿宋_GBK"/>
          <w:color w:val="auto"/>
          <w:sz w:val="32"/>
          <w:szCs w:val="32"/>
        </w:rPr>
        <w:t>水库</w:t>
      </w:r>
      <w:r>
        <w:rPr>
          <w:rFonts w:hint="eastAsia" w:ascii="宋体" w:hAnsi="宋体" w:eastAsia="方正仿宋_GBK" w:cs="方正仿宋_GBK"/>
          <w:color w:val="auto"/>
          <w:sz w:val="32"/>
          <w:szCs w:val="32"/>
          <w:lang w:val="zh-CN"/>
        </w:rPr>
        <w:t>总库容</w:t>
      </w:r>
      <w:r>
        <w:rPr>
          <w:rFonts w:hint="eastAsia" w:ascii="宋体" w:hAnsi="宋体" w:eastAsia="方正仿宋_GBK" w:cs="方正仿宋_GBK"/>
          <w:color w:val="auto"/>
          <w:sz w:val="32"/>
          <w:szCs w:val="32"/>
          <w:lang w:val="en-US" w:eastAsia="zh-CN"/>
        </w:rPr>
        <w:t>1762.31</w:t>
      </w:r>
      <w:r>
        <w:rPr>
          <w:rFonts w:hint="eastAsia" w:ascii="宋体" w:hAnsi="宋体" w:eastAsia="方正仿宋_GBK" w:cs="方正仿宋_GBK"/>
          <w:color w:val="auto"/>
          <w:sz w:val="32"/>
          <w:szCs w:val="32"/>
        </w:rPr>
        <w:t>万</w:t>
      </w:r>
      <w:r>
        <w:rPr>
          <w:rFonts w:hint="eastAsia" w:ascii="宋体" w:hAnsi="宋体" w:eastAsia="方正仿宋_GBK" w:cs="方正仿宋_GBK"/>
          <w:color w:val="auto"/>
          <w:sz w:val="32"/>
          <w:szCs w:val="32"/>
          <w:lang w:val="zh-CN"/>
        </w:rPr>
        <w:t>m³，防洪库容</w:t>
      </w:r>
      <w:r>
        <w:rPr>
          <w:rFonts w:hint="eastAsia" w:ascii="宋体" w:hAnsi="宋体" w:eastAsia="方正仿宋_GBK" w:cs="方正仿宋_GBK"/>
          <w:color w:val="auto"/>
          <w:sz w:val="32"/>
          <w:szCs w:val="32"/>
          <w:lang w:val="en-US" w:eastAsia="zh-CN"/>
        </w:rPr>
        <w:t>333.31</w:t>
      </w:r>
      <w:r>
        <w:rPr>
          <w:rFonts w:hint="eastAsia" w:ascii="宋体" w:hAnsi="宋体" w:eastAsia="方正仿宋_GBK" w:cs="方正仿宋_GBK"/>
          <w:color w:val="auto"/>
          <w:sz w:val="32"/>
          <w:szCs w:val="32"/>
        </w:rPr>
        <w:t>万</w:t>
      </w:r>
      <w:r>
        <w:rPr>
          <w:rFonts w:hint="eastAsia" w:ascii="宋体" w:hAnsi="宋体" w:eastAsia="方正仿宋_GBK" w:cs="方正仿宋_GBK"/>
          <w:color w:val="auto"/>
          <w:sz w:val="32"/>
          <w:szCs w:val="32"/>
          <w:lang w:val="zh-CN"/>
        </w:rPr>
        <w:t>m³，兴利库容</w:t>
      </w:r>
      <w:r>
        <w:rPr>
          <w:rFonts w:hint="eastAsia" w:ascii="宋体" w:hAnsi="宋体" w:eastAsia="方正仿宋_GBK" w:cs="方正仿宋_GBK"/>
          <w:color w:val="auto"/>
          <w:sz w:val="32"/>
          <w:szCs w:val="32"/>
          <w:lang w:val="en-US" w:eastAsia="zh-CN"/>
        </w:rPr>
        <w:t>1649.50</w:t>
      </w:r>
      <w:r>
        <w:rPr>
          <w:rFonts w:hint="eastAsia" w:ascii="宋体" w:hAnsi="宋体" w:eastAsia="方正仿宋_GBK" w:cs="方正仿宋_GBK"/>
          <w:color w:val="auto"/>
          <w:sz w:val="32"/>
          <w:szCs w:val="32"/>
          <w:lang w:val="zh-CN"/>
        </w:rPr>
        <w:t>万m³，死库容</w:t>
      </w:r>
      <w:r>
        <w:rPr>
          <w:rFonts w:hint="eastAsia" w:ascii="宋体" w:hAnsi="宋体" w:eastAsia="方正仿宋_GBK" w:cs="方正仿宋_GBK"/>
          <w:color w:val="auto"/>
          <w:sz w:val="32"/>
          <w:szCs w:val="32"/>
          <w:lang w:val="en-US" w:eastAsia="zh-CN"/>
        </w:rPr>
        <w:t>30.50</w:t>
      </w:r>
      <w:r>
        <w:rPr>
          <w:rFonts w:hint="eastAsia" w:ascii="宋体" w:hAnsi="宋体" w:eastAsia="方正仿宋_GBK" w:cs="方正仿宋_GBK"/>
          <w:color w:val="auto"/>
          <w:sz w:val="32"/>
          <w:szCs w:val="32"/>
          <w:lang w:val="zh-CN"/>
        </w:rPr>
        <w:t>万m³</w:t>
      </w:r>
      <w:r>
        <w:rPr>
          <w:rFonts w:hint="eastAsia" w:ascii="宋体" w:hAnsi="宋体" w:eastAsia="方正仿宋_GBK" w:cs="方正仿宋_GBK"/>
          <w:color w:val="auto"/>
          <w:sz w:val="32"/>
          <w:szCs w:val="32"/>
        </w:rPr>
        <w:t>，</w:t>
      </w:r>
      <w:r>
        <w:rPr>
          <w:rFonts w:hint="eastAsia" w:ascii="宋体" w:hAnsi="宋体" w:eastAsia="方正仿宋_GBK" w:cs="方正仿宋_GBK"/>
          <w:color w:val="auto"/>
          <w:sz w:val="32"/>
          <w:szCs w:val="32"/>
          <w:lang w:val="en-US" w:eastAsia="zh-CN"/>
        </w:rPr>
        <w:t>校核洪水位945.29m，</w:t>
      </w:r>
      <w:r>
        <w:rPr>
          <w:rFonts w:hint="eastAsia" w:ascii="宋体" w:hAnsi="宋体" w:eastAsia="方正仿宋_GBK" w:cs="方正仿宋_GBK"/>
          <w:color w:val="auto"/>
          <w:sz w:val="32"/>
          <w:szCs w:val="32"/>
        </w:rPr>
        <w:t>设计洪水位944.28m，正常蓄水位944.50m，汛限水位942.0</w:t>
      </w:r>
      <w:r>
        <w:rPr>
          <w:rFonts w:hint="eastAsia" w:ascii="宋体" w:hAnsi="宋体" w:eastAsia="方正仿宋_GBK" w:cs="方正仿宋_GBK"/>
          <w:color w:val="auto"/>
          <w:sz w:val="32"/>
          <w:szCs w:val="32"/>
          <w:lang w:val="en-US" w:eastAsia="zh-CN"/>
        </w:rPr>
        <w:t>0</w:t>
      </w:r>
      <w:r>
        <w:rPr>
          <w:rFonts w:hint="eastAsia" w:ascii="宋体" w:hAnsi="宋体" w:eastAsia="方正仿宋_GBK" w:cs="方正仿宋_GBK"/>
          <w:color w:val="auto"/>
          <w:sz w:val="32"/>
          <w:szCs w:val="32"/>
        </w:rPr>
        <w:t>m，死水位</w:t>
      </w:r>
      <w:r>
        <w:rPr>
          <w:rFonts w:hint="eastAsia" w:ascii="宋体" w:hAnsi="宋体" w:eastAsia="方正仿宋_GBK" w:cs="方正仿宋_GBK"/>
          <w:sz w:val="32"/>
          <w:szCs w:val="32"/>
        </w:rPr>
        <w:t>916.00m</w:t>
      </w:r>
      <w:r>
        <w:rPr>
          <w:rFonts w:hint="eastAsia" w:ascii="宋体" w:hAnsi="宋体" w:eastAsia="方正仿宋_GBK" w:cs="方正仿宋_GBK"/>
          <w:sz w:val="32"/>
          <w:szCs w:val="32"/>
          <w:lang w:val="zh-CN"/>
        </w:rPr>
        <w:t>。</w:t>
      </w:r>
    </w:p>
    <w:p w14:paraId="0A312D67">
      <w:pPr>
        <w:pStyle w:val="59"/>
        <w:ind w:firstLine="480"/>
        <w:rPr>
          <w:rFonts w:hint="eastAsia" w:ascii="宋体" w:hAnsi="宋体" w:eastAsia="方正仿宋_GBK" w:cs="方正仿宋_GBK"/>
          <w:color w:val="auto"/>
          <w:sz w:val="32"/>
          <w:szCs w:val="32"/>
          <w:lang w:val="zh-CN"/>
        </w:rPr>
      </w:pPr>
      <w:r>
        <w:rPr>
          <w:rFonts w:hint="eastAsia" w:ascii="宋体" w:hAnsi="宋体" w:eastAsia="方正仿宋_GBK" w:cs="方正仿宋_GBK"/>
          <w:color w:val="auto"/>
          <w:sz w:val="32"/>
          <w:szCs w:val="32"/>
          <w:lang w:val="zh-CN"/>
        </w:rPr>
        <w:t>芒究水库保护对象主要是芒市城区，是州、市政府所在地，保护人口约10.2万人，耕地12万亩。下游5km分布着军分区、飞机厂、芒市糖厂等重要企业、厂矿以及30km国道线路。另外，芒市水库还承担着下游4万亩农田灌溉任务以及年供水量50万m³，因此水库的安全运行对芒市具有十分重要的意义。</w:t>
      </w:r>
    </w:p>
    <w:p w14:paraId="5A683EE7">
      <w:pPr>
        <w:pageBreakBefore w:val="0"/>
        <w:kinsoku/>
        <w:wordWrap/>
        <w:overflowPunct/>
        <w:topLinePunct w:val="0"/>
        <w:autoSpaceDE w:val="0"/>
        <w:autoSpaceDN w:val="0"/>
        <w:bidi w:val="0"/>
        <w:adjustRightInd w:val="0"/>
        <w:jc w:val="center"/>
        <w:rPr>
          <w:rFonts w:hint="eastAsia" w:ascii="宋体" w:hAnsi="宋体" w:eastAsia="方正黑体_GBK" w:cs="方正黑体_GBK"/>
          <w:b w:val="0"/>
          <w:bCs/>
          <w:kern w:val="0"/>
          <w:sz w:val="32"/>
          <w:szCs w:val="32"/>
        </w:rPr>
      </w:pPr>
    </w:p>
    <w:p w14:paraId="4081A9E8">
      <w:pPr>
        <w:pageBreakBefore w:val="0"/>
        <w:kinsoku/>
        <w:wordWrap/>
        <w:overflowPunct/>
        <w:topLinePunct w:val="0"/>
        <w:autoSpaceDE w:val="0"/>
        <w:autoSpaceDN w:val="0"/>
        <w:bidi w:val="0"/>
        <w:adjustRightInd w:val="0"/>
        <w:jc w:val="center"/>
        <w:rPr>
          <w:rFonts w:hint="eastAsia" w:ascii="宋体" w:hAnsi="宋体" w:eastAsia="方正黑体_GBK" w:cs="方正黑体_GBK"/>
          <w:b w:val="0"/>
          <w:bCs/>
          <w:kern w:val="0"/>
          <w:sz w:val="32"/>
          <w:szCs w:val="32"/>
          <w:highlight w:val="yellow"/>
          <w:lang w:eastAsia="zh-CN"/>
        </w:rPr>
      </w:pPr>
      <w:r>
        <w:rPr>
          <w:rFonts w:hint="eastAsia" w:ascii="宋体" w:hAnsi="宋体" w:eastAsia="方正黑体_GBK" w:cs="方正黑体_GBK"/>
          <w:b w:val="0"/>
          <w:bCs/>
          <w:kern w:val="0"/>
          <w:sz w:val="32"/>
          <w:szCs w:val="32"/>
          <w:highlight w:val="yellow"/>
          <w:lang w:eastAsia="zh-CN"/>
        </w:rPr>
        <w:drawing>
          <wp:inline distT="0" distB="0" distL="114300" distR="114300">
            <wp:extent cx="4813935" cy="3173095"/>
            <wp:effectExtent l="0" t="0" r="5715" b="8255"/>
            <wp:docPr id="8" name="图片 8" descr="e67b372ce8ae31abb9fadbe9e5a0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67b372ce8ae31abb9fadbe9e5a09d7"/>
                    <pic:cNvPicPr>
                      <a:picLocks noChangeAspect="1"/>
                    </pic:cNvPicPr>
                  </pic:nvPicPr>
                  <pic:blipFill>
                    <a:blip r:embed="rId12"/>
                    <a:stretch>
                      <a:fillRect/>
                    </a:stretch>
                  </pic:blipFill>
                  <pic:spPr>
                    <a:xfrm>
                      <a:off x="0" y="0"/>
                      <a:ext cx="4813935" cy="3173095"/>
                    </a:xfrm>
                    <a:prstGeom prst="rect">
                      <a:avLst/>
                    </a:prstGeom>
                  </pic:spPr>
                </pic:pic>
              </a:graphicData>
            </a:graphic>
          </wp:inline>
        </w:drawing>
      </w:r>
    </w:p>
    <w:p w14:paraId="609F6AD3">
      <w:pPr>
        <w:pageBreakBefore w:val="0"/>
        <w:kinsoku/>
        <w:wordWrap/>
        <w:overflowPunct/>
        <w:topLinePunct w:val="0"/>
        <w:autoSpaceDE w:val="0"/>
        <w:autoSpaceDN w:val="0"/>
        <w:bidi w:val="0"/>
        <w:adjustRightInd w:val="0"/>
        <w:jc w:val="center"/>
        <w:rPr>
          <w:rFonts w:hint="eastAsia" w:ascii="宋体" w:hAnsi="宋体" w:eastAsia="方正黑体_GBK" w:cs="方正黑体_GBK"/>
          <w:b w:val="0"/>
          <w:bCs/>
          <w:kern w:val="0"/>
          <w:sz w:val="28"/>
          <w:szCs w:val="28"/>
          <w:highlight w:val="none"/>
        </w:rPr>
      </w:pPr>
      <w:r>
        <w:rPr>
          <w:rFonts w:hint="eastAsia" w:ascii="宋体" w:hAnsi="宋体" w:eastAsia="方正黑体_GBK" w:cs="方正黑体_GBK"/>
          <w:b w:val="0"/>
          <w:bCs/>
          <w:kern w:val="0"/>
          <w:sz w:val="28"/>
          <w:szCs w:val="28"/>
          <w:highlight w:val="none"/>
          <w:lang w:val="en-US" w:eastAsia="zh-CN"/>
        </w:rPr>
        <w:t>图</w:t>
      </w:r>
      <w:r>
        <w:rPr>
          <w:rFonts w:hint="eastAsia" w:ascii="宋体" w:hAnsi="宋体" w:eastAsia="方正黑体_GBK" w:cs="方正黑体_GBK"/>
          <w:b w:val="0"/>
          <w:bCs/>
          <w:kern w:val="0"/>
          <w:sz w:val="28"/>
          <w:szCs w:val="28"/>
          <w:highlight w:val="none"/>
        </w:rPr>
        <w:t>2.2 水库水系图</w:t>
      </w:r>
    </w:p>
    <w:p w14:paraId="4ED01E13">
      <w:pPr>
        <w:pageBreakBefore w:val="0"/>
        <w:kinsoku/>
        <w:wordWrap/>
        <w:overflowPunct/>
        <w:topLinePunct w:val="0"/>
        <w:autoSpaceDE w:val="0"/>
        <w:autoSpaceDN w:val="0"/>
        <w:bidi w:val="0"/>
        <w:adjustRightInd w:val="0"/>
        <w:jc w:val="center"/>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drawing>
          <wp:inline distT="0" distB="0" distL="114300" distR="114300">
            <wp:extent cx="5189855" cy="3097530"/>
            <wp:effectExtent l="0" t="0" r="10795" b="7620"/>
            <wp:docPr id="44" name="图片 44" descr="cf672a86562534df55eefe9e3e52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f672a86562534df55eefe9e3e52c3b"/>
                    <pic:cNvPicPr>
                      <a:picLocks noChangeAspect="1"/>
                    </pic:cNvPicPr>
                  </pic:nvPicPr>
                  <pic:blipFill>
                    <a:blip r:embed="rId13"/>
                    <a:stretch>
                      <a:fillRect/>
                    </a:stretch>
                  </pic:blipFill>
                  <pic:spPr>
                    <a:xfrm>
                      <a:off x="0" y="0"/>
                      <a:ext cx="5189855" cy="3097530"/>
                    </a:xfrm>
                    <a:prstGeom prst="rect">
                      <a:avLst/>
                    </a:prstGeom>
                  </pic:spPr>
                </pic:pic>
              </a:graphicData>
            </a:graphic>
          </wp:inline>
        </w:drawing>
      </w:r>
    </w:p>
    <w:p w14:paraId="3A7858E9">
      <w:pPr>
        <w:pageBreakBefore w:val="0"/>
        <w:kinsoku/>
        <w:wordWrap/>
        <w:overflowPunct/>
        <w:topLinePunct w:val="0"/>
        <w:autoSpaceDE w:val="0"/>
        <w:autoSpaceDN w:val="0"/>
        <w:bidi w:val="0"/>
        <w:adjustRightInd w:val="0"/>
        <w:jc w:val="center"/>
        <w:rPr>
          <w:rFonts w:hint="eastAsia" w:ascii="宋体" w:hAnsi="宋体" w:eastAsia="方正黑体_GBK" w:cs="方正黑体_GBK"/>
          <w:b w:val="0"/>
          <w:bCs/>
          <w:kern w:val="0"/>
          <w:sz w:val="28"/>
          <w:szCs w:val="28"/>
          <w:highlight w:val="none"/>
        </w:rPr>
      </w:pPr>
      <w:r>
        <w:rPr>
          <w:rFonts w:hint="eastAsia" w:ascii="宋体" w:hAnsi="宋体" w:eastAsia="方正黑体_GBK" w:cs="方正黑体_GBK"/>
          <w:b w:val="0"/>
          <w:bCs/>
          <w:kern w:val="0"/>
          <w:sz w:val="28"/>
          <w:szCs w:val="28"/>
          <w:highlight w:val="none"/>
          <w:lang w:val="en-US" w:eastAsia="zh-CN"/>
        </w:rPr>
        <w:t>图</w:t>
      </w:r>
      <w:r>
        <w:rPr>
          <w:rFonts w:hint="eastAsia" w:ascii="宋体" w:hAnsi="宋体" w:eastAsia="方正黑体_GBK" w:cs="方正黑体_GBK"/>
          <w:b w:val="0"/>
          <w:bCs/>
          <w:kern w:val="0"/>
          <w:sz w:val="28"/>
          <w:szCs w:val="28"/>
          <w:highlight w:val="none"/>
        </w:rPr>
        <w:t>2.3 水库大坝迎水坡</w:t>
      </w:r>
    </w:p>
    <w:p w14:paraId="563E2064">
      <w:pPr>
        <w:pageBreakBefore w:val="0"/>
        <w:kinsoku/>
        <w:wordWrap/>
        <w:overflowPunct/>
        <w:topLinePunct w:val="0"/>
        <w:autoSpaceDE w:val="0"/>
        <w:autoSpaceDN w:val="0"/>
        <w:bidi w:val="0"/>
        <w:adjustRightInd w:val="0"/>
        <w:jc w:val="center"/>
        <w:rPr>
          <w:rFonts w:hint="eastAsia" w:ascii="宋体" w:hAnsi="宋体" w:eastAsia="方正黑体_GBK" w:cs="方正黑体_GBK"/>
          <w:b w:val="0"/>
          <w:bCs/>
          <w:kern w:val="0"/>
          <w:sz w:val="32"/>
          <w:szCs w:val="32"/>
          <w:highlight w:val="none"/>
        </w:rPr>
      </w:pPr>
    </w:p>
    <w:p w14:paraId="3A8B00E7">
      <w:pPr>
        <w:pageBreakBefore w:val="0"/>
        <w:kinsoku/>
        <w:wordWrap/>
        <w:overflowPunct/>
        <w:topLinePunct w:val="0"/>
        <w:autoSpaceDE w:val="0"/>
        <w:autoSpaceDN w:val="0"/>
        <w:bidi w:val="0"/>
        <w:adjustRightInd w:val="0"/>
        <w:jc w:val="center"/>
        <w:rPr>
          <w:rFonts w:hint="eastAsia" w:ascii="宋体" w:hAnsi="宋体" w:eastAsia="方正黑体_GBK" w:cs="方正黑体_GBK"/>
          <w:b w:val="0"/>
          <w:bCs/>
          <w:kern w:val="0"/>
          <w:sz w:val="32"/>
          <w:szCs w:val="32"/>
          <w:lang w:eastAsia="zh-CN"/>
        </w:rPr>
      </w:pPr>
      <w:r>
        <w:rPr>
          <w:rFonts w:hint="eastAsia" w:ascii="宋体" w:hAnsi="宋体" w:eastAsia="方正黑体_GBK" w:cs="方正黑体_GBK"/>
          <w:b w:val="0"/>
          <w:bCs/>
          <w:kern w:val="0"/>
          <w:sz w:val="32"/>
          <w:szCs w:val="32"/>
          <w:lang w:eastAsia="zh-CN"/>
        </w:rPr>
        <w:drawing>
          <wp:inline distT="0" distB="0" distL="114300" distR="114300">
            <wp:extent cx="4900930" cy="3676015"/>
            <wp:effectExtent l="0" t="0" r="13970" b="635"/>
            <wp:docPr id="47" name="图片 47" descr="91a5c7f22f70a65a4643fbb4bd5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1a5c7f22f70a65a4643fbb4bd56845"/>
                    <pic:cNvPicPr>
                      <a:picLocks noChangeAspect="1"/>
                    </pic:cNvPicPr>
                  </pic:nvPicPr>
                  <pic:blipFill>
                    <a:blip r:embed="rId14"/>
                    <a:stretch>
                      <a:fillRect/>
                    </a:stretch>
                  </pic:blipFill>
                  <pic:spPr>
                    <a:xfrm>
                      <a:off x="0" y="0"/>
                      <a:ext cx="4900930" cy="3676015"/>
                    </a:xfrm>
                    <a:prstGeom prst="rect">
                      <a:avLst/>
                    </a:prstGeom>
                  </pic:spPr>
                </pic:pic>
              </a:graphicData>
            </a:graphic>
          </wp:inline>
        </w:drawing>
      </w:r>
    </w:p>
    <w:p w14:paraId="34E2C5F1">
      <w:pPr>
        <w:pageBreakBefore w:val="0"/>
        <w:kinsoku/>
        <w:wordWrap/>
        <w:overflowPunct/>
        <w:topLinePunct w:val="0"/>
        <w:autoSpaceDE w:val="0"/>
        <w:autoSpaceDN w:val="0"/>
        <w:bidi w:val="0"/>
        <w:adjustRightInd w:val="0"/>
        <w:jc w:val="center"/>
        <w:rPr>
          <w:rFonts w:hint="eastAsia" w:ascii="宋体" w:hAnsi="宋体" w:eastAsia="方正黑体_GBK" w:cs="方正黑体_GBK"/>
          <w:b w:val="0"/>
          <w:bCs/>
          <w:kern w:val="0"/>
          <w:sz w:val="28"/>
          <w:szCs w:val="28"/>
          <w:highlight w:val="none"/>
        </w:rPr>
      </w:pPr>
      <w:r>
        <w:rPr>
          <w:rFonts w:hint="eastAsia" w:ascii="宋体" w:hAnsi="宋体" w:eastAsia="方正黑体_GBK" w:cs="方正黑体_GBK"/>
          <w:b w:val="0"/>
          <w:bCs/>
          <w:kern w:val="0"/>
          <w:sz w:val="28"/>
          <w:szCs w:val="28"/>
          <w:highlight w:val="none"/>
          <w:lang w:val="en-US" w:eastAsia="zh-CN"/>
        </w:rPr>
        <w:t>图</w:t>
      </w:r>
      <w:r>
        <w:rPr>
          <w:rFonts w:hint="eastAsia" w:ascii="宋体" w:hAnsi="宋体" w:eastAsia="方正黑体_GBK" w:cs="方正黑体_GBK"/>
          <w:b w:val="0"/>
          <w:bCs/>
          <w:kern w:val="0"/>
          <w:sz w:val="28"/>
          <w:szCs w:val="28"/>
          <w:highlight w:val="none"/>
        </w:rPr>
        <w:t>2.4  水库大坝背水坡</w:t>
      </w:r>
    </w:p>
    <w:p w14:paraId="5F2EE272">
      <w:pPr>
        <w:pageBreakBefore w:val="0"/>
        <w:kinsoku/>
        <w:wordWrap/>
        <w:overflowPunct/>
        <w:topLinePunct w:val="0"/>
        <w:autoSpaceDE w:val="0"/>
        <w:autoSpaceDN w:val="0"/>
        <w:bidi w:val="0"/>
        <w:adjustRightInd w:val="0"/>
        <w:jc w:val="center"/>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drawing>
          <wp:inline distT="0" distB="0" distL="114300" distR="114300">
            <wp:extent cx="5102860" cy="3411220"/>
            <wp:effectExtent l="0" t="0" r="2540" b="17780"/>
            <wp:docPr id="45" name="图片 45" descr="062f030c66f2b704fcb6394ece4f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62f030c66f2b704fcb6394ece4f8bb"/>
                    <pic:cNvPicPr>
                      <a:picLocks noChangeAspect="1"/>
                    </pic:cNvPicPr>
                  </pic:nvPicPr>
                  <pic:blipFill>
                    <a:blip r:embed="rId15"/>
                    <a:stretch>
                      <a:fillRect/>
                    </a:stretch>
                  </pic:blipFill>
                  <pic:spPr>
                    <a:xfrm>
                      <a:off x="0" y="0"/>
                      <a:ext cx="5102860" cy="3411220"/>
                    </a:xfrm>
                    <a:prstGeom prst="rect">
                      <a:avLst/>
                    </a:prstGeom>
                  </pic:spPr>
                </pic:pic>
              </a:graphicData>
            </a:graphic>
          </wp:inline>
        </w:drawing>
      </w:r>
    </w:p>
    <w:p w14:paraId="1F30E27F">
      <w:pPr>
        <w:pageBreakBefore w:val="0"/>
        <w:kinsoku/>
        <w:wordWrap/>
        <w:overflowPunct/>
        <w:topLinePunct w:val="0"/>
        <w:autoSpaceDE w:val="0"/>
        <w:autoSpaceDN w:val="0"/>
        <w:bidi w:val="0"/>
        <w:adjustRightInd w:val="0"/>
        <w:jc w:val="center"/>
        <w:rPr>
          <w:rFonts w:hint="eastAsia" w:ascii="宋体" w:hAnsi="宋体" w:eastAsia="宋体" w:cs="宋体"/>
          <w:b/>
          <w:kern w:val="0"/>
          <w:sz w:val="28"/>
          <w:szCs w:val="28"/>
          <w:lang w:eastAsia="zh-CN"/>
        </w:rPr>
      </w:pPr>
      <w:r>
        <w:rPr>
          <w:rFonts w:hint="eastAsia" w:ascii="宋体" w:hAnsi="宋体" w:eastAsia="宋体" w:cs="宋体"/>
          <w:b/>
          <w:kern w:val="0"/>
          <w:sz w:val="28"/>
          <w:szCs w:val="28"/>
          <w:lang w:val="en-US" w:eastAsia="zh-CN"/>
        </w:rPr>
        <w:t>图</w:t>
      </w:r>
      <w:r>
        <w:rPr>
          <w:rFonts w:hint="eastAsia" w:ascii="宋体" w:hAnsi="宋体" w:eastAsia="宋体" w:cs="宋体"/>
          <w:b/>
          <w:kern w:val="0"/>
          <w:sz w:val="28"/>
          <w:szCs w:val="28"/>
          <w:lang w:eastAsia="zh-CN"/>
        </w:rPr>
        <w:t>2.5  水库水面情景</w:t>
      </w:r>
    </w:p>
    <w:p w14:paraId="3802DA67">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b/>
          <w:bCs/>
          <w:sz w:val="32"/>
          <w:szCs w:val="32"/>
        </w:rPr>
      </w:pPr>
      <w:r>
        <w:rPr>
          <w:rFonts w:hint="eastAsia" w:ascii="宋体" w:hAnsi="宋体" w:eastAsia="方正仿宋_GBK" w:cs="方正仿宋_GBK"/>
          <w:b/>
          <w:bCs/>
          <w:sz w:val="32"/>
          <w:szCs w:val="32"/>
        </w:rPr>
        <w:t>2.2.1.2水库库容曲线</w:t>
      </w:r>
    </w:p>
    <w:p w14:paraId="3980AE92">
      <w:pPr>
        <w:pStyle w:val="59"/>
        <w:ind w:firstLine="480"/>
        <w:rPr>
          <w:rFonts w:hint="eastAsia"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据芒究水库第三次除险加固初步设计复核后的水位～库容～面积成果见</w:t>
      </w:r>
      <w:r>
        <w:rPr>
          <w:rFonts w:hint="eastAsia" w:ascii="宋体" w:hAnsi="宋体" w:eastAsia="方正仿宋_GBK" w:cs="方正仿宋_GBK"/>
          <w:color w:val="auto"/>
          <w:sz w:val="32"/>
          <w:szCs w:val="32"/>
          <w:lang w:val="en-US" w:eastAsia="zh-CN"/>
        </w:rPr>
        <w:fldChar w:fldCharType="begin"/>
      </w:r>
      <w:r>
        <w:rPr>
          <w:rFonts w:hint="eastAsia" w:ascii="宋体" w:hAnsi="宋体" w:eastAsia="方正仿宋_GBK" w:cs="方正仿宋_GBK"/>
          <w:color w:val="auto"/>
          <w:sz w:val="32"/>
          <w:szCs w:val="32"/>
          <w:lang w:val="en-US" w:eastAsia="zh-CN"/>
        </w:rPr>
        <w:instrText xml:space="preserve"> REF _Ref58675249 \h  \* MERGEFORMAT </w:instrText>
      </w:r>
      <w:r>
        <w:rPr>
          <w:rFonts w:hint="eastAsia" w:ascii="宋体" w:hAnsi="宋体" w:eastAsia="方正仿宋_GBK" w:cs="方正仿宋_GBK"/>
          <w:color w:val="auto"/>
          <w:sz w:val="32"/>
          <w:szCs w:val="32"/>
          <w:lang w:val="en-US" w:eastAsia="zh-CN"/>
        </w:rPr>
        <w:fldChar w:fldCharType="separate"/>
      </w:r>
      <w:r>
        <w:rPr>
          <w:rFonts w:hint="eastAsia" w:ascii="宋体" w:hAnsi="宋体" w:eastAsia="方正仿宋_GBK" w:cs="方正仿宋_GBK"/>
          <w:color w:val="auto"/>
          <w:sz w:val="32"/>
          <w:szCs w:val="32"/>
          <w:lang w:val="en-US" w:eastAsia="zh-CN"/>
        </w:rPr>
        <w:t>表2</w:t>
      </w:r>
      <w:r>
        <w:rPr>
          <w:rFonts w:hint="eastAsia" w:ascii="宋体" w:hAnsi="宋体" w:eastAsia="方正仿宋_GBK" w:cs="方正仿宋_GBK"/>
          <w:color w:val="auto"/>
          <w:sz w:val="32"/>
          <w:szCs w:val="32"/>
          <w:lang w:val="en-US" w:eastAsia="zh-CN"/>
        </w:rPr>
        <w:fldChar w:fldCharType="end"/>
      </w:r>
      <w:r>
        <w:rPr>
          <w:rFonts w:hint="eastAsia" w:ascii="宋体" w:hAnsi="宋体" w:eastAsia="方正仿宋_GBK" w:cs="方正仿宋_GBK"/>
          <w:color w:val="auto"/>
          <w:sz w:val="32"/>
          <w:szCs w:val="32"/>
          <w:lang w:val="en-US" w:eastAsia="zh-CN"/>
        </w:rPr>
        <w:t>.1和2.2。</w:t>
      </w:r>
    </w:p>
    <w:p w14:paraId="30B50E45">
      <w:pPr>
        <w:pStyle w:val="62"/>
        <w:spacing w:before="120"/>
        <w:jc w:val="center"/>
        <w:rPr>
          <w:rFonts w:ascii="Times New Roman" w:hAnsi="Times New Roman" w:eastAsia="宋体" w:cs="Times New Roman"/>
        </w:rPr>
      </w:pPr>
      <w:r>
        <w:rPr>
          <w:rFonts w:ascii="Times New Roman" w:hAnsi="Times New Roman" w:eastAsia="宋体" w:cs="Times New Roman"/>
        </w:rPr>
        <w:t>表</w:t>
      </w:r>
      <w:r>
        <w:rPr>
          <w:rFonts w:hint="eastAsia" w:cs="Times New Roman"/>
          <w:lang w:val="en-US" w:eastAsia="zh-CN"/>
        </w:rPr>
        <w:t>2.1</w:t>
      </w:r>
      <w:r>
        <w:rPr>
          <w:rFonts w:ascii="Times New Roman" w:hAnsi="Times New Roman" w:eastAsia="宋体" w:cs="Times New Roman"/>
        </w:rPr>
        <w:t>芒究水库水位～库容～面积成果表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844"/>
        <w:gridCol w:w="1475"/>
        <w:gridCol w:w="1326"/>
        <w:gridCol w:w="1844"/>
        <w:gridCol w:w="1471"/>
      </w:tblGrid>
      <w:tr w14:paraId="5384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26" w:type="dxa"/>
            <w:noWrap w:val="0"/>
            <w:vAlign w:val="center"/>
          </w:tcPr>
          <w:p w14:paraId="5EE33909">
            <w:pPr>
              <w:pStyle w:val="63"/>
              <w:widowControl w:val="0"/>
              <w:rPr>
                <w:rFonts w:ascii="Times New Roman" w:hAnsi="Times New Roman" w:eastAsia="宋体" w:cs="Times New Roman"/>
              </w:rPr>
            </w:pPr>
            <w:r>
              <w:rPr>
                <w:rFonts w:ascii="Times New Roman" w:hAnsi="Times New Roman" w:eastAsia="宋体" w:cs="Times New Roman"/>
              </w:rPr>
              <w:t>水位（m）</w:t>
            </w:r>
          </w:p>
        </w:tc>
        <w:tc>
          <w:tcPr>
            <w:tcW w:w="1844" w:type="dxa"/>
            <w:noWrap w:val="0"/>
            <w:vAlign w:val="center"/>
          </w:tcPr>
          <w:p w14:paraId="5E23BF6F">
            <w:pPr>
              <w:pStyle w:val="63"/>
              <w:widowControl w:val="0"/>
              <w:rPr>
                <w:rFonts w:ascii="Times New Roman" w:hAnsi="Times New Roman" w:eastAsia="宋体" w:cs="Times New Roman"/>
              </w:rPr>
            </w:pPr>
            <w:r>
              <w:rPr>
                <w:rFonts w:ascii="Times New Roman" w:hAnsi="Times New Roman" w:eastAsia="宋体" w:cs="Times New Roman"/>
              </w:rPr>
              <w:t>库容（万m</w:t>
            </w:r>
            <w:r>
              <w:rPr>
                <w:rFonts w:ascii="Times New Roman" w:hAnsi="Times New Roman" w:eastAsia="宋体" w:cs="Times New Roman"/>
                <w:vertAlign w:val="superscript"/>
              </w:rPr>
              <w:t>3</w:t>
            </w:r>
            <w:r>
              <w:rPr>
                <w:rFonts w:ascii="Times New Roman" w:hAnsi="Times New Roman" w:eastAsia="宋体" w:cs="Times New Roman"/>
              </w:rPr>
              <w:t>）</w:t>
            </w:r>
          </w:p>
        </w:tc>
        <w:tc>
          <w:tcPr>
            <w:tcW w:w="1475" w:type="dxa"/>
            <w:noWrap w:val="0"/>
            <w:vAlign w:val="center"/>
          </w:tcPr>
          <w:p w14:paraId="75AC4715">
            <w:pPr>
              <w:pStyle w:val="63"/>
              <w:widowControl w:val="0"/>
              <w:rPr>
                <w:rFonts w:ascii="Times New Roman" w:hAnsi="Times New Roman" w:eastAsia="宋体" w:cs="Times New Roman"/>
                <w:highlight w:val="none"/>
              </w:rPr>
            </w:pPr>
            <w:r>
              <w:rPr>
                <w:rFonts w:ascii="Times New Roman" w:hAnsi="Times New Roman" w:eastAsia="宋体" w:cs="Times New Roman"/>
                <w:highlight w:val="none"/>
              </w:rPr>
              <w:t>面积（</w:t>
            </w:r>
            <w:r>
              <w:rPr>
                <w:rFonts w:hint="eastAsia" w:cs="Times New Roman"/>
                <w:highlight w:val="none"/>
                <w:lang w:val="en-US" w:eastAsia="zh-CN"/>
              </w:rPr>
              <w:t>万</w:t>
            </w:r>
            <w:r>
              <w:rPr>
                <w:rFonts w:ascii="Times New Roman" w:hAnsi="Times New Roman" w:eastAsia="宋体" w:cs="Times New Roman"/>
                <w:highlight w:val="none"/>
              </w:rPr>
              <w:t>m</w:t>
            </w:r>
            <w:r>
              <w:rPr>
                <w:rFonts w:ascii="Times New Roman" w:hAnsi="Times New Roman" w:eastAsia="宋体" w:cs="Times New Roman"/>
                <w:highlight w:val="none"/>
                <w:vertAlign w:val="superscript"/>
              </w:rPr>
              <w:t>2</w:t>
            </w:r>
            <w:r>
              <w:rPr>
                <w:rFonts w:ascii="Times New Roman" w:hAnsi="Times New Roman" w:eastAsia="宋体" w:cs="Times New Roman"/>
                <w:highlight w:val="none"/>
              </w:rPr>
              <w:t>）</w:t>
            </w:r>
          </w:p>
        </w:tc>
        <w:tc>
          <w:tcPr>
            <w:tcW w:w="1326" w:type="dxa"/>
            <w:noWrap w:val="0"/>
            <w:vAlign w:val="center"/>
          </w:tcPr>
          <w:p w14:paraId="7BB8AB95">
            <w:pPr>
              <w:pStyle w:val="63"/>
              <w:widowControl w:val="0"/>
              <w:rPr>
                <w:rFonts w:ascii="Times New Roman" w:hAnsi="Times New Roman" w:eastAsia="宋体" w:cs="Times New Roman"/>
                <w:highlight w:val="none"/>
              </w:rPr>
            </w:pPr>
            <w:r>
              <w:rPr>
                <w:rFonts w:ascii="Times New Roman" w:hAnsi="Times New Roman" w:eastAsia="宋体" w:cs="Times New Roman"/>
                <w:highlight w:val="none"/>
              </w:rPr>
              <w:t>水位（m）</w:t>
            </w:r>
          </w:p>
        </w:tc>
        <w:tc>
          <w:tcPr>
            <w:tcW w:w="1844" w:type="dxa"/>
            <w:noWrap w:val="0"/>
            <w:vAlign w:val="center"/>
          </w:tcPr>
          <w:p w14:paraId="3EE8A115">
            <w:pPr>
              <w:pStyle w:val="63"/>
              <w:widowControl w:val="0"/>
              <w:rPr>
                <w:rFonts w:ascii="Times New Roman" w:hAnsi="Times New Roman" w:eastAsia="宋体" w:cs="Times New Roman"/>
                <w:highlight w:val="none"/>
              </w:rPr>
            </w:pPr>
            <w:r>
              <w:rPr>
                <w:rFonts w:ascii="Times New Roman" w:hAnsi="Times New Roman" w:eastAsia="宋体" w:cs="Times New Roman"/>
                <w:highlight w:val="none"/>
              </w:rPr>
              <w:t>库容（万m</w:t>
            </w:r>
            <w:r>
              <w:rPr>
                <w:rFonts w:ascii="Times New Roman" w:hAnsi="Times New Roman" w:eastAsia="宋体" w:cs="Times New Roman"/>
                <w:highlight w:val="none"/>
                <w:vertAlign w:val="superscript"/>
              </w:rPr>
              <w:t>3</w:t>
            </w:r>
            <w:r>
              <w:rPr>
                <w:rFonts w:ascii="Times New Roman" w:hAnsi="Times New Roman" w:eastAsia="宋体" w:cs="Times New Roman"/>
                <w:highlight w:val="none"/>
              </w:rPr>
              <w:t>）</w:t>
            </w:r>
          </w:p>
        </w:tc>
        <w:tc>
          <w:tcPr>
            <w:tcW w:w="1471" w:type="dxa"/>
            <w:noWrap w:val="0"/>
            <w:vAlign w:val="center"/>
          </w:tcPr>
          <w:p w14:paraId="2C00BD08">
            <w:pPr>
              <w:pStyle w:val="63"/>
              <w:widowControl w:val="0"/>
              <w:rPr>
                <w:rFonts w:ascii="Times New Roman" w:hAnsi="Times New Roman" w:eastAsia="宋体" w:cs="Times New Roman"/>
                <w:highlight w:val="none"/>
              </w:rPr>
            </w:pPr>
            <w:r>
              <w:rPr>
                <w:rFonts w:ascii="Times New Roman" w:hAnsi="Times New Roman" w:eastAsia="宋体" w:cs="Times New Roman"/>
                <w:highlight w:val="none"/>
              </w:rPr>
              <w:t>面积（</w:t>
            </w:r>
            <w:r>
              <w:rPr>
                <w:rFonts w:hint="eastAsia" w:cs="Times New Roman"/>
                <w:highlight w:val="none"/>
                <w:lang w:val="en-US" w:eastAsia="zh-CN"/>
              </w:rPr>
              <w:t>万</w:t>
            </w:r>
            <w:r>
              <w:rPr>
                <w:rFonts w:ascii="Times New Roman" w:hAnsi="Times New Roman" w:eastAsia="宋体" w:cs="Times New Roman"/>
                <w:highlight w:val="none"/>
              </w:rPr>
              <w:t>m</w:t>
            </w:r>
            <w:r>
              <w:rPr>
                <w:rFonts w:ascii="Times New Roman" w:hAnsi="Times New Roman" w:eastAsia="宋体" w:cs="Times New Roman"/>
                <w:highlight w:val="none"/>
                <w:vertAlign w:val="superscript"/>
              </w:rPr>
              <w:t>2</w:t>
            </w:r>
            <w:r>
              <w:rPr>
                <w:rFonts w:ascii="Times New Roman" w:hAnsi="Times New Roman" w:eastAsia="宋体" w:cs="Times New Roman"/>
                <w:highlight w:val="none"/>
              </w:rPr>
              <w:t>）</w:t>
            </w:r>
          </w:p>
        </w:tc>
      </w:tr>
      <w:tr w14:paraId="1748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372E89B7">
            <w:pPr>
              <w:pStyle w:val="63"/>
              <w:widowControl w:val="0"/>
              <w:rPr>
                <w:rFonts w:ascii="Times New Roman" w:hAnsi="Times New Roman" w:eastAsia="宋体" w:cs="Times New Roman"/>
              </w:rPr>
            </w:pPr>
            <w:r>
              <w:rPr>
                <w:rFonts w:ascii="Times New Roman" w:hAnsi="Times New Roman" w:eastAsia="宋体" w:cs="Times New Roman"/>
              </w:rPr>
              <w:t>913</w:t>
            </w:r>
          </w:p>
        </w:tc>
        <w:tc>
          <w:tcPr>
            <w:tcW w:w="1844" w:type="dxa"/>
            <w:noWrap w:val="0"/>
            <w:vAlign w:val="center"/>
          </w:tcPr>
          <w:p w14:paraId="5694FB4F">
            <w:pPr>
              <w:pStyle w:val="63"/>
              <w:widowControl w:val="0"/>
              <w:rPr>
                <w:rFonts w:ascii="Times New Roman" w:hAnsi="Times New Roman" w:eastAsia="宋体" w:cs="Times New Roman"/>
              </w:rPr>
            </w:pPr>
            <w:r>
              <w:rPr>
                <w:rFonts w:ascii="Times New Roman" w:hAnsi="Times New Roman" w:eastAsia="宋体" w:cs="Times New Roman"/>
              </w:rPr>
              <w:t>2.92</w:t>
            </w:r>
          </w:p>
        </w:tc>
        <w:tc>
          <w:tcPr>
            <w:tcW w:w="1475" w:type="dxa"/>
            <w:noWrap w:val="0"/>
            <w:vAlign w:val="center"/>
          </w:tcPr>
          <w:p w14:paraId="57EE7E37">
            <w:pPr>
              <w:pStyle w:val="63"/>
              <w:widowControl w:val="0"/>
              <w:rPr>
                <w:rFonts w:ascii="Times New Roman" w:hAnsi="Times New Roman" w:eastAsia="宋体" w:cs="Times New Roman"/>
              </w:rPr>
            </w:pPr>
            <w:r>
              <w:rPr>
                <w:rFonts w:ascii="Times New Roman" w:hAnsi="Times New Roman" w:eastAsia="宋体" w:cs="Times New Roman"/>
              </w:rPr>
              <w:t>5.32</w:t>
            </w:r>
          </w:p>
        </w:tc>
        <w:tc>
          <w:tcPr>
            <w:tcW w:w="1326" w:type="dxa"/>
            <w:noWrap w:val="0"/>
            <w:vAlign w:val="center"/>
          </w:tcPr>
          <w:p w14:paraId="41414D57">
            <w:pPr>
              <w:pStyle w:val="63"/>
              <w:widowControl w:val="0"/>
              <w:rPr>
                <w:rFonts w:ascii="Times New Roman" w:hAnsi="Times New Roman" w:eastAsia="宋体" w:cs="Times New Roman"/>
              </w:rPr>
            </w:pPr>
            <w:r>
              <w:rPr>
                <w:rFonts w:ascii="Times New Roman" w:hAnsi="Times New Roman" w:eastAsia="宋体" w:cs="Times New Roman"/>
              </w:rPr>
              <w:t>931</w:t>
            </w:r>
          </w:p>
        </w:tc>
        <w:tc>
          <w:tcPr>
            <w:tcW w:w="1844" w:type="dxa"/>
            <w:noWrap w:val="0"/>
            <w:vAlign w:val="center"/>
          </w:tcPr>
          <w:p w14:paraId="21062503">
            <w:pPr>
              <w:pStyle w:val="63"/>
              <w:widowControl w:val="0"/>
              <w:rPr>
                <w:rFonts w:ascii="Times New Roman" w:hAnsi="Times New Roman" w:eastAsia="宋体" w:cs="Times New Roman"/>
              </w:rPr>
            </w:pPr>
            <w:r>
              <w:rPr>
                <w:rFonts w:ascii="Times New Roman" w:hAnsi="Times New Roman" w:eastAsia="宋体" w:cs="Times New Roman"/>
              </w:rPr>
              <w:t>594</w:t>
            </w:r>
          </w:p>
        </w:tc>
        <w:tc>
          <w:tcPr>
            <w:tcW w:w="1471" w:type="dxa"/>
            <w:noWrap w:val="0"/>
            <w:vAlign w:val="center"/>
          </w:tcPr>
          <w:p w14:paraId="5F8F3B73">
            <w:pPr>
              <w:pStyle w:val="63"/>
              <w:widowControl w:val="0"/>
              <w:rPr>
                <w:rFonts w:ascii="Times New Roman" w:hAnsi="Times New Roman" w:eastAsia="宋体" w:cs="Times New Roman"/>
              </w:rPr>
            </w:pPr>
            <w:r>
              <w:rPr>
                <w:rFonts w:ascii="Times New Roman" w:hAnsi="Times New Roman" w:eastAsia="宋体" w:cs="Times New Roman"/>
              </w:rPr>
              <w:t>58.8</w:t>
            </w:r>
          </w:p>
        </w:tc>
      </w:tr>
      <w:tr w14:paraId="078E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37741E8C">
            <w:pPr>
              <w:pStyle w:val="63"/>
              <w:widowControl w:val="0"/>
              <w:rPr>
                <w:rFonts w:ascii="Times New Roman" w:hAnsi="Times New Roman" w:eastAsia="宋体" w:cs="Times New Roman"/>
              </w:rPr>
            </w:pPr>
            <w:r>
              <w:rPr>
                <w:rFonts w:ascii="Times New Roman" w:hAnsi="Times New Roman" w:eastAsia="宋体" w:cs="Times New Roman"/>
              </w:rPr>
              <w:t>914</w:t>
            </w:r>
          </w:p>
        </w:tc>
        <w:tc>
          <w:tcPr>
            <w:tcW w:w="1844" w:type="dxa"/>
            <w:noWrap w:val="0"/>
            <w:vAlign w:val="center"/>
          </w:tcPr>
          <w:p w14:paraId="06465F74">
            <w:pPr>
              <w:pStyle w:val="63"/>
              <w:widowControl w:val="0"/>
              <w:rPr>
                <w:rFonts w:ascii="Times New Roman" w:hAnsi="Times New Roman" w:eastAsia="宋体" w:cs="Times New Roman"/>
              </w:rPr>
            </w:pPr>
            <w:r>
              <w:rPr>
                <w:rFonts w:ascii="Times New Roman" w:hAnsi="Times New Roman" w:eastAsia="宋体" w:cs="Times New Roman"/>
              </w:rPr>
              <w:t>9.18</w:t>
            </w:r>
          </w:p>
        </w:tc>
        <w:tc>
          <w:tcPr>
            <w:tcW w:w="1475" w:type="dxa"/>
            <w:noWrap w:val="0"/>
            <w:vAlign w:val="center"/>
          </w:tcPr>
          <w:p w14:paraId="7DA92917">
            <w:pPr>
              <w:pStyle w:val="63"/>
              <w:widowControl w:val="0"/>
              <w:rPr>
                <w:rFonts w:ascii="Times New Roman" w:hAnsi="Times New Roman" w:eastAsia="宋体" w:cs="Times New Roman"/>
              </w:rPr>
            </w:pPr>
            <w:r>
              <w:rPr>
                <w:rFonts w:ascii="Times New Roman" w:hAnsi="Times New Roman" w:eastAsia="宋体" w:cs="Times New Roman"/>
              </w:rPr>
              <w:t>7.23</w:t>
            </w:r>
          </w:p>
        </w:tc>
        <w:tc>
          <w:tcPr>
            <w:tcW w:w="1326" w:type="dxa"/>
            <w:noWrap w:val="0"/>
            <w:vAlign w:val="center"/>
          </w:tcPr>
          <w:p w14:paraId="189488FB">
            <w:pPr>
              <w:pStyle w:val="63"/>
              <w:widowControl w:val="0"/>
              <w:rPr>
                <w:rFonts w:ascii="Times New Roman" w:hAnsi="Times New Roman" w:eastAsia="宋体" w:cs="Times New Roman"/>
              </w:rPr>
            </w:pPr>
            <w:r>
              <w:rPr>
                <w:rFonts w:ascii="Times New Roman" w:hAnsi="Times New Roman" w:eastAsia="宋体" w:cs="Times New Roman"/>
              </w:rPr>
              <w:t>932</w:t>
            </w:r>
          </w:p>
        </w:tc>
        <w:tc>
          <w:tcPr>
            <w:tcW w:w="1844" w:type="dxa"/>
            <w:noWrap w:val="0"/>
            <w:vAlign w:val="center"/>
          </w:tcPr>
          <w:p w14:paraId="0CAC0C09">
            <w:pPr>
              <w:pStyle w:val="63"/>
              <w:widowControl w:val="0"/>
              <w:rPr>
                <w:rFonts w:ascii="Times New Roman" w:hAnsi="Times New Roman" w:eastAsia="宋体" w:cs="Times New Roman"/>
              </w:rPr>
            </w:pPr>
            <w:r>
              <w:rPr>
                <w:rFonts w:ascii="Times New Roman" w:hAnsi="Times New Roman" w:eastAsia="宋体" w:cs="Times New Roman"/>
              </w:rPr>
              <w:t>654</w:t>
            </w:r>
          </w:p>
        </w:tc>
        <w:tc>
          <w:tcPr>
            <w:tcW w:w="1471" w:type="dxa"/>
            <w:noWrap w:val="0"/>
            <w:vAlign w:val="center"/>
          </w:tcPr>
          <w:p w14:paraId="3CF1247C">
            <w:pPr>
              <w:pStyle w:val="63"/>
              <w:widowControl w:val="0"/>
              <w:rPr>
                <w:rFonts w:ascii="Times New Roman" w:hAnsi="Times New Roman" w:eastAsia="宋体" w:cs="Times New Roman"/>
              </w:rPr>
            </w:pPr>
            <w:r>
              <w:rPr>
                <w:rFonts w:ascii="Times New Roman" w:hAnsi="Times New Roman" w:eastAsia="宋体" w:cs="Times New Roman"/>
              </w:rPr>
              <w:t>61.5</w:t>
            </w:r>
          </w:p>
        </w:tc>
      </w:tr>
      <w:tr w14:paraId="0317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14998A5F">
            <w:pPr>
              <w:pStyle w:val="63"/>
              <w:widowControl w:val="0"/>
              <w:rPr>
                <w:rFonts w:ascii="Times New Roman" w:hAnsi="Times New Roman" w:eastAsia="宋体" w:cs="Times New Roman"/>
              </w:rPr>
            </w:pPr>
            <w:r>
              <w:rPr>
                <w:rFonts w:ascii="Times New Roman" w:hAnsi="Times New Roman" w:eastAsia="宋体" w:cs="Times New Roman"/>
              </w:rPr>
              <w:t>915</w:t>
            </w:r>
          </w:p>
        </w:tc>
        <w:tc>
          <w:tcPr>
            <w:tcW w:w="1844" w:type="dxa"/>
            <w:noWrap w:val="0"/>
            <w:vAlign w:val="center"/>
          </w:tcPr>
          <w:p w14:paraId="778F8D01">
            <w:pPr>
              <w:pStyle w:val="63"/>
              <w:widowControl w:val="0"/>
              <w:rPr>
                <w:rFonts w:ascii="Times New Roman" w:hAnsi="Times New Roman" w:eastAsia="宋体" w:cs="Times New Roman"/>
              </w:rPr>
            </w:pPr>
            <w:r>
              <w:rPr>
                <w:rFonts w:ascii="Times New Roman" w:hAnsi="Times New Roman" w:eastAsia="宋体" w:cs="Times New Roman"/>
              </w:rPr>
              <w:t>18.0</w:t>
            </w:r>
          </w:p>
        </w:tc>
        <w:tc>
          <w:tcPr>
            <w:tcW w:w="1475" w:type="dxa"/>
            <w:noWrap w:val="0"/>
            <w:vAlign w:val="center"/>
          </w:tcPr>
          <w:p w14:paraId="238D44DA">
            <w:pPr>
              <w:pStyle w:val="63"/>
              <w:widowControl w:val="0"/>
              <w:rPr>
                <w:rFonts w:ascii="Times New Roman" w:hAnsi="Times New Roman" w:eastAsia="宋体" w:cs="Times New Roman"/>
              </w:rPr>
            </w:pPr>
            <w:r>
              <w:rPr>
                <w:rFonts w:ascii="Times New Roman" w:hAnsi="Times New Roman" w:eastAsia="宋体" w:cs="Times New Roman"/>
              </w:rPr>
              <w:t>10.6</w:t>
            </w:r>
          </w:p>
        </w:tc>
        <w:tc>
          <w:tcPr>
            <w:tcW w:w="1326" w:type="dxa"/>
            <w:noWrap w:val="0"/>
            <w:vAlign w:val="center"/>
          </w:tcPr>
          <w:p w14:paraId="0CBCBF83">
            <w:pPr>
              <w:pStyle w:val="63"/>
              <w:widowControl w:val="0"/>
              <w:rPr>
                <w:rFonts w:ascii="Times New Roman" w:hAnsi="Times New Roman" w:eastAsia="宋体" w:cs="Times New Roman"/>
              </w:rPr>
            </w:pPr>
            <w:r>
              <w:rPr>
                <w:rFonts w:ascii="Times New Roman" w:hAnsi="Times New Roman" w:eastAsia="宋体" w:cs="Times New Roman"/>
              </w:rPr>
              <w:t>933</w:t>
            </w:r>
          </w:p>
        </w:tc>
        <w:tc>
          <w:tcPr>
            <w:tcW w:w="1844" w:type="dxa"/>
            <w:noWrap w:val="0"/>
            <w:vAlign w:val="center"/>
          </w:tcPr>
          <w:p w14:paraId="68D47BDD">
            <w:pPr>
              <w:pStyle w:val="63"/>
              <w:widowControl w:val="0"/>
              <w:rPr>
                <w:rFonts w:ascii="Times New Roman" w:hAnsi="Times New Roman" w:eastAsia="宋体" w:cs="Times New Roman"/>
              </w:rPr>
            </w:pPr>
            <w:r>
              <w:rPr>
                <w:rFonts w:ascii="Times New Roman" w:hAnsi="Times New Roman" w:eastAsia="宋体" w:cs="Times New Roman"/>
              </w:rPr>
              <w:t>717</w:t>
            </w:r>
          </w:p>
        </w:tc>
        <w:tc>
          <w:tcPr>
            <w:tcW w:w="1471" w:type="dxa"/>
            <w:noWrap w:val="0"/>
            <w:vAlign w:val="center"/>
          </w:tcPr>
          <w:p w14:paraId="7B4B6CF4">
            <w:pPr>
              <w:pStyle w:val="63"/>
              <w:widowControl w:val="0"/>
              <w:rPr>
                <w:rFonts w:ascii="Times New Roman" w:hAnsi="Times New Roman" w:eastAsia="宋体" w:cs="Times New Roman"/>
              </w:rPr>
            </w:pPr>
            <w:r>
              <w:rPr>
                <w:rFonts w:ascii="Times New Roman" w:hAnsi="Times New Roman" w:eastAsia="宋体" w:cs="Times New Roman"/>
              </w:rPr>
              <w:t>64.3</w:t>
            </w:r>
          </w:p>
        </w:tc>
      </w:tr>
      <w:tr w14:paraId="0F39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7A193D7C">
            <w:pPr>
              <w:pStyle w:val="63"/>
              <w:widowControl w:val="0"/>
              <w:rPr>
                <w:rFonts w:ascii="Times New Roman" w:hAnsi="Times New Roman" w:eastAsia="宋体" w:cs="Times New Roman"/>
              </w:rPr>
            </w:pPr>
            <w:r>
              <w:rPr>
                <w:rFonts w:ascii="Times New Roman" w:hAnsi="Times New Roman" w:eastAsia="宋体" w:cs="Times New Roman"/>
              </w:rPr>
              <w:t>916</w:t>
            </w:r>
          </w:p>
        </w:tc>
        <w:tc>
          <w:tcPr>
            <w:tcW w:w="1844" w:type="dxa"/>
            <w:noWrap w:val="0"/>
            <w:vAlign w:val="center"/>
          </w:tcPr>
          <w:p w14:paraId="3176B1B6">
            <w:pPr>
              <w:pStyle w:val="63"/>
              <w:widowControl w:val="0"/>
              <w:rPr>
                <w:rFonts w:ascii="Times New Roman" w:hAnsi="Times New Roman" w:eastAsia="宋体" w:cs="Times New Roman"/>
              </w:rPr>
            </w:pPr>
            <w:r>
              <w:rPr>
                <w:rFonts w:ascii="Times New Roman" w:hAnsi="Times New Roman" w:eastAsia="宋体" w:cs="Times New Roman"/>
              </w:rPr>
              <w:t>30.5</w:t>
            </w:r>
          </w:p>
        </w:tc>
        <w:tc>
          <w:tcPr>
            <w:tcW w:w="1475" w:type="dxa"/>
            <w:noWrap w:val="0"/>
            <w:vAlign w:val="center"/>
          </w:tcPr>
          <w:p w14:paraId="62107DAE">
            <w:pPr>
              <w:pStyle w:val="63"/>
              <w:widowControl w:val="0"/>
              <w:rPr>
                <w:rFonts w:ascii="Times New Roman" w:hAnsi="Times New Roman" w:eastAsia="宋体" w:cs="Times New Roman"/>
              </w:rPr>
            </w:pPr>
            <w:r>
              <w:rPr>
                <w:rFonts w:ascii="Times New Roman" w:hAnsi="Times New Roman" w:eastAsia="宋体" w:cs="Times New Roman"/>
              </w:rPr>
              <w:t>14.6</w:t>
            </w:r>
          </w:p>
        </w:tc>
        <w:tc>
          <w:tcPr>
            <w:tcW w:w="1326" w:type="dxa"/>
            <w:noWrap w:val="0"/>
            <w:vAlign w:val="center"/>
          </w:tcPr>
          <w:p w14:paraId="7071CBC3">
            <w:pPr>
              <w:pStyle w:val="63"/>
              <w:widowControl w:val="0"/>
              <w:rPr>
                <w:rFonts w:ascii="Times New Roman" w:hAnsi="Times New Roman" w:eastAsia="宋体" w:cs="Times New Roman"/>
              </w:rPr>
            </w:pPr>
            <w:r>
              <w:rPr>
                <w:rFonts w:ascii="Times New Roman" w:hAnsi="Times New Roman" w:eastAsia="宋体" w:cs="Times New Roman"/>
              </w:rPr>
              <w:t>934</w:t>
            </w:r>
          </w:p>
        </w:tc>
        <w:tc>
          <w:tcPr>
            <w:tcW w:w="1844" w:type="dxa"/>
            <w:noWrap w:val="0"/>
            <w:vAlign w:val="center"/>
          </w:tcPr>
          <w:p w14:paraId="3E725D16">
            <w:pPr>
              <w:pStyle w:val="63"/>
              <w:widowControl w:val="0"/>
              <w:rPr>
                <w:rFonts w:ascii="Times New Roman" w:hAnsi="Times New Roman" w:eastAsia="宋体" w:cs="Times New Roman"/>
              </w:rPr>
            </w:pPr>
            <w:r>
              <w:rPr>
                <w:rFonts w:ascii="Times New Roman" w:hAnsi="Times New Roman" w:eastAsia="宋体" w:cs="Times New Roman"/>
              </w:rPr>
              <w:t>783</w:t>
            </w:r>
          </w:p>
        </w:tc>
        <w:tc>
          <w:tcPr>
            <w:tcW w:w="1471" w:type="dxa"/>
            <w:noWrap w:val="0"/>
            <w:vAlign w:val="center"/>
          </w:tcPr>
          <w:p w14:paraId="4077EBFB">
            <w:pPr>
              <w:pStyle w:val="63"/>
              <w:widowControl w:val="0"/>
              <w:rPr>
                <w:rFonts w:ascii="Times New Roman" w:hAnsi="Times New Roman" w:eastAsia="宋体" w:cs="Times New Roman"/>
              </w:rPr>
            </w:pPr>
            <w:r>
              <w:rPr>
                <w:rFonts w:ascii="Times New Roman" w:hAnsi="Times New Roman" w:eastAsia="宋体" w:cs="Times New Roman"/>
              </w:rPr>
              <w:t>67.3</w:t>
            </w:r>
          </w:p>
        </w:tc>
      </w:tr>
      <w:tr w14:paraId="2079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4DCA837B">
            <w:pPr>
              <w:pStyle w:val="63"/>
              <w:widowControl w:val="0"/>
              <w:rPr>
                <w:rFonts w:ascii="Times New Roman" w:hAnsi="Times New Roman" w:eastAsia="宋体" w:cs="Times New Roman"/>
              </w:rPr>
            </w:pPr>
            <w:r>
              <w:rPr>
                <w:rFonts w:ascii="Times New Roman" w:hAnsi="Times New Roman" w:eastAsia="宋体" w:cs="Times New Roman"/>
              </w:rPr>
              <w:t>917</w:t>
            </w:r>
          </w:p>
        </w:tc>
        <w:tc>
          <w:tcPr>
            <w:tcW w:w="1844" w:type="dxa"/>
            <w:noWrap w:val="0"/>
            <w:vAlign w:val="center"/>
          </w:tcPr>
          <w:p w14:paraId="57A6B89C">
            <w:pPr>
              <w:pStyle w:val="63"/>
              <w:widowControl w:val="0"/>
              <w:rPr>
                <w:rFonts w:ascii="Times New Roman" w:hAnsi="Times New Roman" w:eastAsia="宋体" w:cs="Times New Roman"/>
              </w:rPr>
            </w:pPr>
            <w:r>
              <w:rPr>
                <w:rFonts w:ascii="Times New Roman" w:hAnsi="Times New Roman" w:eastAsia="宋体" w:cs="Times New Roman"/>
              </w:rPr>
              <w:t>46.7</w:t>
            </w:r>
          </w:p>
        </w:tc>
        <w:tc>
          <w:tcPr>
            <w:tcW w:w="1475" w:type="dxa"/>
            <w:noWrap w:val="0"/>
            <w:vAlign w:val="center"/>
          </w:tcPr>
          <w:p w14:paraId="04A7CA53">
            <w:pPr>
              <w:pStyle w:val="63"/>
              <w:widowControl w:val="0"/>
              <w:rPr>
                <w:rFonts w:ascii="Times New Roman" w:hAnsi="Times New Roman" w:eastAsia="宋体" w:cs="Times New Roman"/>
              </w:rPr>
            </w:pPr>
            <w:r>
              <w:rPr>
                <w:rFonts w:ascii="Times New Roman" w:hAnsi="Times New Roman" w:eastAsia="宋体" w:cs="Times New Roman"/>
              </w:rPr>
              <w:t>17.8</w:t>
            </w:r>
          </w:p>
        </w:tc>
        <w:tc>
          <w:tcPr>
            <w:tcW w:w="1326" w:type="dxa"/>
            <w:noWrap w:val="0"/>
            <w:vAlign w:val="center"/>
          </w:tcPr>
          <w:p w14:paraId="763F6F15">
            <w:pPr>
              <w:pStyle w:val="63"/>
              <w:widowControl w:val="0"/>
              <w:rPr>
                <w:rFonts w:ascii="Times New Roman" w:hAnsi="Times New Roman" w:eastAsia="宋体" w:cs="Times New Roman"/>
              </w:rPr>
            </w:pPr>
            <w:r>
              <w:rPr>
                <w:rFonts w:ascii="Times New Roman" w:hAnsi="Times New Roman" w:eastAsia="宋体" w:cs="Times New Roman"/>
              </w:rPr>
              <w:t>935</w:t>
            </w:r>
          </w:p>
        </w:tc>
        <w:tc>
          <w:tcPr>
            <w:tcW w:w="1844" w:type="dxa"/>
            <w:noWrap w:val="0"/>
            <w:vAlign w:val="center"/>
          </w:tcPr>
          <w:p w14:paraId="1328CA74">
            <w:pPr>
              <w:pStyle w:val="63"/>
              <w:widowControl w:val="0"/>
              <w:rPr>
                <w:rFonts w:ascii="Times New Roman" w:hAnsi="Times New Roman" w:eastAsia="宋体" w:cs="Times New Roman"/>
              </w:rPr>
            </w:pPr>
            <w:r>
              <w:rPr>
                <w:rFonts w:ascii="Times New Roman" w:hAnsi="Times New Roman" w:eastAsia="宋体" w:cs="Times New Roman"/>
              </w:rPr>
              <w:t>852</w:t>
            </w:r>
          </w:p>
        </w:tc>
        <w:tc>
          <w:tcPr>
            <w:tcW w:w="1471" w:type="dxa"/>
            <w:noWrap w:val="0"/>
            <w:vAlign w:val="center"/>
          </w:tcPr>
          <w:p w14:paraId="27317B46">
            <w:pPr>
              <w:pStyle w:val="63"/>
              <w:widowControl w:val="0"/>
              <w:rPr>
                <w:rFonts w:ascii="Times New Roman" w:hAnsi="Times New Roman" w:eastAsia="宋体" w:cs="Times New Roman"/>
              </w:rPr>
            </w:pPr>
            <w:r>
              <w:rPr>
                <w:rFonts w:ascii="Times New Roman" w:hAnsi="Times New Roman" w:eastAsia="宋体" w:cs="Times New Roman"/>
              </w:rPr>
              <w:t>70.8</w:t>
            </w:r>
          </w:p>
        </w:tc>
      </w:tr>
      <w:tr w14:paraId="2736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1C012364">
            <w:pPr>
              <w:pStyle w:val="63"/>
              <w:widowControl w:val="0"/>
              <w:rPr>
                <w:rFonts w:ascii="Times New Roman" w:hAnsi="Times New Roman" w:eastAsia="宋体" w:cs="Times New Roman"/>
              </w:rPr>
            </w:pPr>
            <w:r>
              <w:rPr>
                <w:rFonts w:ascii="Times New Roman" w:hAnsi="Times New Roman" w:eastAsia="宋体" w:cs="Times New Roman"/>
              </w:rPr>
              <w:t>918</w:t>
            </w:r>
          </w:p>
        </w:tc>
        <w:tc>
          <w:tcPr>
            <w:tcW w:w="1844" w:type="dxa"/>
            <w:noWrap w:val="0"/>
            <w:vAlign w:val="center"/>
          </w:tcPr>
          <w:p w14:paraId="79FC0F24">
            <w:pPr>
              <w:pStyle w:val="63"/>
              <w:widowControl w:val="0"/>
              <w:rPr>
                <w:rFonts w:ascii="Times New Roman" w:hAnsi="Times New Roman" w:eastAsia="宋体" w:cs="Times New Roman"/>
              </w:rPr>
            </w:pPr>
            <w:r>
              <w:rPr>
                <w:rFonts w:ascii="Times New Roman" w:hAnsi="Times New Roman" w:eastAsia="宋体" w:cs="Times New Roman"/>
              </w:rPr>
              <w:t>66.0</w:t>
            </w:r>
          </w:p>
        </w:tc>
        <w:tc>
          <w:tcPr>
            <w:tcW w:w="1475" w:type="dxa"/>
            <w:noWrap w:val="0"/>
            <w:vAlign w:val="center"/>
          </w:tcPr>
          <w:p w14:paraId="63D9228B">
            <w:pPr>
              <w:pStyle w:val="63"/>
              <w:widowControl w:val="0"/>
              <w:rPr>
                <w:rFonts w:ascii="Times New Roman" w:hAnsi="Times New Roman" w:eastAsia="宋体" w:cs="Times New Roman"/>
              </w:rPr>
            </w:pPr>
            <w:r>
              <w:rPr>
                <w:rFonts w:ascii="Times New Roman" w:hAnsi="Times New Roman" w:eastAsia="宋体" w:cs="Times New Roman"/>
              </w:rPr>
              <w:t>20.9</w:t>
            </w:r>
          </w:p>
        </w:tc>
        <w:tc>
          <w:tcPr>
            <w:tcW w:w="1326" w:type="dxa"/>
            <w:noWrap w:val="0"/>
            <w:vAlign w:val="center"/>
          </w:tcPr>
          <w:p w14:paraId="4D0CF59C">
            <w:pPr>
              <w:pStyle w:val="63"/>
              <w:widowControl w:val="0"/>
              <w:rPr>
                <w:rFonts w:ascii="Times New Roman" w:hAnsi="Times New Roman" w:eastAsia="宋体" w:cs="Times New Roman"/>
              </w:rPr>
            </w:pPr>
            <w:r>
              <w:rPr>
                <w:rFonts w:ascii="Times New Roman" w:hAnsi="Times New Roman" w:eastAsia="宋体" w:cs="Times New Roman"/>
              </w:rPr>
              <w:t>936</w:t>
            </w:r>
          </w:p>
        </w:tc>
        <w:tc>
          <w:tcPr>
            <w:tcW w:w="1844" w:type="dxa"/>
            <w:noWrap w:val="0"/>
            <w:vAlign w:val="center"/>
          </w:tcPr>
          <w:p w14:paraId="36662E20">
            <w:pPr>
              <w:pStyle w:val="63"/>
              <w:widowControl w:val="0"/>
              <w:rPr>
                <w:rFonts w:ascii="Times New Roman" w:hAnsi="Times New Roman" w:eastAsia="宋体" w:cs="Times New Roman"/>
              </w:rPr>
            </w:pPr>
            <w:r>
              <w:rPr>
                <w:rFonts w:ascii="Times New Roman" w:hAnsi="Times New Roman" w:eastAsia="宋体" w:cs="Times New Roman"/>
              </w:rPr>
              <w:t>924</w:t>
            </w:r>
          </w:p>
        </w:tc>
        <w:tc>
          <w:tcPr>
            <w:tcW w:w="1471" w:type="dxa"/>
            <w:noWrap w:val="0"/>
            <w:vAlign w:val="center"/>
          </w:tcPr>
          <w:p w14:paraId="75A854A6">
            <w:pPr>
              <w:pStyle w:val="63"/>
              <w:widowControl w:val="0"/>
              <w:rPr>
                <w:rFonts w:ascii="Times New Roman" w:hAnsi="Times New Roman" w:eastAsia="宋体" w:cs="Times New Roman"/>
              </w:rPr>
            </w:pPr>
            <w:r>
              <w:rPr>
                <w:rFonts w:ascii="Times New Roman" w:hAnsi="Times New Roman" w:eastAsia="宋体" w:cs="Times New Roman"/>
              </w:rPr>
              <w:t>74.5</w:t>
            </w:r>
          </w:p>
        </w:tc>
      </w:tr>
      <w:tr w14:paraId="5B62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615EBD4F">
            <w:pPr>
              <w:pStyle w:val="63"/>
              <w:widowControl w:val="0"/>
              <w:rPr>
                <w:rFonts w:ascii="Times New Roman" w:hAnsi="Times New Roman" w:eastAsia="宋体" w:cs="Times New Roman"/>
              </w:rPr>
            </w:pPr>
            <w:r>
              <w:rPr>
                <w:rFonts w:ascii="Times New Roman" w:hAnsi="Times New Roman" w:eastAsia="宋体" w:cs="Times New Roman"/>
              </w:rPr>
              <w:t>919</w:t>
            </w:r>
          </w:p>
        </w:tc>
        <w:tc>
          <w:tcPr>
            <w:tcW w:w="1844" w:type="dxa"/>
            <w:noWrap w:val="0"/>
            <w:vAlign w:val="center"/>
          </w:tcPr>
          <w:p w14:paraId="4EEA99E6">
            <w:pPr>
              <w:pStyle w:val="63"/>
              <w:widowControl w:val="0"/>
              <w:rPr>
                <w:rFonts w:ascii="Times New Roman" w:hAnsi="Times New Roman" w:eastAsia="宋体" w:cs="Times New Roman"/>
              </w:rPr>
            </w:pPr>
            <w:r>
              <w:rPr>
                <w:rFonts w:ascii="Times New Roman" w:hAnsi="Times New Roman" w:eastAsia="宋体" w:cs="Times New Roman"/>
              </w:rPr>
              <w:t>88.5</w:t>
            </w:r>
          </w:p>
        </w:tc>
        <w:tc>
          <w:tcPr>
            <w:tcW w:w="1475" w:type="dxa"/>
            <w:noWrap w:val="0"/>
            <w:vAlign w:val="center"/>
          </w:tcPr>
          <w:p w14:paraId="4B1FEE24">
            <w:pPr>
              <w:pStyle w:val="63"/>
              <w:widowControl w:val="0"/>
              <w:rPr>
                <w:rFonts w:ascii="Times New Roman" w:hAnsi="Times New Roman" w:eastAsia="宋体" w:cs="Times New Roman"/>
              </w:rPr>
            </w:pPr>
            <w:r>
              <w:rPr>
                <w:rFonts w:ascii="Times New Roman" w:hAnsi="Times New Roman" w:eastAsia="宋体" w:cs="Times New Roman"/>
              </w:rPr>
              <w:t>24.1</w:t>
            </w:r>
          </w:p>
        </w:tc>
        <w:tc>
          <w:tcPr>
            <w:tcW w:w="1326" w:type="dxa"/>
            <w:noWrap w:val="0"/>
            <w:vAlign w:val="center"/>
          </w:tcPr>
          <w:p w14:paraId="5F3200C0">
            <w:pPr>
              <w:pStyle w:val="63"/>
              <w:widowControl w:val="0"/>
              <w:rPr>
                <w:rFonts w:ascii="Times New Roman" w:hAnsi="Times New Roman" w:eastAsia="宋体" w:cs="Times New Roman"/>
              </w:rPr>
            </w:pPr>
            <w:r>
              <w:rPr>
                <w:rFonts w:ascii="Times New Roman" w:hAnsi="Times New Roman" w:eastAsia="宋体" w:cs="Times New Roman"/>
              </w:rPr>
              <w:t>937</w:t>
            </w:r>
          </w:p>
        </w:tc>
        <w:tc>
          <w:tcPr>
            <w:tcW w:w="1844" w:type="dxa"/>
            <w:noWrap w:val="0"/>
            <w:vAlign w:val="center"/>
          </w:tcPr>
          <w:p w14:paraId="72EE55F3">
            <w:pPr>
              <w:pStyle w:val="63"/>
              <w:widowControl w:val="0"/>
              <w:rPr>
                <w:rFonts w:ascii="Times New Roman" w:hAnsi="Times New Roman" w:eastAsia="宋体" w:cs="Times New Roman"/>
              </w:rPr>
            </w:pPr>
            <w:r>
              <w:rPr>
                <w:rFonts w:ascii="Times New Roman" w:hAnsi="Times New Roman" w:eastAsia="宋体" w:cs="Times New Roman"/>
              </w:rPr>
              <w:t>1000</w:t>
            </w:r>
          </w:p>
        </w:tc>
        <w:tc>
          <w:tcPr>
            <w:tcW w:w="1471" w:type="dxa"/>
            <w:noWrap w:val="0"/>
            <w:vAlign w:val="center"/>
          </w:tcPr>
          <w:p w14:paraId="59780F6F">
            <w:pPr>
              <w:pStyle w:val="63"/>
              <w:widowControl w:val="0"/>
              <w:rPr>
                <w:rFonts w:ascii="Times New Roman" w:hAnsi="Times New Roman" w:eastAsia="宋体" w:cs="Times New Roman"/>
              </w:rPr>
            </w:pPr>
            <w:r>
              <w:rPr>
                <w:rFonts w:ascii="Times New Roman" w:hAnsi="Times New Roman" w:eastAsia="宋体" w:cs="Times New Roman"/>
              </w:rPr>
              <w:t>77.7</w:t>
            </w:r>
          </w:p>
        </w:tc>
      </w:tr>
      <w:tr w14:paraId="0B94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34A57953">
            <w:pPr>
              <w:pStyle w:val="63"/>
              <w:widowControl w:val="0"/>
              <w:rPr>
                <w:rFonts w:ascii="Times New Roman" w:hAnsi="Times New Roman" w:eastAsia="宋体" w:cs="Times New Roman"/>
              </w:rPr>
            </w:pPr>
            <w:r>
              <w:rPr>
                <w:rFonts w:ascii="Times New Roman" w:hAnsi="Times New Roman" w:eastAsia="宋体" w:cs="Times New Roman"/>
              </w:rPr>
              <w:t>920</w:t>
            </w:r>
          </w:p>
        </w:tc>
        <w:tc>
          <w:tcPr>
            <w:tcW w:w="1844" w:type="dxa"/>
            <w:noWrap w:val="0"/>
            <w:vAlign w:val="center"/>
          </w:tcPr>
          <w:p w14:paraId="183DCF1E">
            <w:pPr>
              <w:pStyle w:val="63"/>
              <w:widowControl w:val="0"/>
              <w:rPr>
                <w:rFonts w:ascii="Times New Roman" w:hAnsi="Times New Roman" w:eastAsia="宋体" w:cs="Times New Roman"/>
              </w:rPr>
            </w:pPr>
            <w:r>
              <w:rPr>
                <w:rFonts w:ascii="Times New Roman" w:hAnsi="Times New Roman" w:eastAsia="宋体" w:cs="Times New Roman"/>
              </w:rPr>
              <w:t>114</w:t>
            </w:r>
          </w:p>
        </w:tc>
        <w:tc>
          <w:tcPr>
            <w:tcW w:w="1475" w:type="dxa"/>
            <w:noWrap w:val="0"/>
            <w:vAlign w:val="center"/>
          </w:tcPr>
          <w:p w14:paraId="0AF496BA">
            <w:pPr>
              <w:pStyle w:val="63"/>
              <w:widowControl w:val="0"/>
              <w:rPr>
                <w:rFonts w:ascii="Times New Roman" w:hAnsi="Times New Roman" w:eastAsia="宋体" w:cs="Times New Roman"/>
              </w:rPr>
            </w:pPr>
            <w:r>
              <w:rPr>
                <w:rFonts w:ascii="Times New Roman" w:hAnsi="Times New Roman" w:eastAsia="宋体" w:cs="Times New Roman"/>
              </w:rPr>
              <w:t>26.9</w:t>
            </w:r>
          </w:p>
        </w:tc>
        <w:tc>
          <w:tcPr>
            <w:tcW w:w="1326" w:type="dxa"/>
            <w:noWrap w:val="0"/>
            <w:vAlign w:val="center"/>
          </w:tcPr>
          <w:p w14:paraId="728F207B">
            <w:pPr>
              <w:pStyle w:val="63"/>
              <w:widowControl w:val="0"/>
              <w:rPr>
                <w:rFonts w:ascii="Times New Roman" w:hAnsi="Times New Roman" w:eastAsia="宋体" w:cs="Times New Roman"/>
              </w:rPr>
            </w:pPr>
            <w:r>
              <w:rPr>
                <w:rFonts w:ascii="Times New Roman" w:hAnsi="Times New Roman" w:eastAsia="宋体" w:cs="Times New Roman"/>
              </w:rPr>
              <w:t>938</w:t>
            </w:r>
          </w:p>
        </w:tc>
        <w:tc>
          <w:tcPr>
            <w:tcW w:w="1844" w:type="dxa"/>
            <w:noWrap w:val="0"/>
            <w:vAlign w:val="center"/>
          </w:tcPr>
          <w:p w14:paraId="1C462275">
            <w:pPr>
              <w:pStyle w:val="63"/>
              <w:widowControl w:val="0"/>
              <w:rPr>
                <w:rFonts w:ascii="Times New Roman" w:hAnsi="Times New Roman" w:eastAsia="宋体" w:cs="Times New Roman"/>
              </w:rPr>
            </w:pPr>
            <w:r>
              <w:rPr>
                <w:rFonts w:ascii="Times New Roman" w:hAnsi="Times New Roman" w:eastAsia="宋体" w:cs="Times New Roman"/>
              </w:rPr>
              <w:t>1080</w:t>
            </w:r>
          </w:p>
        </w:tc>
        <w:tc>
          <w:tcPr>
            <w:tcW w:w="1471" w:type="dxa"/>
            <w:noWrap w:val="0"/>
            <w:vAlign w:val="center"/>
          </w:tcPr>
          <w:p w14:paraId="711929E2">
            <w:pPr>
              <w:pStyle w:val="63"/>
              <w:widowControl w:val="0"/>
              <w:rPr>
                <w:rFonts w:ascii="Times New Roman" w:hAnsi="Times New Roman" w:eastAsia="宋体" w:cs="Times New Roman"/>
              </w:rPr>
            </w:pPr>
            <w:r>
              <w:rPr>
                <w:rFonts w:ascii="Times New Roman" w:hAnsi="Times New Roman" w:eastAsia="宋体" w:cs="Times New Roman"/>
              </w:rPr>
              <w:t>80.7</w:t>
            </w:r>
          </w:p>
        </w:tc>
      </w:tr>
      <w:tr w14:paraId="7EC9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24701742">
            <w:pPr>
              <w:pStyle w:val="63"/>
              <w:widowControl w:val="0"/>
              <w:rPr>
                <w:rFonts w:ascii="Times New Roman" w:hAnsi="Times New Roman" w:eastAsia="宋体" w:cs="Times New Roman"/>
              </w:rPr>
            </w:pPr>
            <w:r>
              <w:rPr>
                <w:rFonts w:ascii="Times New Roman" w:hAnsi="Times New Roman" w:eastAsia="宋体" w:cs="Times New Roman"/>
              </w:rPr>
              <w:t>921</w:t>
            </w:r>
          </w:p>
        </w:tc>
        <w:tc>
          <w:tcPr>
            <w:tcW w:w="1844" w:type="dxa"/>
            <w:noWrap w:val="0"/>
            <w:vAlign w:val="center"/>
          </w:tcPr>
          <w:p w14:paraId="2713618B">
            <w:pPr>
              <w:pStyle w:val="63"/>
              <w:widowControl w:val="0"/>
              <w:rPr>
                <w:rFonts w:ascii="Times New Roman" w:hAnsi="Times New Roman" w:eastAsia="宋体" w:cs="Times New Roman"/>
              </w:rPr>
            </w:pPr>
            <w:r>
              <w:rPr>
                <w:rFonts w:ascii="Times New Roman" w:hAnsi="Times New Roman" w:eastAsia="宋体" w:cs="Times New Roman"/>
              </w:rPr>
              <w:t>143</w:t>
            </w:r>
          </w:p>
        </w:tc>
        <w:tc>
          <w:tcPr>
            <w:tcW w:w="1475" w:type="dxa"/>
            <w:noWrap w:val="0"/>
            <w:vAlign w:val="center"/>
          </w:tcPr>
          <w:p w14:paraId="17A5B6F1">
            <w:pPr>
              <w:pStyle w:val="63"/>
              <w:widowControl w:val="0"/>
              <w:rPr>
                <w:rFonts w:ascii="Times New Roman" w:hAnsi="Times New Roman" w:eastAsia="宋体" w:cs="Times New Roman"/>
              </w:rPr>
            </w:pPr>
            <w:r>
              <w:rPr>
                <w:rFonts w:ascii="Times New Roman" w:hAnsi="Times New Roman" w:eastAsia="宋体" w:cs="Times New Roman"/>
              </w:rPr>
              <w:t>30.6</w:t>
            </w:r>
          </w:p>
        </w:tc>
        <w:tc>
          <w:tcPr>
            <w:tcW w:w="1326" w:type="dxa"/>
            <w:noWrap w:val="0"/>
            <w:vAlign w:val="center"/>
          </w:tcPr>
          <w:p w14:paraId="54058EAE">
            <w:pPr>
              <w:pStyle w:val="63"/>
              <w:widowControl w:val="0"/>
              <w:rPr>
                <w:rFonts w:ascii="Times New Roman" w:hAnsi="Times New Roman" w:eastAsia="宋体" w:cs="Times New Roman"/>
              </w:rPr>
            </w:pPr>
            <w:r>
              <w:rPr>
                <w:rFonts w:ascii="Times New Roman" w:hAnsi="Times New Roman" w:eastAsia="宋体" w:cs="Times New Roman"/>
              </w:rPr>
              <w:t>939</w:t>
            </w:r>
          </w:p>
        </w:tc>
        <w:tc>
          <w:tcPr>
            <w:tcW w:w="1844" w:type="dxa"/>
            <w:noWrap w:val="0"/>
            <w:vAlign w:val="center"/>
          </w:tcPr>
          <w:p w14:paraId="4177BE4A">
            <w:pPr>
              <w:pStyle w:val="63"/>
              <w:widowControl w:val="0"/>
              <w:rPr>
                <w:rFonts w:ascii="Times New Roman" w:hAnsi="Times New Roman" w:eastAsia="宋体" w:cs="Times New Roman"/>
              </w:rPr>
            </w:pPr>
            <w:r>
              <w:rPr>
                <w:rFonts w:ascii="Times New Roman" w:hAnsi="Times New Roman" w:eastAsia="宋体" w:cs="Times New Roman"/>
              </w:rPr>
              <w:t>1162</w:t>
            </w:r>
          </w:p>
        </w:tc>
        <w:tc>
          <w:tcPr>
            <w:tcW w:w="1471" w:type="dxa"/>
            <w:noWrap w:val="0"/>
            <w:vAlign w:val="center"/>
          </w:tcPr>
          <w:p w14:paraId="2A5423EC">
            <w:pPr>
              <w:pStyle w:val="63"/>
              <w:widowControl w:val="0"/>
              <w:rPr>
                <w:rFonts w:ascii="Times New Roman" w:hAnsi="Times New Roman" w:eastAsia="宋体" w:cs="Times New Roman"/>
              </w:rPr>
            </w:pPr>
            <w:r>
              <w:rPr>
                <w:rFonts w:ascii="Times New Roman" w:hAnsi="Times New Roman" w:eastAsia="宋体" w:cs="Times New Roman"/>
              </w:rPr>
              <w:t>83.9</w:t>
            </w:r>
          </w:p>
        </w:tc>
      </w:tr>
      <w:tr w14:paraId="3284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32AC12A6">
            <w:pPr>
              <w:pStyle w:val="63"/>
              <w:widowControl w:val="0"/>
              <w:rPr>
                <w:rFonts w:ascii="Times New Roman" w:hAnsi="Times New Roman" w:eastAsia="宋体" w:cs="Times New Roman"/>
              </w:rPr>
            </w:pPr>
            <w:r>
              <w:rPr>
                <w:rFonts w:ascii="Times New Roman" w:hAnsi="Times New Roman" w:eastAsia="宋体" w:cs="Times New Roman"/>
              </w:rPr>
              <w:t>922</w:t>
            </w:r>
          </w:p>
        </w:tc>
        <w:tc>
          <w:tcPr>
            <w:tcW w:w="1844" w:type="dxa"/>
            <w:noWrap w:val="0"/>
            <w:vAlign w:val="center"/>
          </w:tcPr>
          <w:p w14:paraId="5DD9ACF2">
            <w:pPr>
              <w:pStyle w:val="63"/>
              <w:widowControl w:val="0"/>
              <w:rPr>
                <w:rFonts w:ascii="Times New Roman" w:hAnsi="Times New Roman" w:eastAsia="宋体" w:cs="Times New Roman"/>
              </w:rPr>
            </w:pPr>
            <w:r>
              <w:rPr>
                <w:rFonts w:ascii="Times New Roman" w:hAnsi="Times New Roman" w:eastAsia="宋体" w:cs="Times New Roman"/>
              </w:rPr>
              <w:t>175</w:t>
            </w:r>
          </w:p>
        </w:tc>
        <w:tc>
          <w:tcPr>
            <w:tcW w:w="1475" w:type="dxa"/>
            <w:noWrap w:val="0"/>
            <w:vAlign w:val="center"/>
          </w:tcPr>
          <w:p w14:paraId="024543E0">
            <w:pPr>
              <w:pStyle w:val="63"/>
              <w:widowControl w:val="0"/>
              <w:rPr>
                <w:rFonts w:ascii="Times New Roman" w:hAnsi="Times New Roman" w:eastAsia="宋体" w:cs="Times New Roman"/>
              </w:rPr>
            </w:pPr>
            <w:r>
              <w:rPr>
                <w:rFonts w:ascii="Times New Roman" w:hAnsi="Times New Roman" w:eastAsia="宋体" w:cs="Times New Roman"/>
              </w:rPr>
              <w:t>34.1</w:t>
            </w:r>
          </w:p>
        </w:tc>
        <w:tc>
          <w:tcPr>
            <w:tcW w:w="1326" w:type="dxa"/>
            <w:noWrap w:val="0"/>
            <w:vAlign w:val="center"/>
          </w:tcPr>
          <w:p w14:paraId="1688896F">
            <w:pPr>
              <w:pStyle w:val="63"/>
              <w:widowControl w:val="0"/>
              <w:rPr>
                <w:rFonts w:ascii="Times New Roman" w:hAnsi="Times New Roman" w:eastAsia="宋体" w:cs="Times New Roman"/>
              </w:rPr>
            </w:pPr>
            <w:r>
              <w:rPr>
                <w:rFonts w:ascii="Times New Roman" w:hAnsi="Times New Roman" w:eastAsia="宋体" w:cs="Times New Roman"/>
              </w:rPr>
              <w:t>940</w:t>
            </w:r>
          </w:p>
        </w:tc>
        <w:tc>
          <w:tcPr>
            <w:tcW w:w="1844" w:type="dxa"/>
            <w:noWrap w:val="0"/>
            <w:vAlign w:val="center"/>
          </w:tcPr>
          <w:p w14:paraId="1A625DA5">
            <w:pPr>
              <w:pStyle w:val="63"/>
              <w:widowControl w:val="0"/>
              <w:rPr>
                <w:rFonts w:ascii="Times New Roman" w:hAnsi="Times New Roman" w:eastAsia="宋体" w:cs="Times New Roman"/>
              </w:rPr>
            </w:pPr>
            <w:r>
              <w:rPr>
                <w:rFonts w:ascii="Times New Roman" w:hAnsi="Times New Roman" w:eastAsia="宋体" w:cs="Times New Roman"/>
              </w:rPr>
              <w:t>1247</w:t>
            </w:r>
          </w:p>
        </w:tc>
        <w:tc>
          <w:tcPr>
            <w:tcW w:w="1471" w:type="dxa"/>
            <w:noWrap w:val="0"/>
            <w:vAlign w:val="center"/>
          </w:tcPr>
          <w:p w14:paraId="2111B79D">
            <w:pPr>
              <w:pStyle w:val="63"/>
              <w:widowControl w:val="0"/>
              <w:rPr>
                <w:rFonts w:ascii="Times New Roman" w:hAnsi="Times New Roman" w:eastAsia="宋体" w:cs="Times New Roman"/>
              </w:rPr>
            </w:pPr>
            <w:r>
              <w:rPr>
                <w:rFonts w:ascii="Times New Roman" w:hAnsi="Times New Roman" w:eastAsia="宋体" w:cs="Times New Roman"/>
              </w:rPr>
              <w:t>86.8</w:t>
            </w:r>
          </w:p>
        </w:tc>
      </w:tr>
      <w:tr w14:paraId="7202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7919D5AC">
            <w:pPr>
              <w:pStyle w:val="63"/>
              <w:widowControl w:val="0"/>
              <w:rPr>
                <w:rFonts w:ascii="Times New Roman" w:hAnsi="Times New Roman" w:eastAsia="宋体" w:cs="Times New Roman"/>
              </w:rPr>
            </w:pPr>
            <w:r>
              <w:rPr>
                <w:rFonts w:ascii="Times New Roman" w:hAnsi="Times New Roman" w:eastAsia="宋体" w:cs="Times New Roman"/>
              </w:rPr>
              <w:t>923</w:t>
            </w:r>
          </w:p>
        </w:tc>
        <w:tc>
          <w:tcPr>
            <w:tcW w:w="1844" w:type="dxa"/>
            <w:noWrap w:val="0"/>
            <w:vAlign w:val="center"/>
          </w:tcPr>
          <w:p w14:paraId="30DCC071">
            <w:pPr>
              <w:pStyle w:val="63"/>
              <w:widowControl w:val="0"/>
              <w:rPr>
                <w:rFonts w:ascii="Times New Roman" w:hAnsi="Times New Roman" w:eastAsia="宋体" w:cs="Times New Roman"/>
              </w:rPr>
            </w:pPr>
            <w:r>
              <w:rPr>
                <w:rFonts w:ascii="Times New Roman" w:hAnsi="Times New Roman" w:eastAsia="宋体" w:cs="Times New Roman"/>
              </w:rPr>
              <w:t>211</w:t>
            </w:r>
          </w:p>
        </w:tc>
        <w:tc>
          <w:tcPr>
            <w:tcW w:w="1475" w:type="dxa"/>
            <w:noWrap w:val="0"/>
            <w:vAlign w:val="center"/>
          </w:tcPr>
          <w:p w14:paraId="4B81ABB4">
            <w:pPr>
              <w:pStyle w:val="63"/>
              <w:widowControl w:val="0"/>
              <w:rPr>
                <w:rFonts w:ascii="Times New Roman" w:hAnsi="Times New Roman" w:eastAsia="宋体" w:cs="Times New Roman"/>
              </w:rPr>
            </w:pPr>
            <w:r>
              <w:rPr>
                <w:rFonts w:ascii="Times New Roman" w:hAnsi="Times New Roman" w:eastAsia="宋体" w:cs="Times New Roman"/>
              </w:rPr>
              <w:t>37.3</w:t>
            </w:r>
          </w:p>
        </w:tc>
        <w:tc>
          <w:tcPr>
            <w:tcW w:w="1326" w:type="dxa"/>
            <w:noWrap w:val="0"/>
            <w:vAlign w:val="center"/>
          </w:tcPr>
          <w:p w14:paraId="3E002FF5">
            <w:pPr>
              <w:pStyle w:val="63"/>
              <w:widowControl w:val="0"/>
              <w:rPr>
                <w:rFonts w:ascii="Times New Roman" w:hAnsi="Times New Roman" w:eastAsia="宋体" w:cs="Times New Roman"/>
              </w:rPr>
            </w:pPr>
            <w:r>
              <w:rPr>
                <w:rFonts w:ascii="Times New Roman" w:hAnsi="Times New Roman" w:eastAsia="宋体" w:cs="Times New Roman"/>
              </w:rPr>
              <w:t>941</w:t>
            </w:r>
          </w:p>
        </w:tc>
        <w:tc>
          <w:tcPr>
            <w:tcW w:w="1844" w:type="dxa"/>
            <w:noWrap w:val="0"/>
            <w:vAlign w:val="center"/>
          </w:tcPr>
          <w:p w14:paraId="69DC3F25">
            <w:pPr>
              <w:pStyle w:val="63"/>
              <w:widowControl w:val="0"/>
              <w:rPr>
                <w:rFonts w:ascii="Times New Roman" w:hAnsi="Times New Roman" w:eastAsia="宋体" w:cs="Times New Roman"/>
              </w:rPr>
            </w:pPr>
            <w:r>
              <w:rPr>
                <w:rFonts w:ascii="Times New Roman" w:hAnsi="Times New Roman" w:eastAsia="宋体" w:cs="Times New Roman"/>
              </w:rPr>
              <w:t>1336</w:t>
            </w:r>
          </w:p>
        </w:tc>
        <w:tc>
          <w:tcPr>
            <w:tcW w:w="1471" w:type="dxa"/>
            <w:noWrap w:val="0"/>
            <w:vAlign w:val="center"/>
          </w:tcPr>
          <w:p w14:paraId="24784404">
            <w:pPr>
              <w:pStyle w:val="63"/>
              <w:widowControl w:val="0"/>
              <w:rPr>
                <w:rFonts w:ascii="Times New Roman" w:hAnsi="Times New Roman" w:eastAsia="宋体" w:cs="Times New Roman"/>
              </w:rPr>
            </w:pPr>
            <w:r>
              <w:rPr>
                <w:rFonts w:ascii="Times New Roman" w:hAnsi="Times New Roman" w:eastAsia="宋体" w:cs="Times New Roman"/>
              </w:rPr>
              <w:t>90.9</w:t>
            </w:r>
          </w:p>
        </w:tc>
      </w:tr>
      <w:tr w14:paraId="2813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087B6074">
            <w:pPr>
              <w:pStyle w:val="63"/>
              <w:widowControl w:val="0"/>
              <w:rPr>
                <w:rFonts w:ascii="Times New Roman" w:hAnsi="Times New Roman" w:eastAsia="宋体" w:cs="Times New Roman"/>
              </w:rPr>
            </w:pPr>
            <w:r>
              <w:rPr>
                <w:rFonts w:ascii="Times New Roman" w:hAnsi="Times New Roman" w:eastAsia="宋体" w:cs="Times New Roman"/>
              </w:rPr>
              <w:t>924</w:t>
            </w:r>
          </w:p>
        </w:tc>
        <w:tc>
          <w:tcPr>
            <w:tcW w:w="1844" w:type="dxa"/>
            <w:noWrap w:val="0"/>
            <w:vAlign w:val="center"/>
          </w:tcPr>
          <w:p w14:paraId="15E5823A">
            <w:pPr>
              <w:pStyle w:val="63"/>
              <w:widowControl w:val="0"/>
              <w:rPr>
                <w:rFonts w:ascii="Times New Roman" w:hAnsi="Times New Roman" w:eastAsia="宋体" w:cs="Times New Roman"/>
              </w:rPr>
            </w:pPr>
            <w:r>
              <w:rPr>
                <w:rFonts w:ascii="Times New Roman" w:hAnsi="Times New Roman" w:eastAsia="宋体" w:cs="Times New Roman"/>
              </w:rPr>
              <w:t>249</w:t>
            </w:r>
          </w:p>
        </w:tc>
        <w:tc>
          <w:tcPr>
            <w:tcW w:w="1475" w:type="dxa"/>
            <w:noWrap w:val="0"/>
            <w:vAlign w:val="center"/>
          </w:tcPr>
          <w:p w14:paraId="3C31B045">
            <w:pPr>
              <w:pStyle w:val="63"/>
              <w:widowControl w:val="0"/>
              <w:rPr>
                <w:rFonts w:ascii="Times New Roman" w:hAnsi="Times New Roman" w:eastAsia="宋体" w:cs="Times New Roman"/>
              </w:rPr>
            </w:pPr>
            <w:r>
              <w:rPr>
                <w:rFonts w:ascii="Times New Roman" w:hAnsi="Times New Roman" w:eastAsia="宋体" w:cs="Times New Roman"/>
              </w:rPr>
              <w:t>39.9</w:t>
            </w:r>
          </w:p>
        </w:tc>
        <w:tc>
          <w:tcPr>
            <w:tcW w:w="1326" w:type="dxa"/>
            <w:noWrap w:val="0"/>
            <w:vAlign w:val="center"/>
          </w:tcPr>
          <w:p w14:paraId="173D2DDF">
            <w:pPr>
              <w:pStyle w:val="63"/>
              <w:widowControl w:val="0"/>
              <w:rPr>
                <w:rFonts w:ascii="Times New Roman" w:hAnsi="Times New Roman" w:eastAsia="宋体" w:cs="Times New Roman"/>
              </w:rPr>
            </w:pPr>
            <w:r>
              <w:rPr>
                <w:rFonts w:ascii="Times New Roman" w:hAnsi="Times New Roman" w:eastAsia="宋体" w:cs="Times New Roman"/>
              </w:rPr>
              <w:t>942</w:t>
            </w:r>
          </w:p>
        </w:tc>
        <w:tc>
          <w:tcPr>
            <w:tcW w:w="1844" w:type="dxa"/>
            <w:noWrap w:val="0"/>
            <w:vAlign w:val="center"/>
          </w:tcPr>
          <w:p w14:paraId="28E21C4A">
            <w:pPr>
              <w:pStyle w:val="63"/>
              <w:widowControl w:val="0"/>
              <w:rPr>
                <w:rFonts w:ascii="Times New Roman" w:hAnsi="Times New Roman" w:eastAsia="宋体" w:cs="Times New Roman"/>
              </w:rPr>
            </w:pPr>
            <w:r>
              <w:rPr>
                <w:rFonts w:ascii="Times New Roman" w:hAnsi="Times New Roman" w:eastAsia="宋体" w:cs="Times New Roman"/>
              </w:rPr>
              <w:t>1429</w:t>
            </w:r>
          </w:p>
        </w:tc>
        <w:tc>
          <w:tcPr>
            <w:tcW w:w="1471" w:type="dxa"/>
            <w:noWrap w:val="0"/>
            <w:vAlign w:val="center"/>
          </w:tcPr>
          <w:p w14:paraId="3CB65BAF">
            <w:pPr>
              <w:pStyle w:val="63"/>
              <w:widowControl w:val="0"/>
              <w:rPr>
                <w:rFonts w:ascii="Times New Roman" w:hAnsi="Times New Roman" w:eastAsia="宋体" w:cs="Times New Roman"/>
              </w:rPr>
            </w:pPr>
            <w:r>
              <w:rPr>
                <w:rFonts w:ascii="Times New Roman" w:hAnsi="Times New Roman" w:eastAsia="宋体" w:cs="Times New Roman"/>
              </w:rPr>
              <w:t>95.5</w:t>
            </w:r>
          </w:p>
        </w:tc>
      </w:tr>
      <w:tr w14:paraId="3D14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2F08CEA7">
            <w:pPr>
              <w:pStyle w:val="63"/>
              <w:widowControl w:val="0"/>
              <w:rPr>
                <w:rFonts w:ascii="Times New Roman" w:hAnsi="Times New Roman" w:eastAsia="宋体" w:cs="Times New Roman"/>
              </w:rPr>
            </w:pPr>
            <w:r>
              <w:rPr>
                <w:rFonts w:ascii="Times New Roman" w:hAnsi="Times New Roman" w:eastAsia="宋体" w:cs="Times New Roman"/>
              </w:rPr>
              <w:t>925</w:t>
            </w:r>
          </w:p>
        </w:tc>
        <w:tc>
          <w:tcPr>
            <w:tcW w:w="1844" w:type="dxa"/>
            <w:noWrap w:val="0"/>
            <w:vAlign w:val="center"/>
          </w:tcPr>
          <w:p w14:paraId="15664B07">
            <w:pPr>
              <w:pStyle w:val="63"/>
              <w:widowControl w:val="0"/>
              <w:rPr>
                <w:rFonts w:ascii="Times New Roman" w:hAnsi="Times New Roman" w:eastAsia="宋体" w:cs="Times New Roman"/>
              </w:rPr>
            </w:pPr>
            <w:r>
              <w:rPr>
                <w:rFonts w:ascii="Times New Roman" w:hAnsi="Times New Roman" w:eastAsia="宋体" w:cs="Times New Roman"/>
              </w:rPr>
              <w:t>291</w:t>
            </w:r>
          </w:p>
        </w:tc>
        <w:tc>
          <w:tcPr>
            <w:tcW w:w="1475" w:type="dxa"/>
            <w:noWrap w:val="0"/>
            <w:vAlign w:val="center"/>
          </w:tcPr>
          <w:p w14:paraId="5413C540">
            <w:pPr>
              <w:pStyle w:val="63"/>
              <w:widowControl w:val="0"/>
              <w:rPr>
                <w:rFonts w:ascii="Times New Roman" w:hAnsi="Times New Roman" w:eastAsia="宋体" w:cs="Times New Roman"/>
              </w:rPr>
            </w:pPr>
            <w:r>
              <w:rPr>
                <w:rFonts w:ascii="Times New Roman" w:hAnsi="Times New Roman" w:eastAsia="宋体" w:cs="Times New Roman"/>
              </w:rPr>
              <w:t>42.7</w:t>
            </w:r>
          </w:p>
        </w:tc>
        <w:tc>
          <w:tcPr>
            <w:tcW w:w="1326" w:type="dxa"/>
            <w:noWrap w:val="0"/>
            <w:vAlign w:val="center"/>
          </w:tcPr>
          <w:p w14:paraId="1628D67E">
            <w:pPr>
              <w:pStyle w:val="63"/>
              <w:widowControl w:val="0"/>
              <w:rPr>
                <w:rFonts w:ascii="Times New Roman" w:hAnsi="Times New Roman" w:eastAsia="宋体" w:cs="Times New Roman"/>
              </w:rPr>
            </w:pPr>
            <w:r>
              <w:rPr>
                <w:rFonts w:ascii="Times New Roman" w:hAnsi="Times New Roman" w:eastAsia="宋体" w:cs="Times New Roman"/>
              </w:rPr>
              <w:t>943</w:t>
            </w:r>
          </w:p>
        </w:tc>
        <w:tc>
          <w:tcPr>
            <w:tcW w:w="1844" w:type="dxa"/>
            <w:noWrap w:val="0"/>
            <w:vAlign w:val="center"/>
          </w:tcPr>
          <w:p w14:paraId="22706589">
            <w:pPr>
              <w:pStyle w:val="63"/>
              <w:widowControl w:val="0"/>
              <w:rPr>
                <w:rFonts w:ascii="Times New Roman" w:hAnsi="Times New Roman" w:eastAsia="宋体" w:cs="Times New Roman"/>
              </w:rPr>
            </w:pPr>
            <w:r>
              <w:rPr>
                <w:rFonts w:ascii="Times New Roman" w:hAnsi="Times New Roman" w:eastAsia="宋体" w:cs="Times New Roman"/>
              </w:rPr>
              <w:t>1527</w:t>
            </w:r>
          </w:p>
        </w:tc>
        <w:tc>
          <w:tcPr>
            <w:tcW w:w="1471" w:type="dxa"/>
            <w:noWrap w:val="0"/>
            <w:vAlign w:val="center"/>
          </w:tcPr>
          <w:p w14:paraId="0AFFCC3B">
            <w:pPr>
              <w:pStyle w:val="63"/>
              <w:widowControl w:val="0"/>
              <w:rPr>
                <w:rFonts w:ascii="Times New Roman" w:hAnsi="Times New Roman" w:eastAsia="宋体" w:cs="Times New Roman"/>
              </w:rPr>
            </w:pPr>
            <w:r>
              <w:rPr>
                <w:rFonts w:ascii="Times New Roman" w:hAnsi="Times New Roman" w:eastAsia="宋体" w:cs="Times New Roman"/>
              </w:rPr>
              <w:t>99.5</w:t>
            </w:r>
          </w:p>
        </w:tc>
      </w:tr>
      <w:tr w14:paraId="11D3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1A8D53EE">
            <w:pPr>
              <w:pStyle w:val="63"/>
              <w:widowControl w:val="0"/>
              <w:rPr>
                <w:rFonts w:ascii="Times New Roman" w:hAnsi="Times New Roman" w:eastAsia="宋体" w:cs="Times New Roman"/>
              </w:rPr>
            </w:pPr>
            <w:r>
              <w:rPr>
                <w:rFonts w:ascii="Times New Roman" w:hAnsi="Times New Roman" w:eastAsia="宋体" w:cs="Times New Roman"/>
              </w:rPr>
              <w:t>926</w:t>
            </w:r>
          </w:p>
        </w:tc>
        <w:tc>
          <w:tcPr>
            <w:tcW w:w="1844" w:type="dxa"/>
            <w:noWrap w:val="0"/>
            <w:vAlign w:val="center"/>
          </w:tcPr>
          <w:p w14:paraId="6F9514EE">
            <w:pPr>
              <w:pStyle w:val="63"/>
              <w:widowControl w:val="0"/>
              <w:rPr>
                <w:rFonts w:ascii="Times New Roman" w:hAnsi="Times New Roman" w:eastAsia="宋体" w:cs="Times New Roman"/>
              </w:rPr>
            </w:pPr>
            <w:r>
              <w:rPr>
                <w:rFonts w:ascii="Times New Roman" w:hAnsi="Times New Roman" w:eastAsia="宋体" w:cs="Times New Roman"/>
              </w:rPr>
              <w:t>335</w:t>
            </w:r>
          </w:p>
        </w:tc>
        <w:tc>
          <w:tcPr>
            <w:tcW w:w="1475" w:type="dxa"/>
            <w:noWrap w:val="0"/>
            <w:vAlign w:val="center"/>
          </w:tcPr>
          <w:p w14:paraId="4D31EAF4">
            <w:pPr>
              <w:pStyle w:val="63"/>
              <w:widowControl w:val="0"/>
              <w:rPr>
                <w:rFonts w:ascii="Times New Roman" w:hAnsi="Times New Roman" w:eastAsia="宋体" w:cs="Times New Roman"/>
              </w:rPr>
            </w:pPr>
            <w:r>
              <w:rPr>
                <w:rFonts w:ascii="Times New Roman" w:hAnsi="Times New Roman" w:eastAsia="宋体" w:cs="Times New Roman"/>
              </w:rPr>
              <w:t>45.2</w:t>
            </w:r>
          </w:p>
        </w:tc>
        <w:tc>
          <w:tcPr>
            <w:tcW w:w="1326" w:type="dxa"/>
            <w:noWrap w:val="0"/>
            <w:vAlign w:val="center"/>
          </w:tcPr>
          <w:p w14:paraId="3CA43C72">
            <w:pPr>
              <w:pStyle w:val="63"/>
              <w:widowControl w:val="0"/>
              <w:rPr>
                <w:rFonts w:ascii="Times New Roman" w:hAnsi="Times New Roman" w:eastAsia="宋体" w:cs="Times New Roman"/>
              </w:rPr>
            </w:pPr>
            <w:r>
              <w:rPr>
                <w:rFonts w:ascii="Times New Roman" w:hAnsi="Times New Roman" w:eastAsia="宋体" w:cs="Times New Roman"/>
              </w:rPr>
              <w:t>944</w:t>
            </w:r>
          </w:p>
        </w:tc>
        <w:tc>
          <w:tcPr>
            <w:tcW w:w="1844" w:type="dxa"/>
            <w:noWrap w:val="0"/>
            <w:vAlign w:val="center"/>
          </w:tcPr>
          <w:p w14:paraId="5B24FF85">
            <w:pPr>
              <w:pStyle w:val="63"/>
              <w:widowControl w:val="0"/>
              <w:rPr>
                <w:rFonts w:ascii="Times New Roman" w:hAnsi="Times New Roman" w:eastAsia="宋体" w:cs="Times New Roman"/>
              </w:rPr>
            </w:pPr>
            <w:r>
              <w:rPr>
                <w:rFonts w:ascii="Times New Roman" w:hAnsi="Times New Roman" w:eastAsia="宋体" w:cs="Times New Roman"/>
              </w:rPr>
              <w:t>1628</w:t>
            </w:r>
          </w:p>
        </w:tc>
        <w:tc>
          <w:tcPr>
            <w:tcW w:w="1471" w:type="dxa"/>
            <w:noWrap w:val="0"/>
            <w:vAlign w:val="center"/>
          </w:tcPr>
          <w:p w14:paraId="23AD7FA4">
            <w:pPr>
              <w:pStyle w:val="63"/>
              <w:widowControl w:val="0"/>
              <w:rPr>
                <w:rFonts w:ascii="Times New Roman" w:hAnsi="Times New Roman" w:eastAsia="宋体" w:cs="Times New Roman"/>
              </w:rPr>
            </w:pPr>
            <w:r>
              <w:rPr>
                <w:rFonts w:ascii="Times New Roman" w:hAnsi="Times New Roman" w:eastAsia="宋体" w:cs="Times New Roman"/>
              </w:rPr>
              <w:t>103</w:t>
            </w:r>
          </w:p>
        </w:tc>
      </w:tr>
      <w:tr w14:paraId="5CAA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22E71249">
            <w:pPr>
              <w:pStyle w:val="63"/>
              <w:widowControl w:val="0"/>
              <w:rPr>
                <w:rFonts w:ascii="Times New Roman" w:hAnsi="Times New Roman" w:eastAsia="宋体" w:cs="Times New Roman"/>
              </w:rPr>
            </w:pPr>
            <w:r>
              <w:rPr>
                <w:rFonts w:ascii="Times New Roman" w:hAnsi="Times New Roman" w:eastAsia="宋体" w:cs="Times New Roman"/>
              </w:rPr>
              <w:t>927</w:t>
            </w:r>
          </w:p>
        </w:tc>
        <w:tc>
          <w:tcPr>
            <w:tcW w:w="1844" w:type="dxa"/>
            <w:noWrap w:val="0"/>
            <w:vAlign w:val="center"/>
          </w:tcPr>
          <w:p w14:paraId="6A7142B2">
            <w:pPr>
              <w:pStyle w:val="63"/>
              <w:widowControl w:val="0"/>
              <w:rPr>
                <w:rFonts w:ascii="Times New Roman" w:hAnsi="Times New Roman" w:eastAsia="宋体" w:cs="Times New Roman"/>
              </w:rPr>
            </w:pPr>
            <w:r>
              <w:rPr>
                <w:rFonts w:ascii="Times New Roman" w:hAnsi="Times New Roman" w:eastAsia="宋体" w:cs="Times New Roman"/>
              </w:rPr>
              <w:t>381</w:t>
            </w:r>
          </w:p>
        </w:tc>
        <w:tc>
          <w:tcPr>
            <w:tcW w:w="1475" w:type="dxa"/>
            <w:noWrap w:val="0"/>
            <w:vAlign w:val="center"/>
          </w:tcPr>
          <w:p w14:paraId="354BA8D8">
            <w:pPr>
              <w:pStyle w:val="63"/>
              <w:widowControl w:val="0"/>
              <w:rPr>
                <w:rFonts w:ascii="Times New Roman" w:hAnsi="Times New Roman" w:eastAsia="宋体" w:cs="Times New Roman"/>
              </w:rPr>
            </w:pPr>
            <w:r>
              <w:rPr>
                <w:rFonts w:ascii="Times New Roman" w:hAnsi="Times New Roman" w:eastAsia="宋体" w:cs="Times New Roman"/>
              </w:rPr>
              <w:t>47.9</w:t>
            </w:r>
          </w:p>
        </w:tc>
        <w:tc>
          <w:tcPr>
            <w:tcW w:w="1326" w:type="dxa"/>
            <w:noWrap w:val="0"/>
            <w:vAlign w:val="center"/>
          </w:tcPr>
          <w:p w14:paraId="0BB85D1A">
            <w:pPr>
              <w:pStyle w:val="63"/>
              <w:widowControl w:val="0"/>
              <w:rPr>
                <w:rFonts w:ascii="Times New Roman" w:hAnsi="Times New Roman" w:eastAsia="宋体" w:cs="Times New Roman"/>
              </w:rPr>
            </w:pPr>
            <w:r>
              <w:rPr>
                <w:rFonts w:ascii="Times New Roman" w:hAnsi="Times New Roman" w:eastAsia="宋体" w:cs="Times New Roman"/>
              </w:rPr>
              <w:t>945</w:t>
            </w:r>
          </w:p>
        </w:tc>
        <w:tc>
          <w:tcPr>
            <w:tcW w:w="1844" w:type="dxa"/>
            <w:noWrap w:val="0"/>
            <w:vAlign w:val="center"/>
          </w:tcPr>
          <w:p w14:paraId="1C186274">
            <w:pPr>
              <w:pStyle w:val="63"/>
              <w:widowControl w:val="0"/>
              <w:rPr>
                <w:rFonts w:ascii="Times New Roman" w:hAnsi="Times New Roman" w:eastAsia="宋体" w:cs="Times New Roman"/>
              </w:rPr>
            </w:pPr>
            <w:r>
              <w:rPr>
                <w:rFonts w:ascii="Times New Roman" w:hAnsi="Times New Roman" w:eastAsia="宋体" w:cs="Times New Roman"/>
              </w:rPr>
              <w:t>1732</w:t>
            </w:r>
          </w:p>
        </w:tc>
        <w:tc>
          <w:tcPr>
            <w:tcW w:w="1471" w:type="dxa"/>
            <w:noWrap w:val="0"/>
            <w:vAlign w:val="center"/>
          </w:tcPr>
          <w:p w14:paraId="43299B75">
            <w:pPr>
              <w:pStyle w:val="63"/>
              <w:widowControl w:val="0"/>
              <w:rPr>
                <w:rFonts w:ascii="Times New Roman" w:hAnsi="Times New Roman" w:eastAsia="宋体" w:cs="Times New Roman"/>
              </w:rPr>
            </w:pPr>
            <w:r>
              <w:rPr>
                <w:rFonts w:ascii="Times New Roman" w:hAnsi="Times New Roman" w:eastAsia="宋体" w:cs="Times New Roman"/>
              </w:rPr>
              <w:t>105</w:t>
            </w:r>
          </w:p>
        </w:tc>
      </w:tr>
      <w:tr w14:paraId="3D79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1D790937">
            <w:pPr>
              <w:pStyle w:val="63"/>
              <w:widowControl w:val="0"/>
              <w:rPr>
                <w:rFonts w:ascii="Times New Roman" w:hAnsi="Times New Roman" w:eastAsia="宋体" w:cs="Times New Roman"/>
              </w:rPr>
            </w:pPr>
            <w:r>
              <w:rPr>
                <w:rFonts w:ascii="Times New Roman" w:hAnsi="Times New Roman" w:eastAsia="宋体" w:cs="Times New Roman"/>
              </w:rPr>
              <w:t>928</w:t>
            </w:r>
          </w:p>
        </w:tc>
        <w:tc>
          <w:tcPr>
            <w:tcW w:w="1844" w:type="dxa"/>
            <w:noWrap w:val="0"/>
            <w:vAlign w:val="center"/>
          </w:tcPr>
          <w:p w14:paraId="73E118BB">
            <w:pPr>
              <w:pStyle w:val="63"/>
              <w:widowControl w:val="0"/>
              <w:rPr>
                <w:rFonts w:ascii="Times New Roman" w:hAnsi="Times New Roman" w:eastAsia="宋体" w:cs="Times New Roman"/>
              </w:rPr>
            </w:pPr>
            <w:r>
              <w:rPr>
                <w:rFonts w:ascii="Times New Roman" w:hAnsi="Times New Roman" w:eastAsia="宋体" w:cs="Times New Roman"/>
              </w:rPr>
              <w:t>430</w:t>
            </w:r>
          </w:p>
        </w:tc>
        <w:tc>
          <w:tcPr>
            <w:tcW w:w="1475" w:type="dxa"/>
            <w:noWrap w:val="0"/>
            <w:vAlign w:val="center"/>
          </w:tcPr>
          <w:p w14:paraId="391FA658">
            <w:pPr>
              <w:pStyle w:val="63"/>
              <w:widowControl w:val="0"/>
              <w:rPr>
                <w:rFonts w:ascii="Times New Roman" w:hAnsi="Times New Roman" w:eastAsia="宋体" w:cs="Times New Roman"/>
              </w:rPr>
            </w:pPr>
            <w:r>
              <w:rPr>
                <w:rFonts w:ascii="Times New Roman" w:hAnsi="Times New Roman" w:eastAsia="宋体" w:cs="Times New Roman"/>
              </w:rPr>
              <w:t>50.4</w:t>
            </w:r>
          </w:p>
        </w:tc>
        <w:tc>
          <w:tcPr>
            <w:tcW w:w="1326" w:type="dxa"/>
            <w:noWrap w:val="0"/>
            <w:vAlign w:val="center"/>
          </w:tcPr>
          <w:p w14:paraId="40B249D6">
            <w:pPr>
              <w:pStyle w:val="63"/>
              <w:widowControl w:val="0"/>
              <w:rPr>
                <w:rFonts w:ascii="Times New Roman" w:hAnsi="Times New Roman" w:eastAsia="宋体" w:cs="Times New Roman"/>
              </w:rPr>
            </w:pPr>
            <w:r>
              <w:rPr>
                <w:rFonts w:ascii="Times New Roman" w:hAnsi="Times New Roman" w:eastAsia="宋体" w:cs="Times New Roman"/>
              </w:rPr>
              <w:t>946</w:t>
            </w:r>
          </w:p>
        </w:tc>
        <w:tc>
          <w:tcPr>
            <w:tcW w:w="1844" w:type="dxa"/>
            <w:noWrap w:val="0"/>
            <w:vAlign w:val="center"/>
          </w:tcPr>
          <w:p w14:paraId="720FF04B">
            <w:pPr>
              <w:pStyle w:val="63"/>
              <w:widowControl w:val="0"/>
              <w:rPr>
                <w:rFonts w:ascii="Times New Roman" w:hAnsi="Times New Roman" w:eastAsia="宋体" w:cs="Times New Roman"/>
              </w:rPr>
            </w:pPr>
            <w:r>
              <w:rPr>
                <w:rFonts w:ascii="Times New Roman" w:hAnsi="Times New Roman" w:eastAsia="宋体" w:cs="Times New Roman"/>
              </w:rPr>
              <w:t>1838</w:t>
            </w:r>
          </w:p>
        </w:tc>
        <w:tc>
          <w:tcPr>
            <w:tcW w:w="1471" w:type="dxa"/>
            <w:noWrap w:val="0"/>
            <w:vAlign w:val="center"/>
          </w:tcPr>
          <w:p w14:paraId="1666C39B">
            <w:pPr>
              <w:pStyle w:val="63"/>
              <w:widowControl w:val="0"/>
              <w:rPr>
                <w:rFonts w:ascii="Times New Roman" w:hAnsi="Times New Roman" w:eastAsia="宋体" w:cs="Times New Roman"/>
              </w:rPr>
            </w:pPr>
            <w:r>
              <w:rPr>
                <w:rFonts w:ascii="Times New Roman" w:hAnsi="Times New Roman" w:eastAsia="宋体" w:cs="Times New Roman"/>
              </w:rPr>
              <w:t>107</w:t>
            </w:r>
          </w:p>
        </w:tc>
      </w:tr>
      <w:tr w14:paraId="1CB0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139BDBCD">
            <w:pPr>
              <w:pStyle w:val="63"/>
              <w:widowControl w:val="0"/>
              <w:rPr>
                <w:rFonts w:ascii="Times New Roman" w:hAnsi="Times New Roman" w:eastAsia="宋体" w:cs="Times New Roman"/>
              </w:rPr>
            </w:pPr>
            <w:r>
              <w:rPr>
                <w:rFonts w:ascii="Times New Roman" w:hAnsi="Times New Roman" w:eastAsia="宋体" w:cs="Times New Roman"/>
              </w:rPr>
              <w:t>929</w:t>
            </w:r>
          </w:p>
        </w:tc>
        <w:tc>
          <w:tcPr>
            <w:tcW w:w="1844" w:type="dxa"/>
            <w:noWrap w:val="0"/>
            <w:vAlign w:val="center"/>
          </w:tcPr>
          <w:p w14:paraId="30AB3A6B">
            <w:pPr>
              <w:pStyle w:val="63"/>
              <w:widowControl w:val="0"/>
              <w:rPr>
                <w:rFonts w:ascii="Times New Roman" w:hAnsi="Times New Roman" w:eastAsia="宋体" w:cs="Times New Roman"/>
              </w:rPr>
            </w:pPr>
            <w:r>
              <w:rPr>
                <w:rFonts w:ascii="Times New Roman" w:hAnsi="Times New Roman" w:eastAsia="宋体" w:cs="Times New Roman"/>
              </w:rPr>
              <w:t>482</w:t>
            </w:r>
          </w:p>
        </w:tc>
        <w:tc>
          <w:tcPr>
            <w:tcW w:w="1475" w:type="dxa"/>
            <w:noWrap w:val="0"/>
            <w:vAlign w:val="center"/>
          </w:tcPr>
          <w:p w14:paraId="77738F72">
            <w:pPr>
              <w:pStyle w:val="63"/>
              <w:widowControl w:val="0"/>
              <w:rPr>
                <w:rFonts w:ascii="Times New Roman" w:hAnsi="Times New Roman" w:eastAsia="宋体" w:cs="Times New Roman"/>
              </w:rPr>
            </w:pPr>
            <w:r>
              <w:rPr>
                <w:rFonts w:ascii="Times New Roman" w:hAnsi="Times New Roman" w:eastAsia="宋体" w:cs="Times New Roman"/>
              </w:rPr>
              <w:t>52.9</w:t>
            </w:r>
          </w:p>
        </w:tc>
        <w:tc>
          <w:tcPr>
            <w:tcW w:w="1326" w:type="dxa"/>
            <w:noWrap w:val="0"/>
            <w:vAlign w:val="center"/>
          </w:tcPr>
          <w:p w14:paraId="6E8B95E4">
            <w:pPr>
              <w:pStyle w:val="63"/>
              <w:widowControl w:val="0"/>
              <w:rPr>
                <w:rFonts w:ascii="Times New Roman" w:hAnsi="Times New Roman" w:eastAsia="宋体" w:cs="Times New Roman"/>
              </w:rPr>
            </w:pPr>
            <w:r>
              <w:rPr>
                <w:rFonts w:ascii="Times New Roman" w:hAnsi="Times New Roman" w:eastAsia="宋体" w:cs="Times New Roman"/>
              </w:rPr>
              <w:t>947</w:t>
            </w:r>
          </w:p>
        </w:tc>
        <w:tc>
          <w:tcPr>
            <w:tcW w:w="1844" w:type="dxa"/>
            <w:noWrap w:val="0"/>
            <w:vAlign w:val="center"/>
          </w:tcPr>
          <w:p w14:paraId="74F7C8A5">
            <w:pPr>
              <w:pStyle w:val="63"/>
              <w:widowControl w:val="0"/>
              <w:rPr>
                <w:rFonts w:ascii="Times New Roman" w:hAnsi="Times New Roman" w:eastAsia="宋体" w:cs="Times New Roman"/>
              </w:rPr>
            </w:pPr>
            <w:r>
              <w:rPr>
                <w:rFonts w:ascii="Times New Roman" w:hAnsi="Times New Roman" w:eastAsia="宋体" w:cs="Times New Roman"/>
              </w:rPr>
              <w:t>1946</w:t>
            </w:r>
          </w:p>
        </w:tc>
        <w:tc>
          <w:tcPr>
            <w:tcW w:w="1471" w:type="dxa"/>
            <w:noWrap w:val="0"/>
            <w:vAlign w:val="center"/>
          </w:tcPr>
          <w:p w14:paraId="33F3FA8C">
            <w:pPr>
              <w:pStyle w:val="63"/>
              <w:widowControl w:val="0"/>
              <w:rPr>
                <w:rFonts w:ascii="Times New Roman" w:hAnsi="Times New Roman" w:eastAsia="宋体" w:cs="Times New Roman"/>
              </w:rPr>
            </w:pPr>
            <w:r>
              <w:rPr>
                <w:rFonts w:ascii="Times New Roman" w:hAnsi="Times New Roman" w:eastAsia="宋体" w:cs="Times New Roman"/>
              </w:rPr>
              <w:t>109</w:t>
            </w:r>
          </w:p>
        </w:tc>
      </w:tr>
      <w:tr w14:paraId="3954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6" w:type="dxa"/>
            <w:noWrap w:val="0"/>
            <w:vAlign w:val="center"/>
          </w:tcPr>
          <w:p w14:paraId="380D77BC">
            <w:pPr>
              <w:pStyle w:val="63"/>
              <w:widowControl w:val="0"/>
              <w:rPr>
                <w:rFonts w:ascii="Times New Roman" w:hAnsi="Times New Roman" w:eastAsia="宋体" w:cs="Times New Roman"/>
              </w:rPr>
            </w:pPr>
            <w:r>
              <w:rPr>
                <w:rFonts w:ascii="Times New Roman" w:hAnsi="Times New Roman" w:eastAsia="宋体" w:cs="Times New Roman"/>
              </w:rPr>
              <w:t>930</w:t>
            </w:r>
          </w:p>
        </w:tc>
        <w:tc>
          <w:tcPr>
            <w:tcW w:w="1844" w:type="dxa"/>
            <w:noWrap w:val="0"/>
            <w:vAlign w:val="center"/>
          </w:tcPr>
          <w:p w14:paraId="30E20D33">
            <w:pPr>
              <w:pStyle w:val="63"/>
              <w:widowControl w:val="0"/>
              <w:rPr>
                <w:rFonts w:ascii="Times New Roman" w:hAnsi="Times New Roman" w:eastAsia="宋体" w:cs="Times New Roman"/>
              </w:rPr>
            </w:pPr>
            <w:r>
              <w:rPr>
                <w:rFonts w:ascii="Times New Roman" w:hAnsi="Times New Roman" w:eastAsia="宋体" w:cs="Times New Roman"/>
              </w:rPr>
              <w:t>536</w:t>
            </w:r>
          </w:p>
        </w:tc>
        <w:tc>
          <w:tcPr>
            <w:tcW w:w="1475" w:type="dxa"/>
            <w:noWrap w:val="0"/>
            <w:vAlign w:val="center"/>
          </w:tcPr>
          <w:p w14:paraId="628504B6">
            <w:pPr>
              <w:pStyle w:val="63"/>
              <w:widowControl w:val="0"/>
              <w:rPr>
                <w:rFonts w:ascii="Times New Roman" w:hAnsi="Times New Roman" w:eastAsia="宋体" w:cs="Times New Roman"/>
              </w:rPr>
            </w:pPr>
            <w:r>
              <w:rPr>
                <w:rFonts w:ascii="Times New Roman" w:hAnsi="Times New Roman" w:eastAsia="宋体" w:cs="Times New Roman"/>
              </w:rPr>
              <w:t>56.0</w:t>
            </w:r>
          </w:p>
        </w:tc>
        <w:tc>
          <w:tcPr>
            <w:tcW w:w="1326" w:type="dxa"/>
            <w:noWrap w:val="0"/>
            <w:vAlign w:val="center"/>
          </w:tcPr>
          <w:p w14:paraId="6682A73A">
            <w:pPr>
              <w:pStyle w:val="63"/>
              <w:widowControl w:val="0"/>
              <w:rPr>
                <w:rFonts w:ascii="Times New Roman" w:hAnsi="Times New Roman" w:eastAsia="宋体" w:cs="Times New Roman"/>
              </w:rPr>
            </w:pPr>
            <w:r>
              <w:rPr>
                <w:rFonts w:ascii="Times New Roman" w:hAnsi="Times New Roman" w:eastAsia="宋体" w:cs="Times New Roman"/>
              </w:rPr>
              <w:t>948</w:t>
            </w:r>
          </w:p>
        </w:tc>
        <w:tc>
          <w:tcPr>
            <w:tcW w:w="1844" w:type="dxa"/>
            <w:noWrap w:val="0"/>
            <w:vAlign w:val="center"/>
          </w:tcPr>
          <w:p w14:paraId="43C54ADC">
            <w:pPr>
              <w:pStyle w:val="63"/>
              <w:widowControl w:val="0"/>
              <w:rPr>
                <w:rFonts w:ascii="Times New Roman" w:hAnsi="Times New Roman" w:eastAsia="宋体" w:cs="Times New Roman"/>
              </w:rPr>
            </w:pPr>
            <w:r>
              <w:rPr>
                <w:rFonts w:ascii="Times New Roman" w:hAnsi="Times New Roman" w:eastAsia="宋体" w:cs="Times New Roman"/>
              </w:rPr>
              <w:t>2056</w:t>
            </w:r>
          </w:p>
        </w:tc>
        <w:tc>
          <w:tcPr>
            <w:tcW w:w="1471" w:type="dxa"/>
            <w:noWrap w:val="0"/>
            <w:vAlign w:val="center"/>
          </w:tcPr>
          <w:p w14:paraId="2524333D">
            <w:pPr>
              <w:pStyle w:val="63"/>
              <w:widowControl w:val="0"/>
              <w:rPr>
                <w:rFonts w:ascii="Times New Roman" w:hAnsi="Times New Roman" w:eastAsia="宋体" w:cs="Times New Roman"/>
              </w:rPr>
            </w:pPr>
            <w:r>
              <w:rPr>
                <w:rFonts w:ascii="Times New Roman" w:hAnsi="Times New Roman" w:eastAsia="宋体" w:cs="Times New Roman"/>
              </w:rPr>
              <w:t>112</w:t>
            </w:r>
          </w:p>
        </w:tc>
      </w:tr>
    </w:tbl>
    <w:p w14:paraId="72C2B4DB">
      <w:pPr>
        <w:ind w:firstLine="480"/>
        <w:rPr>
          <w:rFonts w:ascii="Times New Roman" w:hAnsi="Times New Roman" w:eastAsia="宋体" w:cs="Times New Roman"/>
          <w:sz w:val="28"/>
          <w:szCs w:val="20"/>
        </w:rPr>
      </w:pPr>
    </w:p>
    <w:p w14:paraId="5A89B707">
      <w:pPr>
        <w:pStyle w:val="62"/>
        <w:spacing w:before="120"/>
        <w:rPr>
          <w:rFonts w:ascii="Times New Roman" w:hAnsi="Times New Roman" w:eastAsia="宋体" w:cs="Times New Roman"/>
        </w:rPr>
      </w:pPr>
      <w:r>
        <w:rPr>
          <w:rFonts w:ascii="Times New Roman" w:hAnsi="Times New Roman" w:eastAsia="宋体" w:cs="Times New Roman"/>
        </w:rPr>
        <w:drawing>
          <wp:inline distT="0" distB="0" distL="114300" distR="114300">
            <wp:extent cx="5288280" cy="3032760"/>
            <wp:effectExtent l="0" t="0" r="762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88280" cy="3032760"/>
                    </a:xfrm>
                    <a:prstGeom prst="rect">
                      <a:avLst/>
                    </a:prstGeom>
                    <a:noFill/>
                    <a:ln>
                      <a:noFill/>
                    </a:ln>
                  </pic:spPr>
                </pic:pic>
              </a:graphicData>
            </a:graphic>
          </wp:inline>
        </w:drawing>
      </w:r>
    </w:p>
    <w:p w14:paraId="594C28FA">
      <w:pPr>
        <w:pStyle w:val="62"/>
        <w:spacing w:before="120"/>
        <w:jc w:val="center"/>
        <w:rPr>
          <w:rFonts w:hint="eastAsia" w:ascii="宋体" w:hAnsi="宋体" w:eastAsia="方正仿宋_GBK" w:cs="方正仿宋_GBK"/>
          <w:b/>
          <w:bCs/>
          <w:sz w:val="32"/>
          <w:szCs w:val="32"/>
        </w:rPr>
      </w:pPr>
      <w:r>
        <w:rPr>
          <w:rFonts w:ascii="Times New Roman" w:hAnsi="Times New Roman" w:eastAsia="宋体" w:cs="Times New Roman"/>
        </w:rPr>
        <w:t>图</w:t>
      </w:r>
      <w:r>
        <w:rPr>
          <w:rFonts w:hint="eastAsia" w:cs="Times New Roman"/>
          <w:lang w:val="en-US" w:eastAsia="zh-CN"/>
        </w:rPr>
        <w:t xml:space="preserve">2.2  </w:t>
      </w:r>
      <w:r>
        <w:rPr>
          <w:rFonts w:ascii="Times New Roman" w:hAnsi="Times New Roman" w:eastAsia="宋体" w:cs="Times New Roman"/>
        </w:rPr>
        <w:t>芒究水库水位～库容～面积关系曲线</w:t>
      </w:r>
    </w:p>
    <w:p w14:paraId="7A1AEBA7">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b/>
          <w:bCs/>
          <w:sz w:val="32"/>
          <w:szCs w:val="32"/>
        </w:rPr>
      </w:pPr>
      <w:r>
        <w:rPr>
          <w:rFonts w:hint="eastAsia" w:ascii="宋体" w:hAnsi="宋体" w:eastAsia="方正仿宋_GBK" w:cs="方正仿宋_GBK"/>
          <w:b/>
          <w:bCs/>
          <w:sz w:val="32"/>
          <w:szCs w:val="32"/>
        </w:rPr>
        <w:t>2.2.1.3</w:t>
      </w:r>
      <w:r>
        <w:rPr>
          <w:rFonts w:hint="eastAsia" w:ascii="宋体" w:hAnsi="宋体" w:eastAsia="方正仿宋_GBK" w:cs="方正仿宋_GBK"/>
          <w:b/>
          <w:bCs/>
          <w:sz w:val="32"/>
          <w:szCs w:val="32"/>
          <w:lang w:val="en-US" w:eastAsia="zh-CN"/>
        </w:rPr>
        <w:t>设计洪水</w:t>
      </w:r>
      <w:r>
        <w:rPr>
          <w:rFonts w:hint="eastAsia" w:ascii="宋体" w:hAnsi="宋体" w:eastAsia="方正仿宋_GBK" w:cs="方正仿宋_GBK"/>
          <w:b/>
          <w:bCs/>
          <w:sz w:val="32"/>
          <w:szCs w:val="32"/>
        </w:rPr>
        <w:t xml:space="preserve"> </w:t>
      </w:r>
    </w:p>
    <w:p w14:paraId="6ED5CCB5">
      <w:pPr>
        <w:pStyle w:val="59"/>
        <w:ind w:firstLine="480"/>
        <w:rPr>
          <w:rFonts w:hint="default"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1.基本资料</w:t>
      </w:r>
    </w:p>
    <w:p w14:paraId="0FED5B1C">
      <w:pPr>
        <w:pStyle w:val="59"/>
        <w:ind w:firstLine="480"/>
        <w:rPr>
          <w:rFonts w:hint="eastAsia" w:ascii="宋体" w:hAnsi="宋体" w:eastAsia="方正仿宋_GBK" w:cs="方正仿宋_GBK"/>
          <w:color w:val="auto"/>
          <w:sz w:val="32"/>
          <w:szCs w:val="32"/>
          <w:lang w:val="zh-CN"/>
        </w:rPr>
      </w:pPr>
      <w:r>
        <w:rPr>
          <w:rFonts w:hint="eastAsia" w:ascii="宋体" w:hAnsi="宋体" w:eastAsia="方正仿宋_GBK" w:cs="方正仿宋_GBK"/>
          <w:color w:val="auto"/>
          <w:sz w:val="32"/>
          <w:szCs w:val="32"/>
          <w:lang w:val="zh-CN"/>
        </w:rPr>
        <w:t>芒究水库无洪水观测资料，只能借用邻近流域的水文气象资料。</w:t>
      </w:r>
    </w:p>
    <w:p w14:paraId="36B14FF9">
      <w:pPr>
        <w:pStyle w:val="59"/>
        <w:ind w:firstLine="480"/>
        <w:rPr>
          <w:rFonts w:hint="eastAsia" w:ascii="宋体" w:hAnsi="宋体" w:eastAsia="方正仿宋_GBK" w:cs="方正仿宋_GBK"/>
          <w:color w:val="auto"/>
          <w:sz w:val="32"/>
          <w:szCs w:val="32"/>
          <w:lang w:val="zh-CN"/>
        </w:rPr>
      </w:pPr>
      <w:r>
        <w:rPr>
          <w:rFonts w:hint="eastAsia" w:ascii="宋体" w:hAnsi="宋体" w:eastAsia="方正仿宋_GBK" w:cs="方正仿宋_GBK"/>
          <w:color w:val="auto"/>
          <w:sz w:val="32"/>
          <w:szCs w:val="32"/>
          <w:lang w:val="zh-CN"/>
        </w:rPr>
        <w:t>根据本阶段资料收集情况，因此本阶段仅对芒市气象站、木康水文站进行分析。</w:t>
      </w:r>
    </w:p>
    <w:p w14:paraId="5B6364FC">
      <w:pPr>
        <w:pStyle w:val="59"/>
        <w:ind w:firstLine="480"/>
        <w:rPr>
          <w:rFonts w:hint="eastAsia" w:ascii="宋体" w:hAnsi="宋体" w:eastAsia="方正仿宋_GBK" w:cs="方正仿宋_GBK"/>
          <w:color w:val="auto"/>
          <w:sz w:val="32"/>
          <w:szCs w:val="32"/>
          <w:lang w:val="zh-CN"/>
        </w:rPr>
      </w:pPr>
      <w:r>
        <w:rPr>
          <w:rFonts w:hint="eastAsia" w:ascii="宋体" w:hAnsi="宋体" w:eastAsia="方正仿宋_GBK" w:cs="方正仿宋_GBK"/>
          <w:color w:val="auto"/>
          <w:sz w:val="32"/>
          <w:szCs w:val="32"/>
          <w:lang w:val="zh-CN"/>
        </w:rPr>
        <w:t>芒市气象站距水库直线距离约5.0km，高程900.00m，气象条件和下垫面条件与设计流域接近，其暴雨参数可直接移用。</w:t>
      </w:r>
    </w:p>
    <w:p w14:paraId="510701EE">
      <w:pPr>
        <w:pStyle w:val="59"/>
        <w:ind w:firstLine="480"/>
        <w:rPr>
          <w:rFonts w:hint="default"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2.产汇流参数分析</w:t>
      </w:r>
    </w:p>
    <w:p w14:paraId="40A493C8">
      <w:pPr>
        <w:pStyle w:val="59"/>
        <w:ind w:firstLine="480"/>
        <w:rPr>
          <w:rFonts w:hint="eastAsia"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查《云南省暴雨洪水查算图表实用手册》，芒究水库流域暴雨分区为第4区。以该区的暴雨雨型为典型，用同频率控制缩放的各频率设计点暴雨时程分配过程，并用该区的暴雨点面折算系数折减得到设计面暴雨时程分配过程。</w:t>
      </w:r>
    </w:p>
    <w:p w14:paraId="334C6155">
      <w:pPr>
        <w:pStyle w:val="59"/>
        <w:ind w:firstLine="480"/>
        <w:rPr>
          <w:rFonts w:hint="eastAsia"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查《云南省暴雨洪水查算图表实用手册》，芒究水库流域产、汇流均为第8区。</w:t>
      </w:r>
    </w:p>
    <w:p w14:paraId="5D9C91C0">
      <w:pPr>
        <w:pStyle w:val="59"/>
        <w:ind w:firstLine="480"/>
        <w:rPr>
          <w:rFonts w:hint="eastAsia"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产流有关参数:土壤包气带最大含水量Wm=120mm，洪水前期土壤含水量Wt=100mm，降水径流关系不平衡水量ΔR=6mm，后期土壤平均损失水量fc=4.5mm/h。</w:t>
      </w:r>
    </w:p>
    <w:p w14:paraId="5AFB16F6">
      <w:pPr>
        <w:pStyle w:val="59"/>
        <w:ind w:left="0" w:leftChars="0" w:firstLine="640" w:firstLineChars="200"/>
        <w:rPr>
          <w:rFonts w:hint="eastAsia"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汇流系数:Cm=0.39，Cn=0.71。</w:t>
      </w:r>
    </w:p>
    <w:p w14:paraId="7AAD5800">
      <w:pPr>
        <w:pStyle w:val="59"/>
        <w:ind w:firstLine="480"/>
        <w:rPr>
          <w:rFonts w:hint="eastAsia" w:ascii="宋体" w:hAnsi="宋体" w:eastAsia="方正仿宋_GBK" w:cs="方正仿宋_GBK"/>
          <w:color w:val="auto"/>
          <w:sz w:val="32"/>
          <w:szCs w:val="32"/>
          <w:lang w:val="zh-CN"/>
        </w:rPr>
      </w:pPr>
      <w:r>
        <w:rPr>
          <w:rFonts w:hint="eastAsia" w:ascii="宋体" w:hAnsi="宋体" w:eastAsia="方正仿宋_GBK" w:cs="方正仿宋_GBK"/>
          <w:color w:val="auto"/>
          <w:sz w:val="32"/>
          <w:szCs w:val="32"/>
          <w:lang w:val="en-US" w:eastAsia="zh-CN"/>
        </w:rPr>
        <w:t>3.</w:t>
      </w:r>
      <w:r>
        <w:rPr>
          <w:rFonts w:hint="eastAsia" w:ascii="宋体" w:hAnsi="宋体" w:eastAsia="方正仿宋_GBK" w:cs="方正仿宋_GBK"/>
          <w:color w:val="auto"/>
          <w:sz w:val="32"/>
          <w:szCs w:val="32"/>
          <w:lang w:val="zh-CN"/>
        </w:rPr>
        <w:t>设计洪水计算</w:t>
      </w:r>
    </w:p>
    <w:p w14:paraId="252C4694">
      <w:pPr>
        <w:pStyle w:val="59"/>
        <w:ind w:firstLine="480"/>
        <w:rPr>
          <w:rFonts w:hint="eastAsia"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在1:2.5万地形图上量算得到芒究水库坝址的径流面积为31.4km</w:t>
      </w:r>
      <w:r>
        <w:rPr>
          <w:rFonts w:hint="eastAsia" w:ascii="宋体" w:hAnsi="宋体" w:eastAsia="方正仿宋_GBK" w:cs="方正仿宋_GBK"/>
          <w:color w:val="auto"/>
          <w:sz w:val="32"/>
          <w:szCs w:val="32"/>
          <w:vertAlign w:val="superscript"/>
          <w:lang w:val="en-US" w:eastAsia="zh-CN"/>
        </w:rPr>
        <w:t>2</w:t>
      </w:r>
      <w:r>
        <w:rPr>
          <w:rFonts w:hint="eastAsia" w:ascii="宋体" w:hAnsi="宋体" w:eastAsia="方正仿宋_GBK" w:cs="方正仿宋_GBK"/>
          <w:color w:val="auto"/>
          <w:sz w:val="32"/>
          <w:szCs w:val="32"/>
          <w:lang w:val="en-US" w:eastAsia="zh-CN"/>
        </w:rPr>
        <w:t>，河道长为10.7km、河道比降为26.4‰。</w:t>
      </w:r>
    </w:p>
    <w:p w14:paraId="68AFC39C">
      <w:pPr>
        <w:pStyle w:val="59"/>
        <w:ind w:firstLine="480"/>
        <w:rPr>
          <w:rFonts w:hint="eastAsia" w:ascii="宋体" w:hAnsi="宋体" w:eastAsia="方正仿宋_GBK" w:cs="方正仿宋_GBK"/>
          <w:color w:val="auto"/>
          <w:sz w:val="32"/>
          <w:szCs w:val="32"/>
          <w:lang w:val="en-US" w:eastAsia="zh-CN"/>
        </w:rPr>
      </w:pPr>
      <w:r>
        <w:rPr>
          <w:rFonts w:hint="eastAsia" w:ascii="宋体" w:hAnsi="宋体" w:eastAsia="方正仿宋_GBK" w:cs="方正仿宋_GBK"/>
          <w:color w:val="auto"/>
          <w:sz w:val="32"/>
          <w:szCs w:val="32"/>
          <w:lang w:val="en-US" w:eastAsia="zh-CN"/>
        </w:rPr>
        <w:t>根据上述分析的芒究水库坝址流域点暴雨统计参数及流域特征值、产汇流参数，推求得到的芒究水库坝址设计洪水峰量。</w:t>
      </w:r>
    </w:p>
    <w:p w14:paraId="32F64CDD">
      <w:pPr>
        <w:adjustRightInd w:val="0"/>
        <w:snapToGrid w:val="0"/>
        <w:jc w:val="center"/>
        <w:rPr>
          <w:rFonts w:ascii="Times New Roman" w:hAnsi="Times New Roman" w:eastAsia="宋体" w:cs="Times New Roman"/>
          <w:b/>
          <w:bCs/>
          <w:kern w:val="2"/>
          <w:sz w:val="21"/>
          <w:szCs w:val="22"/>
          <w:lang w:val="en-US" w:eastAsia="zh-CN" w:bidi="ar-SA"/>
        </w:rPr>
      </w:pPr>
      <w:r>
        <w:rPr>
          <w:rFonts w:ascii="Times New Roman" w:hAnsi="Times New Roman" w:eastAsia="宋体" w:cs="Times New Roman"/>
          <w:b/>
          <w:bCs/>
          <w:kern w:val="2"/>
          <w:sz w:val="21"/>
          <w:szCs w:val="22"/>
          <w:lang w:val="en-US" w:eastAsia="zh-CN" w:bidi="ar-SA"/>
        </w:rPr>
        <w:t>设计洪水成果表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2383"/>
        <w:gridCol w:w="1081"/>
        <w:gridCol w:w="1081"/>
        <w:gridCol w:w="1081"/>
        <w:gridCol w:w="1081"/>
        <w:gridCol w:w="1077"/>
      </w:tblGrid>
      <w:tr w14:paraId="5D11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Merge w:val="restart"/>
            <w:noWrap w:val="0"/>
            <w:vAlign w:val="center"/>
          </w:tcPr>
          <w:p w14:paraId="7A94DF25">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数据来源</w:t>
            </w:r>
          </w:p>
        </w:tc>
        <w:tc>
          <w:tcPr>
            <w:tcW w:w="2383" w:type="dxa"/>
            <w:vMerge w:val="restart"/>
            <w:noWrap w:val="0"/>
            <w:vAlign w:val="center"/>
          </w:tcPr>
          <w:p w14:paraId="1F2834F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类别</w:t>
            </w:r>
          </w:p>
        </w:tc>
        <w:tc>
          <w:tcPr>
            <w:tcW w:w="5401" w:type="dxa"/>
            <w:gridSpan w:val="5"/>
            <w:noWrap w:val="0"/>
            <w:vAlign w:val="center"/>
          </w:tcPr>
          <w:p w14:paraId="08C5F4DC">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设计值</w:t>
            </w:r>
          </w:p>
        </w:tc>
      </w:tr>
      <w:tr w14:paraId="6721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Merge w:val="continue"/>
            <w:noWrap w:val="0"/>
            <w:vAlign w:val="center"/>
          </w:tcPr>
          <w:p w14:paraId="3F7E428C">
            <w:pPr>
              <w:adjustRightInd w:val="0"/>
              <w:snapToGrid w:val="0"/>
              <w:jc w:val="center"/>
              <w:rPr>
                <w:rFonts w:ascii="Times New Roman" w:hAnsi="Times New Roman" w:eastAsia="宋体" w:cs="Times New Roman"/>
                <w:kern w:val="2"/>
                <w:sz w:val="21"/>
                <w:szCs w:val="22"/>
                <w:lang w:val="en-US" w:eastAsia="zh-CN" w:bidi="ar-SA"/>
              </w:rPr>
            </w:pPr>
          </w:p>
        </w:tc>
        <w:tc>
          <w:tcPr>
            <w:tcW w:w="2383" w:type="dxa"/>
            <w:vMerge w:val="continue"/>
            <w:noWrap w:val="0"/>
            <w:vAlign w:val="center"/>
          </w:tcPr>
          <w:p w14:paraId="5F05AD1F">
            <w:pPr>
              <w:adjustRightInd w:val="0"/>
              <w:snapToGrid w:val="0"/>
              <w:jc w:val="center"/>
              <w:rPr>
                <w:rFonts w:ascii="Times New Roman" w:hAnsi="Times New Roman" w:eastAsia="宋体" w:cs="Times New Roman"/>
                <w:kern w:val="2"/>
                <w:sz w:val="21"/>
                <w:szCs w:val="22"/>
                <w:lang w:val="en-US" w:eastAsia="zh-CN" w:bidi="ar-SA"/>
              </w:rPr>
            </w:pPr>
          </w:p>
        </w:tc>
        <w:tc>
          <w:tcPr>
            <w:tcW w:w="1081" w:type="dxa"/>
            <w:noWrap w:val="0"/>
            <w:vAlign w:val="center"/>
          </w:tcPr>
          <w:p w14:paraId="4A9A0A16">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0.10%</w:t>
            </w:r>
          </w:p>
        </w:tc>
        <w:tc>
          <w:tcPr>
            <w:tcW w:w="1081" w:type="dxa"/>
            <w:noWrap w:val="0"/>
            <w:vAlign w:val="center"/>
          </w:tcPr>
          <w:p w14:paraId="4F872868">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0.20%</w:t>
            </w:r>
          </w:p>
        </w:tc>
        <w:tc>
          <w:tcPr>
            <w:tcW w:w="1081" w:type="dxa"/>
            <w:noWrap w:val="0"/>
            <w:vAlign w:val="center"/>
          </w:tcPr>
          <w:p w14:paraId="32F671E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1.00%</w:t>
            </w:r>
          </w:p>
        </w:tc>
        <w:tc>
          <w:tcPr>
            <w:tcW w:w="1081" w:type="dxa"/>
            <w:noWrap w:val="0"/>
            <w:vAlign w:val="center"/>
          </w:tcPr>
          <w:p w14:paraId="13D353F4">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3.33%</w:t>
            </w:r>
          </w:p>
        </w:tc>
        <w:tc>
          <w:tcPr>
            <w:tcW w:w="1077" w:type="dxa"/>
            <w:noWrap w:val="0"/>
            <w:vAlign w:val="center"/>
          </w:tcPr>
          <w:p w14:paraId="62DF9504">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5.00%</w:t>
            </w:r>
          </w:p>
        </w:tc>
      </w:tr>
      <w:tr w14:paraId="445D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Merge w:val="restart"/>
            <w:noWrap w:val="0"/>
            <w:vAlign w:val="center"/>
          </w:tcPr>
          <w:p w14:paraId="47B9F045">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实测暴雨</w:t>
            </w:r>
          </w:p>
        </w:tc>
        <w:tc>
          <w:tcPr>
            <w:tcW w:w="2383" w:type="dxa"/>
            <w:noWrap w:val="0"/>
            <w:vAlign w:val="center"/>
          </w:tcPr>
          <w:p w14:paraId="58268FB2">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洪峰（m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/s）</w:t>
            </w:r>
          </w:p>
        </w:tc>
        <w:tc>
          <w:tcPr>
            <w:tcW w:w="1081" w:type="dxa"/>
            <w:noWrap w:val="0"/>
            <w:vAlign w:val="center"/>
          </w:tcPr>
          <w:p w14:paraId="40C75DE3">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201</w:t>
            </w:r>
          </w:p>
        </w:tc>
        <w:tc>
          <w:tcPr>
            <w:tcW w:w="1081" w:type="dxa"/>
            <w:noWrap w:val="0"/>
            <w:vAlign w:val="center"/>
          </w:tcPr>
          <w:p w14:paraId="4E304E1A">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186</w:t>
            </w:r>
          </w:p>
        </w:tc>
        <w:tc>
          <w:tcPr>
            <w:tcW w:w="1081" w:type="dxa"/>
            <w:noWrap w:val="0"/>
            <w:vAlign w:val="center"/>
          </w:tcPr>
          <w:p w14:paraId="182A0263">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152</w:t>
            </w:r>
          </w:p>
        </w:tc>
        <w:tc>
          <w:tcPr>
            <w:tcW w:w="1081" w:type="dxa"/>
            <w:noWrap w:val="0"/>
            <w:vAlign w:val="center"/>
          </w:tcPr>
          <w:p w14:paraId="08F65482">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126</w:t>
            </w:r>
          </w:p>
        </w:tc>
        <w:tc>
          <w:tcPr>
            <w:tcW w:w="1077" w:type="dxa"/>
            <w:noWrap w:val="0"/>
            <w:vAlign w:val="center"/>
          </w:tcPr>
          <w:p w14:paraId="14C8B76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117</w:t>
            </w:r>
          </w:p>
        </w:tc>
      </w:tr>
      <w:tr w14:paraId="5950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Merge w:val="continue"/>
            <w:noWrap w:val="0"/>
            <w:vAlign w:val="center"/>
          </w:tcPr>
          <w:p w14:paraId="6D52EEC4">
            <w:pPr>
              <w:adjustRightInd w:val="0"/>
              <w:snapToGrid w:val="0"/>
              <w:jc w:val="center"/>
              <w:rPr>
                <w:rFonts w:ascii="Times New Roman" w:hAnsi="Times New Roman" w:eastAsia="宋体" w:cs="Times New Roman"/>
                <w:kern w:val="2"/>
                <w:sz w:val="21"/>
                <w:szCs w:val="22"/>
                <w:lang w:val="en-US" w:eastAsia="zh-CN" w:bidi="ar-SA"/>
              </w:rPr>
            </w:pPr>
          </w:p>
        </w:tc>
        <w:tc>
          <w:tcPr>
            <w:tcW w:w="2383" w:type="dxa"/>
            <w:noWrap w:val="0"/>
            <w:vAlign w:val="center"/>
          </w:tcPr>
          <w:p w14:paraId="35D39673">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24h洪量（万m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w:t>
            </w:r>
          </w:p>
        </w:tc>
        <w:tc>
          <w:tcPr>
            <w:tcW w:w="1081" w:type="dxa"/>
            <w:noWrap w:val="0"/>
            <w:vAlign w:val="center"/>
          </w:tcPr>
          <w:p w14:paraId="2B2A8E0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496.5</w:t>
            </w:r>
          </w:p>
        </w:tc>
        <w:tc>
          <w:tcPr>
            <w:tcW w:w="1081" w:type="dxa"/>
            <w:noWrap w:val="0"/>
            <w:vAlign w:val="center"/>
          </w:tcPr>
          <w:p w14:paraId="10B3E332">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457.7</w:t>
            </w:r>
          </w:p>
        </w:tc>
        <w:tc>
          <w:tcPr>
            <w:tcW w:w="1081" w:type="dxa"/>
            <w:noWrap w:val="0"/>
            <w:vAlign w:val="center"/>
          </w:tcPr>
          <w:p w14:paraId="47BB8754">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367.6</w:t>
            </w:r>
          </w:p>
        </w:tc>
        <w:tc>
          <w:tcPr>
            <w:tcW w:w="1081" w:type="dxa"/>
            <w:noWrap w:val="0"/>
            <w:vAlign w:val="center"/>
          </w:tcPr>
          <w:p w14:paraId="1D46BA52">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306.8</w:t>
            </w:r>
          </w:p>
        </w:tc>
        <w:tc>
          <w:tcPr>
            <w:tcW w:w="1077" w:type="dxa"/>
            <w:noWrap w:val="0"/>
            <w:vAlign w:val="center"/>
          </w:tcPr>
          <w:p w14:paraId="54DD6828">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289.4</w:t>
            </w:r>
          </w:p>
        </w:tc>
      </w:tr>
      <w:tr w14:paraId="25FF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Merge w:val="restart"/>
            <w:noWrap w:val="0"/>
            <w:vAlign w:val="center"/>
          </w:tcPr>
          <w:p w14:paraId="0E53203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等值线法</w:t>
            </w:r>
          </w:p>
        </w:tc>
        <w:tc>
          <w:tcPr>
            <w:tcW w:w="2383" w:type="dxa"/>
            <w:noWrap w:val="0"/>
            <w:vAlign w:val="center"/>
          </w:tcPr>
          <w:p w14:paraId="1823D1E9">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洪峰（m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/s）</w:t>
            </w:r>
          </w:p>
        </w:tc>
        <w:tc>
          <w:tcPr>
            <w:tcW w:w="1081" w:type="dxa"/>
            <w:noWrap w:val="0"/>
            <w:vAlign w:val="center"/>
          </w:tcPr>
          <w:p w14:paraId="465F4916">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274</w:t>
            </w:r>
          </w:p>
        </w:tc>
        <w:tc>
          <w:tcPr>
            <w:tcW w:w="1081" w:type="dxa"/>
            <w:noWrap w:val="0"/>
            <w:vAlign w:val="center"/>
          </w:tcPr>
          <w:p w14:paraId="66A42E8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250</w:t>
            </w:r>
          </w:p>
        </w:tc>
        <w:tc>
          <w:tcPr>
            <w:tcW w:w="1081" w:type="dxa"/>
            <w:noWrap w:val="0"/>
            <w:vAlign w:val="center"/>
          </w:tcPr>
          <w:p w14:paraId="476A9A1C">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196</w:t>
            </w:r>
          </w:p>
        </w:tc>
        <w:tc>
          <w:tcPr>
            <w:tcW w:w="1081" w:type="dxa"/>
            <w:noWrap w:val="0"/>
            <w:vAlign w:val="center"/>
          </w:tcPr>
          <w:p w14:paraId="48321C7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157</w:t>
            </w:r>
          </w:p>
        </w:tc>
        <w:tc>
          <w:tcPr>
            <w:tcW w:w="1077" w:type="dxa"/>
            <w:noWrap w:val="0"/>
            <w:vAlign w:val="center"/>
          </w:tcPr>
          <w:p w14:paraId="4648209A">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143</w:t>
            </w:r>
          </w:p>
        </w:tc>
      </w:tr>
      <w:tr w14:paraId="7E19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Merge w:val="continue"/>
            <w:noWrap w:val="0"/>
            <w:vAlign w:val="center"/>
          </w:tcPr>
          <w:p w14:paraId="2CFC3325">
            <w:pPr>
              <w:adjustRightInd w:val="0"/>
              <w:snapToGrid w:val="0"/>
              <w:jc w:val="center"/>
              <w:rPr>
                <w:rFonts w:ascii="Times New Roman" w:hAnsi="Times New Roman" w:eastAsia="宋体" w:cs="Times New Roman"/>
                <w:kern w:val="2"/>
                <w:sz w:val="21"/>
                <w:szCs w:val="22"/>
                <w:lang w:val="en-US" w:eastAsia="zh-CN" w:bidi="ar-SA"/>
              </w:rPr>
            </w:pPr>
          </w:p>
        </w:tc>
        <w:tc>
          <w:tcPr>
            <w:tcW w:w="2383" w:type="dxa"/>
            <w:noWrap w:val="0"/>
            <w:vAlign w:val="center"/>
          </w:tcPr>
          <w:p w14:paraId="455D0328">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24h洪量（万m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w:t>
            </w:r>
          </w:p>
        </w:tc>
        <w:tc>
          <w:tcPr>
            <w:tcW w:w="1081" w:type="dxa"/>
            <w:noWrap w:val="0"/>
            <w:vAlign w:val="center"/>
          </w:tcPr>
          <w:p w14:paraId="560EA0A9">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637.1</w:t>
            </w:r>
          </w:p>
        </w:tc>
        <w:tc>
          <w:tcPr>
            <w:tcW w:w="1081" w:type="dxa"/>
            <w:noWrap w:val="0"/>
            <w:vAlign w:val="center"/>
          </w:tcPr>
          <w:p w14:paraId="3D3270B1">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594.4</w:t>
            </w:r>
          </w:p>
        </w:tc>
        <w:tc>
          <w:tcPr>
            <w:tcW w:w="1081" w:type="dxa"/>
            <w:noWrap w:val="0"/>
            <w:vAlign w:val="center"/>
          </w:tcPr>
          <w:p w14:paraId="1253013D">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466.0</w:t>
            </w:r>
          </w:p>
        </w:tc>
        <w:tc>
          <w:tcPr>
            <w:tcW w:w="1081" w:type="dxa"/>
            <w:noWrap w:val="0"/>
            <w:vAlign w:val="center"/>
          </w:tcPr>
          <w:p w14:paraId="69BEF8D0">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384.6</w:t>
            </w:r>
          </w:p>
        </w:tc>
        <w:tc>
          <w:tcPr>
            <w:tcW w:w="1077" w:type="dxa"/>
            <w:noWrap w:val="0"/>
            <w:vAlign w:val="center"/>
          </w:tcPr>
          <w:p w14:paraId="7C119BFE">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352.0</w:t>
            </w:r>
          </w:p>
        </w:tc>
      </w:tr>
    </w:tbl>
    <w:p w14:paraId="74AA4BC1">
      <w:pPr>
        <w:widowControl w:val="0"/>
        <w:adjustRightInd w:val="0"/>
        <w:snapToGrid w:val="0"/>
        <w:spacing w:before="120" w:beforeLines="50"/>
        <w:jc w:val="center"/>
        <w:rPr>
          <w:rFonts w:ascii="Times New Roman" w:hAnsi="Times New Roman" w:eastAsia="宋体" w:cs="Times New Roman"/>
          <w:b/>
          <w:kern w:val="0"/>
          <w:sz w:val="24"/>
          <w:szCs w:val="28"/>
          <w:lang w:val="en-US" w:eastAsia="zh-CN" w:bidi="ar-SA"/>
        </w:rPr>
      </w:pPr>
      <w:r>
        <w:rPr>
          <w:rFonts w:ascii="Times New Roman" w:hAnsi="Times New Roman" w:eastAsia="宋体" w:cs="Times New Roman"/>
          <w:b/>
          <w:kern w:val="0"/>
          <w:sz w:val="24"/>
          <w:szCs w:val="28"/>
          <w:lang w:val="en-US" w:eastAsia="zh-CN" w:bidi="ar-SA"/>
        </w:rPr>
        <w:t>设计洪水过程表</w:t>
      </w:r>
    </w:p>
    <w:tbl>
      <w:tblPr>
        <w:tblStyle w:val="29"/>
        <w:tblW w:w="0" w:type="auto"/>
        <w:jc w:val="center"/>
        <w:tblLayout w:type="fixed"/>
        <w:tblCellMar>
          <w:top w:w="0" w:type="dxa"/>
          <w:left w:w="108" w:type="dxa"/>
          <w:bottom w:w="0" w:type="dxa"/>
          <w:right w:w="108" w:type="dxa"/>
        </w:tblCellMar>
      </w:tblPr>
      <w:tblGrid>
        <w:gridCol w:w="3197"/>
        <w:gridCol w:w="1289"/>
        <w:gridCol w:w="1289"/>
        <w:gridCol w:w="1111"/>
        <w:gridCol w:w="1289"/>
        <w:gridCol w:w="1111"/>
      </w:tblGrid>
      <w:tr w14:paraId="030EBEA4">
        <w:tblPrEx>
          <w:tblCellMar>
            <w:top w:w="0" w:type="dxa"/>
            <w:left w:w="108" w:type="dxa"/>
            <w:bottom w:w="0" w:type="dxa"/>
            <w:right w:w="108" w:type="dxa"/>
          </w:tblCellMar>
        </w:tblPrEx>
        <w:trPr>
          <w:trHeight w:val="340" w:hRule="atLeast"/>
          <w:jc w:val="center"/>
        </w:trPr>
        <w:tc>
          <w:tcPr>
            <w:tcW w:w="3197" w:type="dxa"/>
            <w:vMerge w:val="restart"/>
            <w:tcBorders>
              <w:top w:val="single" w:color="auto" w:sz="4" w:space="0"/>
              <w:left w:val="single" w:color="auto" w:sz="4" w:space="0"/>
              <w:bottom w:val="single" w:color="auto" w:sz="4" w:space="0"/>
              <w:right w:val="single" w:color="auto" w:sz="4" w:space="0"/>
            </w:tcBorders>
            <w:noWrap w:val="0"/>
            <w:vAlign w:val="center"/>
          </w:tcPr>
          <w:p w14:paraId="3AE95084">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时段</w:t>
            </w:r>
          </w:p>
        </w:tc>
        <w:tc>
          <w:tcPr>
            <w:tcW w:w="6089" w:type="dxa"/>
            <w:gridSpan w:val="5"/>
            <w:tcBorders>
              <w:top w:val="single" w:color="auto" w:sz="4" w:space="0"/>
              <w:left w:val="nil"/>
              <w:bottom w:val="single" w:color="auto" w:sz="4" w:space="0"/>
              <w:right w:val="single" w:color="auto" w:sz="4" w:space="0"/>
            </w:tcBorders>
            <w:noWrap w:val="0"/>
            <w:vAlign w:val="center"/>
          </w:tcPr>
          <w:p w14:paraId="636CBFF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设计洪水过程线（m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/s）</w:t>
            </w:r>
          </w:p>
        </w:tc>
      </w:tr>
      <w:tr w14:paraId="45049208">
        <w:tblPrEx>
          <w:tblCellMar>
            <w:top w:w="0" w:type="dxa"/>
            <w:left w:w="108" w:type="dxa"/>
            <w:bottom w:w="0" w:type="dxa"/>
            <w:right w:w="108" w:type="dxa"/>
          </w:tblCellMar>
        </w:tblPrEx>
        <w:trPr>
          <w:trHeight w:val="340" w:hRule="atLeast"/>
          <w:jc w:val="center"/>
        </w:trPr>
        <w:tc>
          <w:tcPr>
            <w:tcW w:w="3197" w:type="dxa"/>
            <w:vMerge w:val="continue"/>
            <w:tcBorders>
              <w:top w:val="single" w:color="auto" w:sz="4" w:space="0"/>
              <w:left w:val="single" w:color="auto" w:sz="4" w:space="0"/>
              <w:bottom w:val="single" w:color="auto" w:sz="4" w:space="0"/>
              <w:right w:val="single" w:color="auto" w:sz="4" w:space="0"/>
            </w:tcBorders>
            <w:noWrap w:val="0"/>
            <w:vAlign w:val="center"/>
          </w:tcPr>
          <w:p w14:paraId="30866DD3">
            <w:pPr>
              <w:widowControl/>
              <w:jc w:val="left"/>
              <w:rPr>
                <w:rFonts w:ascii="Times New Roman" w:hAnsi="Times New Roman" w:eastAsia="宋体" w:cs="Times New Roman"/>
                <w:sz w:val="21"/>
                <w:szCs w:val="21"/>
              </w:rPr>
            </w:pPr>
          </w:p>
        </w:tc>
        <w:tc>
          <w:tcPr>
            <w:tcW w:w="1289" w:type="dxa"/>
            <w:tcBorders>
              <w:top w:val="single" w:color="auto" w:sz="4" w:space="0"/>
              <w:left w:val="nil"/>
              <w:bottom w:val="single" w:color="auto" w:sz="4" w:space="0"/>
              <w:right w:val="single" w:color="auto" w:sz="4" w:space="0"/>
            </w:tcBorders>
            <w:noWrap w:val="0"/>
            <w:vAlign w:val="center"/>
          </w:tcPr>
          <w:p w14:paraId="699EBE16">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0.1%</w:t>
            </w:r>
          </w:p>
        </w:tc>
        <w:tc>
          <w:tcPr>
            <w:tcW w:w="1289" w:type="dxa"/>
            <w:tcBorders>
              <w:top w:val="single" w:color="auto" w:sz="4" w:space="0"/>
              <w:left w:val="nil"/>
              <w:bottom w:val="single" w:color="auto" w:sz="4" w:space="0"/>
              <w:right w:val="single" w:color="auto" w:sz="4" w:space="0"/>
            </w:tcBorders>
            <w:noWrap w:val="0"/>
            <w:vAlign w:val="center"/>
          </w:tcPr>
          <w:p w14:paraId="59AB62F0">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0.2%</w:t>
            </w:r>
          </w:p>
        </w:tc>
        <w:tc>
          <w:tcPr>
            <w:tcW w:w="1111" w:type="dxa"/>
            <w:tcBorders>
              <w:top w:val="single" w:color="auto" w:sz="4" w:space="0"/>
              <w:left w:val="nil"/>
              <w:bottom w:val="single" w:color="auto" w:sz="4" w:space="0"/>
              <w:right w:val="single" w:color="auto" w:sz="4" w:space="0"/>
            </w:tcBorders>
            <w:noWrap w:val="0"/>
            <w:vAlign w:val="center"/>
          </w:tcPr>
          <w:p w14:paraId="65C00D01">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1289" w:type="dxa"/>
            <w:tcBorders>
              <w:top w:val="single" w:color="auto" w:sz="4" w:space="0"/>
              <w:left w:val="nil"/>
              <w:bottom w:val="single" w:color="auto" w:sz="4" w:space="0"/>
              <w:right w:val="single" w:color="auto" w:sz="4" w:space="0"/>
            </w:tcBorders>
            <w:noWrap w:val="0"/>
            <w:vAlign w:val="center"/>
          </w:tcPr>
          <w:p w14:paraId="0AB9CA93">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3.33%</w:t>
            </w:r>
          </w:p>
        </w:tc>
        <w:tc>
          <w:tcPr>
            <w:tcW w:w="1111" w:type="dxa"/>
            <w:tcBorders>
              <w:top w:val="single" w:color="auto" w:sz="4" w:space="0"/>
              <w:left w:val="nil"/>
              <w:bottom w:val="single" w:color="auto" w:sz="4" w:space="0"/>
              <w:right w:val="single" w:color="auto" w:sz="4" w:space="0"/>
            </w:tcBorders>
            <w:noWrap w:val="0"/>
            <w:vAlign w:val="center"/>
          </w:tcPr>
          <w:p w14:paraId="4B0CCA3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w:t>
            </w:r>
          </w:p>
        </w:tc>
      </w:tr>
      <w:tr w14:paraId="45D8897B">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68E2A8DA">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0</w:t>
            </w:r>
          </w:p>
        </w:tc>
        <w:tc>
          <w:tcPr>
            <w:tcW w:w="1289" w:type="dxa"/>
            <w:tcBorders>
              <w:top w:val="single" w:color="auto" w:sz="4" w:space="0"/>
              <w:left w:val="nil"/>
              <w:bottom w:val="single" w:color="auto" w:sz="4" w:space="0"/>
              <w:right w:val="single" w:color="auto" w:sz="4" w:space="0"/>
            </w:tcBorders>
            <w:noWrap w:val="0"/>
            <w:vAlign w:val="center"/>
          </w:tcPr>
          <w:p w14:paraId="6C3919BF">
            <w:pPr>
              <w:widowControl/>
              <w:jc w:val="center"/>
              <w:rPr>
                <w:rFonts w:ascii="Times New Roman" w:hAnsi="Times New Roman" w:eastAsia="宋体" w:cs="Times New Roman"/>
                <w:kern w:val="0"/>
                <w:sz w:val="21"/>
                <w:szCs w:val="21"/>
              </w:rPr>
            </w:pPr>
            <w:r>
              <w:rPr>
                <w:rFonts w:ascii="Times New Roman" w:hAnsi="Times New Roman" w:eastAsia="宋体" w:cs="Times New Roman"/>
                <w:sz w:val="21"/>
                <w:szCs w:val="21"/>
              </w:rPr>
              <w:t>8.47</w:t>
            </w:r>
          </w:p>
        </w:tc>
        <w:tc>
          <w:tcPr>
            <w:tcW w:w="1289" w:type="dxa"/>
            <w:tcBorders>
              <w:top w:val="single" w:color="auto" w:sz="4" w:space="0"/>
              <w:left w:val="nil"/>
              <w:bottom w:val="single" w:color="auto" w:sz="4" w:space="0"/>
              <w:right w:val="single" w:color="auto" w:sz="4" w:space="0"/>
            </w:tcBorders>
            <w:noWrap w:val="0"/>
            <w:vAlign w:val="center"/>
          </w:tcPr>
          <w:p w14:paraId="2434B522">
            <w:pPr>
              <w:jc w:val="center"/>
              <w:rPr>
                <w:rFonts w:ascii="Times New Roman" w:hAnsi="Times New Roman" w:eastAsia="宋体" w:cs="Times New Roman"/>
                <w:sz w:val="21"/>
                <w:szCs w:val="21"/>
              </w:rPr>
            </w:pPr>
            <w:r>
              <w:rPr>
                <w:rFonts w:ascii="Times New Roman" w:hAnsi="Times New Roman" w:eastAsia="宋体" w:cs="Times New Roman"/>
                <w:sz w:val="21"/>
                <w:szCs w:val="21"/>
              </w:rPr>
              <w:t>7.32</w:t>
            </w:r>
          </w:p>
        </w:tc>
        <w:tc>
          <w:tcPr>
            <w:tcW w:w="1111" w:type="dxa"/>
            <w:tcBorders>
              <w:top w:val="single" w:color="auto" w:sz="4" w:space="0"/>
              <w:left w:val="nil"/>
              <w:bottom w:val="single" w:color="auto" w:sz="4" w:space="0"/>
              <w:right w:val="single" w:color="auto" w:sz="4" w:space="0"/>
            </w:tcBorders>
            <w:noWrap w:val="0"/>
            <w:vAlign w:val="center"/>
          </w:tcPr>
          <w:p w14:paraId="049BEE74">
            <w:pPr>
              <w:jc w:val="center"/>
              <w:rPr>
                <w:rFonts w:ascii="Times New Roman" w:hAnsi="Times New Roman" w:eastAsia="宋体" w:cs="Times New Roman"/>
                <w:sz w:val="21"/>
                <w:szCs w:val="21"/>
              </w:rPr>
            </w:pPr>
            <w:r>
              <w:rPr>
                <w:rFonts w:ascii="Times New Roman" w:hAnsi="Times New Roman" w:eastAsia="宋体" w:cs="Times New Roman"/>
                <w:sz w:val="21"/>
                <w:szCs w:val="21"/>
              </w:rPr>
              <w:t>6.17</w:t>
            </w:r>
          </w:p>
        </w:tc>
        <w:tc>
          <w:tcPr>
            <w:tcW w:w="1289" w:type="dxa"/>
            <w:tcBorders>
              <w:top w:val="single" w:color="auto" w:sz="4" w:space="0"/>
              <w:left w:val="nil"/>
              <w:bottom w:val="single" w:color="auto" w:sz="4" w:space="0"/>
              <w:right w:val="single" w:color="auto" w:sz="4" w:space="0"/>
            </w:tcBorders>
            <w:noWrap w:val="0"/>
            <w:vAlign w:val="center"/>
          </w:tcPr>
          <w:p w14:paraId="5F11DB71">
            <w:pPr>
              <w:jc w:val="center"/>
              <w:rPr>
                <w:rFonts w:ascii="Times New Roman" w:hAnsi="Times New Roman" w:eastAsia="宋体" w:cs="Times New Roman"/>
                <w:sz w:val="21"/>
                <w:szCs w:val="21"/>
              </w:rPr>
            </w:pPr>
            <w:r>
              <w:rPr>
                <w:rFonts w:ascii="Times New Roman" w:hAnsi="Times New Roman" w:eastAsia="宋体" w:cs="Times New Roman"/>
                <w:sz w:val="21"/>
                <w:szCs w:val="21"/>
              </w:rPr>
              <w:t>5.02</w:t>
            </w:r>
          </w:p>
        </w:tc>
        <w:tc>
          <w:tcPr>
            <w:tcW w:w="1111" w:type="dxa"/>
            <w:tcBorders>
              <w:top w:val="single" w:color="auto" w:sz="4" w:space="0"/>
              <w:left w:val="nil"/>
              <w:bottom w:val="single" w:color="auto" w:sz="4" w:space="0"/>
              <w:right w:val="single" w:color="auto" w:sz="4" w:space="0"/>
            </w:tcBorders>
            <w:noWrap w:val="0"/>
            <w:vAlign w:val="center"/>
          </w:tcPr>
          <w:p w14:paraId="4BBBFD9E">
            <w:pPr>
              <w:jc w:val="center"/>
              <w:rPr>
                <w:rFonts w:ascii="Times New Roman" w:hAnsi="Times New Roman" w:eastAsia="宋体" w:cs="Times New Roman"/>
                <w:sz w:val="21"/>
                <w:szCs w:val="21"/>
              </w:rPr>
            </w:pPr>
            <w:r>
              <w:rPr>
                <w:rFonts w:ascii="Times New Roman" w:hAnsi="Times New Roman" w:eastAsia="宋体" w:cs="Times New Roman"/>
                <w:sz w:val="21"/>
                <w:szCs w:val="21"/>
              </w:rPr>
              <w:t>4.87</w:t>
            </w:r>
          </w:p>
        </w:tc>
      </w:tr>
      <w:tr w14:paraId="541D5D54">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02699ED6">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1289" w:type="dxa"/>
            <w:tcBorders>
              <w:top w:val="single" w:color="auto" w:sz="4" w:space="0"/>
              <w:left w:val="nil"/>
              <w:bottom w:val="single" w:color="auto" w:sz="4" w:space="0"/>
              <w:right w:val="single" w:color="auto" w:sz="4" w:space="0"/>
            </w:tcBorders>
            <w:noWrap w:val="0"/>
            <w:vAlign w:val="center"/>
          </w:tcPr>
          <w:p w14:paraId="0225648F">
            <w:pPr>
              <w:jc w:val="center"/>
              <w:rPr>
                <w:rFonts w:ascii="Times New Roman" w:hAnsi="Times New Roman" w:eastAsia="宋体" w:cs="Times New Roman"/>
                <w:sz w:val="21"/>
                <w:szCs w:val="21"/>
              </w:rPr>
            </w:pPr>
            <w:r>
              <w:rPr>
                <w:rFonts w:ascii="Times New Roman" w:hAnsi="Times New Roman" w:eastAsia="宋体" w:cs="Times New Roman"/>
                <w:sz w:val="21"/>
                <w:szCs w:val="21"/>
              </w:rPr>
              <w:t>72.5</w:t>
            </w:r>
          </w:p>
        </w:tc>
        <w:tc>
          <w:tcPr>
            <w:tcW w:w="1289" w:type="dxa"/>
            <w:tcBorders>
              <w:top w:val="single" w:color="auto" w:sz="4" w:space="0"/>
              <w:left w:val="nil"/>
              <w:bottom w:val="single" w:color="auto" w:sz="4" w:space="0"/>
              <w:right w:val="single" w:color="auto" w:sz="4" w:space="0"/>
            </w:tcBorders>
            <w:noWrap w:val="0"/>
            <w:vAlign w:val="center"/>
          </w:tcPr>
          <w:p w14:paraId="29E7A140">
            <w:pPr>
              <w:jc w:val="center"/>
              <w:rPr>
                <w:rFonts w:ascii="Times New Roman" w:hAnsi="Times New Roman" w:eastAsia="宋体" w:cs="Times New Roman"/>
                <w:sz w:val="21"/>
                <w:szCs w:val="21"/>
              </w:rPr>
            </w:pPr>
            <w:r>
              <w:rPr>
                <w:rFonts w:ascii="Times New Roman" w:hAnsi="Times New Roman" w:eastAsia="宋体" w:cs="Times New Roman"/>
                <w:sz w:val="21"/>
                <w:szCs w:val="21"/>
              </w:rPr>
              <w:t>66.6</w:t>
            </w:r>
          </w:p>
        </w:tc>
        <w:tc>
          <w:tcPr>
            <w:tcW w:w="1111" w:type="dxa"/>
            <w:tcBorders>
              <w:top w:val="single" w:color="auto" w:sz="4" w:space="0"/>
              <w:left w:val="nil"/>
              <w:bottom w:val="single" w:color="auto" w:sz="4" w:space="0"/>
              <w:right w:val="single" w:color="auto" w:sz="4" w:space="0"/>
            </w:tcBorders>
            <w:noWrap w:val="0"/>
            <w:vAlign w:val="center"/>
          </w:tcPr>
          <w:p w14:paraId="5B5B8AF6">
            <w:pPr>
              <w:jc w:val="center"/>
              <w:rPr>
                <w:rFonts w:ascii="Times New Roman" w:hAnsi="Times New Roman" w:eastAsia="宋体" w:cs="Times New Roman"/>
                <w:sz w:val="21"/>
                <w:szCs w:val="21"/>
              </w:rPr>
            </w:pPr>
            <w:r>
              <w:rPr>
                <w:rFonts w:ascii="Times New Roman" w:hAnsi="Times New Roman" w:eastAsia="宋体" w:cs="Times New Roman"/>
                <w:sz w:val="21"/>
                <w:szCs w:val="21"/>
              </w:rPr>
              <w:t>53.4</w:t>
            </w:r>
          </w:p>
        </w:tc>
        <w:tc>
          <w:tcPr>
            <w:tcW w:w="1289" w:type="dxa"/>
            <w:tcBorders>
              <w:top w:val="single" w:color="auto" w:sz="4" w:space="0"/>
              <w:left w:val="nil"/>
              <w:bottom w:val="single" w:color="auto" w:sz="4" w:space="0"/>
              <w:right w:val="single" w:color="auto" w:sz="4" w:space="0"/>
            </w:tcBorders>
            <w:noWrap w:val="0"/>
            <w:vAlign w:val="center"/>
          </w:tcPr>
          <w:p w14:paraId="0E6F4729">
            <w:pPr>
              <w:jc w:val="center"/>
              <w:rPr>
                <w:rFonts w:ascii="Times New Roman" w:hAnsi="Times New Roman" w:eastAsia="宋体" w:cs="Times New Roman"/>
                <w:sz w:val="21"/>
                <w:szCs w:val="21"/>
              </w:rPr>
            </w:pPr>
            <w:r>
              <w:rPr>
                <w:rFonts w:ascii="Times New Roman" w:hAnsi="Times New Roman" w:eastAsia="宋体" w:cs="Times New Roman"/>
                <w:sz w:val="21"/>
                <w:szCs w:val="21"/>
              </w:rPr>
              <w:t>42.8</w:t>
            </w:r>
          </w:p>
        </w:tc>
        <w:tc>
          <w:tcPr>
            <w:tcW w:w="1111" w:type="dxa"/>
            <w:tcBorders>
              <w:top w:val="single" w:color="auto" w:sz="4" w:space="0"/>
              <w:left w:val="nil"/>
              <w:bottom w:val="single" w:color="auto" w:sz="4" w:space="0"/>
              <w:right w:val="single" w:color="auto" w:sz="4" w:space="0"/>
            </w:tcBorders>
            <w:noWrap w:val="0"/>
            <w:vAlign w:val="center"/>
          </w:tcPr>
          <w:p w14:paraId="29CBFD53">
            <w:pPr>
              <w:jc w:val="center"/>
              <w:rPr>
                <w:rFonts w:ascii="Times New Roman" w:hAnsi="Times New Roman" w:eastAsia="宋体" w:cs="Times New Roman"/>
                <w:sz w:val="21"/>
                <w:szCs w:val="21"/>
              </w:rPr>
            </w:pPr>
            <w:r>
              <w:rPr>
                <w:rFonts w:ascii="Times New Roman" w:hAnsi="Times New Roman" w:eastAsia="宋体" w:cs="Times New Roman"/>
                <w:sz w:val="21"/>
                <w:szCs w:val="21"/>
              </w:rPr>
              <w:t>40.5</w:t>
            </w:r>
          </w:p>
        </w:tc>
      </w:tr>
      <w:tr w14:paraId="7BBD8B16">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1ED7BF5E">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1289" w:type="dxa"/>
            <w:tcBorders>
              <w:top w:val="single" w:color="auto" w:sz="4" w:space="0"/>
              <w:left w:val="nil"/>
              <w:bottom w:val="single" w:color="auto" w:sz="4" w:space="0"/>
              <w:right w:val="single" w:color="auto" w:sz="4" w:space="0"/>
            </w:tcBorders>
            <w:noWrap w:val="0"/>
            <w:vAlign w:val="center"/>
          </w:tcPr>
          <w:p w14:paraId="36251EE9">
            <w:pPr>
              <w:jc w:val="center"/>
              <w:rPr>
                <w:rFonts w:ascii="Times New Roman" w:hAnsi="Times New Roman" w:eastAsia="宋体" w:cs="Times New Roman"/>
                <w:sz w:val="21"/>
                <w:szCs w:val="21"/>
              </w:rPr>
            </w:pPr>
            <w:r>
              <w:rPr>
                <w:rFonts w:ascii="Times New Roman" w:hAnsi="Times New Roman" w:eastAsia="宋体" w:cs="Times New Roman"/>
                <w:sz w:val="21"/>
                <w:szCs w:val="21"/>
              </w:rPr>
              <w:t>65.3</w:t>
            </w:r>
          </w:p>
        </w:tc>
        <w:tc>
          <w:tcPr>
            <w:tcW w:w="1289" w:type="dxa"/>
            <w:tcBorders>
              <w:top w:val="single" w:color="auto" w:sz="4" w:space="0"/>
              <w:left w:val="nil"/>
              <w:bottom w:val="single" w:color="auto" w:sz="4" w:space="0"/>
              <w:right w:val="single" w:color="auto" w:sz="4" w:space="0"/>
            </w:tcBorders>
            <w:noWrap w:val="0"/>
            <w:vAlign w:val="center"/>
          </w:tcPr>
          <w:p w14:paraId="1DD6164A">
            <w:pPr>
              <w:jc w:val="center"/>
              <w:rPr>
                <w:rFonts w:ascii="Times New Roman" w:hAnsi="Times New Roman" w:eastAsia="宋体" w:cs="Times New Roman"/>
                <w:sz w:val="21"/>
                <w:szCs w:val="21"/>
              </w:rPr>
            </w:pPr>
            <w:r>
              <w:rPr>
                <w:rFonts w:ascii="Times New Roman" w:hAnsi="Times New Roman" w:eastAsia="宋体" w:cs="Times New Roman"/>
                <w:sz w:val="21"/>
                <w:szCs w:val="21"/>
              </w:rPr>
              <w:t>60.6</w:t>
            </w:r>
          </w:p>
        </w:tc>
        <w:tc>
          <w:tcPr>
            <w:tcW w:w="1111" w:type="dxa"/>
            <w:tcBorders>
              <w:top w:val="single" w:color="auto" w:sz="4" w:space="0"/>
              <w:left w:val="nil"/>
              <w:bottom w:val="single" w:color="auto" w:sz="4" w:space="0"/>
              <w:right w:val="single" w:color="auto" w:sz="4" w:space="0"/>
            </w:tcBorders>
            <w:noWrap w:val="0"/>
            <w:vAlign w:val="center"/>
          </w:tcPr>
          <w:p w14:paraId="5F41B412">
            <w:pPr>
              <w:jc w:val="center"/>
              <w:rPr>
                <w:rFonts w:ascii="Times New Roman" w:hAnsi="Times New Roman" w:eastAsia="宋体" w:cs="Times New Roman"/>
                <w:sz w:val="21"/>
                <w:szCs w:val="21"/>
              </w:rPr>
            </w:pPr>
            <w:r>
              <w:rPr>
                <w:rFonts w:ascii="Times New Roman" w:hAnsi="Times New Roman" w:eastAsia="宋体" w:cs="Times New Roman"/>
                <w:sz w:val="21"/>
                <w:szCs w:val="21"/>
              </w:rPr>
              <w:t>48.1</w:t>
            </w:r>
          </w:p>
        </w:tc>
        <w:tc>
          <w:tcPr>
            <w:tcW w:w="1289" w:type="dxa"/>
            <w:tcBorders>
              <w:top w:val="single" w:color="auto" w:sz="4" w:space="0"/>
              <w:left w:val="nil"/>
              <w:bottom w:val="single" w:color="auto" w:sz="4" w:space="0"/>
              <w:right w:val="single" w:color="auto" w:sz="4" w:space="0"/>
            </w:tcBorders>
            <w:noWrap w:val="0"/>
            <w:vAlign w:val="center"/>
          </w:tcPr>
          <w:p w14:paraId="1941026F">
            <w:pPr>
              <w:jc w:val="center"/>
              <w:rPr>
                <w:rFonts w:ascii="Times New Roman" w:hAnsi="Times New Roman" w:eastAsia="宋体" w:cs="Times New Roman"/>
                <w:sz w:val="21"/>
                <w:szCs w:val="21"/>
              </w:rPr>
            </w:pPr>
            <w:r>
              <w:rPr>
                <w:rFonts w:ascii="Times New Roman" w:hAnsi="Times New Roman" w:eastAsia="宋体" w:cs="Times New Roman"/>
                <w:sz w:val="21"/>
                <w:szCs w:val="21"/>
              </w:rPr>
              <w:t>38.5</w:t>
            </w:r>
          </w:p>
        </w:tc>
        <w:tc>
          <w:tcPr>
            <w:tcW w:w="1111" w:type="dxa"/>
            <w:tcBorders>
              <w:top w:val="single" w:color="auto" w:sz="4" w:space="0"/>
              <w:left w:val="nil"/>
              <w:bottom w:val="single" w:color="auto" w:sz="4" w:space="0"/>
              <w:right w:val="single" w:color="auto" w:sz="4" w:space="0"/>
            </w:tcBorders>
            <w:noWrap w:val="0"/>
            <w:vAlign w:val="center"/>
          </w:tcPr>
          <w:p w14:paraId="31D9DDE1">
            <w:pPr>
              <w:jc w:val="center"/>
              <w:rPr>
                <w:rFonts w:ascii="Times New Roman" w:hAnsi="Times New Roman" w:eastAsia="宋体" w:cs="Times New Roman"/>
                <w:sz w:val="21"/>
                <w:szCs w:val="21"/>
              </w:rPr>
            </w:pPr>
            <w:r>
              <w:rPr>
                <w:rFonts w:ascii="Times New Roman" w:hAnsi="Times New Roman" w:eastAsia="宋体" w:cs="Times New Roman"/>
                <w:sz w:val="21"/>
                <w:szCs w:val="21"/>
              </w:rPr>
              <w:t>36.5</w:t>
            </w:r>
          </w:p>
        </w:tc>
      </w:tr>
      <w:tr w14:paraId="3426A82E">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12AEB8A8">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w:t>
            </w:r>
          </w:p>
        </w:tc>
        <w:tc>
          <w:tcPr>
            <w:tcW w:w="1289" w:type="dxa"/>
            <w:tcBorders>
              <w:top w:val="single" w:color="auto" w:sz="4" w:space="0"/>
              <w:left w:val="nil"/>
              <w:bottom w:val="single" w:color="auto" w:sz="4" w:space="0"/>
              <w:right w:val="single" w:color="auto" w:sz="4" w:space="0"/>
            </w:tcBorders>
            <w:noWrap w:val="0"/>
            <w:vAlign w:val="center"/>
          </w:tcPr>
          <w:p w14:paraId="4651210B">
            <w:pPr>
              <w:jc w:val="center"/>
              <w:rPr>
                <w:rFonts w:ascii="Times New Roman" w:hAnsi="Times New Roman" w:eastAsia="宋体" w:cs="Times New Roman"/>
                <w:sz w:val="21"/>
                <w:szCs w:val="21"/>
              </w:rPr>
            </w:pPr>
            <w:r>
              <w:rPr>
                <w:rFonts w:ascii="Times New Roman" w:hAnsi="Times New Roman" w:eastAsia="宋体" w:cs="Times New Roman"/>
                <w:sz w:val="21"/>
                <w:szCs w:val="21"/>
              </w:rPr>
              <w:t>58.7</w:t>
            </w:r>
          </w:p>
        </w:tc>
        <w:tc>
          <w:tcPr>
            <w:tcW w:w="1289" w:type="dxa"/>
            <w:tcBorders>
              <w:top w:val="single" w:color="auto" w:sz="4" w:space="0"/>
              <w:left w:val="nil"/>
              <w:bottom w:val="single" w:color="auto" w:sz="4" w:space="0"/>
              <w:right w:val="single" w:color="auto" w:sz="4" w:space="0"/>
            </w:tcBorders>
            <w:noWrap w:val="0"/>
            <w:vAlign w:val="center"/>
          </w:tcPr>
          <w:p w14:paraId="6F894A9A">
            <w:pPr>
              <w:jc w:val="center"/>
              <w:rPr>
                <w:rFonts w:ascii="Times New Roman" w:hAnsi="Times New Roman" w:eastAsia="宋体" w:cs="Times New Roman"/>
                <w:sz w:val="21"/>
                <w:szCs w:val="21"/>
              </w:rPr>
            </w:pPr>
            <w:r>
              <w:rPr>
                <w:rFonts w:ascii="Times New Roman" w:hAnsi="Times New Roman" w:eastAsia="宋体" w:cs="Times New Roman"/>
                <w:sz w:val="21"/>
                <w:szCs w:val="21"/>
              </w:rPr>
              <w:t>54.7</w:t>
            </w:r>
          </w:p>
        </w:tc>
        <w:tc>
          <w:tcPr>
            <w:tcW w:w="1111" w:type="dxa"/>
            <w:tcBorders>
              <w:top w:val="single" w:color="auto" w:sz="4" w:space="0"/>
              <w:left w:val="nil"/>
              <w:bottom w:val="single" w:color="auto" w:sz="4" w:space="0"/>
              <w:right w:val="single" w:color="auto" w:sz="4" w:space="0"/>
            </w:tcBorders>
            <w:noWrap w:val="0"/>
            <w:vAlign w:val="center"/>
          </w:tcPr>
          <w:p w14:paraId="015EC343">
            <w:pPr>
              <w:jc w:val="center"/>
              <w:rPr>
                <w:rFonts w:ascii="Times New Roman" w:hAnsi="Times New Roman" w:eastAsia="宋体" w:cs="Times New Roman"/>
                <w:sz w:val="21"/>
                <w:szCs w:val="21"/>
              </w:rPr>
            </w:pPr>
            <w:r>
              <w:rPr>
                <w:rFonts w:ascii="Times New Roman" w:hAnsi="Times New Roman" w:eastAsia="宋体" w:cs="Times New Roman"/>
                <w:sz w:val="21"/>
                <w:szCs w:val="21"/>
              </w:rPr>
              <w:t>43.3</w:t>
            </w:r>
          </w:p>
        </w:tc>
        <w:tc>
          <w:tcPr>
            <w:tcW w:w="1289" w:type="dxa"/>
            <w:tcBorders>
              <w:top w:val="single" w:color="auto" w:sz="4" w:space="0"/>
              <w:left w:val="nil"/>
              <w:bottom w:val="single" w:color="auto" w:sz="4" w:space="0"/>
              <w:right w:val="single" w:color="auto" w:sz="4" w:space="0"/>
            </w:tcBorders>
            <w:noWrap w:val="0"/>
            <w:vAlign w:val="center"/>
          </w:tcPr>
          <w:p w14:paraId="2CF1ABC4">
            <w:pPr>
              <w:jc w:val="center"/>
              <w:rPr>
                <w:rFonts w:ascii="Times New Roman" w:hAnsi="Times New Roman" w:eastAsia="宋体" w:cs="Times New Roman"/>
                <w:sz w:val="21"/>
                <w:szCs w:val="21"/>
              </w:rPr>
            </w:pPr>
            <w:r>
              <w:rPr>
                <w:rFonts w:ascii="Times New Roman" w:hAnsi="Times New Roman" w:eastAsia="宋体" w:cs="Times New Roman"/>
                <w:sz w:val="21"/>
                <w:szCs w:val="21"/>
              </w:rPr>
              <w:t>34.7</w:t>
            </w:r>
          </w:p>
        </w:tc>
        <w:tc>
          <w:tcPr>
            <w:tcW w:w="1111" w:type="dxa"/>
            <w:tcBorders>
              <w:top w:val="single" w:color="auto" w:sz="4" w:space="0"/>
              <w:left w:val="nil"/>
              <w:bottom w:val="single" w:color="auto" w:sz="4" w:space="0"/>
              <w:right w:val="single" w:color="auto" w:sz="4" w:space="0"/>
            </w:tcBorders>
            <w:noWrap w:val="0"/>
            <w:vAlign w:val="center"/>
          </w:tcPr>
          <w:p w14:paraId="0B81E14D">
            <w:pPr>
              <w:jc w:val="center"/>
              <w:rPr>
                <w:rFonts w:ascii="Times New Roman" w:hAnsi="Times New Roman" w:eastAsia="宋体" w:cs="Times New Roman"/>
                <w:sz w:val="21"/>
                <w:szCs w:val="21"/>
              </w:rPr>
            </w:pPr>
            <w:r>
              <w:rPr>
                <w:rFonts w:ascii="Times New Roman" w:hAnsi="Times New Roman" w:eastAsia="宋体" w:cs="Times New Roman"/>
                <w:sz w:val="21"/>
                <w:szCs w:val="21"/>
              </w:rPr>
              <w:t>32.8</w:t>
            </w:r>
          </w:p>
        </w:tc>
      </w:tr>
      <w:tr w14:paraId="14F21D2E">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1039540C">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w:t>
            </w:r>
          </w:p>
        </w:tc>
        <w:tc>
          <w:tcPr>
            <w:tcW w:w="1289" w:type="dxa"/>
            <w:tcBorders>
              <w:top w:val="single" w:color="auto" w:sz="4" w:space="0"/>
              <w:left w:val="nil"/>
              <w:bottom w:val="single" w:color="auto" w:sz="4" w:space="0"/>
              <w:right w:val="single" w:color="auto" w:sz="4" w:space="0"/>
            </w:tcBorders>
            <w:noWrap w:val="0"/>
            <w:vAlign w:val="center"/>
          </w:tcPr>
          <w:p w14:paraId="391A057D">
            <w:pPr>
              <w:jc w:val="center"/>
              <w:rPr>
                <w:rFonts w:ascii="Times New Roman" w:hAnsi="Times New Roman" w:eastAsia="宋体" w:cs="Times New Roman"/>
                <w:sz w:val="21"/>
                <w:szCs w:val="21"/>
              </w:rPr>
            </w:pPr>
            <w:r>
              <w:rPr>
                <w:rFonts w:ascii="Times New Roman" w:hAnsi="Times New Roman" w:eastAsia="宋体" w:cs="Times New Roman"/>
                <w:sz w:val="21"/>
                <w:szCs w:val="21"/>
              </w:rPr>
              <w:t>53.4</w:t>
            </w:r>
          </w:p>
        </w:tc>
        <w:tc>
          <w:tcPr>
            <w:tcW w:w="1289" w:type="dxa"/>
            <w:tcBorders>
              <w:top w:val="single" w:color="auto" w:sz="4" w:space="0"/>
              <w:left w:val="nil"/>
              <w:bottom w:val="single" w:color="auto" w:sz="4" w:space="0"/>
              <w:right w:val="single" w:color="auto" w:sz="4" w:space="0"/>
            </w:tcBorders>
            <w:noWrap w:val="0"/>
            <w:vAlign w:val="center"/>
          </w:tcPr>
          <w:p w14:paraId="65E6DB90">
            <w:pPr>
              <w:jc w:val="center"/>
              <w:rPr>
                <w:rFonts w:ascii="Times New Roman" w:hAnsi="Times New Roman" w:eastAsia="宋体" w:cs="Times New Roman"/>
                <w:sz w:val="21"/>
                <w:szCs w:val="21"/>
              </w:rPr>
            </w:pPr>
            <w:r>
              <w:rPr>
                <w:rFonts w:ascii="Times New Roman" w:hAnsi="Times New Roman" w:eastAsia="宋体" w:cs="Times New Roman"/>
                <w:sz w:val="21"/>
                <w:szCs w:val="21"/>
              </w:rPr>
              <w:t>50.1</w:t>
            </w:r>
          </w:p>
        </w:tc>
        <w:tc>
          <w:tcPr>
            <w:tcW w:w="1111" w:type="dxa"/>
            <w:tcBorders>
              <w:top w:val="single" w:color="auto" w:sz="4" w:space="0"/>
              <w:left w:val="nil"/>
              <w:bottom w:val="single" w:color="auto" w:sz="4" w:space="0"/>
              <w:right w:val="single" w:color="auto" w:sz="4" w:space="0"/>
            </w:tcBorders>
            <w:noWrap w:val="0"/>
            <w:vAlign w:val="center"/>
          </w:tcPr>
          <w:p w14:paraId="710FEA3B">
            <w:pPr>
              <w:jc w:val="center"/>
              <w:rPr>
                <w:rFonts w:ascii="Times New Roman" w:hAnsi="Times New Roman" w:eastAsia="宋体" w:cs="Times New Roman"/>
                <w:sz w:val="21"/>
                <w:szCs w:val="21"/>
              </w:rPr>
            </w:pPr>
            <w:r>
              <w:rPr>
                <w:rFonts w:ascii="Times New Roman" w:hAnsi="Times New Roman" w:eastAsia="宋体" w:cs="Times New Roman"/>
                <w:sz w:val="21"/>
                <w:szCs w:val="21"/>
              </w:rPr>
              <w:t>39.4</w:t>
            </w:r>
          </w:p>
        </w:tc>
        <w:tc>
          <w:tcPr>
            <w:tcW w:w="1289" w:type="dxa"/>
            <w:tcBorders>
              <w:top w:val="single" w:color="auto" w:sz="4" w:space="0"/>
              <w:left w:val="nil"/>
              <w:bottom w:val="single" w:color="auto" w:sz="4" w:space="0"/>
              <w:right w:val="single" w:color="auto" w:sz="4" w:space="0"/>
            </w:tcBorders>
            <w:noWrap w:val="0"/>
            <w:vAlign w:val="center"/>
          </w:tcPr>
          <w:p w14:paraId="7C6EFDD8">
            <w:pPr>
              <w:jc w:val="center"/>
              <w:rPr>
                <w:rFonts w:ascii="Times New Roman" w:hAnsi="Times New Roman" w:eastAsia="宋体" w:cs="Times New Roman"/>
                <w:sz w:val="21"/>
                <w:szCs w:val="21"/>
              </w:rPr>
            </w:pPr>
            <w:r>
              <w:rPr>
                <w:rFonts w:ascii="Times New Roman" w:hAnsi="Times New Roman" w:eastAsia="宋体" w:cs="Times New Roman"/>
                <w:sz w:val="21"/>
                <w:szCs w:val="21"/>
              </w:rPr>
              <w:t>31.6</w:t>
            </w:r>
          </w:p>
        </w:tc>
        <w:tc>
          <w:tcPr>
            <w:tcW w:w="1111" w:type="dxa"/>
            <w:tcBorders>
              <w:top w:val="single" w:color="auto" w:sz="4" w:space="0"/>
              <w:left w:val="nil"/>
              <w:bottom w:val="single" w:color="auto" w:sz="4" w:space="0"/>
              <w:right w:val="single" w:color="auto" w:sz="4" w:space="0"/>
            </w:tcBorders>
            <w:noWrap w:val="0"/>
            <w:vAlign w:val="center"/>
          </w:tcPr>
          <w:p w14:paraId="4031B6CE">
            <w:pPr>
              <w:jc w:val="center"/>
              <w:rPr>
                <w:rFonts w:ascii="Times New Roman" w:hAnsi="Times New Roman" w:eastAsia="宋体" w:cs="Times New Roman"/>
                <w:sz w:val="21"/>
                <w:szCs w:val="21"/>
              </w:rPr>
            </w:pPr>
            <w:r>
              <w:rPr>
                <w:rFonts w:ascii="Times New Roman" w:hAnsi="Times New Roman" w:eastAsia="宋体" w:cs="Times New Roman"/>
                <w:sz w:val="21"/>
                <w:szCs w:val="21"/>
              </w:rPr>
              <w:t>29.8</w:t>
            </w:r>
          </w:p>
        </w:tc>
      </w:tr>
      <w:tr w14:paraId="2EDC1464">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388D0D87">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w:t>
            </w:r>
          </w:p>
        </w:tc>
        <w:tc>
          <w:tcPr>
            <w:tcW w:w="1289" w:type="dxa"/>
            <w:tcBorders>
              <w:top w:val="single" w:color="auto" w:sz="4" w:space="0"/>
              <w:left w:val="nil"/>
              <w:bottom w:val="single" w:color="auto" w:sz="4" w:space="0"/>
              <w:right w:val="single" w:color="auto" w:sz="4" w:space="0"/>
            </w:tcBorders>
            <w:noWrap w:val="0"/>
            <w:vAlign w:val="center"/>
          </w:tcPr>
          <w:p w14:paraId="137EB07B">
            <w:pPr>
              <w:jc w:val="center"/>
              <w:rPr>
                <w:rFonts w:ascii="Times New Roman" w:hAnsi="Times New Roman" w:eastAsia="宋体" w:cs="Times New Roman"/>
                <w:sz w:val="21"/>
                <w:szCs w:val="21"/>
              </w:rPr>
            </w:pPr>
            <w:r>
              <w:rPr>
                <w:rFonts w:ascii="Times New Roman" w:hAnsi="Times New Roman" w:eastAsia="宋体" w:cs="Times New Roman"/>
                <w:sz w:val="21"/>
                <w:szCs w:val="21"/>
              </w:rPr>
              <w:t>49</w:t>
            </w:r>
          </w:p>
        </w:tc>
        <w:tc>
          <w:tcPr>
            <w:tcW w:w="1289" w:type="dxa"/>
            <w:tcBorders>
              <w:top w:val="single" w:color="auto" w:sz="4" w:space="0"/>
              <w:left w:val="nil"/>
              <w:bottom w:val="single" w:color="auto" w:sz="4" w:space="0"/>
              <w:right w:val="single" w:color="auto" w:sz="4" w:space="0"/>
            </w:tcBorders>
            <w:noWrap w:val="0"/>
            <w:vAlign w:val="center"/>
          </w:tcPr>
          <w:p w14:paraId="7E0C00D7">
            <w:pPr>
              <w:jc w:val="center"/>
              <w:rPr>
                <w:rFonts w:ascii="Times New Roman" w:hAnsi="Times New Roman" w:eastAsia="宋体" w:cs="Times New Roman"/>
                <w:sz w:val="21"/>
                <w:szCs w:val="21"/>
              </w:rPr>
            </w:pPr>
            <w:r>
              <w:rPr>
                <w:rFonts w:ascii="Times New Roman" w:hAnsi="Times New Roman" w:eastAsia="宋体" w:cs="Times New Roman"/>
                <w:sz w:val="21"/>
                <w:szCs w:val="21"/>
              </w:rPr>
              <w:t>45.9</w:t>
            </w:r>
          </w:p>
        </w:tc>
        <w:tc>
          <w:tcPr>
            <w:tcW w:w="1111" w:type="dxa"/>
            <w:tcBorders>
              <w:top w:val="single" w:color="auto" w:sz="4" w:space="0"/>
              <w:left w:val="nil"/>
              <w:bottom w:val="single" w:color="auto" w:sz="4" w:space="0"/>
              <w:right w:val="single" w:color="auto" w:sz="4" w:space="0"/>
            </w:tcBorders>
            <w:noWrap w:val="0"/>
            <w:vAlign w:val="center"/>
          </w:tcPr>
          <w:p w14:paraId="3216DBC9">
            <w:pPr>
              <w:jc w:val="center"/>
              <w:rPr>
                <w:rFonts w:ascii="Times New Roman" w:hAnsi="Times New Roman" w:eastAsia="宋体" w:cs="Times New Roman"/>
                <w:sz w:val="21"/>
                <w:szCs w:val="21"/>
              </w:rPr>
            </w:pPr>
            <w:r>
              <w:rPr>
                <w:rFonts w:ascii="Times New Roman" w:hAnsi="Times New Roman" w:eastAsia="宋体" w:cs="Times New Roman"/>
                <w:sz w:val="21"/>
                <w:szCs w:val="21"/>
              </w:rPr>
              <w:t>35.9</w:t>
            </w:r>
          </w:p>
        </w:tc>
        <w:tc>
          <w:tcPr>
            <w:tcW w:w="1289" w:type="dxa"/>
            <w:tcBorders>
              <w:top w:val="single" w:color="auto" w:sz="4" w:space="0"/>
              <w:left w:val="nil"/>
              <w:bottom w:val="single" w:color="auto" w:sz="4" w:space="0"/>
              <w:right w:val="single" w:color="auto" w:sz="4" w:space="0"/>
            </w:tcBorders>
            <w:noWrap w:val="0"/>
            <w:vAlign w:val="center"/>
          </w:tcPr>
          <w:p w14:paraId="2F5DC3A1">
            <w:pPr>
              <w:jc w:val="center"/>
              <w:rPr>
                <w:rFonts w:ascii="Times New Roman" w:hAnsi="Times New Roman" w:eastAsia="宋体" w:cs="Times New Roman"/>
                <w:sz w:val="21"/>
                <w:szCs w:val="21"/>
              </w:rPr>
            </w:pPr>
            <w:r>
              <w:rPr>
                <w:rFonts w:ascii="Times New Roman" w:hAnsi="Times New Roman" w:eastAsia="宋体" w:cs="Times New Roman"/>
                <w:sz w:val="21"/>
                <w:szCs w:val="21"/>
              </w:rPr>
              <w:t>28.8</w:t>
            </w:r>
          </w:p>
        </w:tc>
        <w:tc>
          <w:tcPr>
            <w:tcW w:w="1111" w:type="dxa"/>
            <w:tcBorders>
              <w:top w:val="single" w:color="auto" w:sz="4" w:space="0"/>
              <w:left w:val="nil"/>
              <w:bottom w:val="single" w:color="auto" w:sz="4" w:space="0"/>
              <w:right w:val="single" w:color="auto" w:sz="4" w:space="0"/>
            </w:tcBorders>
            <w:noWrap w:val="0"/>
            <w:vAlign w:val="center"/>
          </w:tcPr>
          <w:p w14:paraId="25719F54">
            <w:pPr>
              <w:jc w:val="center"/>
              <w:rPr>
                <w:rFonts w:ascii="Times New Roman" w:hAnsi="Times New Roman" w:eastAsia="宋体" w:cs="Times New Roman"/>
                <w:sz w:val="21"/>
                <w:szCs w:val="21"/>
              </w:rPr>
            </w:pPr>
            <w:r>
              <w:rPr>
                <w:rFonts w:ascii="Times New Roman" w:hAnsi="Times New Roman" w:eastAsia="宋体" w:cs="Times New Roman"/>
                <w:sz w:val="21"/>
                <w:szCs w:val="21"/>
              </w:rPr>
              <w:t>27.1</w:t>
            </w:r>
          </w:p>
        </w:tc>
      </w:tr>
      <w:tr w14:paraId="0EF76510">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2BA1174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w:t>
            </w:r>
          </w:p>
        </w:tc>
        <w:tc>
          <w:tcPr>
            <w:tcW w:w="1289" w:type="dxa"/>
            <w:tcBorders>
              <w:top w:val="single" w:color="auto" w:sz="4" w:space="0"/>
              <w:left w:val="nil"/>
              <w:bottom w:val="single" w:color="auto" w:sz="4" w:space="0"/>
              <w:right w:val="single" w:color="auto" w:sz="4" w:space="0"/>
            </w:tcBorders>
            <w:noWrap w:val="0"/>
            <w:vAlign w:val="center"/>
          </w:tcPr>
          <w:p w14:paraId="09EB2264">
            <w:pPr>
              <w:jc w:val="center"/>
              <w:rPr>
                <w:rFonts w:ascii="Times New Roman" w:hAnsi="Times New Roman" w:eastAsia="宋体" w:cs="Times New Roman"/>
                <w:sz w:val="21"/>
                <w:szCs w:val="21"/>
              </w:rPr>
            </w:pPr>
            <w:r>
              <w:rPr>
                <w:rFonts w:ascii="Times New Roman" w:hAnsi="Times New Roman" w:eastAsia="宋体" w:cs="Times New Roman"/>
                <w:sz w:val="21"/>
                <w:szCs w:val="21"/>
              </w:rPr>
              <w:t>44.8</w:t>
            </w:r>
          </w:p>
        </w:tc>
        <w:tc>
          <w:tcPr>
            <w:tcW w:w="1289" w:type="dxa"/>
            <w:tcBorders>
              <w:top w:val="single" w:color="auto" w:sz="4" w:space="0"/>
              <w:left w:val="nil"/>
              <w:bottom w:val="single" w:color="auto" w:sz="4" w:space="0"/>
              <w:right w:val="single" w:color="auto" w:sz="4" w:space="0"/>
            </w:tcBorders>
            <w:noWrap w:val="0"/>
            <w:vAlign w:val="center"/>
          </w:tcPr>
          <w:p w14:paraId="50FB6715">
            <w:pPr>
              <w:jc w:val="center"/>
              <w:rPr>
                <w:rFonts w:ascii="Times New Roman" w:hAnsi="Times New Roman" w:eastAsia="宋体" w:cs="Times New Roman"/>
                <w:sz w:val="21"/>
                <w:szCs w:val="21"/>
              </w:rPr>
            </w:pPr>
            <w:r>
              <w:rPr>
                <w:rFonts w:ascii="Times New Roman" w:hAnsi="Times New Roman" w:eastAsia="宋体" w:cs="Times New Roman"/>
                <w:sz w:val="21"/>
                <w:szCs w:val="21"/>
              </w:rPr>
              <w:t>42.1</w:t>
            </w:r>
          </w:p>
        </w:tc>
        <w:tc>
          <w:tcPr>
            <w:tcW w:w="1111" w:type="dxa"/>
            <w:tcBorders>
              <w:top w:val="single" w:color="auto" w:sz="4" w:space="0"/>
              <w:left w:val="nil"/>
              <w:bottom w:val="single" w:color="auto" w:sz="4" w:space="0"/>
              <w:right w:val="single" w:color="auto" w:sz="4" w:space="0"/>
            </w:tcBorders>
            <w:noWrap w:val="0"/>
            <w:vAlign w:val="center"/>
          </w:tcPr>
          <w:p w14:paraId="109FE374">
            <w:pPr>
              <w:jc w:val="center"/>
              <w:rPr>
                <w:rFonts w:ascii="Times New Roman" w:hAnsi="Times New Roman" w:eastAsia="宋体" w:cs="Times New Roman"/>
                <w:sz w:val="21"/>
                <w:szCs w:val="21"/>
              </w:rPr>
            </w:pPr>
            <w:r>
              <w:rPr>
                <w:rFonts w:ascii="Times New Roman" w:hAnsi="Times New Roman" w:eastAsia="宋体" w:cs="Times New Roman"/>
                <w:sz w:val="21"/>
                <w:szCs w:val="21"/>
              </w:rPr>
              <w:t>32.7</w:t>
            </w:r>
          </w:p>
        </w:tc>
        <w:tc>
          <w:tcPr>
            <w:tcW w:w="1289" w:type="dxa"/>
            <w:tcBorders>
              <w:top w:val="single" w:color="auto" w:sz="4" w:space="0"/>
              <w:left w:val="nil"/>
              <w:bottom w:val="single" w:color="auto" w:sz="4" w:space="0"/>
              <w:right w:val="single" w:color="auto" w:sz="4" w:space="0"/>
            </w:tcBorders>
            <w:noWrap w:val="0"/>
            <w:vAlign w:val="center"/>
          </w:tcPr>
          <w:p w14:paraId="66C4CAAF">
            <w:pPr>
              <w:jc w:val="center"/>
              <w:rPr>
                <w:rFonts w:ascii="Times New Roman" w:hAnsi="Times New Roman" w:eastAsia="宋体" w:cs="Times New Roman"/>
                <w:sz w:val="21"/>
                <w:szCs w:val="21"/>
              </w:rPr>
            </w:pPr>
            <w:r>
              <w:rPr>
                <w:rFonts w:ascii="Times New Roman" w:hAnsi="Times New Roman" w:eastAsia="宋体" w:cs="Times New Roman"/>
                <w:sz w:val="21"/>
                <w:szCs w:val="21"/>
              </w:rPr>
              <w:t>26.2</w:t>
            </w:r>
          </w:p>
        </w:tc>
        <w:tc>
          <w:tcPr>
            <w:tcW w:w="1111" w:type="dxa"/>
            <w:tcBorders>
              <w:top w:val="single" w:color="auto" w:sz="4" w:space="0"/>
              <w:left w:val="nil"/>
              <w:bottom w:val="single" w:color="auto" w:sz="4" w:space="0"/>
              <w:right w:val="single" w:color="auto" w:sz="4" w:space="0"/>
            </w:tcBorders>
            <w:noWrap w:val="0"/>
            <w:vAlign w:val="center"/>
          </w:tcPr>
          <w:p w14:paraId="6CAE18FD">
            <w:pPr>
              <w:jc w:val="center"/>
              <w:rPr>
                <w:rFonts w:ascii="Times New Roman" w:hAnsi="Times New Roman" w:eastAsia="宋体" w:cs="Times New Roman"/>
                <w:sz w:val="21"/>
                <w:szCs w:val="21"/>
              </w:rPr>
            </w:pPr>
            <w:r>
              <w:rPr>
                <w:rFonts w:ascii="Times New Roman" w:hAnsi="Times New Roman" w:eastAsia="宋体" w:cs="Times New Roman"/>
                <w:sz w:val="21"/>
                <w:szCs w:val="21"/>
              </w:rPr>
              <w:t>24.6</w:t>
            </w:r>
          </w:p>
        </w:tc>
      </w:tr>
      <w:tr w14:paraId="04F07630">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321EF31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w:t>
            </w:r>
          </w:p>
        </w:tc>
        <w:tc>
          <w:tcPr>
            <w:tcW w:w="1289" w:type="dxa"/>
            <w:tcBorders>
              <w:top w:val="single" w:color="auto" w:sz="4" w:space="0"/>
              <w:left w:val="nil"/>
              <w:bottom w:val="single" w:color="auto" w:sz="4" w:space="0"/>
              <w:right w:val="single" w:color="auto" w:sz="4" w:space="0"/>
            </w:tcBorders>
            <w:noWrap w:val="0"/>
            <w:vAlign w:val="center"/>
          </w:tcPr>
          <w:p w14:paraId="7F01B9B6">
            <w:pPr>
              <w:jc w:val="center"/>
              <w:rPr>
                <w:rFonts w:ascii="Times New Roman" w:hAnsi="Times New Roman" w:eastAsia="宋体" w:cs="Times New Roman"/>
                <w:sz w:val="21"/>
                <w:szCs w:val="21"/>
              </w:rPr>
            </w:pPr>
            <w:r>
              <w:rPr>
                <w:rFonts w:ascii="Times New Roman" w:hAnsi="Times New Roman" w:eastAsia="宋体" w:cs="Times New Roman"/>
                <w:sz w:val="21"/>
                <w:szCs w:val="21"/>
              </w:rPr>
              <w:t>41.1</w:t>
            </w:r>
          </w:p>
        </w:tc>
        <w:tc>
          <w:tcPr>
            <w:tcW w:w="1289" w:type="dxa"/>
            <w:tcBorders>
              <w:top w:val="single" w:color="auto" w:sz="4" w:space="0"/>
              <w:left w:val="nil"/>
              <w:bottom w:val="single" w:color="auto" w:sz="4" w:space="0"/>
              <w:right w:val="single" w:color="auto" w:sz="4" w:space="0"/>
            </w:tcBorders>
            <w:noWrap w:val="0"/>
            <w:vAlign w:val="center"/>
          </w:tcPr>
          <w:p w14:paraId="13A08368">
            <w:pPr>
              <w:jc w:val="center"/>
              <w:rPr>
                <w:rFonts w:ascii="Times New Roman" w:hAnsi="Times New Roman" w:eastAsia="宋体" w:cs="Times New Roman"/>
                <w:sz w:val="21"/>
                <w:szCs w:val="21"/>
              </w:rPr>
            </w:pPr>
            <w:r>
              <w:rPr>
                <w:rFonts w:ascii="Times New Roman" w:hAnsi="Times New Roman" w:eastAsia="宋体" w:cs="Times New Roman"/>
                <w:sz w:val="21"/>
                <w:szCs w:val="21"/>
              </w:rPr>
              <w:t>38.5</w:t>
            </w:r>
          </w:p>
        </w:tc>
        <w:tc>
          <w:tcPr>
            <w:tcW w:w="1111" w:type="dxa"/>
            <w:tcBorders>
              <w:top w:val="single" w:color="auto" w:sz="4" w:space="0"/>
              <w:left w:val="nil"/>
              <w:bottom w:val="single" w:color="auto" w:sz="4" w:space="0"/>
              <w:right w:val="single" w:color="auto" w:sz="4" w:space="0"/>
            </w:tcBorders>
            <w:noWrap w:val="0"/>
            <w:vAlign w:val="center"/>
          </w:tcPr>
          <w:p w14:paraId="2283EA54">
            <w:pPr>
              <w:jc w:val="center"/>
              <w:rPr>
                <w:rFonts w:ascii="Times New Roman" w:hAnsi="Times New Roman" w:eastAsia="宋体" w:cs="Times New Roman"/>
                <w:sz w:val="21"/>
                <w:szCs w:val="21"/>
              </w:rPr>
            </w:pPr>
            <w:r>
              <w:rPr>
                <w:rFonts w:ascii="Times New Roman" w:hAnsi="Times New Roman" w:eastAsia="宋体" w:cs="Times New Roman"/>
                <w:sz w:val="21"/>
                <w:szCs w:val="21"/>
              </w:rPr>
              <w:t>29.8</w:t>
            </w:r>
          </w:p>
        </w:tc>
        <w:tc>
          <w:tcPr>
            <w:tcW w:w="1289" w:type="dxa"/>
            <w:tcBorders>
              <w:top w:val="single" w:color="auto" w:sz="4" w:space="0"/>
              <w:left w:val="nil"/>
              <w:bottom w:val="single" w:color="auto" w:sz="4" w:space="0"/>
              <w:right w:val="single" w:color="auto" w:sz="4" w:space="0"/>
            </w:tcBorders>
            <w:noWrap w:val="0"/>
            <w:vAlign w:val="center"/>
          </w:tcPr>
          <w:p w14:paraId="076A0B93">
            <w:pPr>
              <w:jc w:val="center"/>
              <w:rPr>
                <w:rFonts w:ascii="Times New Roman" w:hAnsi="Times New Roman" w:eastAsia="宋体" w:cs="Times New Roman"/>
                <w:sz w:val="21"/>
                <w:szCs w:val="21"/>
              </w:rPr>
            </w:pPr>
            <w:r>
              <w:rPr>
                <w:rFonts w:ascii="Times New Roman" w:hAnsi="Times New Roman" w:eastAsia="宋体" w:cs="Times New Roman"/>
                <w:sz w:val="21"/>
                <w:szCs w:val="21"/>
              </w:rPr>
              <w:t>23.9</w:t>
            </w:r>
          </w:p>
        </w:tc>
        <w:tc>
          <w:tcPr>
            <w:tcW w:w="1111" w:type="dxa"/>
            <w:tcBorders>
              <w:top w:val="single" w:color="auto" w:sz="4" w:space="0"/>
              <w:left w:val="nil"/>
              <w:bottom w:val="single" w:color="auto" w:sz="4" w:space="0"/>
              <w:right w:val="single" w:color="auto" w:sz="4" w:space="0"/>
            </w:tcBorders>
            <w:noWrap w:val="0"/>
            <w:vAlign w:val="center"/>
          </w:tcPr>
          <w:p w14:paraId="3CD18DB5">
            <w:pPr>
              <w:jc w:val="center"/>
              <w:rPr>
                <w:rFonts w:ascii="Times New Roman" w:hAnsi="Times New Roman" w:eastAsia="宋体" w:cs="Times New Roman"/>
                <w:sz w:val="21"/>
                <w:szCs w:val="21"/>
              </w:rPr>
            </w:pPr>
            <w:r>
              <w:rPr>
                <w:rFonts w:ascii="Times New Roman" w:hAnsi="Times New Roman" w:eastAsia="宋体" w:cs="Times New Roman"/>
                <w:sz w:val="21"/>
                <w:szCs w:val="21"/>
              </w:rPr>
              <w:t>22.3</w:t>
            </w:r>
          </w:p>
        </w:tc>
      </w:tr>
      <w:tr w14:paraId="15A30AEF">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189B6A87">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w:t>
            </w:r>
          </w:p>
        </w:tc>
        <w:tc>
          <w:tcPr>
            <w:tcW w:w="1289" w:type="dxa"/>
            <w:tcBorders>
              <w:top w:val="single" w:color="auto" w:sz="4" w:space="0"/>
              <w:left w:val="nil"/>
              <w:bottom w:val="single" w:color="auto" w:sz="4" w:space="0"/>
              <w:right w:val="single" w:color="auto" w:sz="4" w:space="0"/>
            </w:tcBorders>
            <w:noWrap w:val="0"/>
            <w:vAlign w:val="center"/>
          </w:tcPr>
          <w:p w14:paraId="3CA9F336">
            <w:pPr>
              <w:jc w:val="center"/>
              <w:rPr>
                <w:rFonts w:ascii="Times New Roman" w:hAnsi="Times New Roman" w:eastAsia="宋体" w:cs="Times New Roman"/>
                <w:sz w:val="21"/>
                <w:szCs w:val="21"/>
              </w:rPr>
            </w:pPr>
            <w:r>
              <w:rPr>
                <w:rFonts w:ascii="Times New Roman" w:hAnsi="Times New Roman" w:eastAsia="宋体" w:cs="Times New Roman"/>
                <w:sz w:val="21"/>
                <w:szCs w:val="21"/>
              </w:rPr>
              <w:t>37.6</w:t>
            </w:r>
          </w:p>
        </w:tc>
        <w:tc>
          <w:tcPr>
            <w:tcW w:w="1289" w:type="dxa"/>
            <w:tcBorders>
              <w:top w:val="single" w:color="auto" w:sz="4" w:space="0"/>
              <w:left w:val="nil"/>
              <w:bottom w:val="single" w:color="auto" w:sz="4" w:space="0"/>
              <w:right w:val="single" w:color="auto" w:sz="4" w:space="0"/>
            </w:tcBorders>
            <w:noWrap w:val="0"/>
            <w:vAlign w:val="center"/>
          </w:tcPr>
          <w:p w14:paraId="45133AAC">
            <w:pPr>
              <w:jc w:val="center"/>
              <w:rPr>
                <w:rFonts w:ascii="Times New Roman" w:hAnsi="Times New Roman" w:eastAsia="宋体" w:cs="Times New Roman"/>
                <w:sz w:val="21"/>
                <w:szCs w:val="21"/>
              </w:rPr>
            </w:pPr>
            <w:r>
              <w:rPr>
                <w:rFonts w:ascii="Times New Roman" w:hAnsi="Times New Roman" w:eastAsia="宋体" w:cs="Times New Roman"/>
                <w:sz w:val="21"/>
                <w:szCs w:val="21"/>
              </w:rPr>
              <w:t>35.3</w:t>
            </w:r>
          </w:p>
        </w:tc>
        <w:tc>
          <w:tcPr>
            <w:tcW w:w="1111" w:type="dxa"/>
            <w:tcBorders>
              <w:top w:val="single" w:color="auto" w:sz="4" w:space="0"/>
              <w:left w:val="nil"/>
              <w:bottom w:val="single" w:color="auto" w:sz="4" w:space="0"/>
              <w:right w:val="single" w:color="auto" w:sz="4" w:space="0"/>
            </w:tcBorders>
            <w:noWrap w:val="0"/>
            <w:vAlign w:val="center"/>
          </w:tcPr>
          <w:p w14:paraId="178724D8">
            <w:pPr>
              <w:jc w:val="center"/>
              <w:rPr>
                <w:rFonts w:ascii="Times New Roman" w:hAnsi="Times New Roman" w:eastAsia="宋体" w:cs="Times New Roman"/>
                <w:sz w:val="21"/>
                <w:szCs w:val="21"/>
              </w:rPr>
            </w:pPr>
            <w:r>
              <w:rPr>
                <w:rFonts w:ascii="Times New Roman" w:hAnsi="Times New Roman" w:eastAsia="宋体" w:cs="Times New Roman"/>
                <w:sz w:val="21"/>
                <w:szCs w:val="21"/>
              </w:rPr>
              <w:t>27.1</w:t>
            </w:r>
          </w:p>
        </w:tc>
        <w:tc>
          <w:tcPr>
            <w:tcW w:w="1289" w:type="dxa"/>
            <w:tcBorders>
              <w:top w:val="single" w:color="auto" w:sz="4" w:space="0"/>
              <w:left w:val="nil"/>
              <w:bottom w:val="single" w:color="auto" w:sz="4" w:space="0"/>
              <w:right w:val="single" w:color="auto" w:sz="4" w:space="0"/>
            </w:tcBorders>
            <w:noWrap w:val="0"/>
            <w:vAlign w:val="center"/>
          </w:tcPr>
          <w:p w14:paraId="5649A1C4">
            <w:pPr>
              <w:jc w:val="center"/>
              <w:rPr>
                <w:rFonts w:ascii="Times New Roman" w:hAnsi="Times New Roman" w:eastAsia="宋体" w:cs="Times New Roman"/>
                <w:sz w:val="21"/>
                <w:szCs w:val="21"/>
              </w:rPr>
            </w:pPr>
            <w:r>
              <w:rPr>
                <w:rFonts w:ascii="Times New Roman" w:hAnsi="Times New Roman" w:eastAsia="宋体" w:cs="Times New Roman"/>
                <w:sz w:val="21"/>
                <w:szCs w:val="21"/>
              </w:rPr>
              <w:t>21.7</w:t>
            </w:r>
          </w:p>
        </w:tc>
        <w:tc>
          <w:tcPr>
            <w:tcW w:w="1111" w:type="dxa"/>
            <w:tcBorders>
              <w:top w:val="single" w:color="auto" w:sz="4" w:space="0"/>
              <w:left w:val="nil"/>
              <w:bottom w:val="single" w:color="auto" w:sz="4" w:space="0"/>
              <w:right w:val="single" w:color="auto" w:sz="4" w:space="0"/>
            </w:tcBorders>
            <w:noWrap w:val="0"/>
            <w:vAlign w:val="center"/>
          </w:tcPr>
          <w:p w14:paraId="3976DA37">
            <w:pPr>
              <w:jc w:val="center"/>
              <w:rPr>
                <w:rFonts w:ascii="Times New Roman" w:hAnsi="Times New Roman" w:eastAsia="宋体" w:cs="Times New Roman"/>
                <w:sz w:val="21"/>
                <w:szCs w:val="21"/>
              </w:rPr>
            </w:pPr>
            <w:r>
              <w:rPr>
                <w:rFonts w:ascii="Times New Roman" w:hAnsi="Times New Roman" w:eastAsia="宋体" w:cs="Times New Roman"/>
                <w:sz w:val="21"/>
                <w:szCs w:val="21"/>
              </w:rPr>
              <w:t>20.3</w:t>
            </w:r>
          </w:p>
        </w:tc>
      </w:tr>
      <w:tr w14:paraId="79729573">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6E98829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w:t>
            </w:r>
          </w:p>
        </w:tc>
        <w:tc>
          <w:tcPr>
            <w:tcW w:w="1289" w:type="dxa"/>
            <w:tcBorders>
              <w:top w:val="single" w:color="auto" w:sz="4" w:space="0"/>
              <w:left w:val="nil"/>
              <w:bottom w:val="single" w:color="auto" w:sz="4" w:space="0"/>
              <w:right w:val="single" w:color="auto" w:sz="4" w:space="0"/>
            </w:tcBorders>
            <w:noWrap w:val="0"/>
            <w:vAlign w:val="center"/>
          </w:tcPr>
          <w:p w14:paraId="52C32E99">
            <w:pPr>
              <w:jc w:val="center"/>
              <w:rPr>
                <w:rFonts w:ascii="Times New Roman" w:hAnsi="Times New Roman" w:eastAsia="宋体" w:cs="Times New Roman"/>
                <w:sz w:val="21"/>
                <w:szCs w:val="21"/>
              </w:rPr>
            </w:pPr>
            <w:r>
              <w:rPr>
                <w:rFonts w:ascii="Times New Roman" w:hAnsi="Times New Roman" w:eastAsia="宋体" w:cs="Times New Roman"/>
                <w:sz w:val="21"/>
                <w:szCs w:val="21"/>
              </w:rPr>
              <w:t>34.5</w:t>
            </w:r>
          </w:p>
        </w:tc>
        <w:tc>
          <w:tcPr>
            <w:tcW w:w="1289" w:type="dxa"/>
            <w:tcBorders>
              <w:top w:val="single" w:color="auto" w:sz="4" w:space="0"/>
              <w:left w:val="nil"/>
              <w:bottom w:val="single" w:color="auto" w:sz="4" w:space="0"/>
              <w:right w:val="single" w:color="auto" w:sz="4" w:space="0"/>
            </w:tcBorders>
            <w:noWrap w:val="0"/>
            <w:vAlign w:val="center"/>
          </w:tcPr>
          <w:p w14:paraId="6870E38A">
            <w:pPr>
              <w:jc w:val="center"/>
              <w:rPr>
                <w:rFonts w:ascii="Times New Roman" w:hAnsi="Times New Roman" w:eastAsia="宋体" w:cs="Times New Roman"/>
                <w:sz w:val="21"/>
                <w:szCs w:val="21"/>
              </w:rPr>
            </w:pPr>
            <w:r>
              <w:rPr>
                <w:rFonts w:ascii="Times New Roman" w:hAnsi="Times New Roman" w:eastAsia="宋体" w:cs="Times New Roman"/>
                <w:sz w:val="21"/>
                <w:szCs w:val="21"/>
              </w:rPr>
              <w:t>32.3</w:t>
            </w:r>
          </w:p>
        </w:tc>
        <w:tc>
          <w:tcPr>
            <w:tcW w:w="1111" w:type="dxa"/>
            <w:tcBorders>
              <w:top w:val="single" w:color="auto" w:sz="4" w:space="0"/>
              <w:left w:val="nil"/>
              <w:bottom w:val="single" w:color="auto" w:sz="4" w:space="0"/>
              <w:right w:val="single" w:color="auto" w:sz="4" w:space="0"/>
            </w:tcBorders>
            <w:noWrap w:val="0"/>
            <w:vAlign w:val="center"/>
          </w:tcPr>
          <w:p w14:paraId="1D930459">
            <w:pPr>
              <w:jc w:val="center"/>
              <w:rPr>
                <w:rFonts w:ascii="Times New Roman" w:hAnsi="Times New Roman" w:eastAsia="宋体" w:cs="Times New Roman"/>
                <w:sz w:val="21"/>
                <w:szCs w:val="21"/>
              </w:rPr>
            </w:pPr>
            <w:r>
              <w:rPr>
                <w:rFonts w:ascii="Times New Roman" w:hAnsi="Times New Roman" w:eastAsia="宋体" w:cs="Times New Roman"/>
                <w:sz w:val="21"/>
                <w:szCs w:val="21"/>
              </w:rPr>
              <w:t>24.7</w:t>
            </w:r>
          </w:p>
        </w:tc>
        <w:tc>
          <w:tcPr>
            <w:tcW w:w="1289" w:type="dxa"/>
            <w:tcBorders>
              <w:top w:val="single" w:color="auto" w:sz="4" w:space="0"/>
              <w:left w:val="nil"/>
              <w:bottom w:val="single" w:color="auto" w:sz="4" w:space="0"/>
              <w:right w:val="single" w:color="auto" w:sz="4" w:space="0"/>
            </w:tcBorders>
            <w:noWrap w:val="0"/>
            <w:vAlign w:val="center"/>
          </w:tcPr>
          <w:p w14:paraId="4E9E07C3">
            <w:pPr>
              <w:jc w:val="center"/>
              <w:rPr>
                <w:rFonts w:ascii="Times New Roman" w:hAnsi="Times New Roman" w:eastAsia="宋体" w:cs="Times New Roman"/>
                <w:sz w:val="21"/>
                <w:szCs w:val="21"/>
              </w:rPr>
            </w:pPr>
            <w:r>
              <w:rPr>
                <w:rFonts w:ascii="Times New Roman" w:hAnsi="Times New Roman" w:eastAsia="宋体" w:cs="Times New Roman"/>
                <w:sz w:val="21"/>
                <w:szCs w:val="21"/>
              </w:rPr>
              <w:t>19.8</w:t>
            </w:r>
          </w:p>
        </w:tc>
        <w:tc>
          <w:tcPr>
            <w:tcW w:w="1111" w:type="dxa"/>
            <w:tcBorders>
              <w:top w:val="single" w:color="auto" w:sz="4" w:space="0"/>
              <w:left w:val="nil"/>
              <w:bottom w:val="single" w:color="auto" w:sz="4" w:space="0"/>
              <w:right w:val="single" w:color="auto" w:sz="4" w:space="0"/>
            </w:tcBorders>
            <w:noWrap w:val="0"/>
            <w:vAlign w:val="center"/>
          </w:tcPr>
          <w:p w14:paraId="0EF95C3F">
            <w:pPr>
              <w:jc w:val="center"/>
              <w:rPr>
                <w:rFonts w:ascii="Times New Roman" w:hAnsi="Times New Roman" w:eastAsia="宋体" w:cs="Times New Roman"/>
                <w:sz w:val="21"/>
                <w:szCs w:val="21"/>
              </w:rPr>
            </w:pPr>
            <w:r>
              <w:rPr>
                <w:rFonts w:ascii="Times New Roman" w:hAnsi="Times New Roman" w:eastAsia="宋体" w:cs="Times New Roman"/>
                <w:sz w:val="21"/>
                <w:szCs w:val="21"/>
              </w:rPr>
              <w:t>18.4</w:t>
            </w:r>
          </w:p>
        </w:tc>
      </w:tr>
      <w:tr w14:paraId="4466B913">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4495DEC3">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w:t>
            </w:r>
          </w:p>
        </w:tc>
        <w:tc>
          <w:tcPr>
            <w:tcW w:w="1289" w:type="dxa"/>
            <w:tcBorders>
              <w:top w:val="single" w:color="auto" w:sz="4" w:space="0"/>
              <w:left w:val="nil"/>
              <w:bottom w:val="single" w:color="auto" w:sz="4" w:space="0"/>
              <w:right w:val="single" w:color="auto" w:sz="4" w:space="0"/>
            </w:tcBorders>
            <w:noWrap w:val="0"/>
            <w:vAlign w:val="center"/>
          </w:tcPr>
          <w:p w14:paraId="23CC3AC2">
            <w:pPr>
              <w:jc w:val="center"/>
              <w:rPr>
                <w:rFonts w:ascii="Times New Roman" w:hAnsi="Times New Roman" w:eastAsia="宋体" w:cs="Times New Roman"/>
                <w:sz w:val="21"/>
                <w:szCs w:val="21"/>
              </w:rPr>
            </w:pPr>
            <w:r>
              <w:rPr>
                <w:rFonts w:ascii="Times New Roman" w:hAnsi="Times New Roman" w:eastAsia="宋体" w:cs="Times New Roman"/>
                <w:sz w:val="21"/>
                <w:szCs w:val="21"/>
              </w:rPr>
              <w:t>31.6</w:t>
            </w:r>
          </w:p>
        </w:tc>
        <w:tc>
          <w:tcPr>
            <w:tcW w:w="1289" w:type="dxa"/>
            <w:tcBorders>
              <w:top w:val="single" w:color="auto" w:sz="4" w:space="0"/>
              <w:left w:val="nil"/>
              <w:bottom w:val="single" w:color="auto" w:sz="4" w:space="0"/>
              <w:right w:val="single" w:color="auto" w:sz="4" w:space="0"/>
            </w:tcBorders>
            <w:noWrap w:val="0"/>
            <w:vAlign w:val="center"/>
          </w:tcPr>
          <w:p w14:paraId="471A1F6B">
            <w:pPr>
              <w:jc w:val="center"/>
              <w:rPr>
                <w:rFonts w:ascii="Times New Roman" w:hAnsi="Times New Roman" w:eastAsia="宋体" w:cs="Times New Roman"/>
                <w:sz w:val="21"/>
                <w:szCs w:val="21"/>
              </w:rPr>
            </w:pPr>
            <w:r>
              <w:rPr>
                <w:rFonts w:ascii="Times New Roman" w:hAnsi="Times New Roman" w:eastAsia="宋体" w:cs="Times New Roman"/>
                <w:sz w:val="21"/>
                <w:szCs w:val="21"/>
              </w:rPr>
              <w:t>29.6</w:t>
            </w:r>
          </w:p>
        </w:tc>
        <w:tc>
          <w:tcPr>
            <w:tcW w:w="1111" w:type="dxa"/>
            <w:tcBorders>
              <w:top w:val="single" w:color="auto" w:sz="4" w:space="0"/>
              <w:left w:val="nil"/>
              <w:bottom w:val="single" w:color="auto" w:sz="4" w:space="0"/>
              <w:right w:val="single" w:color="auto" w:sz="4" w:space="0"/>
            </w:tcBorders>
            <w:noWrap w:val="0"/>
            <w:vAlign w:val="center"/>
          </w:tcPr>
          <w:p w14:paraId="4CB81F87">
            <w:pPr>
              <w:jc w:val="center"/>
              <w:rPr>
                <w:rFonts w:ascii="Times New Roman" w:hAnsi="Times New Roman" w:eastAsia="宋体" w:cs="Times New Roman"/>
                <w:sz w:val="21"/>
                <w:szCs w:val="21"/>
              </w:rPr>
            </w:pPr>
            <w:r>
              <w:rPr>
                <w:rFonts w:ascii="Times New Roman" w:hAnsi="Times New Roman" w:eastAsia="宋体" w:cs="Times New Roman"/>
                <w:sz w:val="21"/>
                <w:szCs w:val="21"/>
              </w:rPr>
              <w:t>22.5</w:t>
            </w:r>
          </w:p>
        </w:tc>
        <w:tc>
          <w:tcPr>
            <w:tcW w:w="1289" w:type="dxa"/>
            <w:tcBorders>
              <w:top w:val="single" w:color="auto" w:sz="4" w:space="0"/>
              <w:left w:val="nil"/>
              <w:bottom w:val="single" w:color="auto" w:sz="4" w:space="0"/>
              <w:right w:val="single" w:color="auto" w:sz="4" w:space="0"/>
            </w:tcBorders>
            <w:noWrap w:val="0"/>
            <w:vAlign w:val="center"/>
          </w:tcPr>
          <w:p w14:paraId="1B5C174F">
            <w:pPr>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1111" w:type="dxa"/>
            <w:tcBorders>
              <w:top w:val="single" w:color="auto" w:sz="4" w:space="0"/>
              <w:left w:val="nil"/>
              <w:bottom w:val="single" w:color="auto" w:sz="4" w:space="0"/>
              <w:right w:val="single" w:color="auto" w:sz="4" w:space="0"/>
            </w:tcBorders>
            <w:noWrap w:val="0"/>
            <w:vAlign w:val="center"/>
          </w:tcPr>
          <w:p w14:paraId="1FB0C45E">
            <w:pPr>
              <w:jc w:val="center"/>
              <w:rPr>
                <w:rFonts w:ascii="Times New Roman" w:hAnsi="Times New Roman" w:eastAsia="宋体" w:cs="Times New Roman"/>
                <w:sz w:val="21"/>
                <w:szCs w:val="21"/>
              </w:rPr>
            </w:pPr>
            <w:r>
              <w:rPr>
                <w:rFonts w:ascii="Times New Roman" w:hAnsi="Times New Roman" w:eastAsia="宋体" w:cs="Times New Roman"/>
                <w:sz w:val="21"/>
                <w:szCs w:val="21"/>
              </w:rPr>
              <w:t>16.7</w:t>
            </w:r>
          </w:p>
        </w:tc>
      </w:tr>
      <w:tr w14:paraId="16CA8EA4">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14669CB7">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w:t>
            </w:r>
          </w:p>
        </w:tc>
        <w:tc>
          <w:tcPr>
            <w:tcW w:w="1289" w:type="dxa"/>
            <w:tcBorders>
              <w:top w:val="single" w:color="auto" w:sz="4" w:space="0"/>
              <w:left w:val="nil"/>
              <w:bottom w:val="single" w:color="auto" w:sz="4" w:space="0"/>
              <w:right w:val="single" w:color="auto" w:sz="4" w:space="0"/>
            </w:tcBorders>
            <w:noWrap w:val="0"/>
            <w:vAlign w:val="center"/>
          </w:tcPr>
          <w:p w14:paraId="3CAC7EF6">
            <w:pPr>
              <w:jc w:val="center"/>
              <w:rPr>
                <w:rFonts w:ascii="Times New Roman" w:hAnsi="Times New Roman" w:eastAsia="宋体" w:cs="Times New Roman"/>
                <w:sz w:val="21"/>
                <w:szCs w:val="21"/>
              </w:rPr>
            </w:pPr>
            <w:r>
              <w:rPr>
                <w:rFonts w:ascii="Times New Roman" w:hAnsi="Times New Roman" w:eastAsia="宋体" w:cs="Times New Roman"/>
                <w:sz w:val="21"/>
                <w:szCs w:val="21"/>
              </w:rPr>
              <w:t>28.9</w:t>
            </w:r>
          </w:p>
        </w:tc>
        <w:tc>
          <w:tcPr>
            <w:tcW w:w="1289" w:type="dxa"/>
            <w:tcBorders>
              <w:top w:val="single" w:color="auto" w:sz="4" w:space="0"/>
              <w:left w:val="nil"/>
              <w:bottom w:val="single" w:color="auto" w:sz="4" w:space="0"/>
              <w:right w:val="single" w:color="auto" w:sz="4" w:space="0"/>
            </w:tcBorders>
            <w:noWrap w:val="0"/>
            <w:vAlign w:val="center"/>
          </w:tcPr>
          <w:p w14:paraId="69092CAB">
            <w:pPr>
              <w:jc w:val="center"/>
              <w:rPr>
                <w:rFonts w:ascii="Times New Roman" w:hAnsi="Times New Roman" w:eastAsia="宋体" w:cs="Times New Roman"/>
                <w:sz w:val="21"/>
                <w:szCs w:val="21"/>
              </w:rPr>
            </w:pPr>
            <w:r>
              <w:rPr>
                <w:rFonts w:ascii="Times New Roman" w:hAnsi="Times New Roman" w:eastAsia="宋体" w:cs="Times New Roman"/>
                <w:sz w:val="21"/>
                <w:szCs w:val="21"/>
              </w:rPr>
              <w:t>27.1</w:t>
            </w:r>
          </w:p>
        </w:tc>
        <w:tc>
          <w:tcPr>
            <w:tcW w:w="1111" w:type="dxa"/>
            <w:tcBorders>
              <w:top w:val="single" w:color="auto" w:sz="4" w:space="0"/>
              <w:left w:val="nil"/>
              <w:bottom w:val="single" w:color="auto" w:sz="4" w:space="0"/>
              <w:right w:val="single" w:color="auto" w:sz="4" w:space="0"/>
            </w:tcBorders>
            <w:noWrap w:val="0"/>
            <w:vAlign w:val="center"/>
          </w:tcPr>
          <w:p w14:paraId="7C47B135">
            <w:pPr>
              <w:jc w:val="center"/>
              <w:rPr>
                <w:rFonts w:ascii="Times New Roman" w:hAnsi="Times New Roman" w:eastAsia="宋体" w:cs="Times New Roman"/>
                <w:sz w:val="21"/>
                <w:szCs w:val="21"/>
              </w:rPr>
            </w:pPr>
            <w:r>
              <w:rPr>
                <w:rFonts w:ascii="Times New Roman" w:hAnsi="Times New Roman" w:eastAsia="宋体" w:cs="Times New Roman"/>
                <w:sz w:val="21"/>
                <w:szCs w:val="21"/>
              </w:rPr>
              <w:t>20.5</w:t>
            </w:r>
          </w:p>
        </w:tc>
        <w:tc>
          <w:tcPr>
            <w:tcW w:w="1289" w:type="dxa"/>
            <w:tcBorders>
              <w:top w:val="single" w:color="auto" w:sz="4" w:space="0"/>
              <w:left w:val="nil"/>
              <w:bottom w:val="single" w:color="auto" w:sz="4" w:space="0"/>
              <w:right w:val="single" w:color="auto" w:sz="4" w:space="0"/>
            </w:tcBorders>
            <w:noWrap w:val="0"/>
            <w:vAlign w:val="center"/>
          </w:tcPr>
          <w:p w14:paraId="706B19A7">
            <w:pPr>
              <w:jc w:val="center"/>
              <w:rPr>
                <w:rFonts w:ascii="Times New Roman" w:hAnsi="Times New Roman" w:eastAsia="宋体" w:cs="Times New Roman"/>
                <w:sz w:val="21"/>
                <w:szCs w:val="21"/>
              </w:rPr>
            </w:pPr>
            <w:r>
              <w:rPr>
                <w:rFonts w:ascii="Times New Roman" w:hAnsi="Times New Roman" w:eastAsia="宋体" w:cs="Times New Roman"/>
                <w:sz w:val="21"/>
                <w:szCs w:val="21"/>
              </w:rPr>
              <w:t>16.4</w:t>
            </w:r>
          </w:p>
        </w:tc>
        <w:tc>
          <w:tcPr>
            <w:tcW w:w="1111" w:type="dxa"/>
            <w:tcBorders>
              <w:top w:val="single" w:color="auto" w:sz="4" w:space="0"/>
              <w:left w:val="nil"/>
              <w:bottom w:val="single" w:color="auto" w:sz="4" w:space="0"/>
              <w:right w:val="single" w:color="auto" w:sz="4" w:space="0"/>
            </w:tcBorders>
            <w:noWrap w:val="0"/>
            <w:vAlign w:val="center"/>
          </w:tcPr>
          <w:p w14:paraId="5333E0F8">
            <w:pPr>
              <w:jc w:val="center"/>
              <w:rPr>
                <w:rFonts w:ascii="Times New Roman" w:hAnsi="Times New Roman" w:eastAsia="宋体" w:cs="Times New Roman"/>
                <w:sz w:val="21"/>
                <w:szCs w:val="21"/>
              </w:rPr>
            </w:pPr>
            <w:r>
              <w:rPr>
                <w:rFonts w:ascii="Times New Roman" w:hAnsi="Times New Roman" w:eastAsia="宋体" w:cs="Times New Roman"/>
                <w:sz w:val="21"/>
                <w:szCs w:val="21"/>
              </w:rPr>
              <w:t>15.2</w:t>
            </w:r>
          </w:p>
        </w:tc>
      </w:tr>
      <w:tr w14:paraId="4A39F080">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7174377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w:t>
            </w:r>
          </w:p>
        </w:tc>
        <w:tc>
          <w:tcPr>
            <w:tcW w:w="1289" w:type="dxa"/>
            <w:tcBorders>
              <w:top w:val="single" w:color="auto" w:sz="4" w:space="0"/>
              <w:left w:val="nil"/>
              <w:bottom w:val="single" w:color="auto" w:sz="4" w:space="0"/>
              <w:right w:val="single" w:color="auto" w:sz="4" w:space="0"/>
            </w:tcBorders>
            <w:noWrap w:val="0"/>
            <w:vAlign w:val="center"/>
          </w:tcPr>
          <w:p w14:paraId="17B34686">
            <w:pPr>
              <w:jc w:val="center"/>
              <w:rPr>
                <w:rFonts w:ascii="Times New Roman" w:hAnsi="Times New Roman" w:eastAsia="宋体" w:cs="Times New Roman"/>
                <w:sz w:val="21"/>
                <w:szCs w:val="21"/>
              </w:rPr>
            </w:pPr>
            <w:r>
              <w:rPr>
                <w:rFonts w:ascii="Times New Roman" w:hAnsi="Times New Roman" w:eastAsia="宋体" w:cs="Times New Roman"/>
                <w:sz w:val="21"/>
                <w:szCs w:val="21"/>
              </w:rPr>
              <w:t>26.5</w:t>
            </w:r>
          </w:p>
        </w:tc>
        <w:tc>
          <w:tcPr>
            <w:tcW w:w="1289" w:type="dxa"/>
            <w:tcBorders>
              <w:top w:val="single" w:color="auto" w:sz="4" w:space="0"/>
              <w:left w:val="nil"/>
              <w:bottom w:val="single" w:color="auto" w:sz="4" w:space="0"/>
              <w:right w:val="single" w:color="auto" w:sz="4" w:space="0"/>
            </w:tcBorders>
            <w:noWrap w:val="0"/>
            <w:vAlign w:val="center"/>
          </w:tcPr>
          <w:p w14:paraId="0C9747DA">
            <w:pPr>
              <w:jc w:val="center"/>
              <w:rPr>
                <w:rFonts w:ascii="Times New Roman" w:hAnsi="Times New Roman" w:eastAsia="宋体" w:cs="Times New Roman"/>
                <w:sz w:val="21"/>
                <w:szCs w:val="21"/>
              </w:rPr>
            </w:pPr>
            <w:r>
              <w:rPr>
                <w:rFonts w:ascii="Times New Roman" w:hAnsi="Times New Roman" w:eastAsia="宋体" w:cs="Times New Roman"/>
                <w:sz w:val="21"/>
                <w:szCs w:val="21"/>
              </w:rPr>
              <w:t>24.8</w:t>
            </w:r>
          </w:p>
        </w:tc>
        <w:tc>
          <w:tcPr>
            <w:tcW w:w="1111" w:type="dxa"/>
            <w:tcBorders>
              <w:top w:val="single" w:color="auto" w:sz="4" w:space="0"/>
              <w:left w:val="nil"/>
              <w:bottom w:val="single" w:color="auto" w:sz="4" w:space="0"/>
              <w:right w:val="single" w:color="auto" w:sz="4" w:space="0"/>
            </w:tcBorders>
            <w:noWrap w:val="0"/>
            <w:vAlign w:val="center"/>
          </w:tcPr>
          <w:p w14:paraId="4D6BD80E">
            <w:pPr>
              <w:jc w:val="center"/>
              <w:rPr>
                <w:rFonts w:ascii="Times New Roman" w:hAnsi="Times New Roman" w:eastAsia="宋体" w:cs="Times New Roman"/>
                <w:sz w:val="21"/>
                <w:szCs w:val="21"/>
              </w:rPr>
            </w:pPr>
            <w:r>
              <w:rPr>
                <w:rFonts w:ascii="Times New Roman" w:hAnsi="Times New Roman" w:eastAsia="宋体" w:cs="Times New Roman"/>
                <w:sz w:val="21"/>
                <w:szCs w:val="21"/>
              </w:rPr>
              <w:t>18.7</w:t>
            </w:r>
          </w:p>
        </w:tc>
        <w:tc>
          <w:tcPr>
            <w:tcW w:w="1289" w:type="dxa"/>
            <w:tcBorders>
              <w:top w:val="single" w:color="auto" w:sz="4" w:space="0"/>
              <w:left w:val="nil"/>
              <w:bottom w:val="single" w:color="auto" w:sz="4" w:space="0"/>
              <w:right w:val="single" w:color="auto" w:sz="4" w:space="0"/>
            </w:tcBorders>
            <w:noWrap w:val="0"/>
            <w:vAlign w:val="center"/>
          </w:tcPr>
          <w:p w14:paraId="6B71BAE4">
            <w:pPr>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1111" w:type="dxa"/>
            <w:tcBorders>
              <w:top w:val="single" w:color="auto" w:sz="4" w:space="0"/>
              <w:left w:val="nil"/>
              <w:bottom w:val="single" w:color="auto" w:sz="4" w:space="0"/>
              <w:right w:val="single" w:color="auto" w:sz="4" w:space="0"/>
            </w:tcBorders>
            <w:noWrap w:val="0"/>
            <w:vAlign w:val="center"/>
          </w:tcPr>
          <w:p w14:paraId="5ABF0E42">
            <w:pPr>
              <w:jc w:val="center"/>
              <w:rPr>
                <w:rFonts w:ascii="Times New Roman" w:hAnsi="Times New Roman" w:eastAsia="宋体" w:cs="Times New Roman"/>
                <w:sz w:val="21"/>
                <w:szCs w:val="21"/>
              </w:rPr>
            </w:pPr>
            <w:r>
              <w:rPr>
                <w:rFonts w:ascii="Times New Roman" w:hAnsi="Times New Roman" w:eastAsia="宋体" w:cs="Times New Roman"/>
                <w:sz w:val="21"/>
                <w:szCs w:val="21"/>
              </w:rPr>
              <w:t>13.8</w:t>
            </w:r>
          </w:p>
        </w:tc>
      </w:tr>
      <w:tr w14:paraId="1ADDD6A9">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5E425D78">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13</w:t>
            </w:r>
          </w:p>
        </w:tc>
        <w:tc>
          <w:tcPr>
            <w:tcW w:w="1289" w:type="dxa"/>
            <w:tcBorders>
              <w:top w:val="single" w:color="auto" w:sz="4" w:space="0"/>
              <w:left w:val="nil"/>
              <w:bottom w:val="single" w:color="auto" w:sz="4" w:space="0"/>
              <w:right w:val="single" w:color="auto" w:sz="4" w:space="0"/>
            </w:tcBorders>
            <w:noWrap w:val="0"/>
            <w:vAlign w:val="center"/>
          </w:tcPr>
          <w:p w14:paraId="66E12B31">
            <w:pPr>
              <w:jc w:val="center"/>
              <w:rPr>
                <w:rFonts w:ascii="Times New Roman" w:hAnsi="Times New Roman" w:eastAsia="宋体" w:cs="Times New Roman"/>
                <w:sz w:val="21"/>
                <w:szCs w:val="21"/>
              </w:rPr>
            </w:pPr>
            <w:r>
              <w:rPr>
                <w:rFonts w:ascii="Times New Roman" w:hAnsi="Times New Roman" w:eastAsia="宋体" w:cs="Times New Roman"/>
                <w:sz w:val="21"/>
                <w:szCs w:val="21"/>
              </w:rPr>
              <w:t>24.3</w:t>
            </w:r>
          </w:p>
        </w:tc>
        <w:tc>
          <w:tcPr>
            <w:tcW w:w="1289" w:type="dxa"/>
            <w:tcBorders>
              <w:top w:val="single" w:color="auto" w:sz="4" w:space="0"/>
              <w:left w:val="nil"/>
              <w:bottom w:val="single" w:color="auto" w:sz="4" w:space="0"/>
              <w:right w:val="single" w:color="auto" w:sz="4" w:space="0"/>
            </w:tcBorders>
            <w:noWrap w:val="0"/>
            <w:vAlign w:val="center"/>
          </w:tcPr>
          <w:p w14:paraId="53626225">
            <w:pPr>
              <w:jc w:val="center"/>
              <w:rPr>
                <w:rFonts w:ascii="Times New Roman" w:hAnsi="Times New Roman" w:eastAsia="宋体" w:cs="Times New Roman"/>
                <w:sz w:val="21"/>
                <w:szCs w:val="21"/>
              </w:rPr>
            </w:pPr>
            <w:r>
              <w:rPr>
                <w:rFonts w:ascii="Times New Roman" w:hAnsi="Times New Roman" w:eastAsia="宋体" w:cs="Times New Roman"/>
                <w:sz w:val="21"/>
                <w:szCs w:val="21"/>
              </w:rPr>
              <w:t>22.8</w:t>
            </w:r>
          </w:p>
        </w:tc>
        <w:tc>
          <w:tcPr>
            <w:tcW w:w="1111" w:type="dxa"/>
            <w:tcBorders>
              <w:top w:val="single" w:color="auto" w:sz="4" w:space="0"/>
              <w:left w:val="nil"/>
              <w:bottom w:val="single" w:color="auto" w:sz="4" w:space="0"/>
              <w:right w:val="single" w:color="auto" w:sz="4" w:space="0"/>
            </w:tcBorders>
            <w:noWrap w:val="0"/>
            <w:vAlign w:val="center"/>
          </w:tcPr>
          <w:p w14:paraId="338E9ADC">
            <w:pPr>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1289" w:type="dxa"/>
            <w:tcBorders>
              <w:top w:val="single" w:color="auto" w:sz="4" w:space="0"/>
              <w:left w:val="nil"/>
              <w:bottom w:val="single" w:color="auto" w:sz="4" w:space="0"/>
              <w:right w:val="single" w:color="auto" w:sz="4" w:space="0"/>
            </w:tcBorders>
            <w:noWrap w:val="0"/>
            <w:vAlign w:val="center"/>
          </w:tcPr>
          <w:p w14:paraId="53C2EAE0">
            <w:pPr>
              <w:jc w:val="center"/>
              <w:rPr>
                <w:rFonts w:ascii="Times New Roman" w:hAnsi="Times New Roman" w:eastAsia="宋体" w:cs="Times New Roman"/>
                <w:sz w:val="21"/>
                <w:szCs w:val="21"/>
              </w:rPr>
            </w:pPr>
            <w:r>
              <w:rPr>
                <w:rFonts w:ascii="Times New Roman" w:hAnsi="Times New Roman" w:eastAsia="宋体" w:cs="Times New Roman"/>
                <w:sz w:val="21"/>
                <w:szCs w:val="21"/>
              </w:rPr>
              <w:t>13.6</w:t>
            </w:r>
          </w:p>
        </w:tc>
        <w:tc>
          <w:tcPr>
            <w:tcW w:w="1111" w:type="dxa"/>
            <w:tcBorders>
              <w:top w:val="single" w:color="auto" w:sz="4" w:space="0"/>
              <w:left w:val="nil"/>
              <w:bottom w:val="single" w:color="auto" w:sz="4" w:space="0"/>
              <w:right w:val="single" w:color="auto" w:sz="4" w:space="0"/>
            </w:tcBorders>
            <w:noWrap w:val="0"/>
            <w:vAlign w:val="center"/>
          </w:tcPr>
          <w:p w14:paraId="3FA2F2C8">
            <w:pPr>
              <w:jc w:val="center"/>
              <w:rPr>
                <w:rFonts w:ascii="Times New Roman" w:hAnsi="Times New Roman" w:eastAsia="宋体" w:cs="Times New Roman"/>
                <w:sz w:val="21"/>
                <w:szCs w:val="21"/>
              </w:rPr>
            </w:pPr>
            <w:r>
              <w:rPr>
                <w:rFonts w:ascii="Times New Roman" w:hAnsi="Times New Roman" w:eastAsia="宋体" w:cs="Times New Roman"/>
                <w:sz w:val="21"/>
                <w:szCs w:val="21"/>
              </w:rPr>
              <w:t>12.5</w:t>
            </w:r>
          </w:p>
        </w:tc>
      </w:tr>
      <w:tr w14:paraId="3E6B5686">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4329E4A0">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w:t>
            </w:r>
          </w:p>
        </w:tc>
        <w:tc>
          <w:tcPr>
            <w:tcW w:w="1289" w:type="dxa"/>
            <w:tcBorders>
              <w:top w:val="single" w:color="auto" w:sz="4" w:space="0"/>
              <w:left w:val="nil"/>
              <w:bottom w:val="single" w:color="auto" w:sz="4" w:space="0"/>
              <w:right w:val="single" w:color="auto" w:sz="4" w:space="0"/>
            </w:tcBorders>
            <w:noWrap w:val="0"/>
            <w:vAlign w:val="center"/>
          </w:tcPr>
          <w:p w14:paraId="0C3EA9EB">
            <w:pPr>
              <w:jc w:val="center"/>
              <w:rPr>
                <w:rFonts w:ascii="Times New Roman" w:hAnsi="Times New Roman" w:eastAsia="宋体" w:cs="Times New Roman"/>
                <w:sz w:val="21"/>
                <w:szCs w:val="21"/>
              </w:rPr>
            </w:pPr>
            <w:r>
              <w:rPr>
                <w:rFonts w:ascii="Times New Roman" w:hAnsi="Times New Roman" w:eastAsia="宋体" w:cs="Times New Roman"/>
                <w:sz w:val="21"/>
                <w:szCs w:val="21"/>
              </w:rPr>
              <w:t>22.2</w:t>
            </w:r>
          </w:p>
        </w:tc>
        <w:tc>
          <w:tcPr>
            <w:tcW w:w="1289" w:type="dxa"/>
            <w:tcBorders>
              <w:top w:val="single" w:color="auto" w:sz="4" w:space="0"/>
              <w:left w:val="nil"/>
              <w:bottom w:val="single" w:color="auto" w:sz="4" w:space="0"/>
              <w:right w:val="single" w:color="auto" w:sz="4" w:space="0"/>
            </w:tcBorders>
            <w:noWrap w:val="0"/>
            <w:vAlign w:val="center"/>
          </w:tcPr>
          <w:p w14:paraId="6F3E11B4">
            <w:pPr>
              <w:jc w:val="center"/>
              <w:rPr>
                <w:rFonts w:ascii="Times New Roman" w:hAnsi="Times New Roman" w:eastAsia="宋体" w:cs="Times New Roman"/>
                <w:sz w:val="21"/>
                <w:szCs w:val="21"/>
              </w:rPr>
            </w:pPr>
            <w:r>
              <w:rPr>
                <w:rFonts w:ascii="Times New Roman" w:hAnsi="Times New Roman" w:eastAsia="宋体" w:cs="Times New Roman"/>
                <w:sz w:val="21"/>
                <w:szCs w:val="21"/>
              </w:rPr>
              <w:t>20.8</w:t>
            </w:r>
          </w:p>
        </w:tc>
        <w:tc>
          <w:tcPr>
            <w:tcW w:w="1111" w:type="dxa"/>
            <w:tcBorders>
              <w:top w:val="single" w:color="auto" w:sz="4" w:space="0"/>
              <w:left w:val="nil"/>
              <w:bottom w:val="single" w:color="auto" w:sz="4" w:space="0"/>
              <w:right w:val="single" w:color="auto" w:sz="4" w:space="0"/>
            </w:tcBorders>
            <w:noWrap w:val="0"/>
            <w:vAlign w:val="center"/>
          </w:tcPr>
          <w:p w14:paraId="3482D944">
            <w:pPr>
              <w:jc w:val="center"/>
              <w:rPr>
                <w:rFonts w:ascii="Times New Roman" w:hAnsi="Times New Roman" w:eastAsia="宋体" w:cs="Times New Roman"/>
                <w:sz w:val="21"/>
                <w:szCs w:val="21"/>
              </w:rPr>
            </w:pPr>
            <w:r>
              <w:rPr>
                <w:rFonts w:ascii="Times New Roman" w:hAnsi="Times New Roman" w:eastAsia="宋体" w:cs="Times New Roman"/>
                <w:sz w:val="21"/>
                <w:szCs w:val="21"/>
              </w:rPr>
              <w:t>15.5</w:t>
            </w:r>
          </w:p>
        </w:tc>
        <w:tc>
          <w:tcPr>
            <w:tcW w:w="1289" w:type="dxa"/>
            <w:tcBorders>
              <w:top w:val="single" w:color="auto" w:sz="4" w:space="0"/>
              <w:left w:val="nil"/>
              <w:bottom w:val="single" w:color="auto" w:sz="4" w:space="0"/>
              <w:right w:val="single" w:color="auto" w:sz="4" w:space="0"/>
            </w:tcBorders>
            <w:noWrap w:val="0"/>
            <w:vAlign w:val="center"/>
          </w:tcPr>
          <w:p w14:paraId="5F48EF3D">
            <w:pPr>
              <w:jc w:val="center"/>
              <w:rPr>
                <w:rFonts w:ascii="Times New Roman" w:hAnsi="Times New Roman" w:eastAsia="宋体" w:cs="Times New Roman"/>
                <w:sz w:val="21"/>
                <w:szCs w:val="21"/>
              </w:rPr>
            </w:pPr>
            <w:r>
              <w:rPr>
                <w:rFonts w:ascii="Times New Roman" w:hAnsi="Times New Roman" w:eastAsia="宋体" w:cs="Times New Roman"/>
                <w:sz w:val="21"/>
                <w:szCs w:val="21"/>
              </w:rPr>
              <w:t>12.4</w:t>
            </w:r>
          </w:p>
        </w:tc>
        <w:tc>
          <w:tcPr>
            <w:tcW w:w="1111" w:type="dxa"/>
            <w:tcBorders>
              <w:top w:val="single" w:color="auto" w:sz="4" w:space="0"/>
              <w:left w:val="nil"/>
              <w:bottom w:val="single" w:color="auto" w:sz="4" w:space="0"/>
              <w:right w:val="single" w:color="auto" w:sz="4" w:space="0"/>
            </w:tcBorders>
            <w:noWrap w:val="0"/>
            <w:vAlign w:val="center"/>
          </w:tcPr>
          <w:p w14:paraId="4A459BA6">
            <w:pPr>
              <w:jc w:val="center"/>
              <w:rPr>
                <w:rFonts w:ascii="Times New Roman" w:hAnsi="Times New Roman" w:eastAsia="宋体" w:cs="Times New Roman"/>
                <w:sz w:val="21"/>
                <w:szCs w:val="21"/>
              </w:rPr>
            </w:pPr>
            <w:r>
              <w:rPr>
                <w:rFonts w:ascii="Times New Roman" w:hAnsi="Times New Roman" w:eastAsia="宋体" w:cs="Times New Roman"/>
                <w:sz w:val="21"/>
                <w:szCs w:val="21"/>
              </w:rPr>
              <w:t>11.3</w:t>
            </w:r>
          </w:p>
        </w:tc>
      </w:tr>
      <w:tr w14:paraId="077C3933">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65310110">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15</w:t>
            </w:r>
          </w:p>
        </w:tc>
        <w:tc>
          <w:tcPr>
            <w:tcW w:w="1289" w:type="dxa"/>
            <w:tcBorders>
              <w:top w:val="single" w:color="auto" w:sz="4" w:space="0"/>
              <w:left w:val="nil"/>
              <w:bottom w:val="single" w:color="auto" w:sz="4" w:space="0"/>
              <w:right w:val="single" w:color="auto" w:sz="4" w:space="0"/>
            </w:tcBorders>
            <w:noWrap w:val="0"/>
            <w:vAlign w:val="center"/>
          </w:tcPr>
          <w:p w14:paraId="477170A6">
            <w:pPr>
              <w:jc w:val="center"/>
              <w:rPr>
                <w:rFonts w:ascii="Times New Roman" w:hAnsi="Times New Roman" w:eastAsia="宋体" w:cs="Times New Roman"/>
                <w:sz w:val="21"/>
                <w:szCs w:val="21"/>
              </w:rPr>
            </w:pPr>
            <w:r>
              <w:rPr>
                <w:rFonts w:ascii="Times New Roman" w:hAnsi="Times New Roman" w:eastAsia="宋体" w:cs="Times New Roman"/>
                <w:sz w:val="21"/>
                <w:szCs w:val="21"/>
              </w:rPr>
              <w:t>20.4</w:t>
            </w:r>
          </w:p>
        </w:tc>
        <w:tc>
          <w:tcPr>
            <w:tcW w:w="1289" w:type="dxa"/>
            <w:tcBorders>
              <w:top w:val="single" w:color="auto" w:sz="4" w:space="0"/>
              <w:left w:val="nil"/>
              <w:bottom w:val="single" w:color="auto" w:sz="4" w:space="0"/>
              <w:right w:val="single" w:color="auto" w:sz="4" w:space="0"/>
            </w:tcBorders>
            <w:noWrap w:val="0"/>
            <w:vAlign w:val="center"/>
          </w:tcPr>
          <w:p w14:paraId="78563AEE">
            <w:pPr>
              <w:jc w:val="center"/>
              <w:rPr>
                <w:rFonts w:ascii="Times New Roman" w:hAnsi="Times New Roman" w:eastAsia="宋体" w:cs="Times New Roman"/>
                <w:sz w:val="21"/>
                <w:szCs w:val="21"/>
              </w:rPr>
            </w:pPr>
            <w:r>
              <w:rPr>
                <w:rFonts w:ascii="Times New Roman" w:hAnsi="Times New Roman" w:eastAsia="宋体" w:cs="Times New Roman"/>
                <w:sz w:val="21"/>
                <w:szCs w:val="21"/>
              </w:rPr>
              <w:t>19.1</w:t>
            </w:r>
          </w:p>
        </w:tc>
        <w:tc>
          <w:tcPr>
            <w:tcW w:w="1111" w:type="dxa"/>
            <w:tcBorders>
              <w:top w:val="single" w:color="auto" w:sz="4" w:space="0"/>
              <w:left w:val="nil"/>
              <w:bottom w:val="single" w:color="auto" w:sz="4" w:space="0"/>
              <w:right w:val="single" w:color="auto" w:sz="4" w:space="0"/>
            </w:tcBorders>
            <w:noWrap w:val="0"/>
            <w:vAlign w:val="center"/>
          </w:tcPr>
          <w:p w14:paraId="40CCD1E9">
            <w:pPr>
              <w:jc w:val="center"/>
              <w:rPr>
                <w:rFonts w:ascii="Times New Roman" w:hAnsi="Times New Roman" w:eastAsia="宋体" w:cs="Times New Roman"/>
                <w:sz w:val="21"/>
                <w:szCs w:val="21"/>
              </w:rPr>
            </w:pPr>
            <w:r>
              <w:rPr>
                <w:rFonts w:ascii="Times New Roman" w:hAnsi="Times New Roman" w:eastAsia="宋体" w:cs="Times New Roman"/>
                <w:sz w:val="21"/>
                <w:szCs w:val="21"/>
              </w:rPr>
              <w:t>14.1</w:t>
            </w:r>
          </w:p>
        </w:tc>
        <w:tc>
          <w:tcPr>
            <w:tcW w:w="1289" w:type="dxa"/>
            <w:tcBorders>
              <w:top w:val="single" w:color="auto" w:sz="4" w:space="0"/>
              <w:left w:val="nil"/>
              <w:bottom w:val="single" w:color="auto" w:sz="4" w:space="0"/>
              <w:right w:val="single" w:color="auto" w:sz="4" w:space="0"/>
            </w:tcBorders>
            <w:noWrap w:val="0"/>
            <w:vAlign w:val="center"/>
          </w:tcPr>
          <w:p w14:paraId="59B52EEC">
            <w:pPr>
              <w:jc w:val="center"/>
              <w:rPr>
                <w:rFonts w:ascii="Times New Roman" w:hAnsi="Times New Roman" w:eastAsia="宋体" w:cs="Times New Roman"/>
                <w:sz w:val="21"/>
                <w:szCs w:val="21"/>
              </w:rPr>
            </w:pPr>
            <w:r>
              <w:rPr>
                <w:rFonts w:ascii="Times New Roman" w:hAnsi="Times New Roman" w:eastAsia="宋体" w:cs="Times New Roman"/>
                <w:sz w:val="21"/>
                <w:szCs w:val="21"/>
              </w:rPr>
              <w:t>11.3</w:t>
            </w:r>
          </w:p>
        </w:tc>
        <w:tc>
          <w:tcPr>
            <w:tcW w:w="1111" w:type="dxa"/>
            <w:tcBorders>
              <w:top w:val="single" w:color="auto" w:sz="4" w:space="0"/>
              <w:left w:val="nil"/>
              <w:bottom w:val="single" w:color="auto" w:sz="4" w:space="0"/>
              <w:right w:val="single" w:color="auto" w:sz="4" w:space="0"/>
            </w:tcBorders>
            <w:noWrap w:val="0"/>
            <w:vAlign w:val="center"/>
          </w:tcPr>
          <w:p w14:paraId="7E816DAE">
            <w:pPr>
              <w:jc w:val="center"/>
              <w:rPr>
                <w:rFonts w:ascii="Times New Roman" w:hAnsi="Times New Roman" w:eastAsia="宋体" w:cs="Times New Roman"/>
                <w:sz w:val="21"/>
                <w:szCs w:val="21"/>
              </w:rPr>
            </w:pPr>
            <w:r>
              <w:rPr>
                <w:rFonts w:ascii="Times New Roman" w:hAnsi="Times New Roman" w:eastAsia="宋体" w:cs="Times New Roman"/>
                <w:sz w:val="21"/>
                <w:szCs w:val="21"/>
              </w:rPr>
              <w:t>10.3</w:t>
            </w:r>
          </w:p>
        </w:tc>
      </w:tr>
      <w:tr w14:paraId="4A8F6B15">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005F56D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16</w:t>
            </w:r>
          </w:p>
        </w:tc>
        <w:tc>
          <w:tcPr>
            <w:tcW w:w="1289" w:type="dxa"/>
            <w:tcBorders>
              <w:top w:val="single" w:color="auto" w:sz="4" w:space="0"/>
              <w:left w:val="nil"/>
              <w:bottom w:val="single" w:color="auto" w:sz="4" w:space="0"/>
              <w:right w:val="single" w:color="auto" w:sz="4" w:space="0"/>
            </w:tcBorders>
            <w:noWrap w:val="0"/>
            <w:vAlign w:val="center"/>
          </w:tcPr>
          <w:p w14:paraId="5AC9C8C4">
            <w:pPr>
              <w:jc w:val="center"/>
              <w:rPr>
                <w:rFonts w:ascii="Times New Roman" w:hAnsi="Times New Roman" w:eastAsia="宋体" w:cs="Times New Roman"/>
                <w:sz w:val="21"/>
                <w:szCs w:val="21"/>
              </w:rPr>
            </w:pPr>
            <w:r>
              <w:rPr>
                <w:rFonts w:ascii="Times New Roman" w:hAnsi="Times New Roman" w:eastAsia="宋体" w:cs="Times New Roman"/>
                <w:sz w:val="21"/>
                <w:szCs w:val="21"/>
              </w:rPr>
              <w:t>18.6</w:t>
            </w:r>
          </w:p>
        </w:tc>
        <w:tc>
          <w:tcPr>
            <w:tcW w:w="1289" w:type="dxa"/>
            <w:tcBorders>
              <w:top w:val="single" w:color="auto" w:sz="4" w:space="0"/>
              <w:left w:val="nil"/>
              <w:bottom w:val="single" w:color="auto" w:sz="4" w:space="0"/>
              <w:right w:val="single" w:color="auto" w:sz="4" w:space="0"/>
            </w:tcBorders>
            <w:noWrap w:val="0"/>
            <w:vAlign w:val="center"/>
          </w:tcPr>
          <w:p w14:paraId="3FC88176">
            <w:pPr>
              <w:jc w:val="center"/>
              <w:rPr>
                <w:rFonts w:ascii="Times New Roman" w:hAnsi="Times New Roman" w:eastAsia="宋体" w:cs="Times New Roman"/>
                <w:sz w:val="21"/>
                <w:szCs w:val="21"/>
              </w:rPr>
            </w:pPr>
            <w:r>
              <w:rPr>
                <w:rFonts w:ascii="Times New Roman" w:hAnsi="Times New Roman" w:eastAsia="宋体" w:cs="Times New Roman"/>
                <w:sz w:val="21"/>
                <w:szCs w:val="21"/>
              </w:rPr>
              <w:t>17.5</w:t>
            </w:r>
          </w:p>
        </w:tc>
        <w:tc>
          <w:tcPr>
            <w:tcW w:w="1111" w:type="dxa"/>
            <w:tcBorders>
              <w:top w:val="single" w:color="auto" w:sz="4" w:space="0"/>
              <w:left w:val="nil"/>
              <w:bottom w:val="single" w:color="auto" w:sz="4" w:space="0"/>
              <w:right w:val="single" w:color="auto" w:sz="4" w:space="0"/>
            </w:tcBorders>
            <w:noWrap w:val="0"/>
            <w:vAlign w:val="center"/>
          </w:tcPr>
          <w:p w14:paraId="474AC128">
            <w:pPr>
              <w:jc w:val="center"/>
              <w:rPr>
                <w:rFonts w:ascii="Times New Roman" w:hAnsi="Times New Roman" w:eastAsia="宋体" w:cs="Times New Roman"/>
                <w:sz w:val="21"/>
                <w:szCs w:val="21"/>
              </w:rPr>
            </w:pPr>
            <w:r>
              <w:rPr>
                <w:rFonts w:ascii="Times New Roman" w:hAnsi="Times New Roman" w:eastAsia="宋体" w:cs="Times New Roman"/>
                <w:sz w:val="21"/>
                <w:szCs w:val="21"/>
              </w:rPr>
              <w:t>12.8</w:t>
            </w:r>
          </w:p>
        </w:tc>
        <w:tc>
          <w:tcPr>
            <w:tcW w:w="1289" w:type="dxa"/>
            <w:tcBorders>
              <w:top w:val="single" w:color="auto" w:sz="4" w:space="0"/>
              <w:left w:val="nil"/>
              <w:bottom w:val="single" w:color="auto" w:sz="4" w:space="0"/>
              <w:right w:val="single" w:color="auto" w:sz="4" w:space="0"/>
            </w:tcBorders>
            <w:noWrap w:val="0"/>
            <w:vAlign w:val="center"/>
          </w:tcPr>
          <w:p w14:paraId="5764C8B4">
            <w:pPr>
              <w:jc w:val="center"/>
              <w:rPr>
                <w:rFonts w:ascii="Times New Roman" w:hAnsi="Times New Roman" w:eastAsia="宋体" w:cs="Times New Roman"/>
                <w:sz w:val="21"/>
                <w:szCs w:val="21"/>
              </w:rPr>
            </w:pPr>
            <w:r>
              <w:rPr>
                <w:rFonts w:ascii="Times New Roman" w:hAnsi="Times New Roman" w:eastAsia="宋体" w:cs="Times New Roman"/>
                <w:sz w:val="21"/>
                <w:szCs w:val="21"/>
              </w:rPr>
              <w:t>10.3</w:t>
            </w:r>
          </w:p>
        </w:tc>
        <w:tc>
          <w:tcPr>
            <w:tcW w:w="1111" w:type="dxa"/>
            <w:tcBorders>
              <w:top w:val="single" w:color="auto" w:sz="4" w:space="0"/>
              <w:left w:val="nil"/>
              <w:bottom w:val="single" w:color="auto" w:sz="4" w:space="0"/>
              <w:right w:val="single" w:color="auto" w:sz="4" w:space="0"/>
            </w:tcBorders>
            <w:noWrap w:val="0"/>
            <w:vAlign w:val="center"/>
          </w:tcPr>
          <w:p w14:paraId="70F24D3D">
            <w:pPr>
              <w:jc w:val="center"/>
              <w:rPr>
                <w:rFonts w:ascii="Times New Roman" w:hAnsi="Times New Roman" w:eastAsia="宋体" w:cs="Times New Roman"/>
                <w:sz w:val="21"/>
                <w:szCs w:val="21"/>
              </w:rPr>
            </w:pPr>
            <w:r>
              <w:rPr>
                <w:rFonts w:ascii="Times New Roman" w:hAnsi="Times New Roman" w:eastAsia="宋体" w:cs="Times New Roman"/>
                <w:sz w:val="21"/>
                <w:szCs w:val="21"/>
              </w:rPr>
              <w:t>9.36</w:t>
            </w:r>
          </w:p>
        </w:tc>
      </w:tr>
      <w:tr w14:paraId="309C7180">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0A076F0B">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17</w:t>
            </w:r>
          </w:p>
        </w:tc>
        <w:tc>
          <w:tcPr>
            <w:tcW w:w="1289" w:type="dxa"/>
            <w:tcBorders>
              <w:top w:val="single" w:color="auto" w:sz="4" w:space="0"/>
              <w:left w:val="nil"/>
              <w:bottom w:val="single" w:color="auto" w:sz="4" w:space="0"/>
              <w:right w:val="single" w:color="auto" w:sz="4" w:space="0"/>
            </w:tcBorders>
            <w:noWrap w:val="0"/>
            <w:vAlign w:val="center"/>
          </w:tcPr>
          <w:p w14:paraId="3767BC71">
            <w:pPr>
              <w:jc w:val="center"/>
              <w:rPr>
                <w:rFonts w:ascii="Times New Roman" w:hAnsi="Times New Roman" w:eastAsia="宋体" w:cs="Times New Roman"/>
                <w:sz w:val="21"/>
                <w:szCs w:val="21"/>
              </w:rPr>
            </w:pPr>
            <w:r>
              <w:rPr>
                <w:rFonts w:ascii="Times New Roman" w:hAnsi="Times New Roman" w:eastAsia="宋体" w:cs="Times New Roman"/>
                <w:sz w:val="21"/>
                <w:szCs w:val="21"/>
              </w:rPr>
              <w:t>17.1</w:t>
            </w:r>
          </w:p>
        </w:tc>
        <w:tc>
          <w:tcPr>
            <w:tcW w:w="1289" w:type="dxa"/>
            <w:tcBorders>
              <w:top w:val="single" w:color="auto" w:sz="4" w:space="0"/>
              <w:left w:val="nil"/>
              <w:bottom w:val="single" w:color="auto" w:sz="4" w:space="0"/>
              <w:right w:val="single" w:color="auto" w:sz="4" w:space="0"/>
            </w:tcBorders>
            <w:noWrap w:val="0"/>
            <w:vAlign w:val="center"/>
          </w:tcPr>
          <w:p w14:paraId="6E1976EC">
            <w:pPr>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1111" w:type="dxa"/>
            <w:tcBorders>
              <w:top w:val="single" w:color="auto" w:sz="4" w:space="0"/>
              <w:left w:val="nil"/>
              <w:bottom w:val="single" w:color="auto" w:sz="4" w:space="0"/>
              <w:right w:val="single" w:color="auto" w:sz="4" w:space="0"/>
            </w:tcBorders>
            <w:noWrap w:val="0"/>
            <w:vAlign w:val="center"/>
          </w:tcPr>
          <w:p w14:paraId="02E8DFAA">
            <w:pPr>
              <w:jc w:val="center"/>
              <w:rPr>
                <w:rFonts w:ascii="Times New Roman" w:hAnsi="Times New Roman" w:eastAsia="宋体" w:cs="Times New Roman"/>
                <w:sz w:val="21"/>
                <w:szCs w:val="21"/>
              </w:rPr>
            </w:pPr>
            <w:r>
              <w:rPr>
                <w:rFonts w:ascii="Times New Roman" w:hAnsi="Times New Roman" w:eastAsia="宋体" w:cs="Times New Roman"/>
                <w:sz w:val="21"/>
                <w:szCs w:val="21"/>
              </w:rPr>
              <w:t>11.7</w:t>
            </w:r>
          </w:p>
        </w:tc>
        <w:tc>
          <w:tcPr>
            <w:tcW w:w="1289" w:type="dxa"/>
            <w:tcBorders>
              <w:top w:val="single" w:color="auto" w:sz="4" w:space="0"/>
              <w:left w:val="nil"/>
              <w:bottom w:val="single" w:color="auto" w:sz="4" w:space="0"/>
              <w:right w:val="single" w:color="auto" w:sz="4" w:space="0"/>
            </w:tcBorders>
            <w:noWrap w:val="0"/>
            <w:vAlign w:val="center"/>
          </w:tcPr>
          <w:p w14:paraId="7B13E054">
            <w:pPr>
              <w:jc w:val="center"/>
              <w:rPr>
                <w:rFonts w:ascii="Times New Roman" w:hAnsi="Times New Roman" w:eastAsia="宋体" w:cs="Times New Roman"/>
                <w:sz w:val="21"/>
                <w:szCs w:val="21"/>
              </w:rPr>
            </w:pPr>
            <w:r>
              <w:rPr>
                <w:rFonts w:ascii="Times New Roman" w:hAnsi="Times New Roman" w:eastAsia="宋体" w:cs="Times New Roman"/>
                <w:sz w:val="21"/>
                <w:szCs w:val="21"/>
              </w:rPr>
              <w:t>9.37</w:t>
            </w:r>
          </w:p>
        </w:tc>
        <w:tc>
          <w:tcPr>
            <w:tcW w:w="1111" w:type="dxa"/>
            <w:tcBorders>
              <w:top w:val="single" w:color="auto" w:sz="4" w:space="0"/>
              <w:left w:val="nil"/>
              <w:bottom w:val="single" w:color="auto" w:sz="4" w:space="0"/>
              <w:right w:val="single" w:color="auto" w:sz="4" w:space="0"/>
            </w:tcBorders>
            <w:noWrap w:val="0"/>
            <w:vAlign w:val="center"/>
          </w:tcPr>
          <w:p w14:paraId="2374D428">
            <w:pPr>
              <w:jc w:val="center"/>
              <w:rPr>
                <w:rFonts w:ascii="Times New Roman" w:hAnsi="Times New Roman" w:eastAsia="宋体" w:cs="Times New Roman"/>
                <w:sz w:val="21"/>
                <w:szCs w:val="21"/>
              </w:rPr>
            </w:pPr>
            <w:r>
              <w:rPr>
                <w:rFonts w:ascii="Times New Roman" w:hAnsi="Times New Roman" w:eastAsia="宋体" w:cs="Times New Roman"/>
                <w:sz w:val="21"/>
                <w:szCs w:val="21"/>
              </w:rPr>
              <w:t>8.5</w:t>
            </w:r>
          </w:p>
        </w:tc>
      </w:tr>
      <w:tr w14:paraId="519959EF">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0265D8C5">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18</w:t>
            </w:r>
          </w:p>
        </w:tc>
        <w:tc>
          <w:tcPr>
            <w:tcW w:w="1289" w:type="dxa"/>
            <w:tcBorders>
              <w:top w:val="single" w:color="auto" w:sz="4" w:space="0"/>
              <w:left w:val="nil"/>
              <w:bottom w:val="single" w:color="auto" w:sz="4" w:space="0"/>
              <w:right w:val="single" w:color="auto" w:sz="4" w:space="0"/>
            </w:tcBorders>
            <w:noWrap w:val="0"/>
            <w:vAlign w:val="center"/>
          </w:tcPr>
          <w:p w14:paraId="55660864">
            <w:pPr>
              <w:jc w:val="center"/>
              <w:rPr>
                <w:rFonts w:ascii="Times New Roman" w:hAnsi="Times New Roman" w:eastAsia="宋体" w:cs="Times New Roman"/>
                <w:sz w:val="21"/>
                <w:szCs w:val="21"/>
              </w:rPr>
            </w:pPr>
            <w:r>
              <w:rPr>
                <w:rFonts w:ascii="Times New Roman" w:hAnsi="Times New Roman" w:eastAsia="宋体" w:cs="Times New Roman"/>
                <w:sz w:val="21"/>
                <w:szCs w:val="21"/>
              </w:rPr>
              <w:t>15.6</w:t>
            </w:r>
          </w:p>
        </w:tc>
        <w:tc>
          <w:tcPr>
            <w:tcW w:w="1289" w:type="dxa"/>
            <w:tcBorders>
              <w:top w:val="single" w:color="auto" w:sz="4" w:space="0"/>
              <w:left w:val="nil"/>
              <w:bottom w:val="single" w:color="auto" w:sz="4" w:space="0"/>
              <w:right w:val="single" w:color="auto" w:sz="4" w:space="0"/>
            </w:tcBorders>
            <w:noWrap w:val="0"/>
            <w:vAlign w:val="center"/>
          </w:tcPr>
          <w:p w14:paraId="3E057837">
            <w:pPr>
              <w:jc w:val="center"/>
              <w:rPr>
                <w:rFonts w:ascii="Times New Roman" w:hAnsi="Times New Roman" w:eastAsia="宋体" w:cs="Times New Roman"/>
                <w:sz w:val="21"/>
                <w:szCs w:val="21"/>
              </w:rPr>
            </w:pPr>
            <w:r>
              <w:rPr>
                <w:rFonts w:ascii="Times New Roman" w:hAnsi="Times New Roman" w:eastAsia="宋体" w:cs="Times New Roman"/>
                <w:sz w:val="21"/>
                <w:szCs w:val="21"/>
              </w:rPr>
              <w:t>14.7</w:t>
            </w:r>
          </w:p>
        </w:tc>
        <w:tc>
          <w:tcPr>
            <w:tcW w:w="1111" w:type="dxa"/>
            <w:tcBorders>
              <w:top w:val="single" w:color="auto" w:sz="4" w:space="0"/>
              <w:left w:val="nil"/>
              <w:bottom w:val="single" w:color="auto" w:sz="4" w:space="0"/>
              <w:right w:val="single" w:color="auto" w:sz="4" w:space="0"/>
            </w:tcBorders>
            <w:noWrap w:val="0"/>
            <w:vAlign w:val="center"/>
          </w:tcPr>
          <w:p w14:paraId="401EC87D">
            <w:pPr>
              <w:jc w:val="center"/>
              <w:rPr>
                <w:rFonts w:ascii="Times New Roman" w:hAnsi="Times New Roman" w:eastAsia="宋体" w:cs="Times New Roman"/>
                <w:sz w:val="21"/>
                <w:szCs w:val="21"/>
              </w:rPr>
            </w:pPr>
            <w:r>
              <w:rPr>
                <w:rFonts w:ascii="Times New Roman" w:hAnsi="Times New Roman" w:eastAsia="宋体" w:cs="Times New Roman"/>
                <w:sz w:val="21"/>
                <w:szCs w:val="21"/>
              </w:rPr>
              <w:t>10.6</w:t>
            </w:r>
          </w:p>
        </w:tc>
        <w:tc>
          <w:tcPr>
            <w:tcW w:w="1289" w:type="dxa"/>
            <w:tcBorders>
              <w:top w:val="single" w:color="auto" w:sz="4" w:space="0"/>
              <w:left w:val="nil"/>
              <w:bottom w:val="single" w:color="auto" w:sz="4" w:space="0"/>
              <w:right w:val="single" w:color="auto" w:sz="4" w:space="0"/>
            </w:tcBorders>
            <w:noWrap w:val="0"/>
            <w:vAlign w:val="center"/>
          </w:tcPr>
          <w:p w14:paraId="4E6223F6">
            <w:pPr>
              <w:jc w:val="center"/>
              <w:rPr>
                <w:rFonts w:ascii="Times New Roman" w:hAnsi="Times New Roman" w:eastAsia="宋体" w:cs="Times New Roman"/>
                <w:sz w:val="21"/>
                <w:szCs w:val="21"/>
              </w:rPr>
            </w:pPr>
            <w:r>
              <w:rPr>
                <w:rFonts w:ascii="Times New Roman" w:hAnsi="Times New Roman" w:eastAsia="宋体" w:cs="Times New Roman"/>
                <w:sz w:val="21"/>
                <w:szCs w:val="21"/>
              </w:rPr>
              <w:t>8.52</w:t>
            </w:r>
          </w:p>
        </w:tc>
        <w:tc>
          <w:tcPr>
            <w:tcW w:w="1111" w:type="dxa"/>
            <w:tcBorders>
              <w:top w:val="single" w:color="auto" w:sz="4" w:space="0"/>
              <w:left w:val="nil"/>
              <w:bottom w:val="single" w:color="auto" w:sz="4" w:space="0"/>
              <w:right w:val="single" w:color="auto" w:sz="4" w:space="0"/>
            </w:tcBorders>
            <w:noWrap w:val="0"/>
            <w:vAlign w:val="center"/>
          </w:tcPr>
          <w:p w14:paraId="4C4E57C1">
            <w:pPr>
              <w:jc w:val="center"/>
              <w:rPr>
                <w:rFonts w:ascii="Times New Roman" w:hAnsi="Times New Roman" w:eastAsia="宋体" w:cs="Times New Roman"/>
                <w:sz w:val="21"/>
                <w:szCs w:val="21"/>
              </w:rPr>
            </w:pPr>
            <w:r>
              <w:rPr>
                <w:rFonts w:ascii="Times New Roman" w:hAnsi="Times New Roman" w:eastAsia="宋体" w:cs="Times New Roman"/>
                <w:sz w:val="21"/>
                <w:szCs w:val="21"/>
              </w:rPr>
              <w:t>7.71</w:t>
            </w:r>
          </w:p>
        </w:tc>
      </w:tr>
      <w:tr w14:paraId="23754BBE">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65DB7DB9">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19</w:t>
            </w:r>
          </w:p>
        </w:tc>
        <w:tc>
          <w:tcPr>
            <w:tcW w:w="1289" w:type="dxa"/>
            <w:tcBorders>
              <w:top w:val="single" w:color="auto" w:sz="4" w:space="0"/>
              <w:left w:val="nil"/>
              <w:bottom w:val="single" w:color="auto" w:sz="4" w:space="0"/>
              <w:right w:val="single" w:color="auto" w:sz="4" w:space="0"/>
            </w:tcBorders>
            <w:noWrap w:val="0"/>
            <w:vAlign w:val="center"/>
          </w:tcPr>
          <w:p w14:paraId="290A5FD4">
            <w:pPr>
              <w:jc w:val="center"/>
              <w:rPr>
                <w:rFonts w:ascii="Times New Roman" w:hAnsi="Times New Roman" w:eastAsia="宋体" w:cs="Times New Roman"/>
                <w:sz w:val="21"/>
                <w:szCs w:val="21"/>
              </w:rPr>
            </w:pPr>
            <w:r>
              <w:rPr>
                <w:rFonts w:ascii="Times New Roman" w:hAnsi="Times New Roman" w:eastAsia="宋体" w:cs="Times New Roman"/>
                <w:sz w:val="21"/>
                <w:szCs w:val="21"/>
              </w:rPr>
              <w:t>14.3</w:t>
            </w:r>
          </w:p>
        </w:tc>
        <w:tc>
          <w:tcPr>
            <w:tcW w:w="1289" w:type="dxa"/>
            <w:tcBorders>
              <w:top w:val="single" w:color="auto" w:sz="4" w:space="0"/>
              <w:left w:val="nil"/>
              <w:bottom w:val="single" w:color="auto" w:sz="4" w:space="0"/>
              <w:right w:val="single" w:color="auto" w:sz="4" w:space="0"/>
            </w:tcBorders>
            <w:noWrap w:val="0"/>
            <w:vAlign w:val="center"/>
          </w:tcPr>
          <w:p w14:paraId="2BC7866E">
            <w:pPr>
              <w:jc w:val="center"/>
              <w:rPr>
                <w:rFonts w:ascii="Times New Roman" w:hAnsi="Times New Roman" w:eastAsia="宋体" w:cs="Times New Roman"/>
                <w:sz w:val="21"/>
                <w:szCs w:val="21"/>
              </w:rPr>
            </w:pPr>
            <w:r>
              <w:rPr>
                <w:rFonts w:ascii="Times New Roman" w:hAnsi="Times New Roman" w:eastAsia="宋体" w:cs="Times New Roman"/>
                <w:sz w:val="21"/>
                <w:szCs w:val="21"/>
              </w:rPr>
              <w:t>13.4</w:t>
            </w:r>
          </w:p>
        </w:tc>
        <w:tc>
          <w:tcPr>
            <w:tcW w:w="1111" w:type="dxa"/>
            <w:tcBorders>
              <w:top w:val="single" w:color="auto" w:sz="4" w:space="0"/>
              <w:left w:val="nil"/>
              <w:bottom w:val="single" w:color="auto" w:sz="4" w:space="0"/>
              <w:right w:val="single" w:color="auto" w:sz="4" w:space="0"/>
            </w:tcBorders>
            <w:noWrap w:val="0"/>
            <w:vAlign w:val="center"/>
          </w:tcPr>
          <w:p w14:paraId="6A3D1DD0">
            <w:pPr>
              <w:jc w:val="center"/>
              <w:rPr>
                <w:rFonts w:ascii="Times New Roman" w:hAnsi="Times New Roman" w:eastAsia="宋体" w:cs="Times New Roman"/>
                <w:sz w:val="21"/>
                <w:szCs w:val="21"/>
              </w:rPr>
            </w:pPr>
            <w:r>
              <w:rPr>
                <w:rFonts w:ascii="Times New Roman" w:hAnsi="Times New Roman" w:eastAsia="宋体" w:cs="Times New Roman"/>
                <w:sz w:val="21"/>
                <w:szCs w:val="21"/>
              </w:rPr>
              <w:t>9.66</w:t>
            </w:r>
          </w:p>
        </w:tc>
        <w:tc>
          <w:tcPr>
            <w:tcW w:w="1289" w:type="dxa"/>
            <w:tcBorders>
              <w:top w:val="single" w:color="auto" w:sz="4" w:space="0"/>
              <w:left w:val="nil"/>
              <w:bottom w:val="single" w:color="auto" w:sz="4" w:space="0"/>
              <w:right w:val="single" w:color="auto" w:sz="4" w:space="0"/>
            </w:tcBorders>
            <w:noWrap w:val="0"/>
            <w:vAlign w:val="center"/>
          </w:tcPr>
          <w:p w14:paraId="3CD21357">
            <w:pPr>
              <w:jc w:val="center"/>
              <w:rPr>
                <w:rFonts w:ascii="Times New Roman" w:hAnsi="Times New Roman" w:eastAsia="宋体" w:cs="Times New Roman"/>
                <w:sz w:val="21"/>
                <w:szCs w:val="21"/>
              </w:rPr>
            </w:pPr>
            <w:r>
              <w:rPr>
                <w:rFonts w:ascii="Times New Roman" w:hAnsi="Times New Roman" w:eastAsia="宋体" w:cs="Times New Roman"/>
                <w:sz w:val="21"/>
                <w:szCs w:val="21"/>
              </w:rPr>
              <w:t>7.76</w:t>
            </w:r>
          </w:p>
        </w:tc>
        <w:tc>
          <w:tcPr>
            <w:tcW w:w="1111" w:type="dxa"/>
            <w:tcBorders>
              <w:top w:val="single" w:color="auto" w:sz="4" w:space="0"/>
              <w:left w:val="nil"/>
              <w:bottom w:val="single" w:color="auto" w:sz="4" w:space="0"/>
              <w:right w:val="single" w:color="auto" w:sz="4" w:space="0"/>
            </w:tcBorders>
            <w:noWrap w:val="0"/>
            <w:vAlign w:val="center"/>
          </w:tcPr>
          <w:p w14:paraId="5932A19D">
            <w:pPr>
              <w:jc w:val="center"/>
              <w:rPr>
                <w:rFonts w:ascii="Times New Roman" w:hAnsi="Times New Roman" w:eastAsia="宋体" w:cs="Times New Roman"/>
                <w:sz w:val="21"/>
                <w:szCs w:val="21"/>
              </w:rPr>
            </w:pPr>
            <w:r>
              <w:rPr>
                <w:rFonts w:ascii="Times New Roman" w:hAnsi="Times New Roman" w:eastAsia="宋体" w:cs="Times New Roman"/>
                <w:sz w:val="21"/>
                <w:szCs w:val="21"/>
              </w:rPr>
              <w:t>7.01</w:t>
            </w:r>
          </w:p>
        </w:tc>
      </w:tr>
      <w:tr w14:paraId="3E340B23">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3B28DF4F">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20</w:t>
            </w:r>
          </w:p>
        </w:tc>
        <w:tc>
          <w:tcPr>
            <w:tcW w:w="1289" w:type="dxa"/>
            <w:tcBorders>
              <w:top w:val="single" w:color="auto" w:sz="4" w:space="0"/>
              <w:left w:val="nil"/>
              <w:bottom w:val="single" w:color="auto" w:sz="4" w:space="0"/>
              <w:right w:val="single" w:color="auto" w:sz="4" w:space="0"/>
            </w:tcBorders>
            <w:noWrap w:val="0"/>
            <w:vAlign w:val="center"/>
          </w:tcPr>
          <w:p w14:paraId="3DD75931">
            <w:pPr>
              <w:jc w:val="center"/>
              <w:rPr>
                <w:rFonts w:ascii="Times New Roman" w:hAnsi="Times New Roman" w:eastAsia="宋体" w:cs="Times New Roman"/>
                <w:sz w:val="21"/>
                <w:szCs w:val="21"/>
              </w:rPr>
            </w:pPr>
            <w:r>
              <w:rPr>
                <w:rFonts w:ascii="Times New Roman" w:hAnsi="Times New Roman" w:eastAsia="宋体" w:cs="Times New Roman"/>
                <w:sz w:val="21"/>
                <w:szCs w:val="21"/>
              </w:rPr>
              <w:t>13.1</w:t>
            </w:r>
          </w:p>
        </w:tc>
        <w:tc>
          <w:tcPr>
            <w:tcW w:w="1289" w:type="dxa"/>
            <w:tcBorders>
              <w:top w:val="single" w:color="auto" w:sz="4" w:space="0"/>
              <w:left w:val="nil"/>
              <w:bottom w:val="single" w:color="auto" w:sz="4" w:space="0"/>
              <w:right w:val="single" w:color="auto" w:sz="4" w:space="0"/>
            </w:tcBorders>
            <w:noWrap w:val="0"/>
            <w:vAlign w:val="center"/>
          </w:tcPr>
          <w:p w14:paraId="1F939580">
            <w:pPr>
              <w:jc w:val="center"/>
              <w:rPr>
                <w:rFonts w:ascii="Times New Roman" w:hAnsi="Times New Roman" w:eastAsia="宋体" w:cs="Times New Roman"/>
                <w:sz w:val="21"/>
                <w:szCs w:val="21"/>
              </w:rPr>
            </w:pPr>
            <w:r>
              <w:rPr>
                <w:rFonts w:ascii="Times New Roman" w:hAnsi="Times New Roman" w:eastAsia="宋体" w:cs="Times New Roman"/>
                <w:sz w:val="21"/>
                <w:szCs w:val="21"/>
              </w:rPr>
              <w:t>12.3</w:t>
            </w:r>
          </w:p>
        </w:tc>
        <w:tc>
          <w:tcPr>
            <w:tcW w:w="1111" w:type="dxa"/>
            <w:tcBorders>
              <w:top w:val="single" w:color="auto" w:sz="4" w:space="0"/>
              <w:left w:val="nil"/>
              <w:bottom w:val="single" w:color="auto" w:sz="4" w:space="0"/>
              <w:right w:val="single" w:color="auto" w:sz="4" w:space="0"/>
            </w:tcBorders>
            <w:noWrap w:val="0"/>
            <w:vAlign w:val="center"/>
          </w:tcPr>
          <w:p w14:paraId="6DA96CDD">
            <w:pPr>
              <w:jc w:val="center"/>
              <w:rPr>
                <w:rFonts w:ascii="Times New Roman" w:hAnsi="Times New Roman" w:eastAsia="宋体" w:cs="Times New Roman"/>
                <w:sz w:val="21"/>
                <w:szCs w:val="21"/>
              </w:rPr>
            </w:pPr>
            <w:r>
              <w:rPr>
                <w:rFonts w:ascii="Times New Roman" w:hAnsi="Times New Roman" w:eastAsia="宋体" w:cs="Times New Roman"/>
                <w:sz w:val="21"/>
                <w:szCs w:val="21"/>
              </w:rPr>
              <w:t>8.79</w:t>
            </w:r>
          </w:p>
        </w:tc>
        <w:tc>
          <w:tcPr>
            <w:tcW w:w="1289" w:type="dxa"/>
            <w:tcBorders>
              <w:top w:val="single" w:color="auto" w:sz="4" w:space="0"/>
              <w:left w:val="nil"/>
              <w:bottom w:val="single" w:color="auto" w:sz="4" w:space="0"/>
              <w:right w:val="single" w:color="auto" w:sz="4" w:space="0"/>
            </w:tcBorders>
            <w:noWrap w:val="0"/>
            <w:vAlign w:val="center"/>
          </w:tcPr>
          <w:p w14:paraId="3C32BF58">
            <w:pPr>
              <w:jc w:val="center"/>
              <w:rPr>
                <w:rFonts w:ascii="Times New Roman" w:hAnsi="Times New Roman" w:eastAsia="宋体" w:cs="Times New Roman"/>
                <w:sz w:val="21"/>
                <w:szCs w:val="21"/>
              </w:rPr>
            </w:pPr>
            <w:r>
              <w:rPr>
                <w:rFonts w:ascii="Times New Roman" w:hAnsi="Times New Roman" w:eastAsia="宋体" w:cs="Times New Roman"/>
                <w:sz w:val="21"/>
                <w:szCs w:val="21"/>
              </w:rPr>
              <w:t>7.06</w:t>
            </w:r>
          </w:p>
        </w:tc>
        <w:tc>
          <w:tcPr>
            <w:tcW w:w="1111" w:type="dxa"/>
            <w:tcBorders>
              <w:top w:val="single" w:color="auto" w:sz="4" w:space="0"/>
              <w:left w:val="nil"/>
              <w:bottom w:val="single" w:color="auto" w:sz="4" w:space="0"/>
              <w:right w:val="single" w:color="auto" w:sz="4" w:space="0"/>
            </w:tcBorders>
            <w:noWrap w:val="0"/>
            <w:vAlign w:val="center"/>
          </w:tcPr>
          <w:p w14:paraId="0699EA18">
            <w:pPr>
              <w:jc w:val="center"/>
              <w:rPr>
                <w:rFonts w:ascii="Times New Roman" w:hAnsi="Times New Roman" w:eastAsia="宋体" w:cs="Times New Roman"/>
                <w:sz w:val="21"/>
                <w:szCs w:val="21"/>
              </w:rPr>
            </w:pPr>
            <w:r>
              <w:rPr>
                <w:rFonts w:ascii="Times New Roman" w:hAnsi="Times New Roman" w:eastAsia="宋体" w:cs="Times New Roman"/>
                <w:sz w:val="21"/>
                <w:szCs w:val="21"/>
              </w:rPr>
              <w:t>6.36</w:t>
            </w:r>
          </w:p>
        </w:tc>
      </w:tr>
      <w:tr w14:paraId="1C4A5D2B">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624BA5F5">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21</w:t>
            </w:r>
          </w:p>
        </w:tc>
        <w:tc>
          <w:tcPr>
            <w:tcW w:w="1289" w:type="dxa"/>
            <w:tcBorders>
              <w:top w:val="single" w:color="auto" w:sz="4" w:space="0"/>
              <w:left w:val="nil"/>
              <w:bottom w:val="single" w:color="auto" w:sz="4" w:space="0"/>
              <w:right w:val="single" w:color="auto" w:sz="4" w:space="0"/>
            </w:tcBorders>
            <w:noWrap w:val="0"/>
            <w:vAlign w:val="center"/>
          </w:tcPr>
          <w:p w14:paraId="7DE9CE52">
            <w:pPr>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1289" w:type="dxa"/>
            <w:tcBorders>
              <w:top w:val="single" w:color="auto" w:sz="4" w:space="0"/>
              <w:left w:val="nil"/>
              <w:bottom w:val="single" w:color="auto" w:sz="4" w:space="0"/>
              <w:right w:val="single" w:color="auto" w:sz="4" w:space="0"/>
            </w:tcBorders>
            <w:noWrap w:val="0"/>
            <w:vAlign w:val="center"/>
          </w:tcPr>
          <w:p w14:paraId="6426ADE3">
            <w:pPr>
              <w:jc w:val="center"/>
              <w:rPr>
                <w:rFonts w:ascii="Times New Roman" w:hAnsi="Times New Roman" w:eastAsia="宋体" w:cs="Times New Roman"/>
                <w:sz w:val="21"/>
                <w:szCs w:val="21"/>
              </w:rPr>
            </w:pPr>
            <w:r>
              <w:rPr>
                <w:rFonts w:ascii="Times New Roman" w:hAnsi="Times New Roman" w:eastAsia="宋体" w:cs="Times New Roman"/>
                <w:sz w:val="21"/>
                <w:szCs w:val="21"/>
              </w:rPr>
              <w:t>11.3</w:t>
            </w:r>
          </w:p>
        </w:tc>
        <w:tc>
          <w:tcPr>
            <w:tcW w:w="1111" w:type="dxa"/>
            <w:tcBorders>
              <w:top w:val="single" w:color="auto" w:sz="4" w:space="0"/>
              <w:left w:val="nil"/>
              <w:bottom w:val="single" w:color="auto" w:sz="4" w:space="0"/>
              <w:right w:val="single" w:color="auto" w:sz="4" w:space="0"/>
            </w:tcBorders>
            <w:noWrap w:val="0"/>
            <w:vAlign w:val="center"/>
          </w:tcPr>
          <w:p w14:paraId="71AFE276">
            <w:pPr>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1289" w:type="dxa"/>
            <w:tcBorders>
              <w:top w:val="single" w:color="auto" w:sz="4" w:space="0"/>
              <w:left w:val="nil"/>
              <w:bottom w:val="single" w:color="auto" w:sz="4" w:space="0"/>
              <w:right w:val="single" w:color="auto" w:sz="4" w:space="0"/>
            </w:tcBorders>
            <w:noWrap w:val="0"/>
            <w:vAlign w:val="center"/>
          </w:tcPr>
          <w:p w14:paraId="34A5FFFE">
            <w:pPr>
              <w:jc w:val="center"/>
              <w:rPr>
                <w:rFonts w:ascii="Times New Roman" w:hAnsi="Times New Roman" w:eastAsia="宋体" w:cs="Times New Roman"/>
                <w:sz w:val="21"/>
                <w:szCs w:val="21"/>
              </w:rPr>
            </w:pPr>
            <w:r>
              <w:rPr>
                <w:rFonts w:ascii="Times New Roman" w:hAnsi="Times New Roman" w:eastAsia="宋体" w:cs="Times New Roman"/>
                <w:sz w:val="21"/>
                <w:szCs w:val="21"/>
              </w:rPr>
              <w:t>6.42</w:t>
            </w:r>
          </w:p>
        </w:tc>
        <w:tc>
          <w:tcPr>
            <w:tcW w:w="1111" w:type="dxa"/>
            <w:tcBorders>
              <w:top w:val="single" w:color="auto" w:sz="4" w:space="0"/>
              <w:left w:val="nil"/>
              <w:bottom w:val="single" w:color="auto" w:sz="4" w:space="0"/>
              <w:right w:val="single" w:color="auto" w:sz="4" w:space="0"/>
            </w:tcBorders>
            <w:noWrap w:val="0"/>
            <w:vAlign w:val="center"/>
          </w:tcPr>
          <w:p w14:paraId="19D7601C">
            <w:pPr>
              <w:jc w:val="center"/>
              <w:rPr>
                <w:rFonts w:ascii="Times New Roman" w:hAnsi="Times New Roman" w:eastAsia="宋体" w:cs="Times New Roman"/>
                <w:sz w:val="21"/>
                <w:szCs w:val="21"/>
              </w:rPr>
            </w:pPr>
            <w:r>
              <w:rPr>
                <w:rFonts w:ascii="Times New Roman" w:hAnsi="Times New Roman" w:eastAsia="宋体" w:cs="Times New Roman"/>
                <w:sz w:val="21"/>
                <w:szCs w:val="21"/>
              </w:rPr>
              <w:t>5.78</w:t>
            </w:r>
          </w:p>
        </w:tc>
      </w:tr>
      <w:tr w14:paraId="4B43CA1F">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1E185D0C">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22</w:t>
            </w:r>
          </w:p>
        </w:tc>
        <w:tc>
          <w:tcPr>
            <w:tcW w:w="1289" w:type="dxa"/>
            <w:tcBorders>
              <w:top w:val="single" w:color="auto" w:sz="4" w:space="0"/>
              <w:left w:val="nil"/>
              <w:bottom w:val="single" w:color="auto" w:sz="4" w:space="0"/>
              <w:right w:val="single" w:color="auto" w:sz="4" w:space="0"/>
            </w:tcBorders>
            <w:noWrap w:val="0"/>
            <w:vAlign w:val="center"/>
          </w:tcPr>
          <w:p w14:paraId="100ABAE2">
            <w:pPr>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1289" w:type="dxa"/>
            <w:tcBorders>
              <w:top w:val="single" w:color="auto" w:sz="4" w:space="0"/>
              <w:left w:val="nil"/>
              <w:bottom w:val="single" w:color="auto" w:sz="4" w:space="0"/>
              <w:right w:val="single" w:color="auto" w:sz="4" w:space="0"/>
            </w:tcBorders>
            <w:noWrap w:val="0"/>
            <w:vAlign w:val="center"/>
          </w:tcPr>
          <w:p w14:paraId="7C135BE6">
            <w:pPr>
              <w:jc w:val="center"/>
              <w:rPr>
                <w:rFonts w:ascii="Times New Roman" w:hAnsi="Times New Roman" w:eastAsia="宋体" w:cs="Times New Roman"/>
                <w:sz w:val="21"/>
                <w:szCs w:val="21"/>
              </w:rPr>
            </w:pPr>
            <w:r>
              <w:rPr>
                <w:rFonts w:ascii="Times New Roman" w:hAnsi="Times New Roman" w:eastAsia="宋体" w:cs="Times New Roman"/>
                <w:sz w:val="21"/>
                <w:szCs w:val="21"/>
              </w:rPr>
              <w:t>10.3</w:t>
            </w:r>
          </w:p>
        </w:tc>
        <w:tc>
          <w:tcPr>
            <w:tcW w:w="1111" w:type="dxa"/>
            <w:tcBorders>
              <w:top w:val="single" w:color="auto" w:sz="4" w:space="0"/>
              <w:left w:val="nil"/>
              <w:bottom w:val="single" w:color="auto" w:sz="4" w:space="0"/>
              <w:right w:val="single" w:color="auto" w:sz="4" w:space="0"/>
            </w:tcBorders>
            <w:noWrap w:val="0"/>
            <w:vAlign w:val="center"/>
          </w:tcPr>
          <w:p w14:paraId="3DB933C0">
            <w:pPr>
              <w:jc w:val="center"/>
              <w:rPr>
                <w:rFonts w:ascii="Times New Roman" w:hAnsi="Times New Roman" w:eastAsia="宋体" w:cs="Times New Roman"/>
                <w:sz w:val="21"/>
                <w:szCs w:val="21"/>
              </w:rPr>
            </w:pPr>
            <w:r>
              <w:rPr>
                <w:rFonts w:ascii="Times New Roman" w:hAnsi="Times New Roman" w:eastAsia="宋体" w:cs="Times New Roman"/>
                <w:sz w:val="21"/>
                <w:szCs w:val="21"/>
              </w:rPr>
              <w:t>7.28</w:t>
            </w:r>
          </w:p>
        </w:tc>
        <w:tc>
          <w:tcPr>
            <w:tcW w:w="1289" w:type="dxa"/>
            <w:tcBorders>
              <w:top w:val="single" w:color="auto" w:sz="4" w:space="0"/>
              <w:left w:val="nil"/>
              <w:bottom w:val="single" w:color="auto" w:sz="4" w:space="0"/>
              <w:right w:val="single" w:color="auto" w:sz="4" w:space="0"/>
            </w:tcBorders>
            <w:noWrap w:val="0"/>
            <w:vAlign w:val="center"/>
          </w:tcPr>
          <w:p w14:paraId="180BBE42">
            <w:pPr>
              <w:jc w:val="center"/>
              <w:rPr>
                <w:rFonts w:ascii="Times New Roman" w:hAnsi="Times New Roman" w:eastAsia="宋体" w:cs="Times New Roman"/>
                <w:sz w:val="21"/>
                <w:szCs w:val="21"/>
              </w:rPr>
            </w:pPr>
            <w:r>
              <w:rPr>
                <w:rFonts w:ascii="Times New Roman" w:hAnsi="Times New Roman" w:eastAsia="宋体" w:cs="Times New Roman"/>
                <w:sz w:val="21"/>
                <w:szCs w:val="21"/>
              </w:rPr>
              <w:t>5.84</w:t>
            </w:r>
          </w:p>
        </w:tc>
        <w:tc>
          <w:tcPr>
            <w:tcW w:w="1111" w:type="dxa"/>
            <w:tcBorders>
              <w:top w:val="single" w:color="auto" w:sz="4" w:space="0"/>
              <w:left w:val="nil"/>
              <w:bottom w:val="single" w:color="auto" w:sz="4" w:space="0"/>
              <w:right w:val="single" w:color="auto" w:sz="4" w:space="0"/>
            </w:tcBorders>
            <w:noWrap w:val="0"/>
            <w:vAlign w:val="center"/>
          </w:tcPr>
          <w:p w14:paraId="44A0B25B">
            <w:pPr>
              <w:jc w:val="center"/>
              <w:rPr>
                <w:rFonts w:ascii="Times New Roman" w:hAnsi="Times New Roman" w:eastAsia="宋体" w:cs="Times New Roman"/>
                <w:sz w:val="21"/>
                <w:szCs w:val="21"/>
              </w:rPr>
            </w:pPr>
            <w:r>
              <w:rPr>
                <w:rFonts w:ascii="Times New Roman" w:hAnsi="Times New Roman" w:eastAsia="宋体" w:cs="Times New Roman"/>
                <w:sz w:val="21"/>
                <w:szCs w:val="21"/>
              </w:rPr>
              <w:t>5.24</w:t>
            </w:r>
          </w:p>
        </w:tc>
      </w:tr>
      <w:tr w14:paraId="2777B92F">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085BB7A8">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23</w:t>
            </w:r>
          </w:p>
        </w:tc>
        <w:tc>
          <w:tcPr>
            <w:tcW w:w="1289" w:type="dxa"/>
            <w:tcBorders>
              <w:top w:val="single" w:color="auto" w:sz="4" w:space="0"/>
              <w:left w:val="nil"/>
              <w:bottom w:val="single" w:color="auto" w:sz="4" w:space="0"/>
              <w:right w:val="single" w:color="auto" w:sz="4" w:space="0"/>
            </w:tcBorders>
            <w:noWrap w:val="0"/>
            <w:vAlign w:val="center"/>
          </w:tcPr>
          <w:p w14:paraId="126858F1">
            <w:pPr>
              <w:jc w:val="center"/>
              <w:rPr>
                <w:rFonts w:ascii="Times New Roman" w:hAnsi="Times New Roman" w:eastAsia="宋体" w:cs="Times New Roman"/>
                <w:sz w:val="21"/>
                <w:szCs w:val="21"/>
              </w:rPr>
            </w:pPr>
            <w:r>
              <w:rPr>
                <w:rFonts w:ascii="Times New Roman" w:hAnsi="Times New Roman" w:eastAsia="宋体" w:cs="Times New Roman"/>
                <w:sz w:val="21"/>
                <w:szCs w:val="21"/>
              </w:rPr>
              <w:t>10.1</w:t>
            </w:r>
          </w:p>
        </w:tc>
        <w:tc>
          <w:tcPr>
            <w:tcW w:w="1289" w:type="dxa"/>
            <w:tcBorders>
              <w:top w:val="single" w:color="auto" w:sz="4" w:space="0"/>
              <w:left w:val="nil"/>
              <w:bottom w:val="single" w:color="auto" w:sz="4" w:space="0"/>
              <w:right w:val="single" w:color="auto" w:sz="4" w:space="0"/>
            </w:tcBorders>
            <w:noWrap w:val="0"/>
            <w:vAlign w:val="center"/>
          </w:tcPr>
          <w:p w14:paraId="774A53BE">
            <w:pPr>
              <w:jc w:val="center"/>
              <w:rPr>
                <w:rFonts w:ascii="Times New Roman" w:hAnsi="Times New Roman" w:eastAsia="宋体" w:cs="Times New Roman"/>
                <w:sz w:val="21"/>
                <w:szCs w:val="21"/>
              </w:rPr>
            </w:pPr>
            <w:r>
              <w:rPr>
                <w:rFonts w:ascii="Times New Roman" w:hAnsi="Times New Roman" w:eastAsia="宋体" w:cs="Times New Roman"/>
                <w:sz w:val="21"/>
                <w:szCs w:val="21"/>
              </w:rPr>
              <w:t>9.46</w:t>
            </w:r>
          </w:p>
        </w:tc>
        <w:tc>
          <w:tcPr>
            <w:tcW w:w="1111" w:type="dxa"/>
            <w:tcBorders>
              <w:top w:val="single" w:color="auto" w:sz="4" w:space="0"/>
              <w:left w:val="nil"/>
              <w:bottom w:val="single" w:color="auto" w:sz="4" w:space="0"/>
              <w:right w:val="single" w:color="auto" w:sz="4" w:space="0"/>
            </w:tcBorders>
            <w:noWrap w:val="0"/>
            <w:vAlign w:val="center"/>
          </w:tcPr>
          <w:p w14:paraId="37E5CAA1">
            <w:pPr>
              <w:jc w:val="center"/>
              <w:rPr>
                <w:rFonts w:ascii="Times New Roman" w:hAnsi="Times New Roman" w:eastAsia="宋体" w:cs="Times New Roman"/>
                <w:sz w:val="21"/>
                <w:szCs w:val="21"/>
              </w:rPr>
            </w:pPr>
            <w:r>
              <w:rPr>
                <w:rFonts w:ascii="Times New Roman" w:hAnsi="Times New Roman" w:eastAsia="宋体" w:cs="Times New Roman"/>
                <w:sz w:val="21"/>
                <w:szCs w:val="21"/>
              </w:rPr>
              <w:t>6.63</w:t>
            </w:r>
          </w:p>
        </w:tc>
        <w:tc>
          <w:tcPr>
            <w:tcW w:w="1289" w:type="dxa"/>
            <w:tcBorders>
              <w:top w:val="single" w:color="auto" w:sz="4" w:space="0"/>
              <w:left w:val="nil"/>
              <w:bottom w:val="single" w:color="auto" w:sz="4" w:space="0"/>
              <w:right w:val="single" w:color="auto" w:sz="4" w:space="0"/>
            </w:tcBorders>
            <w:noWrap w:val="0"/>
            <w:vAlign w:val="center"/>
          </w:tcPr>
          <w:p w14:paraId="57F68EFA">
            <w:pPr>
              <w:jc w:val="center"/>
              <w:rPr>
                <w:rFonts w:ascii="Times New Roman" w:hAnsi="Times New Roman" w:eastAsia="宋体" w:cs="Times New Roman"/>
                <w:sz w:val="21"/>
                <w:szCs w:val="21"/>
              </w:rPr>
            </w:pPr>
            <w:r>
              <w:rPr>
                <w:rFonts w:ascii="Times New Roman" w:hAnsi="Times New Roman" w:eastAsia="宋体" w:cs="Times New Roman"/>
                <w:sz w:val="21"/>
                <w:szCs w:val="21"/>
              </w:rPr>
              <w:t>5.32</w:t>
            </w:r>
          </w:p>
        </w:tc>
        <w:tc>
          <w:tcPr>
            <w:tcW w:w="1111" w:type="dxa"/>
            <w:tcBorders>
              <w:top w:val="single" w:color="auto" w:sz="4" w:space="0"/>
              <w:left w:val="nil"/>
              <w:bottom w:val="single" w:color="auto" w:sz="4" w:space="0"/>
              <w:right w:val="single" w:color="auto" w:sz="4" w:space="0"/>
            </w:tcBorders>
            <w:noWrap w:val="0"/>
            <w:vAlign w:val="center"/>
          </w:tcPr>
          <w:p w14:paraId="2DD54D02">
            <w:pPr>
              <w:jc w:val="center"/>
              <w:rPr>
                <w:rFonts w:ascii="Times New Roman" w:hAnsi="Times New Roman" w:eastAsia="宋体" w:cs="Times New Roman"/>
                <w:sz w:val="21"/>
                <w:szCs w:val="21"/>
              </w:rPr>
            </w:pPr>
            <w:r>
              <w:rPr>
                <w:rFonts w:ascii="Times New Roman" w:hAnsi="Times New Roman" w:eastAsia="宋体" w:cs="Times New Roman"/>
                <w:sz w:val="21"/>
                <w:szCs w:val="21"/>
              </w:rPr>
              <w:t>4.76</w:t>
            </w:r>
          </w:p>
        </w:tc>
      </w:tr>
      <w:tr w14:paraId="65B2CD1A">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739886BC">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24</w:t>
            </w:r>
          </w:p>
        </w:tc>
        <w:tc>
          <w:tcPr>
            <w:tcW w:w="1289" w:type="dxa"/>
            <w:tcBorders>
              <w:top w:val="single" w:color="auto" w:sz="4" w:space="0"/>
              <w:left w:val="nil"/>
              <w:bottom w:val="single" w:color="auto" w:sz="4" w:space="0"/>
              <w:right w:val="single" w:color="auto" w:sz="4" w:space="0"/>
            </w:tcBorders>
            <w:noWrap w:val="0"/>
            <w:vAlign w:val="center"/>
          </w:tcPr>
          <w:p w14:paraId="163175DA">
            <w:pPr>
              <w:jc w:val="center"/>
              <w:rPr>
                <w:rFonts w:ascii="Times New Roman" w:hAnsi="Times New Roman" w:eastAsia="宋体" w:cs="Times New Roman"/>
                <w:sz w:val="21"/>
                <w:szCs w:val="21"/>
              </w:rPr>
            </w:pPr>
            <w:r>
              <w:rPr>
                <w:rFonts w:ascii="Times New Roman" w:hAnsi="Times New Roman" w:eastAsia="宋体" w:cs="Times New Roman"/>
                <w:sz w:val="21"/>
                <w:szCs w:val="21"/>
              </w:rPr>
              <w:t>9.24</w:t>
            </w:r>
          </w:p>
        </w:tc>
        <w:tc>
          <w:tcPr>
            <w:tcW w:w="1289" w:type="dxa"/>
            <w:tcBorders>
              <w:top w:val="single" w:color="auto" w:sz="4" w:space="0"/>
              <w:left w:val="nil"/>
              <w:bottom w:val="single" w:color="auto" w:sz="4" w:space="0"/>
              <w:right w:val="single" w:color="auto" w:sz="4" w:space="0"/>
            </w:tcBorders>
            <w:noWrap w:val="0"/>
            <w:vAlign w:val="center"/>
          </w:tcPr>
          <w:p w14:paraId="64051D2D">
            <w:pPr>
              <w:jc w:val="center"/>
              <w:rPr>
                <w:rFonts w:ascii="Times New Roman" w:hAnsi="Times New Roman" w:eastAsia="宋体" w:cs="Times New Roman"/>
                <w:sz w:val="21"/>
                <w:szCs w:val="21"/>
              </w:rPr>
            </w:pPr>
            <w:r>
              <w:rPr>
                <w:rFonts w:ascii="Times New Roman" w:hAnsi="Times New Roman" w:eastAsia="宋体" w:cs="Times New Roman"/>
                <w:sz w:val="21"/>
                <w:szCs w:val="21"/>
              </w:rPr>
              <w:t>8.67</w:t>
            </w:r>
          </w:p>
        </w:tc>
        <w:tc>
          <w:tcPr>
            <w:tcW w:w="1111" w:type="dxa"/>
            <w:tcBorders>
              <w:top w:val="single" w:color="auto" w:sz="4" w:space="0"/>
              <w:left w:val="nil"/>
              <w:bottom w:val="single" w:color="auto" w:sz="4" w:space="0"/>
              <w:right w:val="single" w:color="auto" w:sz="4" w:space="0"/>
            </w:tcBorders>
            <w:noWrap w:val="0"/>
            <w:vAlign w:val="center"/>
          </w:tcPr>
          <w:p w14:paraId="5E0210CF">
            <w:pPr>
              <w:jc w:val="center"/>
              <w:rPr>
                <w:rFonts w:ascii="Times New Roman" w:hAnsi="Times New Roman" w:eastAsia="宋体" w:cs="Times New Roman"/>
                <w:sz w:val="21"/>
                <w:szCs w:val="21"/>
              </w:rPr>
            </w:pPr>
            <w:r>
              <w:rPr>
                <w:rFonts w:ascii="Times New Roman" w:hAnsi="Times New Roman" w:eastAsia="宋体" w:cs="Times New Roman"/>
                <w:sz w:val="21"/>
                <w:szCs w:val="21"/>
              </w:rPr>
              <w:t>6.03</w:t>
            </w:r>
          </w:p>
        </w:tc>
        <w:tc>
          <w:tcPr>
            <w:tcW w:w="1289" w:type="dxa"/>
            <w:tcBorders>
              <w:top w:val="single" w:color="auto" w:sz="4" w:space="0"/>
              <w:left w:val="nil"/>
              <w:bottom w:val="single" w:color="auto" w:sz="4" w:space="0"/>
              <w:right w:val="single" w:color="auto" w:sz="4" w:space="0"/>
            </w:tcBorders>
            <w:noWrap w:val="0"/>
            <w:vAlign w:val="center"/>
          </w:tcPr>
          <w:p w14:paraId="6941222D">
            <w:pPr>
              <w:jc w:val="center"/>
              <w:rPr>
                <w:rFonts w:ascii="Times New Roman" w:hAnsi="Times New Roman" w:eastAsia="宋体" w:cs="Times New Roman"/>
                <w:sz w:val="21"/>
                <w:szCs w:val="21"/>
              </w:rPr>
            </w:pPr>
            <w:r>
              <w:rPr>
                <w:rFonts w:ascii="Times New Roman" w:hAnsi="Times New Roman" w:eastAsia="宋体" w:cs="Times New Roman"/>
                <w:sz w:val="21"/>
                <w:szCs w:val="21"/>
              </w:rPr>
              <w:t>4.84</w:t>
            </w:r>
          </w:p>
        </w:tc>
        <w:tc>
          <w:tcPr>
            <w:tcW w:w="1111" w:type="dxa"/>
            <w:tcBorders>
              <w:top w:val="single" w:color="auto" w:sz="4" w:space="0"/>
              <w:left w:val="nil"/>
              <w:bottom w:val="single" w:color="auto" w:sz="4" w:space="0"/>
              <w:right w:val="single" w:color="auto" w:sz="4" w:space="0"/>
            </w:tcBorders>
            <w:noWrap w:val="0"/>
            <w:vAlign w:val="center"/>
          </w:tcPr>
          <w:p w14:paraId="3A8FCF67">
            <w:pPr>
              <w:jc w:val="center"/>
              <w:rPr>
                <w:rFonts w:ascii="Times New Roman" w:hAnsi="Times New Roman" w:eastAsia="宋体" w:cs="Times New Roman"/>
                <w:sz w:val="21"/>
                <w:szCs w:val="21"/>
              </w:rPr>
            </w:pPr>
            <w:r>
              <w:rPr>
                <w:rFonts w:ascii="Times New Roman" w:hAnsi="Times New Roman" w:eastAsia="宋体" w:cs="Times New Roman"/>
                <w:sz w:val="21"/>
                <w:szCs w:val="21"/>
              </w:rPr>
              <w:t>4.32</w:t>
            </w:r>
          </w:p>
        </w:tc>
      </w:tr>
      <w:tr w14:paraId="5140F444">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1E00627E">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洪峰流量（m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/s）</w:t>
            </w:r>
          </w:p>
        </w:tc>
        <w:tc>
          <w:tcPr>
            <w:tcW w:w="1289" w:type="dxa"/>
            <w:tcBorders>
              <w:top w:val="single" w:color="auto" w:sz="4" w:space="0"/>
              <w:left w:val="nil"/>
              <w:bottom w:val="single" w:color="auto" w:sz="4" w:space="0"/>
              <w:right w:val="single" w:color="auto" w:sz="4" w:space="0"/>
            </w:tcBorders>
            <w:noWrap w:val="0"/>
            <w:vAlign w:val="center"/>
          </w:tcPr>
          <w:p w14:paraId="757D85AA">
            <w:pPr>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72.5</w:t>
            </w:r>
          </w:p>
        </w:tc>
        <w:tc>
          <w:tcPr>
            <w:tcW w:w="1289" w:type="dxa"/>
            <w:tcBorders>
              <w:top w:val="single" w:color="auto" w:sz="4" w:space="0"/>
              <w:left w:val="nil"/>
              <w:bottom w:val="single" w:color="auto" w:sz="4" w:space="0"/>
              <w:right w:val="single" w:color="auto" w:sz="4" w:space="0"/>
            </w:tcBorders>
            <w:noWrap w:val="0"/>
            <w:vAlign w:val="center"/>
          </w:tcPr>
          <w:p w14:paraId="0264143F">
            <w:pPr>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66.6</w:t>
            </w:r>
          </w:p>
        </w:tc>
        <w:tc>
          <w:tcPr>
            <w:tcW w:w="1111" w:type="dxa"/>
            <w:tcBorders>
              <w:top w:val="single" w:color="auto" w:sz="4" w:space="0"/>
              <w:left w:val="nil"/>
              <w:bottom w:val="single" w:color="auto" w:sz="4" w:space="0"/>
              <w:right w:val="single" w:color="auto" w:sz="4" w:space="0"/>
            </w:tcBorders>
            <w:noWrap w:val="0"/>
            <w:vAlign w:val="center"/>
          </w:tcPr>
          <w:p w14:paraId="1BF5FAC5">
            <w:pPr>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53.4</w:t>
            </w:r>
          </w:p>
        </w:tc>
        <w:tc>
          <w:tcPr>
            <w:tcW w:w="1289" w:type="dxa"/>
            <w:tcBorders>
              <w:top w:val="single" w:color="auto" w:sz="4" w:space="0"/>
              <w:left w:val="nil"/>
              <w:bottom w:val="single" w:color="auto" w:sz="4" w:space="0"/>
              <w:right w:val="single" w:color="auto" w:sz="4" w:space="0"/>
            </w:tcBorders>
            <w:noWrap w:val="0"/>
            <w:vAlign w:val="center"/>
          </w:tcPr>
          <w:p w14:paraId="7658D873">
            <w:pPr>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42.8</w:t>
            </w:r>
          </w:p>
        </w:tc>
        <w:tc>
          <w:tcPr>
            <w:tcW w:w="1111" w:type="dxa"/>
            <w:tcBorders>
              <w:top w:val="single" w:color="auto" w:sz="4" w:space="0"/>
              <w:left w:val="nil"/>
              <w:bottom w:val="single" w:color="auto" w:sz="4" w:space="0"/>
              <w:right w:val="single" w:color="auto" w:sz="4" w:space="0"/>
            </w:tcBorders>
            <w:noWrap w:val="0"/>
            <w:vAlign w:val="center"/>
          </w:tcPr>
          <w:p w14:paraId="68929B40">
            <w:pPr>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40.5</w:t>
            </w:r>
          </w:p>
        </w:tc>
      </w:tr>
      <w:tr w14:paraId="23C49465">
        <w:tblPrEx>
          <w:tblCellMar>
            <w:top w:w="0" w:type="dxa"/>
            <w:left w:w="108" w:type="dxa"/>
            <w:bottom w:w="0" w:type="dxa"/>
            <w:right w:w="108" w:type="dxa"/>
          </w:tblCellMar>
        </w:tblPrEx>
        <w:trPr>
          <w:trHeight w:val="340" w:hRule="atLeast"/>
          <w:jc w:val="center"/>
        </w:trPr>
        <w:tc>
          <w:tcPr>
            <w:tcW w:w="3197" w:type="dxa"/>
            <w:tcBorders>
              <w:top w:val="single" w:color="auto" w:sz="4" w:space="0"/>
              <w:left w:val="single" w:color="auto" w:sz="4" w:space="0"/>
              <w:bottom w:val="single" w:color="auto" w:sz="4" w:space="0"/>
              <w:right w:val="single" w:color="auto" w:sz="4" w:space="0"/>
            </w:tcBorders>
            <w:noWrap w:val="0"/>
            <w:vAlign w:val="center"/>
          </w:tcPr>
          <w:p w14:paraId="23787182">
            <w:pPr>
              <w:adjustRightInd w:val="0"/>
              <w:snapToGrid w:val="0"/>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洪量（万m</w:t>
            </w:r>
            <w:r>
              <w:rPr>
                <w:rFonts w:ascii="Times New Roman" w:hAnsi="Times New Roman" w:eastAsia="宋体" w:cs="Times New Roman"/>
                <w:kern w:val="2"/>
                <w:sz w:val="21"/>
                <w:szCs w:val="22"/>
                <w:vertAlign w:val="superscript"/>
                <w:lang w:val="en-US" w:eastAsia="zh-CN" w:bidi="ar-SA"/>
              </w:rPr>
              <w:t>3</w:t>
            </w:r>
            <w:r>
              <w:rPr>
                <w:rFonts w:ascii="Times New Roman" w:hAnsi="Times New Roman" w:eastAsia="宋体" w:cs="Times New Roman"/>
                <w:kern w:val="2"/>
                <w:sz w:val="21"/>
                <w:szCs w:val="22"/>
                <w:lang w:val="en-US" w:eastAsia="zh-CN" w:bidi="ar-SA"/>
              </w:rPr>
              <w:t>）</w:t>
            </w:r>
          </w:p>
        </w:tc>
        <w:tc>
          <w:tcPr>
            <w:tcW w:w="1289" w:type="dxa"/>
            <w:tcBorders>
              <w:top w:val="single" w:color="auto" w:sz="4" w:space="0"/>
              <w:left w:val="nil"/>
              <w:bottom w:val="single" w:color="auto" w:sz="4" w:space="0"/>
              <w:right w:val="single" w:color="auto" w:sz="4" w:space="0"/>
            </w:tcBorders>
            <w:noWrap w:val="0"/>
            <w:vAlign w:val="center"/>
          </w:tcPr>
          <w:p w14:paraId="41CA2536">
            <w:pPr>
              <w:jc w:val="center"/>
              <w:rPr>
                <w:rFonts w:ascii="Times New Roman" w:hAnsi="Times New Roman" w:eastAsia="宋体" w:cs="Times New Roman"/>
                <w:sz w:val="21"/>
                <w:szCs w:val="21"/>
              </w:rPr>
            </w:pPr>
            <w:r>
              <w:rPr>
                <w:rFonts w:ascii="Times New Roman" w:hAnsi="Times New Roman" w:eastAsia="宋体" w:cs="Times New Roman"/>
                <w:sz w:val="21"/>
                <w:szCs w:val="21"/>
              </w:rPr>
              <w:t>267</w:t>
            </w:r>
          </w:p>
        </w:tc>
        <w:tc>
          <w:tcPr>
            <w:tcW w:w="1289" w:type="dxa"/>
            <w:tcBorders>
              <w:top w:val="single" w:color="auto" w:sz="4" w:space="0"/>
              <w:left w:val="nil"/>
              <w:bottom w:val="single" w:color="auto" w:sz="4" w:space="0"/>
              <w:right w:val="single" w:color="auto" w:sz="4" w:space="0"/>
            </w:tcBorders>
            <w:noWrap w:val="0"/>
            <w:vAlign w:val="center"/>
          </w:tcPr>
          <w:p w14:paraId="0701B431">
            <w:pPr>
              <w:jc w:val="center"/>
              <w:rPr>
                <w:rFonts w:ascii="Times New Roman" w:hAnsi="Times New Roman" w:eastAsia="宋体" w:cs="Times New Roman"/>
                <w:sz w:val="21"/>
                <w:szCs w:val="21"/>
              </w:rPr>
            </w:pPr>
            <w:r>
              <w:rPr>
                <w:rFonts w:ascii="Times New Roman" w:hAnsi="Times New Roman" w:eastAsia="宋体" w:cs="Times New Roman"/>
                <w:sz w:val="21"/>
                <w:szCs w:val="21"/>
              </w:rPr>
              <w:t>249</w:t>
            </w:r>
          </w:p>
        </w:tc>
        <w:tc>
          <w:tcPr>
            <w:tcW w:w="1111" w:type="dxa"/>
            <w:tcBorders>
              <w:top w:val="single" w:color="auto" w:sz="4" w:space="0"/>
              <w:left w:val="nil"/>
              <w:bottom w:val="single" w:color="auto" w:sz="4" w:space="0"/>
              <w:right w:val="single" w:color="auto" w:sz="4" w:space="0"/>
            </w:tcBorders>
            <w:noWrap w:val="0"/>
            <w:vAlign w:val="center"/>
          </w:tcPr>
          <w:p w14:paraId="04E15B04">
            <w:pPr>
              <w:jc w:val="center"/>
              <w:rPr>
                <w:rFonts w:ascii="Times New Roman" w:hAnsi="Times New Roman" w:eastAsia="宋体" w:cs="Times New Roman"/>
                <w:sz w:val="21"/>
                <w:szCs w:val="21"/>
              </w:rPr>
            </w:pPr>
            <w:r>
              <w:rPr>
                <w:rFonts w:ascii="Times New Roman" w:hAnsi="Times New Roman" w:eastAsia="宋体" w:cs="Times New Roman"/>
                <w:sz w:val="21"/>
                <w:szCs w:val="21"/>
              </w:rPr>
              <w:t>191</w:t>
            </w:r>
          </w:p>
        </w:tc>
        <w:tc>
          <w:tcPr>
            <w:tcW w:w="1289" w:type="dxa"/>
            <w:tcBorders>
              <w:top w:val="single" w:color="auto" w:sz="4" w:space="0"/>
              <w:left w:val="nil"/>
              <w:bottom w:val="single" w:color="auto" w:sz="4" w:space="0"/>
              <w:right w:val="single" w:color="auto" w:sz="4" w:space="0"/>
            </w:tcBorders>
            <w:noWrap w:val="0"/>
            <w:vAlign w:val="center"/>
          </w:tcPr>
          <w:p w14:paraId="3DAF5D40">
            <w:pPr>
              <w:jc w:val="center"/>
              <w:rPr>
                <w:rFonts w:ascii="Times New Roman" w:hAnsi="Times New Roman" w:eastAsia="宋体" w:cs="Times New Roman"/>
                <w:sz w:val="21"/>
                <w:szCs w:val="21"/>
              </w:rPr>
            </w:pPr>
            <w:r>
              <w:rPr>
                <w:rFonts w:ascii="Times New Roman" w:hAnsi="Times New Roman" w:eastAsia="宋体" w:cs="Times New Roman"/>
                <w:sz w:val="21"/>
                <w:szCs w:val="21"/>
              </w:rPr>
              <w:t>153</w:t>
            </w:r>
          </w:p>
        </w:tc>
        <w:tc>
          <w:tcPr>
            <w:tcW w:w="1111" w:type="dxa"/>
            <w:tcBorders>
              <w:top w:val="single" w:color="auto" w:sz="4" w:space="0"/>
              <w:left w:val="nil"/>
              <w:bottom w:val="single" w:color="auto" w:sz="4" w:space="0"/>
              <w:right w:val="single" w:color="auto" w:sz="4" w:space="0"/>
            </w:tcBorders>
            <w:noWrap w:val="0"/>
            <w:vAlign w:val="center"/>
          </w:tcPr>
          <w:p w14:paraId="483E9356">
            <w:pPr>
              <w:jc w:val="center"/>
              <w:rPr>
                <w:rFonts w:ascii="Times New Roman" w:hAnsi="Times New Roman" w:eastAsia="宋体" w:cs="Times New Roman"/>
                <w:sz w:val="21"/>
                <w:szCs w:val="21"/>
              </w:rPr>
            </w:pPr>
            <w:r>
              <w:rPr>
                <w:rFonts w:ascii="Times New Roman" w:hAnsi="Times New Roman" w:eastAsia="宋体" w:cs="Times New Roman"/>
                <w:sz w:val="21"/>
                <w:szCs w:val="21"/>
              </w:rPr>
              <w:t>142</w:t>
            </w:r>
          </w:p>
        </w:tc>
      </w:tr>
    </w:tbl>
    <w:p w14:paraId="66DC190F">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b/>
          <w:bCs/>
          <w:sz w:val="32"/>
          <w:szCs w:val="32"/>
        </w:rPr>
      </w:pPr>
      <w:r>
        <w:rPr>
          <w:rFonts w:hint="eastAsia" w:ascii="宋体" w:hAnsi="宋体" w:eastAsia="方正仿宋_GBK" w:cs="方正仿宋_GBK"/>
          <w:b/>
          <w:bCs/>
          <w:sz w:val="32"/>
          <w:szCs w:val="32"/>
        </w:rPr>
        <w:t xml:space="preserve">2.2.1.水库历次除险加固情况 </w:t>
      </w:r>
    </w:p>
    <w:p w14:paraId="5B607B68">
      <w:pPr>
        <w:pStyle w:val="59"/>
        <w:ind w:firstLine="480"/>
        <w:rPr>
          <w:rFonts w:hint="eastAsia" w:ascii="宋体" w:hAnsi="宋体" w:eastAsia="方正黑体_GBK" w:cs="方正黑体_GBK"/>
          <w:b w:val="0"/>
          <w:bCs/>
          <w:sz w:val="32"/>
          <w:szCs w:val="32"/>
          <w:highlight w:val="none"/>
        </w:rPr>
      </w:pPr>
      <w:r>
        <w:rPr>
          <w:rFonts w:hint="eastAsia" w:ascii="宋体" w:hAnsi="宋体" w:eastAsia="方正仿宋_GBK" w:cs="方正仿宋_GBK"/>
          <w:color w:val="auto"/>
          <w:sz w:val="32"/>
          <w:szCs w:val="32"/>
          <w:lang w:val="zh-CN"/>
        </w:rPr>
        <w:t>芒究水库工程于1958年开工兴建，至1974年，主坝、输水隧洞、坝后电站及南北干渠基本建成运行并完成蓄水。在运行期间进行</w:t>
      </w:r>
      <w:r>
        <w:rPr>
          <w:rFonts w:hint="eastAsia" w:ascii="宋体" w:hAnsi="宋体" w:eastAsia="方正仿宋_GBK" w:cs="方正仿宋_GBK"/>
          <w:color w:val="auto"/>
          <w:sz w:val="32"/>
          <w:szCs w:val="32"/>
          <w:lang w:val="en-US" w:eastAsia="zh-CN"/>
        </w:rPr>
        <w:t>过三次</w:t>
      </w:r>
      <w:r>
        <w:rPr>
          <w:rFonts w:hint="eastAsia" w:ascii="宋体" w:hAnsi="宋体" w:eastAsia="方正仿宋_GBK" w:cs="方正仿宋_GBK"/>
          <w:color w:val="auto"/>
          <w:sz w:val="32"/>
          <w:szCs w:val="32"/>
          <w:lang w:val="zh-CN"/>
        </w:rPr>
        <w:t>次除险加固。第一期除险加固工程于1986年10月开工，1988年11月竣工，由德宏州水利水电局勘测设计队承担，1985年经云南省水利水电厅以云水规字</w:t>
      </w:r>
      <w:r>
        <w:rPr>
          <w:rFonts w:hint="eastAsia" w:ascii="宋体" w:hAnsi="宋体" w:eastAsia="方正仿宋_GBK" w:cs="方正仿宋_GBK"/>
          <w:color w:val="auto"/>
          <w:sz w:val="32"/>
          <w:szCs w:val="32"/>
          <w:lang w:val="zh-CN" w:eastAsia="zh-CN"/>
        </w:rPr>
        <w:t>〔</w:t>
      </w:r>
      <w:r>
        <w:rPr>
          <w:rFonts w:hint="eastAsia" w:ascii="宋体" w:hAnsi="宋体" w:eastAsia="方正仿宋_GBK" w:cs="方正仿宋_GBK"/>
          <w:color w:val="auto"/>
          <w:sz w:val="32"/>
          <w:szCs w:val="32"/>
          <w:lang w:val="zh-CN"/>
        </w:rPr>
        <w:t>1985</w:t>
      </w:r>
      <w:r>
        <w:rPr>
          <w:rFonts w:hint="eastAsia" w:ascii="宋体" w:hAnsi="宋体" w:eastAsia="方正仿宋_GBK" w:cs="方正仿宋_GBK"/>
          <w:color w:val="auto"/>
          <w:sz w:val="32"/>
          <w:szCs w:val="32"/>
          <w:lang w:val="zh-CN" w:eastAsia="zh-CN"/>
        </w:rPr>
        <w:t>〕</w:t>
      </w:r>
      <w:r>
        <w:rPr>
          <w:rFonts w:hint="eastAsia" w:ascii="宋体" w:hAnsi="宋体" w:eastAsia="方正仿宋_GBK" w:cs="方正仿宋_GBK"/>
          <w:color w:val="auto"/>
          <w:sz w:val="32"/>
          <w:szCs w:val="32"/>
          <w:lang w:val="zh-CN"/>
        </w:rPr>
        <w:t>34号文批准加固工程设计。第二期除险加固于1989年10月开工，1994年底竣工，由云南省水利水电勘测设计院承担。</w:t>
      </w:r>
      <w:r>
        <w:rPr>
          <w:rFonts w:hint="eastAsia" w:ascii="宋体" w:hAnsi="宋体" w:eastAsia="方正仿宋_GBK" w:cs="方正仿宋_GBK"/>
          <w:color w:val="auto"/>
          <w:sz w:val="32"/>
          <w:szCs w:val="32"/>
          <w:lang w:val="en-US" w:eastAsia="zh-CN"/>
        </w:rPr>
        <w:t>第三次除险加固工程于2024年3月11日开工，</w:t>
      </w:r>
      <w:r>
        <w:rPr>
          <w:rFonts w:hint="eastAsia" w:ascii="宋体" w:hAnsi="宋体" w:eastAsia="方正仿宋_GBK" w:cs="方正仿宋_GBK"/>
          <w:sz w:val="32"/>
          <w:szCs w:val="32"/>
          <w:lang w:val="en-US" w:eastAsia="zh-CN"/>
        </w:rPr>
        <w:t>主体已于2024年12月底完工，</w:t>
      </w:r>
      <w:r>
        <w:rPr>
          <w:rFonts w:hint="eastAsia" w:ascii="宋体" w:hAnsi="宋体" w:eastAsia="方正仿宋_GBK" w:cs="方正仿宋_GBK"/>
          <w:sz w:val="32"/>
          <w:szCs w:val="32"/>
          <w:highlight w:val="none"/>
          <w:lang w:val="en-US" w:eastAsia="zh-CN"/>
        </w:rPr>
        <w:t>2025年7月中</w:t>
      </w:r>
      <w:r>
        <w:rPr>
          <w:rFonts w:hint="eastAsia" w:ascii="宋体" w:hAnsi="宋体" w:eastAsia="方正仿宋_GBK" w:cs="方正仿宋_GBK"/>
          <w:sz w:val="32"/>
          <w:szCs w:val="32"/>
          <w:lang w:val="en-US" w:eastAsia="zh-CN"/>
        </w:rPr>
        <w:t>旬全面完工。</w:t>
      </w:r>
      <w:r>
        <w:rPr>
          <w:rFonts w:hint="eastAsia" w:ascii="宋体" w:hAnsi="宋体" w:eastAsia="方正仿宋_GBK" w:cs="方正仿宋_GBK"/>
          <w:sz w:val="32"/>
          <w:szCs w:val="32"/>
        </w:rPr>
        <w:t>完成大坝</w:t>
      </w:r>
      <w:r>
        <w:rPr>
          <w:rFonts w:hint="eastAsia" w:ascii="宋体" w:hAnsi="宋体" w:eastAsia="方正仿宋_GBK" w:cs="方正仿宋_GBK"/>
          <w:sz w:val="32"/>
          <w:szCs w:val="32"/>
          <w:lang w:val="en-US" w:eastAsia="zh-CN"/>
        </w:rPr>
        <w:t>上下游护坡加固、新建</w:t>
      </w:r>
      <w:r>
        <w:rPr>
          <w:rFonts w:hint="eastAsia" w:ascii="宋体" w:hAnsi="宋体" w:eastAsia="方正仿宋_GBK" w:cs="方正仿宋_GBK"/>
          <w:sz w:val="32"/>
          <w:szCs w:val="32"/>
        </w:rPr>
        <w:t>坝顶大理石防浪墙</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拆除重建管理用房</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输水隧洞</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lang w:val="en-US" w:eastAsia="zh-CN"/>
        </w:rPr>
        <w:t>溢洪道</w:t>
      </w:r>
      <w:r>
        <w:rPr>
          <w:rFonts w:hint="eastAsia" w:ascii="宋体" w:hAnsi="宋体" w:eastAsia="方正仿宋_GBK" w:cs="方正仿宋_GBK"/>
          <w:sz w:val="32"/>
          <w:szCs w:val="32"/>
        </w:rPr>
        <w:t>金属结构</w:t>
      </w:r>
      <w:r>
        <w:rPr>
          <w:rFonts w:hint="eastAsia" w:ascii="宋体" w:hAnsi="宋体" w:eastAsia="方正仿宋_GBK" w:cs="方正仿宋_GBK"/>
          <w:sz w:val="32"/>
          <w:szCs w:val="32"/>
          <w:lang w:val="en-US" w:eastAsia="zh-CN"/>
        </w:rPr>
        <w:t>更新改造</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lang w:val="en-US" w:eastAsia="zh-CN"/>
        </w:rPr>
        <w:t>拆除重建输水隧洞工作闸室，新建水情测报系统安装</w:t>
      </w:r>
      <w:r>
        <w:rPr>
          <w:rFonts w:hint="eastAsia" w:ascii="宋体" w:hAnsi="宋体" w:eastAsia="方正仿宋_GBK" w:cs="方正仿宋_GBK"/>
          <w:sz w:val="32"/>
          <w:szCs w:val="32"/>
        </w:rPr>
        <w:t>等工程。</w:t>
      </w:r>
    </w:p>
    <w:p w14:paraId="39233B8B">
      <w:pPr>
        <w:pageBreakBefore w:val="0"/>
        <w:kinsoku/>
        <w:wordWrap/>
        <w:overflowPunct/>
        <w:topLinePunct w:val="0"/>
        <w:autoSpaceDE w:val="0"/>
        <w:autoSpaceDN w:val="0"/>
        <w:bidi w:val="0"/>
        <w:adjustRightInd w:val="0"/>
        <w:jc w:val="center"/>
        <w:rPr>
          <w:rFonts w:hint="eastAsia" w:ascii="宋体" w:hAnsi="宋体" w:eastAsia="方正仿宋_GBK" w:cs="方正仿宋_GBK"/>
          <w:b w:val="0"/>
          <w:bCs w:val="0"/>
          <w:sz w:val="28"/>
          <w:szCs w:val="28"/>
        </w:rPr>
      </w:pPr>
      <w:r>
        <w:rPr>
          <w:rFonts w:hint="eastAsia" w:ascii="宋体" w:hAnsi="宋体" w:eastAsia="宋体" w:cs="宋体"/>
          <w:b/>
          <w:sz w:val="28"/>
          <w:szCs w:val="28"/>
          <w:lang w:eastAsia="zh-CN"/>
        </w:rPr>
        <w:drawing>
          <wp:inline distT="0" distB="0" distL="114300" distR="114300">
            <wp:extent cx="5605780" cy="4204335"/>
            <wp:effectExtent l="0" t="0" r="13970" b="5715"/>
            <wp:docPr id="46" name="图片 46" descr="97ca4cfbc0cf5751a36f670cc682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7ca4cfbc0cf5751a36f670cc6829db"/>
                    <pic:cNvPicPr>
                      <a:picLocks noChangeAspect="1"/>
                    </pic:cNvPicPr>
                  </pic:nvPicPr>
                  <pic:blipFill>
                    <a:blip r:embed="rId17"/>
                    <a:stretch>
                      <a:fillRect/>
                    </a:stretch>
                  </pic:blipFill>
                  <pic:spPr>
                    <a:xfrm>
                      <a:off x="0" y="0"/>
                      <a:ext cx="5605780" cy="4204335"/>
                    </a:xfrm>
                    <a:prstGeom prst="rect">
                      <a:avLst/>
                    </a:prstGeom>
                  </pic:spPr>
                </pic:pic>
              </a:graphicData>
            </a:graphic>
          </wp:inline>
        </w:drawing>
      </w:r>
      <w:bookmarkStart w:id="35" w:name="_Toc30406"/>
      <w:r>
        <w:rPr>
          <w:rFonts w:hint="eastAsia" w:ascii="宋体" w:hAnsi="宋体" w:eastAsia="方正仿宋_GBK" w:cs="方正仿宋_GBK"/>
          <w:b w:val="0"/>
          <w:bCs w:val="0"/>
          <w:sz w:val="28"/>
          <w:szCs w:val="28"/>
          <w:lang w:val="en-US" w:eastAsia="zh-CN"/>
        </w:rPr>
        <w:t>图</w:t>
      </w:r>
      <w:r>
        <w:rPr>
          <w:rFonts w:hint="eastAsia" w:ascii="宋体" w:hAnsi="宋体" w:eastAsia="方正仿宋_GBK" w:cs="方正仿宋_GBK"/>
          <w:b w:val="0"/>
          <w:bCs w:val="0"/>
          <w:sz w:val="28"/>
          <w:szCs w:val="28"/>
        </w:rPr>
        <w:t>2.</w:t>
      </w:r>
      <w:r>
        <w:rPr>
          <w:rFonts w:hint="eastAsia" w:ascii="宋体" w:hAnsi="宋体" w:eastAsia="方正仿宋_GBK" w:cs="方正仿宋_GBK"/>
          <w:b w:val="0"/>
          <w:bCs w:val="0"/>
          <w:sz w:val="28"/>
          <w:szCs w:val="28"/>
          <w:lang w:val="en-US" w:eastAsia="zh-CN"/>
        </w:rPr>
        <w:t>6</w:t>
      </w:r>
      <w:r>
        <w:rPr>
          <w:rFonts w:hint="eastAsia" w:ascii="宋体" w:hAnsi="宋体" w:eastAsia="方正仿宋_GBK" w:cs="方正仿宋_GBK"/>
          <w:b w:val="0"/>
          <w:bCs w:val="0"/>
          <w:sz w:val="28"/>
          <w:szCs w:val="28"/>
        </w:rPr>
        <w:t xml:space="preserve">  水库溢洪道出口位置</w:t>
      </w:r>
    </w:p>
    <w:p w14:paraId="273829D4">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宋体" w:hAnsi="宋体" w:eastAsia="方正仿宋_GBK" w:cs="方正仿宋_GBK"/>
          <w:sz w:val="32"/>
          <w:szCs w:val="32"/>
        </w:rPr>
      </w:pPr>
      <w:r>
        <w:rPr>
          <w:rFonts w:hint="eastAsia" w:ascii="宋体" w:hAnsi="宋体" w:eastAsia="方正仿宋_GBK" w:cs="方正仿宋_GBK"/>
          <w:b/>
          <w:bCs/>
          <w:sz w:val="32"/>
          <w:szCs w:val="32"/>
        </w:rPr>
        <w:t>2.2.2 工程管理基本情况</w:t>
      </w:r>
      <w:bookmarkEnd w:id="35"/>
      <w:r>
        <w:rPr>
          <w:rFonts w:hint="eastAsia" w:ascii="宋体" w:hAnsi="宋体" w:eastAsia="方正仿宋_GBK" w:cs="方正仿宋_GBK"/>
          <w:sz w:val="32"/>
          <w:szCs w:val="32"/>
        </w:rPr>
        <w:t xml:space="preserve"> </w:t>
      </w:r>
    </w:p>
    <w:p w14:paraId="1938FAC3">
      <w:pPr>
        <w:pStyle w:val="59"/>
        <w:ind w:firstLine="480"/>
        <w:rPr>
          <w:rFonts w:hint="eastAsia" w:ascii="宋体" w:hAnsi="宋体" w:eastAsia="方正仿宋_GBK" w:cs="方正仿宋_GBK"/>
          <w:sz w:val="32"/>
          <w:szCs w:val="32"/>
        </w:rPr>
      </w:pPr>
      <w:r>
        <w:rPr>
          <w:rFonts w:hint="eastAsia" w:ascii="宋体" w:hAnsi="宋体" w:eastAsia="方正仿宋_GBK" w:cs="方正仿宋_GBK"/>
          <w:color w:val="auto"/>
          <w:sz w:val="32"/>
          <w:szCs w:val="32"/>
          <w:lang w:val="zh-CN"/>
        </w:rPr>
        <w:t>芒究水库建成后成立芒究水库管理所，隶属于芒市水利局。芒究水库管理所建立健全水库运行管理规章制度，管理用房面积120m</w:t>
      </w:r>
      <w:r>
        <w:rPr>
          <w:rFonts w:hint="eastAsia" w:ascii="宋体" w:hAnsi="宋体" w:eastAsia="方正仿宋_GBK" w:cs="方正仿宋_GBK"/>
          <w:color w:val="auto"/>
          <w:sz w:val="32"/>
          <w:szCs w:val="32"/>
          <w:vertAlign w:val="superscript"/>
          <w:lang w:val="zh-CN"/>
        </w:rPr>
        <w:t>2</w:t>
      </w:r>
      <w:r>
        <w:rPr>
          <w:rFonts w:hint="eastAsia" w:ascii="宋体" w:hAnsi="宋体" w:eastAsia="方正仿宋_GBK" w:cs="方正仿宋_GBK"/>
          <w:color w:val="auto"/>
          <w:sz w:val="32"/>
          <w:szCs w:val="32"/>
          <w:lang w:val="zh-CN"/>
        </w:rPr>
        <w:t>；管理所配套安全运行管理设施和设备，同时配备专业技术管理人员</w:t>
      </w:r>
      <w:r>
        <w:rPr>
          <w:rFonts w:hint="eastAsia" w:ascii="宋体" w:hAnsi="宋体" w:eastAsia="方正仿宋_GBK" w:cs="方正仿宋_GBK"/>
          <w:color w:val="auto"/>
          <w:sz w:val="32"/>
          <w:szCs w:val="32"/>
          <w:highlight w:val="none"/>
          <w:lang w:val="zh-CN"/>
        </w:rPr>
        <w:t>。</w:t>
      </w:r>
      <w:r>
        <w:rPr>
          <w:rFonts w:hint="eastAsia" w:ascii="宋体" w:hAnsi="宋体" w:eastAsia="方正仿宋_GBK" w:cs="方正仿宋_GBK"/>
          <w:sz w:val="32"/>
          <w:szCs w:val="32"/>
          <w:highlight w:val="none"/>
        </w:rPr>
        <w:t>水库</w:t>
      </w:r>
      <w:r>
        <w:rPr>
          <w:rFonts w:hint="eastAsia" w:ascii="宋体" w:hAnsi="宋体" w:eastAsia="方正仿宋_GBK" w:cs="方正仿宋_GBK"/>
          <w:sz w:val="32"/>
          <w:szCs w:val="32"/>
        </w:rPr>
        <w:t>管理主要存在以下几个方面</w:t>
      </w:r>
      <w:r>
        <w:rPr>
          <w:rFonts w:hint="eastAsia" w:ascii="宋体" w:hAnsi="宋体" w:eastAsia="方正仿宋_GBK" w:cs="方正仿宋_GBK"/>
          <w:sz w:val="32"/>
          <w:szCs w:val="32"/>
          <w:lang w:val="en-US" w:eastAsia="zh-CN"/>
        </w:rPr>
        <w:t>的问题</w:t>
      </w:r>
      <w:r>
        <w:rPr>
          <w:rFonts w:hint="eastAsia" w:ascii="宋体" w:hAnsi="宋体" w:eastAsia="方正仿宋_GBK" w:cs="方正仿宋_GBK"/>
          <w:sz w:val="32"/>
          <w:szCs w:val="32"/>
        </w:rPr>
        <w:t>：</w:t>
      </w:r>
    </w:p>
    <w:p w14:paraId="4B6A0B89">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b/>
          <w:bCs/>
          <w:sz w:val="32"/>
          <w:szCs w:val="32"/>
        </w:rPr>
        <w:t>一是</w:t>
      </w:r>
      <w:r>
        <w:rPr>
          <w:rFonts w:hint="eastAsia" w:ascii="宋体" w:hAnsi="宋体" w:eastAsia="方正仿宋_GBK" w:cs="方正仿宋_GBK"/>
          <w:sz w:val="32"/>
          <w:szCs w:val="32"/>
        </w:rPr>
        <w:t>管理人员编制</w:t>
      </w:r>
      <w:r>
        <w:rPr>
          <w:rFonts w:hint="eastAsia" w:ascii="宋体" w:hAnsi="宋体" w:eastAsia="方正仿宋_GBK" w:cs="方正仿宋_GBK"/>
          <w:sz w:val="32"/>
          <w:szCs w:val="32"/>
          <w:lang w:val="en-US" w:eastAsia="zh-CN"/>
        </w:rPr>
        <w:t>充足但实际在岗人员较少</w:t>
      </w:r>
      <w:r>
        <w:rPr>
          <w:rFonts w:hint="eastAsia" w:ascii="宋体" w:hAnsi="宋体" w:eastAsia="方正仿宋_GBK" w:cs="方正仿宋_GBK"/>
          <w:sz w:val="32"/>
          <w:szCs w:val="32"/>
        </w:rPr>
        <w:t>、水陆交通工具配置不到位、水库管养经费不足，对水库库区范围巡查管理难度较大；</w:t>
      </w:r>
      <w:r>
        <w:rPr>
          <w:rFonts w:hint="eastAsia" w:ascii="宋体" w:hAnsi="宋体" w:eastAsia="方正仿宋_GBK" w:cs="方正仿宋_GBK"/>
          <w:b/>
          <w:bCs/>
          <w:sz w:val="32"/>
          <w:szCs w:val="32"/>
          <w:lang w:val="en-US" w:eastAsia="zh-CN"/>
        </w:rPr>
        <w:t>二是</w:t>
      </w:r>
      <w:r>
        <w:rPr>
          <w:rFonts w:hint="eastAsia" w:ascii="宋体" w:hAnsi="宋体" w:eastAsia="方正仿宋_GBK" w:cs="方正仿宋_GBK"/>
          <w:sz w:val="32"/>
          <w:szCs w:val="32"/>
        </w:rPr>
        <w:t>水库因历史原因，上游径流区内居住有</w:t>
      </w:r>
      <w:r>
        <w:rPr>
          <w:rFonts w:hint="eastAsia" w:ascii="宋体" w:hAnsi="宋体" w:eastAsia="方正仿宋_GBK" w:cs="方正仿宋_GBK"/>
          <w:sz w:val="32"/>
          <w:szCs w:val="32"/>
          <w:lang w:val="en-US" w:eastAsia="zh-CN"/>
        </w:rPr>
        <w:t>芒晃村</w:t>
      </w:r>
      <w:r>
        <w:rPr>
          <w:rFonts w:hint="eastAsia" w:ascii="宋体" w:hAnsi="宋体" w:eastAsia="方正仿宋_GBK" w:cs="方正仿宋_GBK"/>
          <w:sz w:val="32"/>
          <w:szCs w:val="32"/>
        </w:rPr>
        <w:t>、</w:t>
      </w:r>
      <w:r>
        <w:rPr>
          <w:rFonts w:hint="eastAsia" w:ascii="宋体" w:hAnsi="宋体" w:eastAsia="方正仿宋_GBK" w:cs="方正仿宋_GBK"/>
          <w:sz w:val="32"/>
          <w:szCs w:val="32"/>
          <w:lang w:val="en-US" w:eastAsia="zh-CN"/>
        </w:rPr>
        <w:t>芒杏村</w:t>
      </w:r>
      <w:r>
        <w:rPr>
          <w:rFonts w:hint="eastAsia" w:ascii="宋体" w:hAnsi="宋体" w:eastAsia="方正仿宋_GBK" w:cs="方正仿宋_GBK"/>
          <w:sz w:val="32"/>
          <w:szCs w:val="32"/>
        </w:rPr>
        <w:t>等居民几千人，生活污水未经处理便</w:t>
      </w:r>
      <w:r>
        <w:rPr>
          <w:rFonts w:hint="eastAsia" w:ascii="宋体" w:hAnsi="宋体" w:eastAsia="方正仿宋_GBK" w:cs="方正仿宋_GBK"/>
          <w:sz w:val="32"/>
          <w:szCs w:val="32"/>
          <w:lang w:val="en-US" w:eastAsia="zh-CN"/>
        </w:rPr>
        <w:t>随河水</w:t>
      </w:r>
      <w:r>
        <w:rPr>
          <w:rFonts w:hint="eastAsia" w:ascii="宋体" w:hAnsi="宋体" w:eastAsia="方正仿宋_GBK" w:cs="方正仿宋_GBK"/>
          <w:sz w:val="32"/>
          <w:szCs w:val="32"/>
        </w:rPr>
        <w:t>排入水库，还有各种生活垃圾随意弃置在库区周围，有的塑料袋、纸片、编织袋随风飘入水库，是水库主要面源污染源；</w:t>
      </w:r>
      <w:r>
        <w:rPr>
          <w:rFonts w:hint="eastAsia" w:ascii="宋体" w:hAnsi="宋体" w:eastAsia="方正仿宋_GBK" w:cs="方正仿宋_GBK"/>
          <w:sz w:val="32"/>
          <w:szCs w:val="32"/>
          <w:lang w:val="en-US" w:eastAsia="zh-CN"/>
        </w:rPr>
        <w:t>三</w:t>
      </w:r>
      <w:r>
        <w:rPr>
          <w:rFonts w:hint="eastAsia" w:ascii="宋体" w:hAnsi="宋体" w:eastAsia="方正仿宋_GBK" w:cs="方正仿宋_GBK"/>
          <w:b/>
          <w:bCs/>
          <w:sz w:val="32"/>
          <w:szCs w:val="32"/>
        </w:rPr>
        <w:t>是</w:t>
      </w:r>
      <w:r>
        <w:rPr>
          <w:rFonts w:hint="eastAsia" w:ascii="宋体" w:hAnsi="宋体" w:eastAsia="方正仿宋_GBK" w:cs="方正仿宋_GBK"/>
          <w:sz w:val="32"/>
          <w:szCs w:val="32"/>
        </w:rPr>
        <w:t>水库</w:t>
      </w:r>
      <w:r>
        <w:rPr>
          <w:rFonts w:hint="eastAsia" w:ascii="宋体" w:hAnsi="宋体" w:eastAsia="方正仿宋_GBK" w:cs="方正仿宋_GBK"/>
          <w:sz w:val="32"/>
          <w:szCs w:val="32"/>
          <w:lang w:val="en-US" w:eastAsia="zh-CN"/>
        </w:rPr>
        <w:t>位于</w:t>
      </w:r>
      <w:r>
        <w:rPr>
          <w:rFonts w:hint="eastAsia" w:ascii="宋体" w:hAnsi="宋体" w:eastAsia="方正仿宋_GBK" w:cs="方正仿宋_GBK"/>
          <w:sz w:val="32"/>
          <w:szCs w:val="32"/>
        </w:rPr>
        <w:t>芒市城区</w:t>
      </w:r>
      <w:r>
        <w:rPr>
          <w:rFonts w:hint="eastAsia" w:ascii="宋体" w:hAnsi="宋体" w:eastAsia="方正仿宋_GBK" w:cs="方正仿宋_GBK"/>
          <w:sz w:val="32"/>
          <w:szCs w:val="32"/>
          <w:lang w:val="en-US" w:eastAsia="zh-CN"/>
        </w:rPr>
        <w:t>附近</w:t>
      </w:r>
      <w:r>
        <w:rPr>
          <w:rFonts w:hint="eastAsia" w:ascii="宋体" w:hAnsi="宋体" w:eastAsia="方正仿宋_GBK" w:cs="方正仿宋_GBK"/>
          <w:sz w:val="32"/>
          <w:szCs w:val="32"/>
        </w:rPr>
        <w:t>，且水库湖面风光旖旎，来水库休闲玩耍的人员很多，人们游玩结束后随意丢弃很多垃圾变成了水库管理人员的又一个工作负担；</w:t>
      </w:r>
      <w:r>
        <w:rPr>
          <w:rFonts w:hint="eastAsia" w:ascii="宋体" w:hAnsi="宋体" w:eastAsia="方正仿宋_GBK" w:cs="方正仿宋_GBK"/>
          <w:b/>
          <w:bCs/>
          <w:sz w:val="32"/>
          <w:szCs w:val="32"/>
          <w:lang w:val="en-US" w:eastAsia="zh-CN"/>
        </w:rPr>
        <w:t>四</w:t>
      </w:r>
      <w:r>
        <w:rPr>
          <w:rFonts w:hint="eastAsia" w:ascii="宋体" w:hAnsi="宋体" w:eastAsia="方正仿宋_GBK" w:cs="方正仿宋_GBK"/>
          <w:b/>
          <w:bCs/>
          <w:sz w:val="32"/>
          <w:szCs w:val="32"/>
        </w:rPr>
        <w:t>是</w:t>
      </w:r>
      <w:r>
        <w:rPr>
          <w:rFonts w:hint="eastAsia" w:ascii="宋体" w:hAnsi="宋体" w:eastAsia="方正仿宋_GBK" w:cs="方正仿宋_GBK"/>
          <w:sz w:val="32"/>
          <w:szCs w:val="32"/>
        </w:rPr>
        <w:t>水库自建成运转</w:t>
      </w:r>
      <w:r>
        <w:rPr>
          <w:rFonts w:hint="eastAsia" w:ascii="宋体" w:hAnsi="宋体" w:eastAsia="方正仿宋_GBK" w:cs="方正仿宋_GBK"/>
          <w:sz w:val="32"/>
          <w:szCs w:val="32"/>
          <w:lang w:val="en-US" w:eastAsia="zh-CN"/>
        </w:rPr>
        <w:t>51</w:t>
      </w:r>
      <w:r>
        <w:rPr>
          <w:rFonts w:hint="eastAsia" w:ascii="宋体" w:hAnsi="宋体" w:eastAsia="方正仿宋_GBK" w:cs="方正仿宋_GBK"/>
          <w:sz w:val="32"/>
          <w:szCs w:val="32"/>
        </w:rPr>
        <w:t>年来从未对水库库底淤积进行过清理，</w:t>
      </w:r>
      <w:r>
        <w:rPr>
          <w:rFonts w:hint="eastAsia" w:ascii="宋体" w:hAnsi="宋体" w:eastAsia="方正仿宋_GBK" w:cs="方正仿宋_GBK"/>
          <w:sz w:val="32"/>
          <w:szCs w:val="32"/>
          <w:shd w:val="clear" w:color="auto" w:fill="FFFFFF"/>
        </w:rPr>
        <w:t>水库泥沙带有污染物质</w:t>
      </w:r>
      <w:r>
        <w:rPr>
          <w:rFonts w:hint="eastAsia" w:ascii="宋体" w:hAnsi="宋体" w:eastAsia="方正仿宋_GBK" w:cs="方正仿宋_GBK"/>
          <w:sz w:val="32"/>
          <w:szCs w:val="32"/>
          <w:shd w:val="clear" w:color="auto" w:fill="FFFFFF"/>
          <w:lang w:eastAsia="zh-CN"/>
        </w:rPr>
        <w:t>，</w:t>
      </w:r>
      <w:r>
        <w:rPr>
          <w:rFonts w:hint="eastAsia" w:ascii="宋体" w:hAnsi="宋体" w:eastAsia="方正仿宋_GBK" w:cs="方正仿宋_GBK"/>
          <w:sz w:val="32"/>
          <w:szCs w:val="32"/>
          <w:shd w:val="clear" w:color="auto" w:fill="FFFFFF"/>
        </w:rPr>
        <w:t>长期累积，会给库区环境和水生态带来不利影响。</w:t>
      </w:r>
    </w:p>
    <w:p w14:paraId="52EA8085">
      <w:pPr>
        <w:pStyle w:val="45"/>
        <w:pageBreakBefore w:val="0"/>
        <w:kinsoku/>
        <w:wordWrap/>
        <w:overflowPunct/>
        <w:topLinePunct w:val="0"/>
        <w:bidi w:val="0"/>
        <w:ind w:firstLine="562"/>
        <w:jc w:val="center"/>
        <w:rPr>
          <w:rFonts w:hint="eastAsia" w:ascii="宋体" w:hAnsi="宋体" w:eastAsia="宋体" w:cs="宋体"/>
          <w:b/>
          <w:sz w:val="28"/>
          <w:szCs w:val="28"/>
        </w:rPr>
      </w:pPr>
    </w:p>
    <w:p w14:paraId="38EBDD06">
      <w:pPr>
        <w:pStyle w:val="3"/>
        <w:spacing w:before="0" w:after="0"/>
        <w:jc w:val="center"/>
        <w:rPr>
          <w:rFonts w:hint="eastAsia" w:ascii="宋体" w:hAnsi="宋体" w:eastAsia="方正小标宋_GBK" w:cs="方正黑体_GBK"/>
          <w:b w:val="0"/>
          <w:bCs/>
          <w:sz w:val="32"/>
          <w:szCs w:val="32"/>
        </w:rPr>
      </w:pPr>
      <w:bookmarkStart w:id="36" w:name="_Toc28785"/>
      <w:bookmarkStart w:id="37" w:name="_Toc31375_WPSOffice_Level1"/>
      <w:bookmarkStart w:id="38" w:name="_Toc77330253"/>
      <w:bookmarkStart w:id="39" w:name="_Toc10478"/>
      <w:r>
        <w:rPr>
          <w:rFonts w:hint="eastAsia" w:ascii="宋体" w:hAnsi="宋体" w:eastAsia="方正小标宋_GBK" w:cs="方正小标宋_GBK"/>
          <w:b w:val="0"/>
          <w:bCs/>
          <w:sz w:val="44"/>
          <w:szCs w:val="44"/>
        </w:rPr>
        <w:t xml:space="preserve">第三章 </w:t>
      </w:r>
      <w:r>
        <w:rPr>
          <w:rFonts w:hint="eastAsia" w:ascii="宋体" w:hAnsi="宋体" w:eastAsia="方正小标宋_GBK" w:cs="方正小标宋_GBK"/>
          <w:b w:val="0"/>
          <w:bCs/>
          <w:kern w:val="2"/>
          <w:sz w:val="44"/>
          <w:szCs w:val="44"/>
          <w:lang w:val="en-US" w:eastAsia="zh-CN" w:bidi="ar-SA"/>
        </w:rPr>
        <w:t>水库水质及污染源现状调查分析</w:t>
      </w:r>
      <w:bookmarkEnd w:id="36"/>
    </w:p>
    <w:bookmarkEnd w:id="37"/>
    <w:bookmarkEnd w:id="38"/>
    <w:bookmarkEnd w:id="39"/>
    <w:p w14:paraId="7068E103">
      <w:pPr>
        <w:pStyle w:val="4"/>
        <w:pageBreakBefore w:val="0"/>
        <w:widowControl w:val="0"/>
        <w:kinsoku/>
        <w:wordWrap/>
        <w:overflowPunct/>
        <w:topLinePunct w:val="0"/>
        <w:bidi w:val="0"/>
        <w:snapToGrid/>
        <w:spacing w:before="0" w:after="0" w:line="560" w:lineRule="exact"/>
        <w:textAlignment w:val="auto"/>
        <w:rPr>
          <w:rFonts w:hint="eastAsia" w:ascii="宋体" w:hAnsi="宋体" w:eastAsia="宋体" w:cs="宋体"/>
          <w:b w:val="0"/>
          <w:szCs w:val="20"/>
        </w:rPr>
      </w:pPr>
      <w:bookmarkStart w:id="40" w:name="_Toc936_WPSOffice_Level2"/>
      <w:bookmarkStart w:id="41" w:name="_Toc1754"/>
      <w:bookmarkStart w:id="42" w:name="_Toc30311"/>
    </w:p>
    <w:p w14:paraId="0D576869">
      <w:pPr>
        <w:pStyle w:val="4"/>
        <w:pageBreakBefore w:val="0"/>
        <w:widowControl w:val="0"/>
        <w:kinsoku/>
        <w:wordWrap/>
        <w:overflowPunct/>
        <w:topLinePunct w:val="0"/>
        <w:bidi w:val="0"/>
        <w:snapToGrid/>
        <w:spacing w:before="0" w:after="0" w:line="560" w:lineRule="exact"/>
        <w:textAlignment w:val="auto"/>
        <w:rPr>
          <w:rFonts w:hint="eastAsia" w:ascii="宋体" w:hAnsi="宋体" w:eastAsia="方正仿宋_GBK" w:cs="方正仿宋_GBK"/>
          <w:b w:val="0"/>
          <w:sz w:val="32"/>
          <w:szCs w:val="32"/>
        </w:rPr>
      </w:pPr>
      <w:bookmarkStart w:id="43" w:name="_Toc1203"/>
      <w:r>
        <w:rPr>
          <w:rFonts w:hint="eastAsia" w:ascii="宋体" w:hAnsi="宋体" w:eastAsia="方正仿宋_GBK" w:cs="方正仿宋_GBK"/>
          <w:b/>
          <w:bCs w:val="0"/>
          <w:sz w:val="32"/>
          <w:szCs w:val="32"/>
        </w:rPr>
        <w:t>3.1 周边环境现状调查</w:t>
      </w:r>
      <w:bookmarkEnd w:id="40"/>
      <w:bookmarkEnd w:id="41"/>
      <w:bookmarkEnd w:id="42"/>
      <w:bookmarkEnd w:id="43"/>
    </w:p>
    <w:p w14:paraId="08514D8C">
      <w:pPr>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default" w:ascii="宋体" w:hAnsi="宋体" w:eastAsia="方正仿宋_GBK" w:cs="方正仿宋_GBK"/>
          <w:sz w:val="32"/>
          <w:szCs w:val="32"/>
          <w:lang w:val="en-US" w:eastAsia="zh-CN"/>
        </w:rPr>
      </w:pPr>
      <w:r>
        <w:rPr>
          <w:rFonts w:hint="eastAsia" w:ascii="宋体" w:hAnsi="宋体" w:eastAsia="方正仿宋_GBK" w:cs="方正仿宋_GBK"/>
          <w:kern w:val="0"/>
          <w:sz w:val="32"/>
          <w:szCs w:val="32"/>
          <w:lang w:val="en-US" w:eastAsia="zh-CN"/>
        </w:rPr>
        <w:t>芒究</w:t>
      </w:r>
      <w:r>
        <w:rPr>
          <w:rFonts w:hint="eastAsia" w:ascii="宋体" w:hAnsi="宋体" w:eastAsia="方正仿宋_GBK" w:cs="方正仿宋_GBK"/>
          <w:kern w:val="0"/>
          <w:sz w:val="32"/>
          <w:szCs w:val="32"/>
        </w:rPr>
        <w:t>水库是以蓄水、防洪以及周边群众农业用水功能为主的民生工程。其水质现状</w:t>
      </w:r>
      <w:r>
        <w:rPr>
          <w:rFonts w:hint="eastAsia" w:ascii="宋体" w:hAnsi="宋体" w:eastAsia="方正仿宋_GBK" w:cs="方正仿宋_GBK"/>
          <w:kern w:val="0"/>
          <w:sz w:val="32"/>
          <w:szCs w:val="32"/>
          <w:highlight w:val="none"/>
        </w:rPr>
        <w:t>为Ⅰ</w:t>
      </w:r>
      <w:r>
        <w:rPr>
          <w:rFonts w:hint="eastAsia" w:ascii="方正仿宋_GBK" w:hAnsi="方正仿宋_GBK" w:eastAsia="方正仿宋_GBK" w:cs="方正仿宋_GBK"/>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Ⅱ</w:t>
      </w:r>
      <w:r>
        <w:rPr>
          <w:rFonts w:hint="eastAsia" w:ascii="宋体" w:hAnsi="宋体" w:eastAsia="方正仿宋_GBK" w:cs="方正仿宋_GBK"/>
          <w:kern w:val="0"/>
          <w:sz w:val="32"/>
          <w:szCs w:val="32"/>
          <w:highlight w:val="none"/>
        </w:rPr>
        <w:t>类</w:t>
      </w:r>
      <w:r>
        <w:rPr>
          <w:rFonts w:hint="eastAsia" w:ascii="宋体" w:hAnsi="宋体" w:eastAsia="方正仿宋_GBK" w:cs="方正仿宋_GBK"/>
          <w:kern w:val="0"/>
          <w:sz w:val="32"/>
          <w:szCs w:val="32"/>
        </w:rPr>
        <w:t>。经过对</w:t>
      </w: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水库库区周边环境进行实地调查了解，水库的水污染主要分</w:t>
      </w:r>
      <w:r>
        <w:rPr>
          <w:rFonts w:hint="eastAsia" w:ascii="宋体" w:hAnsi="宋体" w:eastAsia="方正仿宋_GBK" w:cs="方正仿宋_GBK"/>
          <w:kern w:val="0"/>
          <w:sz w:val="32"/>
          <w:szCs w:val="32"/>
          <w:lang w:val="en-US" w:eastAsia="zh-CN"/>
        </w:rPr>
        <w:t>三个</w:t>
      </w:r>
      <w:r>
        <w:rPr>
          <w:rFonts w:hint="eastAsia" w:ascii="宋体" w:hAnsi="宋体" w:eastAsia="方正仿宋_GBK" w:cs="方正仿宋_GBK"/>
          <w:kern w:val="0"/>
          <w:sz w:val="32"/>
          <w:szCs w:val="32"/>
        </w:rPr>
        <w:t>部分，一是来自于水库</w:t>
      </w:r>
      <w:r>
        <w:rPr>
          <w:rFonts w:hint="eastAsia" w:ascii="宋体" w:hAnsi="宋体" w:eastAsia="方正仿宋_GBK" w:cs="方正仿宋_GBK"/>
          <w:kern w:val="0"/>
          <w:sz w:val="32"/>
          <w:szCs w:val="32"/>
          <w:lang w:val="en-US" w:eastAsia="zh-CN"/>
        </w:rPr>
        <w:t>径流区</w:t>
      </w:r>
      <w:r>
        <w:rPr>
          <w:rFonts w:hint="eastAsia" w:ascii="宋体" w:hAnsi="宋体" w:eastAsia="方正仿宋_GBK" w:cs="方正仿宋_GBK"/>
          <w:kern w:val="0"/>
          <w:sz w:val="32"/>
          <w:szCs w:val="32"/>
        </w:rPr>
        <w:t>居民的生产、生活污水、垃圾污染，其次是来自周边城区、村寨到水库游玩、烧烤、垂钓活动产生的污染</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lang w:val="en-US" w:eastAsia="zh-CN"/>
        </w:rPr>
        <w:t>三是来自水库径流区内农田种植造成的农业面源污染。</w:t>
      </w:r>
    </w:p>
    <w:p w14:paraId="6BA82378">
      <w:pPr>
        <w:pageBreakBefore w:val="0"/>
        <w:widowControl w:val="0"/>
        <w:kinsoku/>
        <w:wordWrap/>
        <w:overflowPunct/>
        <w:topLinePunct w:val="0"/>
        <w:autoSpaceDE w:val="0"/>
        <w:autoSpaceDN w:val="0"/>
        <w:bidi w:val="0"/>
        <w:adjustRightInd w:val="0"/>
        <w:snapToGrid/>
        <w:spacing w:line="560" w:lineRule="exact"/>
        <w:jc w:val="left"/>
        <w:textAlignment w:val="auto"/>
        <w:outlineLvl w:val="1"/>
        <w:rPr>
          <w:rFonts w:hint="eastAsia" w:ascii="宋体" w:hAnsi="宋体" w:eastAsia="方正仿宋_GBK" w:cs="方正仿宋_GBK"/>
          <w:b/>
          <w:bCs/>
          <w:kern w:val="0"/>
          <w:sz w:val="32"/>
          <w:szCs w:val="32"/>
        </w:rPr>
      </w:pPr>
      <w:bookmarkStart w:id="44" w:name="_Toc32067_WPSOffice_Level2"/>
      <w:bookmarkStart w:id="45" w:name="_Toc77330256"/>
      <w:bookmarkStart w:id="46" w:name="_Toc12124"/>
      <w:bookmarkStart w:id="47" w:name="_Toc3152"/>
      <w:r>
        <w:rPr>
          <w:rFonts w:hint="eastAsia" w:ascii="宋体" w:hAnsi="宋体" w:eastAsia="方正仿宋_GBK" w:cs="方正仿宋_GBK"/>
          <w:b/>
          <w:bCs/>
          <w:kern w:val="0"/>
          <w:sz w:val="32"/>
          <w:szCs w:val="32"/>
        </w:rPr>
        <w:t>3.2 水环境近期状</w:t>
      </w:r>
      <w:bookmarkEnd w:id="44"/>
      <w:bookmarkEnd w:id="45"/>
      <w:r>
        <w:rPr>
          <w:rFonts w:hint="eastAsia" w:ascii="宋体" w:hAnsi="宋体" w:eastAsia="方正仿宋_GBK" w:cs="方正仿宋_GBK"/>
          <w:b/>
          <w:bCs/>
          <w:kern w:val="0"/>
          <w:sz w:val="32"/>
          <w:szCs w:val="32"/>
        </w:rPr>
        <w:t>况</w:t>
      </w:r>
      <w:bookmarkEnd w:id="46"/>
      <w:bookmarkEnd w:id="47"/>
    </w:p>
    <w:p w14:paraId="083FA5C6">
      <w:pPr>
        <w:pageBreakBefore w:val="0"/>
        <w:widowControl w:val="0"/>
        <w:kinsoku/>
        <w:wordWrap/>
        <w:overflowPunct/>
        <w:topLinePunct w:val="0"/>
        <w:bidi w:val="0"/>
        <w:snapToGrid/>
        <w:spacing w:line="560" w:lineRule="exact"/>
        <w:textAlignment w:val="auto"/>
        <w:outlineLvl w:val="2"/>
        <w:rPr>
          <w:rFonts w:hint="eastAsia" w:ascii="宋体" w:hAnsi="宋体" w:eastAsia="方正仿宋_GBK" w:cs="方正仿宋_GBK"/>
          <w:b/>
          <w:bCs/>
          <w:sz w:val="32"/>
          <w:szCs w:val="32"/>
        </w:rPr>
      </w:pPr>
      <w:bookmarkStart w:id="48" w:name="_Toc29178"/>
      <w:r>
        <w:rPr>
          <w:rFonts w:hint="eastAsia" w:ascii="宋体" w:hAnsi="宋体" w:eastAsia="方正仿宋_GBK" w:cs="方正仿宋_GBK"/>
          <w:b/>
          <w:bCs/>
          <w:sz w:val="32"/>
          <w:szCs w:val="32"/>
        </w:rPr>
        <w:t>3.2.1 水功能区划情况</w:t>
      </w:r>
      <w:bookmarkEnd w:id="48"/>
      <w:r>
        <w:rPr>
          <w:rFonts w:hint="eastAsia" w:ascii="宋体" w:hAnsi="宋体" w:eastAsia="方正仿宋_GBK" w:cs="方正仿宋_GBK"/>
          <w:b/>
          <w:bCs/>
          <w:sz w:val="32"/>
          <w:szCs w:val="32"/>
        </w:rPr>
        <w:t xml:space="preserve"> </w:t>
      </w:r>
    </w:p>
    <w:p w14:paraId="2A3DE853">
      <w:pPr>
        <w:autoSpaceDE w:val="0"/>
        <w:autoSpaceDN w:val="0"/>
        <w:adjustRightInd w:val="0"/>
        <w:spacing w:line="600" w:lineRule="exact"/>
        <w:ind w:firstLine="640" w:firstLineChars="200"/>
        <w:rPr>
          <w:rFonts w:hint="eastAsia" w:ascii="宋体" w:hAnsi="宋体" w:eastAsia="方正仿宋_GBK" w:cs="方正仿宋_GBK"/>
          <w:sz w:val="32"/>
          <w:szCs w:val="32"/>
          <w:lang w:val="en-US" w:eastAsia="zh-CN"/>
        </w:rPr>
      </w:pPr>
      <w:r>
        <w:rPr>
          <w:rFonts w:hint="eastAsia" w:ascii="宋体" w:hAnsi="宋体" w:eastAsia="方正仿宋_GBK" w:cs="方正仿宋_GBK"/>
          <w:sz w:val="32"/>
          <w:szCs w:val="32"/>
        </w:rPr>
        <w:t>根据《云南省水功能区划》</w:t>
      </w:r>
      <w:r>
        <w:rPr>
          <w:rFonts w:hint="eastAsia" w:ascii="宋体" w:hAnsi="宋体" w:eastAsia="方正仿宋_GBK" w:cs="方正仿宋_GBK"/>
          <w:sz w:val="32"/>
          <w:szCs w:val="32"/>
          <w:lang w:val="en-US" w:eastAsia="zh-CN"/>
        </w:rPr>
        <w:t xml:space="preserve"> </w:t>
      </w:r>
      <w:r>
        <w:rPr>
          <w:rFonts w:hint="eastAsia" w:ascii="宋体" w:hAnsi="宋体" w:eastAsia="方正仿宋_GBK" w:cs="方正仿宋_GBK"/>
          <w:sz w:val="32"/>
          <w:szCs w:val="32"/>
        </w:rPr>
        <w:t>《德宏州水功能区划复核和调整报告》，</w:t>
      </w:r>
      <w:r>
        <w:rPr>
          <w:rFonts w:hint="eastAsia" w:ascii="宋体" w:hAnsi="宋体" w:eastAsia="方正仿宋_GBK" w:cs="方正仿宋_GBK"/>
          <w:sz w:val="32"/>
          <w:szCs w:val="32"/>
          <w:lang w:eastAsia="zh-CN"/>
        </w:rPr>
        <w:t>芒究</w:t>
      </w:r>
      <w:r>
        <w:rPr>
          <w:rFonts w:hint="eastAsia" w:ascii="宋体" w:hAnsi="宋体" w:eastAsia="方正仿宋_GBK" w:cs="方正仿宋_GBK"/>
          <w:sz w:val="32"/>
          <w:szCs w:val="32"/>
        </w:rPr>
        <w:t>水库</w:t>
      </w:r>
      <w:r>
        <w:rPr>
          <w:rFonts w:hint="eastAsia" w:ascii="宋体" w:hAnsi="宋体" w:eastAsia="方正仿宋_GBK" w:cs="方正仿宋_GBK"/>
          <w:sz w:val="32"/>
          <w:szCs w:val="32"/>
          <w:lang w:val="en-US" w:eastAsia="zh-CN"/>
        </w:rPr>
        <w:t>为芒究水库芒市开发利用区水功能一级区，</w:t>
      </w:r>
      <w:r>
        <w:rPr>
          <w:rFonts w:hint="eastAsia" w:ascii="宋体" w:hAnsi="宋体" w:eastAsia="方正仿宋_GBK" w:cs="方正仿宋_GBK"/>
          <w:sz w:val="32"/>
          <w:szCs w:val="32"/>
        </w:rPr>
        <w:t>划分有农业和景观用水，并作为芒市备用水源，现状水质为</w:t>
      </w:r>
      <w:r>
        <w:rPr>
          <w:rFonts w:hint="eastAsia" w:ascii="宋体" w:hAnsi="宋体" w:eastAsia="方正仿宋_GBK" w:cs="方正仿宋_GBK"/>
          <w:kern w:val="0"/>
          <w:sz w:val="32"/>
          <w:szCs w:val="32"/>
          <w:highlight w:val="none"/>
        </w:rPr>
        <w:t>Ⅰ</w:t>
      </w:r>
      <w:r>
        <w:rPr>
          <w:rFonts w:hint="eastAsia" w:ascii="方正仿宋_GBK" w:hAnsi="方正仿宋_GBK" w:eastAsia="方正仿宋_GBK" w:cs="方正仿宋_GBK"/>
          <w:kern w:val="0"/>
          <w:sz w:val="32"/>
          <w:szCs w:val="32"/>
          <w:highlight w:val="none"/>
          <w:lang w:val="en-US" w:eastAsia="zh-CN"/>
        </w:rPr>
        <w:t>~</w:t>
      </w:r>
      <w:r>
        <w:rPr>
          <w:rFonts w:hint="eastAsia" w:ascii="宋体" w:hAnsi="宋体" w:eastAsia="方正仿宋_GBK" w:cs="方正仿宋_GBK"/>
          <w:sz w:val="32"/>
          <w:szCs w:val="32"/>
        </w:rPr>
        <w:t>Ⅱ类，规划水平年水质目标为Ⅱ类。</w:t>
      </w:r>
      <w:r>
        <w:rPr>
          <w:rFonts w:hint="eastAsia" w:ascii="宋体" w:hAnsi="宋体" w:eastAsia="方正仿宋_GBK" w:cs="方正仿宋_GBK"/>
          <w:sz w:val="32"/>
          <w:szCs w:val="32"/>
          <w:lang w:val="en-US" w:eastAsia="zh-CN"/>
        </w:rPr>
        <w:t>2020年8月24日，经云南省生态环境厅批准同意芒市城区备用水源地由芒究水库调整为清塘河水库，自此芒究水库不再承担芒市备用水源功能。详见附件1。</w:t>
      </w:r>
    </w:p>
    <w:p w14:paraId="12F905C7">
      <w:pPr>
        <w:autoSpaceDE w:val="0"/>
        <w:autoSpaceDN w:val="0"/>
        <w:adjustRightInd w:val="0"/>
        <w:spacing w:line="600" w:lineRule="exact"/>
        <w:ind w:firstLine="640" w:firstLineChars="200"/>
        <w:rPr>
          <w:rFonts w:hint="eastAsia" w:ascii="宋体" w:hAnsi="宋体" w:eastAsia="宋体" w:cs="宋体"/>
          <w:b/>
          <w:sz w:val="28"/>
        </w:rPr>
      </w:pPr>
      <w:r>
        <w:rPr>
          <w:rFonts w:hint="eastAsia" w:ascii="宋体" w:hAnsi="宋体" w:eastAsia="方正仿宋_GBK" w:cs="方正仿宋_GBK"/>
          <w:sz w:val="32"/>
          <w:szCs w:val="32"/>
        </w:rPr>
        <w:t>功能区水质控制目标根据需要执行《地表水环境质量标准》（GB3838-2002）的Ⅲ类标准；农业用水区指满足农业灌溉用水需要的水域，功能区水质控制目标执行现行国家标准《农田灌溉水质标准》(GB5084-2005)，或按《地表水环境质量标准》（GB3838-2002）的）Ⅳ类标准执行；景观娱乐用水区指满足景观、娱乐需要的江河湖库等水域，功能区水质控制目标执行《地表水环境质量标准》（GB3838-2002）的Ⅱ类或Ⅱ类标准。</w:t>
      </w:r>
      <w:bookmarkStart w:id="49" w:name="_Ref493692066"/>
    </w:p>
    <w:p w14:paraId="05BDEF71">
      <w:pPr>
        <w:pStyle w:val="8"/>
        <w:keepNext/>
        <w:pageBreakBefore w:val="0"/>
        <w:kinsoku/>
        <w:wordWrap/>
        <w:overflowPunct/>
        <w:topLinePunct w:val="0"/>
        <w:bidi w:val="0"/>
        <w:spacing w:before="0" w:after="0"/>
        <w:rPr>
          <w:rFonts w:hint="eastAsia" w:ascii="宋体" w:hAnsi="宋体" w:eastAsia="宋体" w:cs="宋体"/>
          <w:b/>
          <w:sz w:val="28"/>
        </w:rPr>
      </w:pPr>
      <w:r>
        <w:rPr>
          <w:rFonts w:hint="eastAsia" w:ascii="宋体" w:hAnsi="宋体" w:eastAsia="方正黑体_GBK" w:cs="方正黑体_GBK"/>
          <w:b w:val="0"/>
          <w:bCs/>
          <w:sz w:val="32"/>
          <w:szCs w:val="32"/>
        </w:rPr>
        <w:t xml:space="preserve">表 </w:t>
      </w:r>
      <w:bookmarkEnd w:id="49"/>
      <w:r>
        <w:rPr>
          <w:rFonts w:hint="eastAsia" w:ascii="宋体" w:hAnsi="宋体" w:eastAsia="方正黑体_GBK" w:cs="方正黑体_GBK"/>
          <w:b w:val="0"/>
          <w:bCs/>
          <w:sz w:val="32"/>
          <w:szCs w:val="32"/>
        </w:rPr>
        <w:t>3.2-1</w:t>
      </w:r>
      <w:r>
        <w:rPr>
          <w:rFonts w:hint="eastAsia" w:ascii="宋体" w:hAnsi="宋体" w:eastAsia="方正黑体_GBK" w:cs="方正黑体_GBK"/>
          <w:b w:val="0"/>
          <w:bCs/>
          <w:sz w:val="32"/>
          <w:szCs w:val="32"/>
          <w:lang w:eastAsia="zh-CN"/>
        </w:rPr>
        <w:t>芒究</w:t>
      </w:r>
      <w:r>
        <w:rPr>
          <w:rFonts w:hint="eastAsia" w:ascii="宋体" w:hAnsi="宋体" w:eastAsia="方正黑体_GBK" w:cs="方正黑体_GBK"/>
          <w:b w:val="0"/>
          <w:bCs/>
          <w:sz w:val="32"/>
          <w:szCs w:val="32"/>
        </w:rPr>
        <w:t>水库水功能区划情况表</w:t>
      </w:r>
    </w:p>
    <w:tbl>
      <w:tblPr>
        <w:tblStyle w:val="29"/>
        <w:tblW w:w="96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710"/>
        <w:gridCol w:w="1200"/>
        <w:gridCol w:w="945"/>
        <w:gridCol w:w="1050"/>
        <w:gridCol w:w="705"/>
        <w:gridCol w:w="675"/>
        <w:gridCol w:w="814"/>
        <w:gridCol w:w="806"/>
      </w:tblGrid>
      <w:tr w14:paraId="45DC3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79" w:type="dxa"/>
            <w:vMerge w:val="restart"/>
            <w:vAlign w:val="center"/>
          </w:tcPr>
          <w:p w14:paraId="0D2C3A36">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一级水功能区</w:t>
            </w:r>
          </w:p>
        </w:tc>
        <w:tc>
          <w:tcPr>
            <w:tcW w:w="1710" w:type="dxa"/>
            <w:vMerge w:val="restart"/>
            <w:vAlign w:val="center"/>
          </w:tcPr>
          <w:p w14:paraId="73E887D0">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二级水功能区</w:t>
            </w:r>
          </w:p>
        </w:tc>
        <w:tc>
          <w:tcPr>
            <w:tcW w:w="3195" w:type="dxa"/>
            <w:gridSpan w:val="3"/>
            <w:vAlign w:val="center"/>
          </w:tcPr>
          <w:p w14:paraId="1212ADA5">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范围</w:t>
            </w:r>
          </w:p>
        </w:tc>
        <w:tc>
          <w:tcPr>
            <w:tcW w:w="705" w:type="dxa"/>
            <w:vMerge w:val="restart"/>
            <w:vAlign w:val="center"/>
          </w:tcPr>
          <w:p w14:paraId="04CF834D">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代表</w:t>
            </w:r>
          </w:p>
          <w:p w14:paraId="0A304754">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b/>
                <w:sz w:val="24"/>
                <w:szCs w:val="24"/>
              </w:rPr>
              <w:t>断面</w:t>
            </w:r>
          </w:p>
        </w:tc>
        <w:tc>
          <w:tcPr>
            <w:tcW w:w="675" w:type="dxa"/>
            <w:vMerge w:val="restart"/>
            <w:vAlign w:val="center"/>
          </w:tcPr>
          <w:p w14:paraId="2999A89C">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水质</w:t>
            </w:r>
          </w:p>
          <w:p w14:paraId="14F6952D">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b/>
                <w:sz w:val="24"/>
                <w:szCs w:val="24"/>
              </w:rPr>
              <w:t>现状</w:t>
            </w:r>
          </w:p>
        </w:tc>
        <w:tc>
          <w:tcPr>
            <w:tcW w:w="1620" w:type="dxa"/>
            <w:gridSpan w:val="2"/>
            <w:vAlign w:val="center"/>
          </w:tcPr>
          <w:p w14:paraId="30BD31CA">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水质  目标</w:t>
            </w:r>
          </w:p>
        </w:tc>
      </w:tr>
      <w:tr w14:paraId="3F319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779" w:type="dxa"/>
            <w:vMerge w:val="continue"/>
            <w:vAlign w:val="center"/>
          </w:tcPr>
          <w:p w14:paraId="01F9A140">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p>
        </w:tc>
        <w:tc>
          <w:tcPr>
            <w:tcW w:w="1710" w:type="dxa"/>
            <w:vMerge w:val="continue"/>
            <w:vAlign w:val="center"/>
          </w:tcPr>
          <w:p w14:paraId="0A0F28E4">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p>
        </w:tc>
        <w:tc>
          <w:tcPr>
            <w:tcW w:w="1200" w:type="dxa"/>
            <w:vAlign w:val="center"/>
          </w:tcPr>
          <w:p w14:paraId="09E77797">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起</w:t>
            </w:r>
          </w:p>
        </w:tc>
        <w:tc>
          <w:tcPr>
            <w:tcW w:w="945" w:type="dxa"/>
            <w:vAlign w:val="center"/>
          </w:tcPr>
          <w:p w14:paraId="18486345">
            <w:pPr>
              <w:pStyle w:val="46"/>
              <w:pageBreakBefore w:val="0"/>
              <w:kinsoku/>
              <w:wordWrap/>
              <w:overflowPunct/>
              <w:topLinePunct w:val="0"/>
              <w:bidi w:val="0"/>
              <w:adjustRightInd w:val="0"/>
              <w:snapToGrid w:val="0"/>
              <w:spacing w:after="0"/>
              <w:rPr>
                <w:rFonts w:hint="eastAsia" w:ascii="宋体" w:hAnsi="宋体" w:eastAsia="方正仿宋_GBK" w:cs="方正仿宋_GBK"/>
                <w:b/>
                <w:sz w:val="24"/>
                <w:szCs w:val="24"/>
              </w:rPr>
            </w:pPr>
            <w:r>
              <w:rPr>
                <w:rFonts w:hint="eastAsia" w:ascii="宋体" w:hAnsi="宋体" w:eastAsia="方正仿宋_GBK" w:cs="方正仿宋_GBK"/>
                <w:b/>
                <w:sz w:val="24"/>
                <w:szCs w:val="24"/>
              </w:rPr>
              <w:t>止</w:t>
            </w:r>
          </w:p>
        </w:tc>
        <w:tc>
          <w:tcPr>
            <w:tcW w:w="1050" w:type="dxa"/>
            <w:vAlign w:val="center"/>
          </w:tcPr>
          <w:p w14:paraId="0BA48324">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b/>
                <w:sz w:val="24"/>
                <w:szCs w:val="24"/>
              </w:rPr>
              <w:t>面积</w:t>
            </w:r>
            <w:r>
              <w:rPr>
                <w:rFonts w:hint="eastAsia" w:ascii="宋体" w:hAnsi="宋体" w:eastAsia="方正仿宋_GBK" w:cs="方正仿宋_GBK"/>
                <w:sz w:val="24"/>
                <w:szCs w:val="24"/>
              </w:rPr>
              <w:t>（km</w:t>
            </w:r>
            <w:r>
              <w:rPr>
                <w:rFonts w:hint="eastAsia" w:ascii="宋体" w:hAnsi="宋体" w:eastAsia="方正仿宋_GBK" w:cs="方正仿宋_GBK"/>
                <w:sz w:val="24"/>
                <w:szCs w:val="24"/>
                <w:vertAlign w:val="superscript"/>
              </w:rPr>
              <w:t>2</w:t>
            </w:r>
            <w:r>
              <w:rPr>
                <w:rFonts w:hint="eastAsia" w:ascii="宋体" w:hAnsi="宋体" w:eastAsia="方正仿宋_GBK" w:cs="方正仿宋_GBK"/>
                <w:sz w:val="24"/>
                <w:szCs w:val="24"/>
              </w:rPr>
              <w:t>）</w:t>
            </w:r>
          </w:p>
        </w:tc>
        <w:tc>
          <w:tcPr>
            <w:tcW w:w="705" w:type="dxa"/>
            <w:vMerge w:val="continue"/>
            <w:vAlign w:val="center"/>
          </w:tcPr>
          <w:p w14:paraId="471C5ABB">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p>
        </w:tc>
        <w:tc>
          <w:tcPr>
            <w:tcW w:w="675" w:type="dxa"/>
            <w:vMerge w:val="continue"/>
            <w:vAlign w:val="center"/>
          </w:tcPr>
          <w:p w14:paraId="0C7DB009">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p>
        </w:tc>
        <w:tc>
          <w:tcPr>
            <w:tcW w:w="814" w:type="dxa"/>
            <w:vAlign w:val="center"/>
          </w:tcPr>
          <w:p w14:paraId="2C2C57FE">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rPr>
              <w:t>2020年</w:t>
            </w:r>
          </w:p>
        </w:tc>
        <w:tc>
          <w:tcPr>
            <w:tcW w:w="806" w:type="dxa"/>
            <w:vAlign w:val="center"/>
          </w:tcPr>
          <w:p w14:paraId="38399979">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rPr>
              <w:t>2030年</w:t>
            </w:r>
          </w:p>
        </w:tc>
      </w:tr>
      <w:tr w14:paraId="0F07F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79" w:type="dxa"/>
            <w:vAlign w:val="center"/>
          </w:tcPr>
          <w:p w14:paraId="7FBF366B">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lang w:eastAsia="zh-CN"/>
              </w:rPr>
              <w:t>芒究</w:t>
            </w:r>
            <w:r>
              <w:rPr>
                <w:rFonts w:hint="eastAsia" w:ascii="宋体" w:hAnsi="宋体" w:eastAsia="方正仿宋_GBK" w:cs="方正仿宋_GBK"/>
                <w:sz w:val="24"/>
                <w:szCs w:val="24"/>
              </w:rPr>
              <w:t>水库芒市开发利用区</w:t>
            </w:r>
          </w:p>
        </w:tc>
        <w:tc>
          <w:tcPr>
            <w:tcW w:w="1710" w:type="dxa"/>
            <w:vAlign w:val="center"/>
          </w:tcPr>
          <w:p w14:paraId="67CEDA32">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lang w:eastAsia="zh-CN"/>
              </w:rPr>
              <w:t>芒究</w:t>
            </w:r>
            <w:r>
              <w:rPr>
                <w:rFonts w:hint="eastAsia" w:ascii="宋体" w:hAnsi="宋体" w:eastAsia="方正仿宋_GBK" w:cs="方正仿宋_GBK"/>
                <w:sz w:val="24"/>
                <w:szCs w:val="24"/>
              </w:rPr>
              <w:t>水库</w:t>
            </w:r>
          </w:p>
          <w:p w14:paraId="50C8A3CE">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rPr>
              <w:t>农业用水区</w:t>
            </w:r>
          </w:p>
        </w:tc>
        <w:tc>
          <w:tcPr>
            <w:tcW w:w="1200" w:type="dxa"/>
            <w:vAlign w:val="center"/>
          </w:tcPr>
          <w:p w14:paraId="4062C6D5">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rPr>
              <w:t>库区起始</w:t>
            </w:r>
          </w:p>
        </w:tc>
        <w:tc>
          <w:tcPr>
            <w:tcW w:w="945" w:type="dxa"/>
            <w:vAlign w:val="center"/>
          </w:tcPr>
          <w:p w14:paraId="10FF8B8D">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rPr>
              <w:t>坝址</w:t>
            </w:r>
          </w:p>
        </w:tc>
        <w:tc>
          <w:tcPr>
            <w:tcW w:w="1050" w:type="dxa"/>
            <w:vAlign w:val="center"/>
          </w:tcPr>
          <w:p w14:paraId="78721923">
            <w:pPr>
              <w:pStyle w:val="46"/>
              <w:pageBreakBefore w:val="0"/>
              <w:kinsoku/>
              <w:wordWrap/>
              <w:overflowPunct/>
              <w:topLinePunct w:val="0"/>
              <w:bidi w:val="0"/>
              <w:adjustRightInd w:val="0"/>
              <w:snapToGrid w:val="0"/>
              <w:spacing w:after="0"/>
              <w:rPr>
                <w:rFonts w:hint="default" w:ascii="宋体" w:hAnsi="宋体" w:eastAsia="方正仿宋_GBK" w:cs="方正仿宋_GBK"/>
                <w:sz w:val="24"/>
                <w:szCs w:val="24"/>
                <w:lang w:val="en-US" w:eastAsia="zh-CN"/>
              </w:rPr>
            </w:pPr>
            <w:r>
              <w:rPr>
                <w:rFonts w:hint="eastAsia" w:ascii="宋体" w:hAnsi="宋体" w:eastAsia="方正仿宋_GBK" w:cs="方正仿宋_GBK"/>
                <w:sz w:val="24"/>
                <w:szCs w:val="24"/>
                <w:lang w:val="en-US" w:eastAsia="zh-CN"/>
              </w:rPr>
              <w:t>1.083</w:t>
            </w:r>
          </w:p>
        </w:tc>
        <w:tc>
          <w:tcPr>
            <w:tcW w:w="705" w:type="dxa"/>
            <w:vAlign w:val="center"/>
          </w:tcPr>
          <w:p w14:paraId="6FB5A004">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24"/>
                <w:szCs w:val="24"/>
                <w:lang w:eastAsia="zh-CN"/>
              </w:rPr>
              <w:t>芒究</w:t>
            </w:r>
            <w:r>
              <w:rPr>
                <w:rFonts w:hint="eastAsia" w:ascii="宋体" w:hAnsi="宋体" w:eastAsia="方正仿宋_GBK" w:cs="方正仿宋_GBK"/>
                <w:sz w:val="24"/>
                <w:szCs w:val="24"/>
              </w:rPr>
              <w:t>水库</w:t>
            </w:r>
          </w:p>
        </w:tc>
        <w:tc>
          <w:tcPr>
            <w:tcW w:w="675" w:type="dxa"/>
            <w:vAlign w:val="center"/>
          </w:tcPr>
          <w:p w14:paraId="1EDBCA50">
            <w:pPr>
              <w:pStyle w:val="46"/>
              <w:pageBreakBefore w:val="0"/>
              <w:kinsoku/>
              <w:wordWrap/>
              <w:overflowPunct/>
              <w:topLinePunct w:val="0"/>
              <w:bidi w:val="0"/>
              <w:adjustRightInd w:val="0"/>
              <w:snapToGrid w:val="0"/>
              <w:spacing w:after="0"/>
              <w:rPr>
                <w:rFonts w:hint="eastAsia" w:ascii="宋体" w:hAnsi="宋体" w:eastAsia="方正仿宋_GBK" w:cs="方正仿宋_GBK"/>
                <w:sz w:val="24"/>
                <w:szCs w:val="24"/>
                <w:highlight w:val="none"/>
              </w:rPr>
            </w:pPr>
            <w:r>
              <w:rPr>
                <w:rFonts w:hint="eastAsia" w:ascii="宋体" w:hAnsi="宋体" w:eastAsia="方正仿宋_GBK" w:cs="方正仿宋_GBK"/>
                <w:sz w:val="24"/>
                <w:szCs w:val="24"/>
                <w:highlight w:val="none"/>
              </w:rPr>
              <w:t>Ⅰ</w:t>
            </w:r>
            <w:r>
              <w:rPr>
                <w:rFonts w:hint="eastAsia" w:ascii="宋体" w:hAnsi="宋体" w:eastAsia="方正仿宋_GBK" w:cs="方正仿宋_GBK"/>
                <w:sz w:val="24"/>
                <w:szCs w:val="24"/>
                <w:highlight w:val="none"/>
                <w:lang w:val="en-US" w:eastAsia="zh-CN"/>
              </w:rPr>
              <w:t>~Ⅲ</w:t>
            </w:r>
            <w:r>
              <w:rPr>
                <w:rFonts w:hint="eastAsia" w:ascii="宋体" w:hAnsi="宋体" w:eastAsia="方正仿宋_GBK" w:cs="方正仿宋_GBK"/>
                <w:sz w:val="24"/>
                <w:szCs w:val="24"/>
                <w:highlight w:val="none"/>
              </w:rPr>
              <w:t>类</w:t>
            </w:r>
          </w:p>
        </w:tc>
        <w:tc>
          <w:tcPr>
            <w:tcW w:w="814" w:type="dxa"/>
            <w:vAlign w:val="center"/>
          </w:tcPr>
          <w:p w14:paraId="21D8A3D7">
            <w:pPr>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32"/>
                <w:szCs w:val="32"/>
              </w:rPr>
              <w:t>Ⅱ</w:t>
            </w:r>
          </w:p>
        </w:tc>
        <w:tc>
          <w:tcPr>
            <w:tcW w:w="806" w:type="dxa"/>
            <w:vAlign w:val="center"/>
          </w:tcPr>
          <w:p w14:paraId="5330155B">
            <w:pPr>
              <w:pageBreakBefore w:val="0"/>
              <w:kinsoku/>
              <w:wordWrap/>
              <w:overflowPunct/>
              <w:topLinePunct w:val="0"/>
              <w:bidi w:val="0"/>
              <w:adjustRightInd w:val="0"/>
              <w:snapToGrid w:val="0"/>
              <w:spacing w:after="0"/>
              <w:rPr>
                <w:rFonts w:hint="eastAsia" w:ascii="宋体" w:hAnsi="宋体" w:eastAsia="方正仿宋_GBK" w:cs="方正仿宋_GBK"/>
                <w:sz w:val="24"/>
                <w:szCs w:val="24"/>
              </w:rPr>
            </w:pPr>
            <w:r>
              <w:rPr>
                <w:rFonts w:hint="eastAsia" w:ascii="宋体" w:hAnsi="宋体" w:eastAsia="方正仿宋_GBK" w:cs="方正仿宋_GBK"/>
                <w:sz w:val="32"/>
                <w:szCs w:val="32"/>
              </w:rPr>
              <w:t>Ⅱ</w:t>
            </w:r>
          </w:p>
        </w:tc>
      </w:tr>
    </w:tbl>
    <w:p w14:paraId="72557DB4">
      <w:pPr>
        <w:pStyle w:val="5"/>
        <w:pageBreakBefore w:val="0"/>
        <w:widowControl w:val="0"/>
        <w:kinsoku/>
        <w:wordWrap/>
        <w:overflowPunct/>
        <w:topLinePunct w:val="0"/>
        <w:autoSpaceDE/>
        <w:autoSpaceDN/>
        <w:bidi w:val="0"/>
        <w:adjustRightInd/>
        <w:snapToGrid/>
        <w:spacing w:before="0" w:after="0" w:line="560" w:lineRule="exact"/>
        <w:textAlignment w:val="auto"/>
        <w:rPr>
          <w:rFonts w:hint="eastAsia" w:ascii="宋体" w:hAnsi="宋体" w:eastAsia="方正仿宋_GBK" w:cs="方正仿宋_GBK"/>
          <w:b/>
          <w:bCs/>
          <w:kern w:val="0"/>
          <w:sz w:val="32"/>
          <w:szCs w:val="32"/>
        </w:rPr>
      </w:pPr>
      <w:bookmarkStart w:id="50" w:name="_Toc10929"/>
      <w:bookmarkStart w:id="51" w:name="_Toc11490"/>
      <w:r>
        <w:rPr>
          <w:rFonts w:hint="eastAsia" w:ascii="宋体" w:hAnsi="宋体" w:eastAsia="方正仿宋_GBK" w:cs="方正仿宋_GBK"/>
          <w:b/>
          <w:bCs/>
          <w:sz w:val="32"/>
          <w:szCs w:val="32"/>
        </w:rPr>
        <w:t>3.2.2</w:t>
      </w:r>
      <w:bookmarkEnd w:id="50"/>
      <w:r>
        <w:rPr>
          <w:rFonts w:hint="eastAsia" w:ascii="宋体" w:hAnsi="宋体" w:eastAsia="方正仿宋_GBK" w:cs="方正仿宋_GBK"/>
          <w:b/>
          <w:bCs/>
          <w:kern w:val="0"/>
          <w:sz w:val="32"/>
          <w:szCs w:val="32"/>
        </w:rPr>
        <w:t>现状水质检测情况</w:t>
      </w:r>
      <w:bookmarkEnd w:id="51"/>
    </w:p>
    <w:p w14:paraId="051C0BCF">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宋体" w:cs="宋体"/>
          <w:b/>
          <w:kern w:val="0"/>
          <w:sz w:val="28"/>
          <w:szCs w:val="28"/>
          <w:highlight w:val="yellow"/>
        </w:rPr>
      </w:pPr>
      <w:r>
        <w:rPr>
          <w:rFonts w:hint="eastAsia" w:ascii="Times New Roman" w:hAnsi="Times New Roman" w:eastAsia="方正仿宋_GBK" w:cs="Times New Roman"/>
          <w:color w:val="auto"/>
          <w:sz w:val="32"/>
          <w:szCs w:val="32"/>
          <w:lang w:val="en-US" w:eastAsia="zh-CN"/>
        </w:rPr>
        <w:t>芒究水库为</w:t>
      </w:r>
      <w:r>
        <w:rPr>
          <w:rFonts w:hint="default" w:ascii="Times New Roman" w:hAnsi="Times New Roman" w:eastAsia="方正仿宋_GBK" w:cs="Times New Roman"/>
          <w:color w:val="auto"/>
          <w:sz w:val="32"/>
          <w:szCs w:val="32"/>
        </w:rPr>
        <w:t>芒市列入省控的湖库</w:t>
      </w:r>
      <w:r>
        <w:rPr>
          <w:rFonts w:hint="eastAsia" w:ascii="Times New Roman" w:hAnsi="Times New Roman" w:eastAsia="方正仿宋_GBK" w:cs="Times New Roman"/>
          <w:color w:val="auto"/>
          <w:sz w:val="32"/>
          <w:szCs w:val="32"/>
          <w:lang w:val="en-US" w:eastAsia="zh-CN"/>
        </w:rPr>
        <w:t>环境</w:t>
      </w:r>
      <w:r>
        <w:rPr>
          <w:rFonts w:hint="default" w:ascii="Times New Roman" w:hAnsi="Times New Roman" w:eastAsia="方正仿宋_GBK" w:cs="Times New Roman"/>
          <w:color w:val="auto"/>
          <w:sz w:val="32"/>
          <w:szCs w:val="32"/>
        </w:rPr>
        <w:t>监测点位</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根据</w:t>
      </w:r>
      <w:r>
        <w:rPr>
          <w:rFonts w:hint="default" w:ascii="Times New Roman" w:hAnsi="Times New Roman" w:eastAsia="方正仿宋_GBK" w:cs="Times New Roman"/>
          <w:bCs/>
          <w:color w:val="000000"/>
          <w:sz w:val="32"/>
          <w:szCs w:val="32"/>
          <w:lang w:val="en-US" w:eastAsia="zh-CN"/>
        </w:rPr>
        <w:t>德宏州生态环境局芒市分局</w:t>
      </w:r>
      <w:r>
        <w:rPr>
          <w:rFonts w:hint="eastAsia" w:ascii="Times New Roman" w:hAnsi="Times New Roman" w:eastAsia="方正仿宋_GBK" w:cs="Times New Roman"/>
          <w:bCs/>
          <w:color w:val="000000"/>
          <w:sz w:val="32"/>
          <w:szCs w:val="32"/>
          <w:lang w:val="en-US" w:eastAsia="zh-CN"/>
        </w:rPr>
        <w:t>公布的《</w:t>
      </w:r>
      <w:r>
        <w:rPr>
          <w:rFonts w:hint="default" w:ascii="Times New Roman" w:hAnsi="Times New Roman" w:eastAsia="方正仿宋_GBK" w:cs="Times New Roman"/>
          <w:bCs/>
          <w:color w:val="000000"/>
          <w:sz w:val="32"/>
          <w:szCs w:val="32"/>
          <w:lang w:val="en-US" w:eastAsia="zh-CN"/>
        </w:rPr>
        <w:t>芒市水环境质量分析报告</w:t>
      </w:r>
      <w:r>
        <w:rPr>
          <w:rFonts w:hint="eastAsia" w:ascii="Times New Roman" w:hAnsi="Times New Roman" w:eastAsia="方正仿宋_GBK" w:cs="Times New Roman"/>
          <w:bCs/>
          <w:color w:val="000000"/>
          <w:sz w:val="32"/>
          <w:szCs w:val="32"/>
          <w:lang w:val="en-US" w:eastAsia="zh-CN"/>
        </w:rPr>
        <w:t>》显示，芒究水库2024年全年至2025年1~3月份</w:t>
      </w:r>
      <w:r>
        <w:rPr>
          <w:rFonts w:hint="eastAsia" w:ascii="宋体" w:hAnsi="宋体" w:eastAsia="方正仿宋_GBK" w:cs="方正仿宋_GBK"/>
          <w:kern w:val="0"/>
          <w:sz w:val="32"/>
          <w:szCs w:val="32"/>
        </w:rPr>
        <w:t>水质现状</w:t>
      </w:r>
      <w:r>
        <w:rPr>
          <w:rFonts w:hint="eastAsia" w:ascii="Times New Roman" w:hAnsi="Times New Roman" w:eastAsia="方正仿宋_GBK" w:cs="Times New Roman"/>
          <w:bCs/>
          <w:color w:val="000000"/>
          <w:sz w:val="32"/>
          <w:szCs w:val="32"/>
          <w:lang w:val="en-US" w:eastAsia="zh-CN"/>
        </w:rPr>
        <w:t>监测结果保持</w:t>
      </w:r>
      <w:r>
        <w:rPr>
          <w:rFonts w:hint="eastAsia" w:ascii="宋体" w:hAnsi="宋体" w:eastAsia="方正仿宋_GBK" w:cs="方正仿宋_GBK"/>
          <w:kern w:val="0"/>
          <w:sz w:val="32"/>
          <w:szCs w:val="32"/>
          <w:highlight w:val="none"/>
        </w:rPr>
        <w:t>为Ⅰ</w:t>
      </w:r>
      <w:r>
        <w:rPr>
          <w:rFonts w:hint="eastAsia" w:ascii="方正仿宋_GBK" w:hAnsi="方正仿宋_GBK" w:eastAsia="方正仿宋_GBK" w:cs="方正仿宋_GBK"/>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Ⅲ</w:t>
      </w:r>
      <w:r>
        <w:rPr>
          <w:rFonts w:hint="eastAsia" w:ascii="宋体" w:hAnsi="宋体" w:eastAsia="方正仿宋_GBK" w:cs="方正仿宋_GBK"/>
          <w:kern w:val="0"/>
          <w:sz w:val="32"/>
          <w:szCs w:val="32"/>
          <w:highlight w:val="none"/>
        </w:rPr>
        <w:t>类</w:t>
      </w:r>
      <w:r>
        <w:rPr>
          <w:rFonts w:hint="eastAsia" w:ascii="宋体" w:hAnsi="宋体" w:eastAsia="方正仿宋_GBK" w:cs="方正仿宋_GBK"/>
          <w:kern w:val="0"/>
          <w:sz w:val="32"/>
          <w:szCs w:val="32"/>
          <w:highlight w:val="none"/>
          <w:lang w:eastAsia="zh-CN"/>
        </w:rPr>
        <w:t>，</w:t>
      </w:r>
      <w:r>
        <w:rPr>
          <w:rFonts w:hint="eastAsia" w:ascii="宋体" w:hAnsi="宋体" w:eastAsia="方正仿宋_GBK" w:cs="方正仿宋_GBK"/>
          <w:kern w:val="0"/>
          <w:sz w:val="32"/>
          <w:szCs w:val="32"/>
          <w:highlight w:val="none"/>
          <w:lang w:val="en-US" w:eastAsia="zh-CN"/>
        </w:rPr>
        <w:t>具体监测指标见附件2。</w:t>
      </w:r>
    </w:p>
    <w:p w14:paraId="4A607DEE">
      <w:pPr>
        <w:pStyle w:val="60"/>
        <w:tabs>
          <w:tab w:val="clear" w:pos="4153"/>
          <w:tab w:val="clear" w:pos="8306"/>
        </w:tabs>
        <w:jc w:val="center"/>
        <w:rPr>
          <w:rFonts w:hint="default" w:ascii="Times New Roman" w:hAnsi="Times New Roman" w:eastAsia="方正楷体_GBK" w:cs="Times New Roman"/>
          <w:color w:val="auto"/>
          <w:sz w:val="32"/>
          <w:szCs w:val="32"/>
        </w:rPr>
      </w:pPr>
      <w:r>
        <w:rPr>
          <w:rFonts w:hint="eastAsia" w:ascii="宋体" w:hAnsi="宋体" w:eastAsia="方正黑体_GBK" w:cs="方正黑体_GBK"/>
          <w:b w:val="0"/>
          <w:bCs/>
          <w:kern w:val="0"/>
          <w:sz w:val="32"/>
          <w:szCs w:val="32"/>
          <w:highlight w:val="none"/>
        </w:rPr>
        <w:t>3.2.2-1</w:t>
      </w:r>
      <w:r>
        <w:rPr>
          <w:rFonts w:hint="default" w:ascii="Times New Roman" w:hAnsi="Times New Roman" w:eastAsia="方正楷体_GBK" w:cs="Times New Roman"/>
          <w:color w:val="auto"/>
          <w:sz w:val="32"/>
          <w:szCs w:val="32"/>
          <w:highlight w:val="none"/>
        </w:rPr>
        <w:t xml:space="preserve">  </w:t>
      </w:r>
      <w:r>
        <w:rPr>
          <w:rFonts w:hint="default" w:ascii="Times New Roman" w:hAnsi="Times New Roman" w:eastAsia="方正楷体_GBK" w:cs="Times New Roman"/>
          <w:color w:val="auto"/>
          <w:sz w:val="32"/>
          <w:szCs w:val="32"/>
        </w:rPr>
        <w:t>芒市</w:t>
      </w:r>
      <w:r>
        <w:rPr>
          <w:rFonts w:hint="eastAsia" w:ascii="Times New Roman" w:hAnsi="Times New Roman" w:eastAsia="方正楷体_GBK" w:cs="Times New Roman"/>
          <w:color w:val="auto"/>
          <w:sz w:val="32"/>
          <w:szCs w:val="32"/>
          <w:lang w:val="en-US" w:eastAsia="zh-CN"/>
        </w:rPr>
        <w:t>2025年</w:t>
      </w:r>
      <w:r>
        <w:rPr>
          <w:rFonts w:hint="default" w:ascii="Times New Roman" w:hAnsi="Times New Roman" w:eastAsia="方正楷体_GBK" w:cs="Times New Roman"/>
          <w:color w:val="auto"/>
          <w:sz w:val="32"/>
          <w:szCs w:val="32"/>
        </w:rPr>
        <w:t>湖库断面</w:t>
      </w:r>
      <w:r>
        <w:rPr>
          <w:rFonts w:hint="default" w:ascii="Times New Roman" w:hAnsi="Times New Roman" w:eastAsia="宋体" w:cs="Times New Roman"/>
          <w:color w:val="auto"/>
          <w:sz w:val="32"/>
          <w:szCs w:val="32"/>
        </w:rPr>
        <w:t>（</w:t>
      </w:r>
      <w:r>
        <w:rPr>
          <w:rFonts w:hint="default" w:ascii="Times New Roman" w:hAnsi="Times New Roman" w:eastAsia="方正楷体_GBK" w:cs="Times New Roman"/>
          <w:color w:val="auto"/>
          <w:sz w:val="32"/>
          <w:szCs w:val="32"/>
        </w:rPr>
        <w:t>点位</w:t>
      </w:r>
      <w:r>
        <w:rPr>
          <w:rFonts w:hint="default" w:ascii="Times New Roman" w:hAnsi="Times New Roman" w:eastAsia="宋体" w:cs="Times New Roman"/>
          <w:color w:val="auto"/>
          <w:sz w:val="32"/>
          <w:szCs w:val="32"/>
        </w:rPr>
        <w:t>）</w:t>
      </w:r>
      <w:r>
        <w:rPr>
          <w:rFonts w:hint="default" w:ascii="Times New Roman" w:hAnsi="Times New Roman" w:eastAsia="方正楷体_GBK" w:cs="Times New Roman"/>
          <w:color w:val="auto"/>
          <w:sz w:val="32"/>
          <w:szCs w:val="32"/>
        </w:rPr>
        <w:t>水质类别一览表</w:t>
      </w:r>
    </w:p>
    <w:tbl>
      <w:tblPr>
        <w:tblStyle w:val="29"/>
        <w:tblW w:w="93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1185"/>
        <w:gridCol w:w="516"/>
        <w:gridCol w:w="516"/>
        <w:gridCol w:w="516"/>
        <w:gridCol w:w="516"/>
        <w:gridCol w:w="516"/>
        <w:gridCol w:w="516"/>
        <w:gridCol w:w="516"/>
        <w:gridCol w:w="516"/>
        <w:gridCol w:w="516"/>
        <w:gridCol w:w="516"/>
        <w:gridCol w:w="516"/>
        <w:gridCol w:w="516"/>
        <w:gridCol w:w="634"/>
        <w:gridCol w:w="806"/>
      </w:tblGrid>
      <w:tr w14:paraId="73D2B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24" w:type="dxa"/>
            <w:vMerge w:val="restart"/>
            <w:vAlign w:val="center"/>
          </w:tcPr>
          <w:p w14:paraId="7B88BD16">
            <w:pPr>
              <w:spacing w:line="36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Cs w:val="21"/>
              </w:rPr>
              <w:t>序号</w:t>
            </w:r>
          </w:p>
        </w:tc>
        <w:tc>
          <w:tcPr>
            <w:tcW w:w="1185" w:type="dxa"/>
            <w:vMerge w:val="restart"/>
            <w:vAlign w:val="center"/>
          </w:tcPr>
          <w:p w14:paraId="6E5CB200">
            <w:pPr>
              <w:spacing w:line="36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Cs w:val="21"/>
              </w:rPr>
              <w:t>监测断面</w:t>
            </w:r>
          </w:p>
        </w:tc>
        <w:tc>
          <w:tcPr>
            <w:tcW w:w="7632" w:type="dxa"/>
            <w:gridSpan w:val="14"/>
            <w:vAlign w:val="center"/>
          </w:tcPr>
          <w:p w14:paraId="298DB91E">
            <w:pPr>
              <w:spacing w:line="36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Cs w:val="21"/>
              </w:rPr>
              <w:t>水质类别</w:t>
            </w:r>
          </w:p>
        </w:tc>
      </w:tr>
      <w:tr w14:paraId="2AEF9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524" w:type="dxa"/>
            <w:vMerge w:val="continue"/>
            <w:vAlign w:val="center"/>
          </w:tcPr>
          <w:p w14:paraId="48CB45D6">
            <w:pPr>
              <w:spacing w:line="360" w:lineRule="exact"/>
              <w:ind w:firstLine="420" w:firstLineChars="200"/>
              <w:jc w:val="center"/>
              <w:rPr>
                <w:rFonts w:hint="default" w:ascii="Times New Roman" w:hAnsi="Times New Roman" w:eastAsia="方正仿宋_GBK" w:cs="Times New Roman"/>
                <w:color w:val="auto"/>
                <w:szCs w:val="21"/>
              </w:rPr>
            </w:pPr>
          </w:p>
        </w:tc>
        <w:tc>
          <w:tcPr>
            <w:tcW w:w="1185" w:type="dxa"/>
            <w:vMerge w:val="continue"/>
            <w:vAlign w:val="center"/>
          </w:tcPr>
          <w:p w14:paraId="0A0F3765">
            <w:pPr>
              <w:spacing w:line="360" w:lineRule="exact"/>
              <w:ind w:firstLine="420" w:firstLineChars="200"/>
              <w:jc w:val="center"/>
              <w:rPr>
                <w:rFonts w:hint="default" w:ascii="Times New Roman" w:hAnsi="Times New Roman" w:eastAsia="方正仿宋_GBK" w:cs="Times New Roman"/>
                <w:color w:val="auto"/>
                <w:szCs w:val="21"/>
              </w:rPr>
            </w:pPr>
          </w:p>
        </w:tc>
        <w:tc>
          <w:tcPr>
            <w:tcW w:w="516" w:type="dxa"/>
            <w:vAlign w:val="center"/>
          </w:tcPr>
          <w:p w14:paraId="674EE74B">
            <w:pPr>
              <w:spacing w:line="360" w:lineRule="exact"/>
              <w:jc w:val="center"/>
              <w:rPr>
                <w:rFonts w:hint="default" w:ascii="Times New Roman" w:hAnsi="Times New Roman" w:eastAsia="方正仿宋_GBK" w:cs="Times New Roman"/>
                <w:color w:val="auto"/>
                <w:spacing w:val="-20"/>
                <w:szCs w:val="21"/>
              </w:rPr>
            </w:pPr>
            <w:r>
              <w:rPr>
                <w:rFonts w:hint="default" w:ascii="Times New Roman" w:hAnsi="Times New Roman" w:eastAsia="方正仿宋_GBK" w:cs="Times New Roman"/>
                <w:color w:val="auto"/>
                <w:spacing w:val="-20"/>
                <w:szCs w:val="21"/>
              </w:rPr>
              <w:t>1</w:t>
            </w:r>
          </w:p>
          <w:p w14:paraId="4BE51955">
            <w:pPr>
              <w:spacing w:line="360" w:lineRule="exact"/>
              <w:jc w:val="center"/>
              <w:rPr>
                <w:rFonts w:hint="default" w:ascii="Times New Roman" w:hAnsi="Times New Roman" w:eastAsia="方正仿宋_GBK" w:cs="Times New Roman"/>
                <w:color w:val="auto"/>
                <w:spacing w:val="-20"/>
                <w:szCs w:val="21"/>
              </w:rPr>
            </w:pPr>
            <w:r>
              <w:rPr>
                <w:rFonts w:hint="default" w:ascii="Times New Roman" w:hAnsi="Times New Roman" w:eastAsia="方正仿宋_GBK" w:cs="Times New Roman"/>
                <w:color w:val="auto"/>
                <w:spacing w:val="-20"/>
                <w:szCs w:val="21"/>
              </w:rPr>
              <w:t>月</w:t>
            </w:r>
          </w:p>
        </w:tc>
        <w:tc>
          <w:tcPr>
            <w:tcW w:w="516" w:type="dxa"/>
            <w:vAlign w:val="center"/>
          </w:tcPr>
          <w:p w14:paraId="78CC3294">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2</w:t>
            </w:r>
          </w:p>
          <w:p w14:paraId="576583FB">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月</w:t>
            </w:r>
          </w:p>
        </w:tc>
        <w:tc>
          <w:tcPr>
            <w:tcW w:w="516" w:type="dxa"/>
            <w:vAlign w:val="center"/>
          </w:tcPr>
          <w:p w14:paraId="2665448C">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3</w:t>
            </w:r>
          </w:p>
          <w:p w14:paraId="2F83BDCB">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月</w:t>
            </w:r>
          </w:p>
        </w:tc>
        <w:tc>
          <w:tcPr>
            <w:tcW w:w="516" w:type="dxa"/>
            <w:vAlign w:val="center"/>
          </w:tcPr>
          <w:p w14:paraId="5A9A6431">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4</w:t>
            </w:r>
          </w:p>
          <w:p w14:paraId="2FA2F687">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月</w:t>
            </w:r>
          </w:p>
        </w:tc>
        <w:tc>
          <w:tcPr>
            <w:tcW w:w="516" w:type="dxa"/>
            <w:vAlign w:val="center"/>
          </w:tcPr>
          <w:p w14:paraId="7C7A8EF6">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5</w:t>
            </w:r>
          </w:p>
          <w:p w14:paraId="1ED88776">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月</w:t>
            </w:r>
          </w:p>
        </w:tc>
        <w:tc>
          <w:tcPr>
            <w:tcW w:w="516" w:type="dxa"/>
            <w:vAlign w:val="center"/>
          </w:tcPr>
          <w:p w14:paraId="28D71D09">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6</w:t>
            </w:r>
          </w:p>
          <w:p w14:paraId="61CE5F2C">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月</w:t>
            </w:r>
          </w:p>
        </w:tc>
        <w:tc>
          <w:tcPr>
            <w:tcW w:w="516" w:type="dxa"/>
            <w:vAlign w:val="center"/>
          </w:tcPr>
          <w:p w14:paraId="625010EB">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7</w:t>
            </w:r>
          </w:p>
          <w:p w14:paraId="2E6D9713">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月</w:t>
            </w:r>
          </w:p>
        </w:tc>
        <w:tc>
          <w:tcPr>
            <w:tcW w:w="516" w:type="dxa"/>
            <w:vAlign w:val="center"/>
          </w:tcPr>
          <w:p w14:paraId="02432E36">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8</w:t>
            </w:r>
          </w:p>
          <w:p w14:paraId="31310DC2">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月</w:t>
            </w:r>
          </w:p>
        </w:tc>
        <w:tc>
          <w:tcPr>
            <w:tcW w:w="516" w:type="dxa"/>
            <w:vAlign w:val="center"/>
          </w:tcPr>
          <w:p w14:paraId="232D6CA6">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9月</w:t>
            </w:r>
          </w:p>
        </w:tc>
        <w:tc>
          <w:tcPr>
            <w:tcW w:w="516" w:type="dxa"/>
            <w:vAlign w:val="center"/>
          </w:tcPr>
          <w:p w14:paraId="738EF25C">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10月</w:t>
            </w:r>
          </w:p>
        </w:tc>
        <w:tc>
          <w:tcPr>
            <w:tcW w:w="516" w:type="dxa"/>
            <w:vAlign w:val="center"/>
          </w:tcPr>
          <w:p w14:paraId="728E331C">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11月</w:t>
            </w:r>
          </w:p>
        </w:tc>
        <w:tc>
          <w:tcPr>
            <w:tcW w:w="516" w:type="dxa"/>
            <w:vAlign w:val="center"/>
          </w:tcPr>
          <w:p w14:paraId="0C6DFB17">
            <w:pPr>
              <w:spacing w:line="360" w:lineRule="exact"/>
              <w:jc w:val="center"/>
              <w:rPr>
                <w:rFonts w:hint="default" w:ascii="Times New Roman" w:hAnsi="Times New Roman" w:eastAsia="方正仿宋_GBK" w:cs="Times New Roman"/>
                <w:color w:val="auto"/>
                <w:spacing w:val="-20"/>
                <w:szCs w:val="21"/>
                <w:lang w:val="en-US" w:eastAsia="zh-CN"/>
              </w:rPr>
            </w:pPr>
            <w:r>
              <w:rPr>
                <w:rFonts w:hint="default" w:ascii="Times New Roman" w:hAnsi="Times New Roman" w:eastAsia="方正仿宋_GBK" w:cs="Times New Roman"/>
                <w:color w:val="auto"/>
                <w:spacing w:val="-20"/>
                <w:szCs w:val="21"/>
                <w:lang w:val="en-US" w:eastAsia="zh-CN"/>
              </w:rPr>
              <w:t>12月</w:t>
            </w:r>
          </w:p>
        </w:tc>
        <w:tc>
          <w:tcPr>
            <w:tcW w:w="634" w:type="dxa"/>
            <w:vAlign w:val="center"/>
          </w:tcPr>
          <w:p w14:paraId="02462F9B">
            <w:pPr>
              <w:spacing w:line="360" w:lineRule="exact"/>
              <w:jc w:val="center"/>
              <w:rPr>
                <w:rFonts w:hint="default" w:ascii="Times New Roman" w:hAnsi="Times New Roman" w:eastAsia="方正仿宋_GBK" w:cs="Times New Roman"/>
                <w:color w:val="auto"/>
                <w:spacing w:val="-20"/>
                <w:szCs w:val="21"/>
              </w:rPr>
            </w:pPr>
            <w:r>
              <w:rPr>
                <w:rFonts w:hint="default" w:ascii="Times New Roman" w:hAnsi="Times New Roman" w:eastAsia="方正仿宋_GBK" w:cs="Times New Roman"/>
                <w:color w:val="auto"/>
                <w:spacing w:val="-20"/>
                <w:szCs w:val="21"/>
              </w:rPr>
              <w:t>年均类别</w:t>
            </w:r>
          </w:p>
        </w:tc>
        <w:tc>
          <w:tcPr>
            <w:tcW w:w="806" w:type="dxa"/>
            <w:vAlign w:val="center"/>
          </w:tcPr>
          <w:p w14:paraId="4C9DC327">
            <w:pPr>
              <w:spacing w:line="360" w:lineRule="exact"/>
              <w:jc w:val="center"/>
              <w:rPr>
                <w:rFonts w:hint="default" w:ascii="Times New Roman" w:hAnsi="Times New Roman" w:eastAsia="方正仿宋_GBK" w:cs="Times New Roman"/>
                <w:color w:val="auto"/>
                <w:spacing w:val="-20"/>
                <w:szCs w:val="21"/>
              </w:rPr>
            </w:pPr>
            <w:r>
              <w:rPr>
                <w:rFonts w:hint="default" w:ascii="Times New Roman" w:hAnsi="Times New Roman" w:eastAsia="方正仿宋_GBK" w:cs="Times New Roman"/>
                <w:color w:val="auto"/>
                <w:spacing w:val="-20"/>
                <w:szCs w:val="21"/>
              </w:rPr>
              <w:t>达标率</w:t>
            </w:r>
          </w:p>
        </w:tc>
      </w:tr>
      <w:tr w14:paraId="1597D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jc w:val="center"/>
        </w:trPr>
        <w:tc>
          <w:tcPr>
            <w:tcW w:w="524" w:type="dxa"/>
            <w:vAlign w:val="center"/>
          </w:tcPr>
          <w:p w14:paraId="06CC7426">
            <w:pPr>
              <w:spacing w:line="360" w:lineRule="exact"/>
              <w:jc w:val="center"/>
              <w:rPr>
                <w:rFonts w:hint="eastAsia" w:ascii="Times New Roman" w:hAnsi="Times New Roman" w:eastAsia="方正仿宋_GBK" w:cs="Times New Roman"/>
                <w:color w:val="auto"/>
                <w:szCs w:val="21"/>
                <w:lang w:eastAsia="zh-CN"/>
              </w:rPr>
            </w:pPr>
            <w:r>
              <w:rPr>
                <w:rFonts w:hint="eastAsia" w:ascii="Times New Roman" w:hAnsi="Times New Roman" w:eastAsia="方正仿宋_GBK" w:cs="Times New Roman"/>
                <w:color w:val="auto"/>
                <w:szCs w:val="21"/>
                <w:lang w:val="en-US" w:eastAsia="zh-CN"/>
              </w:rPr>
              <w:t>1</w:t>
            </w:r>
          </w:p>
        </w:tc>
        <w:tc>
          <w:tcPr>
            <w:tcW w:w="1185" w:type="dxa"/>
            <w:vAlign w:val="center"/>
          </w:tcPr>
          <w:p w14:paraId="2F6C7C68">
            <w:pPr>
              <w:spacing w:line="36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Cs w:val="21"/>
              </w:rPr>
              <w:t>芒究水库</w:t>
            </w:r>
            <w:r>
              <w:rPr>
                <w:rFonts w:hint="default" w:ascii="Times New Roman" w:hAnsi="Times New Roman" w:eastAsia="宋体" w:cs="Times New Roman"/>
                <w:color w:val="auto"/>
                <w:szCs w:val="21"/>
              </w:rPr>
              <w:t>（</w:t>
            </w:r>
            <w:r>
              <w:rPr>
                <w:rFonts w:hint="default" w:ascii="Times New Roman" w:hAnsi="Times New Roman" w:eastAsia="方正仿宋_GBK" w:cs="Times New Roman"/>
                <w:color w:val="auto"/>
                <w:szCs w:val="21"/>
              </w:rPr>
              <w:t>省控</w:t>
            </w:r>
            <w:r>
              <w:rPr>
                <w:rFonts w:hint="default" w:ascii="Times New Roman" w:hAnsi="Times New Roman" w:eastAsia="宋体" w:cs="Times New Roman"/>
                <w:color w:val="auto"/>
                <w:szCs w:val="21"/>
              </w:rPr>
              <w:t>）</w:t>
            </w:r>
          </w:p>
        </w:tc>
        <w:tc>
          <w:tcPr>
            <w:tcW w:w="516" w:type="dxa"/>
            <w:vAlign w:val="center"/>
          </w:tcPr>
          <w:p w14:paraId="30AF58D5">
            <w:pPr>
              <w:spacing w:line="36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Cs w:val="21"/>
                <w:lang w:val="en-US" w:eastAsia="zh-CN"/>
              </w:rPr>
              <w:t>Ⅲ</w:t>
            </w:r>
          </w:p>
        </w:tc>
        <w:tc>
          <w:tcPr>
            <w:tcW w:w="516" w:type="dxa"/>
            <w:vAlign w:val="center"/>
          </w:tcPr>
          <w:p w14:paraId="403145FF">
            <w:pPr>
              <w:spacing w:line="360" w:lineRule="exact"/>
              <w:jc w:val="center"/>
              <w:rPr>
                <w:rFonts w:hint="default" w:ascii="Times New Roman" w:hAnsi="Times New Roman" w:eastAsia="方正仿宋_GBK" w:cs="Times New Roman"/>
                <w:color w:val="auto"/>
                <w:szCs w:val="21"/>
                <w:lang w:val="en-US" w:eastAsia="zh-CN"/>
              </w:rPr>
            </w:pPr>
            <w:r>
              <w:rPr>
                <w:rFonts w:hint="default" w:ascii="Times New Roman" w:hAnsi="Times New Roman" w:eastAsia="方正仿宋_GBK" w:cs="Times New Roman"/>
                <w:color w:val="auto"/>
                <w:szCs w:val="21"/>
              </w:rPr>
              <w:t>Ⅱ</w:t>
            </w:r>
          </w:p>
        </w:tc>
        <w:tc>
          <w:tcPr>
            <w:tcW w:w="516" w:type="dxa"/>
            <w:vAlign w:val="center"/>
          </w:tcPr>
          <w:p w14:paraId="1096A5E7">
            <w:pPr>
              <w:spacing w:line="360" w:lineRule="exact"/>
              <w:jc w:val="center"/>
              <w:rPr>
                <w:rFonts w:hint="default" w:ascii="Times New Roman" w:hAnsi="Times New Roman" w:eastAsia="方正仿宋_GBK" w:cs="Times New Roman"/>
                <w:color w:val="auto"/>
                <w:szCs w:val="21"/>
                <w:lang w:val="en-US" w:eastAsia="zh-CN"/>
              </w:rPr>
            </w:pPr>
            <w:r>
              <w:rPr>
                <w:rFonts w:hint="default" w:ascii="Times New Roman" w:hAnsi="Times New Roman" w:eastAsia="方正仿宋_GBK" w:cs="Times New Roman"/>
                <w:color w:val="auto"/>
                <w:szCs w:val="21"/>
                <w:lang w:eastAsia="zh-CN"/>
              </w:rPr>
              <w:t>Ⅰ</w:t>
            </w:r>
          </w:p>
        </w:tc>
        <w:tc>
          <w:tcPr>
            <w:tcW w:w="516" w:type="dxa"/>
            <w:vAlign w:val="center"/>
          </w:tcPr>
          <w:p w14:paraId="08402F45">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01D56336">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04E7593C">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036981CA">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3DE128FC">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6707BD43">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24BB6815">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1B1E81C9">
            <w:pPr>
              <w:spacing w:line="360" w:lineRule="exact"/>
              <w:jc w:val="center"/>
              <w:rPr>
                <w:rFonts w:hint="default" w:ascii="Times New Roman" w:hAnsi="Times New Roman" w:eastAsia="方正仿宋_GBK" w:cs="Times New Roman"/>
                <w:color w:val="auto"/>
                <w:szCs w:val="21"/>
                <w:lang w:val="en-US" w:eastAsia="zh-CN"/>
              </w:rPr>
            </w:pPr>
          </w:p>
        </w:tc>
        <w:tc>
          <w:tcPr>
            <w:tcW w:w="516" w:type="dxa"/>
            <w:vAlign w:val="center"/>
          </w:tcPr>
          <w:p w14:paraId="6EA1095A">
            <w:pPr>
              <w:spacing w:line="360" w:lineRule="exact"/>
              <w:jc w:val="center"/>
              <w:rPr>
                <w:rFonts w:hint="default" w:ascii="Times New Roman" w:hAnsi="Times New Roman" w:eastAsia="方正仿宋_GBK" w:cs="Times New Roman"/>
                <w:color w:val="auto"/>
                <w:kern w:val="2"/>
                <w:sz w:val="21"/>
                <w:szCs w:val="21"/>
                <w:lang w:val="en-US" w:eastAsia="zh-CN" w:bidi="ar-SA"/>
              </w:rPr>
            </w:pPr>
          </w:p>
        </w:tc>
        <w:tc>
          <w:tcPr>
            <w:tcW w:w="634" w:type="dxa"/>
            <w:vAlign w:val="center"/>
          </w:tcPr>
          <w:p w14:paraId="6F4D8382">
            <w:pPr>
              <w:spacing w:line="36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Cs w:val="21"/>
              </w:rPr>
              <w:t>Ⅱ</w:t>
            </w:r>
          </w:p>
        </w:tc>
        <w:tc>
          <w:tcPr>
            <w:tcW w:w="806" w:type="dxa"/>
            <w:vAlign w:val="center"/>
          </w:tcPr>
          <w:p w14:paraId="6E8057FB">
            <w:pPr>
              <w:spacing w:line="360" w:lineRule="exact"/>
              <w:jc w:val="center"/>
              <w:rPr>
                <w:rFonts w:hint="default" w:ascii="Times New Roman" w:hAnsi="Times New Roman" w:eastAsia="方正仿宋_GBK" w:cs="Times New Roman"/>
                <w:color w:val="auto"/>
                <w:szCs w:val="21"/>
                <w:lang w:val="en-US" w:eastAsia="zh-CN"/>
              </w:rPr>
            </w:pPr>
            <w:r>
              <w:rPr>
                <w:rFonts w:hint="eastAsia" w:eastAsia="方正仿宋_GBK" w:cs="Times New Roman"/>
                <w:color w:val="auto"/>
                <w:szCs w:val="21"/>
                <w:lang w:val="en-US" w:eastAsia="zh-CN"/>
              </w:rPr>
              <w:t>100</w:t>
            </w:r>
            <w:r>
              <w:rPr>
                <w:rFonts w:hint="default" w:ascii="Times New Roman" w:hAnsi="Times New Roman" w:eastAsia="方正仿宋_GBK" w:cs="Times New Roman"/>
                <w:color w:val="auto"/>
                <w:szCs w:val="21"/>
              </w:rPr>
              <w:t>%</w:t>
            </w:r>
          </w:p>
        </w:tc>
      </w:tr>
    </w:tbl>
    <w:p w14:paraId="399586F1">
      <w:pPr>
        <w:pageBreakBefore w:val="0"/>
        <w:widowControl w:val="0"/>
        <w:kinsoku/>
        <w:wordWrap/>
        <w:overflowPunct/>
        <w:topLinePunct w:val="0"/>
        <w:autoSpaceDE w:val="0"/>
        <w:autoSpaceDN w:val="0"/>
        <w:bidi w:val="0"/>
        <w:adjustRightInd w:val="0"/>
        <w:snapToGrid/>
        <w:spacing w:line="560" w:lineRule="exact"/>
        <w:jc w:val="left"/>
        <w:textAlignment w:val="auto"/>
        <w:outlineLvl w:val="1"/>
        <w:rPr>
          <w:rFonts w:hint="eastAsia" w:ascii="宋体" w:hAnsi="宋体" w:eastAsia="方正仿宋_GBK" w:cs="方正仿宋_GBK"/>
          <w:b/>
          <w:bCs/>
          <w:kern w:val="0"/>
          <w:sz w:val="32"/>
          <w:szCs w:val="32"/>
        </w:rPr>
      </w:pPr>
      <w:bookmarkStart w:id="52" w:name="_Toc22021_WPSOffice_Level3"/>
      <w:bookmarkStart w:id="53" w:name="_Toc77330258"/>
      <w:bookmarkStart w:id="54" w:name="_Toc19605_WPSOffice_Level2"/>
      <w:bookmarkStart w:id="55" w:name="_Toc29549_WPSOffice_Level2"/>
      <w:bookmarkStart w:id="56" w:name="_Toc23744"/>
      <w:bookmarkStart w:id="57" w:name="_Toc135774106"/>
      <w:r>
        <w:rPr>
          <w:rFonts w:hint="eastAsia" w:ascii="宋体" w:hAnsi="宋体" w:eastAsia="方正仿宋_GBK" w:cs="方正仿宋_GBK"/>
          <w:b/>
          <w:bCs/>
          <w:kern w:val="0"/>
          <w:sz w:val="32"/>
          <w:szCs w:val="32"/>
        </w:rPr>
        <w:t xml:space="preserve">3.3 </w:t>
      </w:r>
      <w:bookmarkEnd w:id="52"/>
      <w:bookmarkEnd w:id="53"/>
      <w:bookmarkEnd w:id="54"/>
      <w:bookmarkEnd w:id="55"/>
      <w:r>
        <w:rPr>
          <w:rFonts w:hint="eastAsia" w:ascii="宋体" w:hAnsi="宋体" w:eastAsia="方正仿宋_GBK" w:cs="方正仿宋_GBK"/>
          <w:b/>
          <w:bCs/>
          <w:kern w:val="0"/>
          <w:sz w:val="32"/>
          <w:szCs w:val="32"/>
        </w:rPr>
        <w:t>水库周边污染源现状调查</w:t>
      </w:r>
      <w:bookmarkEnd w:id="56"/>
      <w:bookmarkEnd w:id="57"/>
    </w:p>
    <w:p w14:paraId="77CE886A">
      <w:pPr>
        <w:keepNext w:val="0"/>
        <w:keepLines w:val="0"/>
        <w:pageBreakBefore w:val="0"/>
        <w:widowControl w:val="0"/>
        <w:kinsoku/>
        <w:wordWrap/>
        <w:overflowPunct/>
        <w:topLinePunct w:val="0"/>
        <w:bidi w:val="0"/>
        <w:snapToGrid/>
        <w:spacing w:line="560" w:lineRule="exact"/>
        <w:textAlignment w:val="auto"/>
        <w:outlineLvl w:val="1"/>
        <w:rPr>
          <w:rStyle w:val="52"/>
          <w:rFonts w:hint="eastAsia" w:ascii="宋体" w:hAnsi="宋体" w:eastAsia="方正仿宋_GBK" w:cs="方正仿宋_GBK"/>
          <w:b w:val="0"/>
          <w:bCs w:val="0"/>
          <w:sz w:val="32"/>
          <w:szCs w:val="32"/>
        </w:rPr>
      </w:pPr>
      <w:bookmarkStart w:id="58" w:name="_Toc9289"/>
      <w:bookmarkStart w:id="59" w:name="_Toc17693"/>
      <w:bookmarkStart w:id="60" w:name="_Toc4874_WPSOffice_Level2"/>
      <w:bookmarkStart w:id="61" w:name="_Toc135930283"/>
      <w:bookmarkStart w:id="62" w:name="_Toc22597"/>
      <w:bookmarkStart w:id="63" w:name="_Toc6069"/>
      <w:bookmarkStart w:id="64" w:name="_Toc410044205"/>
      <w:bookmarkStart w:id="65" w:name="_Toc409446089"/>
      <w:bookmarkStart w:id="66" w:name="_Toc409439926"/>
      <w:bookmarkStart w:id="67" w:name="_Toc410047320"/>
      <w:bookmarkStart w:id="68" w:name="_Toc22995_WPSOffice_Level1"/>
      <w:bookmarkStart w:id="69" w:name="_Toc409446930"/>
      <w:bookmarkStart w:id="70" w:name="_Toc409361227"/>
      <w:bookmarkStart w:id="71" w:name="_Toc410056197"/>
      <w:bookmarkStart w:id="72" w:name="_Toc409527747"/>
      <w:bookmarkStart w:id="73" w:name="_Toc409775362"/>
      <w:bookmarkStart w:id="74" w:name="_Toc77330257"/>
      <w:bookmarkStart w:id="75" w:name="_Toc409447600"/>
      <w:r>
        <w:rPr>
          <w:rStyle w:val="52"/>
          <w:rFonts w:hint="eastAsia" w:ascii="宋体" w:hAnsi="宋体" w:eastAsia="方正仿宋_GBK" w:cs="方正仿宋_GBK"/>
          <w:b/>
          <w:bCs/>
          <w:sz w:val="32"/>
          <w:szCs w:val="32"/>
          <w:lang w:val="en-US" w:eastAsia="zh-CN"/>
        </w:rPr>
        <w:t>3.3.1</w:t>
      </w:r>
      <w:r>
        <w:rPr>
          <w:rStyle w:val="52"/>
          <w:rFonts w:hint="eastAsia" w:ascii="宋体" w:hAnsi="宋体" w:eastAsia="方正仿宋_GBK" w:cs="方正仿宋_GBK"/>
          <w:b/>
          <w:bCs/>
          <w:sz w:val="32"/>
          <w:szCs w:val="32"/>
        </w:rPr>
        <w:t xml:space="preserve"> 外源污染情况</w:t>
      </w:r>
      <w:bookmarkEnd w:id="58"/>
      <w:bookmarkEnd w:id="59"/>
      <w:bookmarkEnd w:id="60"/>
      <w:bookmarkEnd w:id="61"/>
      <w:bookmarkEnd w:id="62"/>
    </w:p>
    <w:p w14:paraId="2D2CAB4C">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b/>
          <w:bCs/>
          <w:kern w:val="0"/>
          <w:sz w:val="32"/>
          <w:szCs w:val="32"/>
        </w:rPr>
      </w:pPr>
      <w:r>
        <w:rPr>
          <w:rFonts w:hint="eastAsia" w:ascii="宋体" w:hAnsi="宋体" w:eastAsia="方正仿宋_GBK" w:cs="方正仿宋_GBK"/>
          <w:b/>
          <w:bCs/>
          <w:kern w:val="0"/>
          <w:sz w:val="32"/>
          <w:szCs w:val="32"/>
          <w:lang w:val="en-US" w:eastAsia="zh-CN"/>
        </w:rPr>
        <w:t>3.3.1.1</w:t>
      </w:r>
      <w:r>
        <w:rPr>
          <w:rFonts w:hint="eastAsia" w:ascii="宋体" w:hAnsi="宋体" w:eastAsia="方正仿宋_GBK" w:cs="方正仿宋_GBK"/>
          <w:b/>
          <w:bCs/>
          <w:kern w:val="0"/>
          <w:sz w:val="32"/>
          <w:szCs w:val="32"/>
        </w:rPr>
        <w:t>居民区污染</w:t>
      </w:r>
    </w:p>
    <w:p w14:paraId="28A98F1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水库四周都有居民区存在，</w:t>
      </w:r>
      <w:r>
        <w:rPr>
          <w:rFonts w:hint="eastAsia" w:ascii="宋体" w:hAnsi="宋体" w:eastAsia="方正仿宋_GBK" w:cs="方正仿宋_GBK"/>
          <w:kern w:val="0"/>
          <w:sz w:val="32"/>
          <w:szCs w:val="32"/>
          <w:lang w:val="en-US" w:eastAsia="zh-CN"/>
        </w:rPr>
        <w:t>上游有芒晃、芒杏、偏窝、芒国、勐目等村寨，东南方向有华丰孔雀湖酒店、正北方向有弘映山庄、芒究水库家属区等小区。华丰孔雀湖酒店、弘映山庄、芒究水库家属区等小区的生活污水直接排入城市污水管网，不会对库区环境造成污染。上游村寨</w:t>
      </w:r>
      <w:r>
        <w:rPr>
          <w:rFonts w:hint="eastAsia" w:ascii="宋体" w:hAnsi="宋体" w:eastAsia="方正仿宋_GBK" w:cs="方正仿宋_GBK"/>
          <w:kern w:val="0"/>
          <w:sz w:val="32"/>
          <w:szCs w:val="32"/>
        </w:rPr>
        <w:t>产生的污水</w:t>
      </w:r>
      <w:r>
        <w:rPr>
          <w:rFonts w:hint="eastAsia" w:ascii="宋体" w:hAnsi="宋体" w:eastAsia="方正仿宋_GBK" w:cs="方正仿宋_GBK"/>
          <w:kern w:val="0"/>
          <w:sz w:val="32"/>
          <w:szCs w:val="32"/>
          <w:lang w:val="en-US" w:eastAsia="zh-CN"/>
        </w:rPr>
        <w:t>其排放末端均未加装污水处理设施且水库周边未实施截污措施，容易随水沟、降水形成的径流汇入水库</w:t>
      </w:r>
      <w:r>
        <w:rPr>
          <w:rFonts w:hint="eastAsia" w:ascii="宋体" w:hAnsi="宋体" w:eastAsia="方正仿宋_GBK" w:cs="方正仿宋_GBK"/>
          <w:kern w:val="0"/>
          <w:sz w:val="32"/>
          <w:szCs w:val="32"/>
        </w:rPr>
        <w:t>会对库区水环境造成污染</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污水主要包括生活污水、居民粪污和牲畜粪污，该类污水中含有大量氮、磷、致病菌群等污染物，未经处理直接排放会严重污染水环境。此外，</w:t>
      </w:r>
      <w:r>
        <w:rPr>
          <w:rFonts w:hint="eastAsia" w:ascii="宋体" w:hAnsi="宋体" w:eastAsia="方正仿宋_GBK" w:cs="方正仿宋_GBK"/>
          <w:kern w:val="0"/>
          <w:sz w:val="32"/>
          <w:szCs w:val="32"/>
          <w:lang w:val="en-US" w:eastAsia="zh-CN"/>
        </w:rPr>
        <w:t>上游</w:t>
      </w:r>
      <w:r>
        <w:rPr>
          <w:rFonts w:hint="eastAsia" w:ascii="宋体" w:hAnsi="宋体" w:eastAsia="方正仿宋_GBK" w:cs="方正仿宋_GBK"/>
          <w:kern w:val="0"/>
          <w:sz w:val="32"/>
          <w:szCs w:val="32"/>
        </w:rPr>
        <w:t>居民区内产生的部分生活垃圾随意丢弃在水库沿岸，生活垃圾一方面会污染当地环境，影响水库及居民区的美观；另一方面其中不乏毒性强、难降解、迁移能力强的污染物，容易下渗到土壤，迁移到水库中，给库区水环境带来危害。</w:t>
      </w:r>
    </w:p>
    <w:p w14:paraId="644581EE">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b/>
          <w:bCs/>
          <w:kern w:val="0"/>
          <w:sz w:val="32"/>
          <w:szCs w:val="32"/>
        </w:rPr>
      </w:pPr>
      <w:r>
        <w:rPr>
          <w:rFonts w:hint="eastAsia" w:ascii="宋体" w:hAnsi="宋体" w:eastAsia="方正仿宋_GBK" w:cs="方正仿宋_GBK"/>
          <w:b/>
          <w:bCs/>
          <w:kern w:val="0"/>
          <w:sz w:val="32"/>
          <w:szCs w:val="32"/>
          <w:lang w:val="en-US" w:eastAsia="zh-CN"/>
        </w:rPr>
        <w:t>3.3.1.2</w:t>
      </w:r>
      <w:r>
        <w:rPr>
          <w:rFonts w:hint="eastAsia" w:ascii="宋体" w:hAnsi="宋体" w:eastAsia="方正仿宋_GBK" w:cs="方正仿宋_GBK"/>
          <w:b/>
          <w:bCs/>
          <w:kern w:val="0"/>
          <w:sz w:val="32"/>
          <w:szCs w:val="32"/>
        </w:rPr>
        <w:t>农业污染</w:t>
      </w:r>
    </w:p>
    <w:p w14:paraId="7C588F2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w:t>
      </w:r>
      <w:r>
        <w:rPr>
          <w:rFonts w:hint="eastAsia" w:ascii="宋体" w:hAnsi="宋体" w:eastAsia="方正仿宋_GBK" w:cs="方正仿宋_GBK"/>
          <w:kern w:val="0"/>
          <w:sz w:val="32"/>
          <w:szCs w:val="32"/>
          <w:lang w:val="en-US" w:eastAsia="zh-CN"/>
        </w:rPr>
        <w:t>径流区内除居民区外均为水田、旱地</w:t>
      </w:r>
      <w:r>
        <w:rPr>
          <w:rFonts w:hint="eastAsia" w:ascii="宋体" w:hAnsi="宋体" w:eastAsia="方正仿宋_GBK" w:cs="方正仿宋_GBK"/>
          <w:kern w:val="0"/>
          <w:sz w:val="32"/>
          <w:szCs w:val="32"/>
        </w:rPr>
        <w:t>，</w:t>
      </w:r>
      <w:r>
        <w:rPr>
          <w:rFonts w:hint="eastAsia" w:ascii="宋体" w:hAnsi="宋体" w:eastAsia="方正仿宋_GBK" w:cs="方正仿宋_GBK"/>
          <w:kern w:val="0"/>
          <w:sz w:val="32"/>
          <w:szCs w:val="32"/>
          <w:lang w:val="en-US" w:eastAsia="zh-CN"/>
        </w:rPr>
        <w:t>种</w:t>
      </w:r>
      <w:r>
        <w:rPr>
          <w:rFonts w:hint="eastAsia" w:ascii="宋体" w:hAnsi="宋体" w:eastAsia="方正仿宋_GBK" w:cs="方正仿宋_GBK"/>
          <w:kern w:val="0"/>
          <w:sz w:val="32"/>
          <w:szCs w:val="32"/>
        </w:rPr>
        <w:t>植过程中施用的氮肥、磷肥及农药容易残留在土壤中造成农业面源污染</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影响水库水质</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同时，因为农业用地与水库</w:t>
      </w:r>
      <w:r>
        <w:rPr>
          <w:rFonts w:hint="eastAsia" w:ascii="宋体" w:hAnsi="宋体" w:eastAsia="方正仿宋_GBK" w:cs="方正仿宋_GBK"/>
          <w:kern w:val="0"/>
          <w:sz w:val="32"/>
          <w:szCs w:val="32"/>
          <w:lang w:val="en-US" w:eastAsia="zh-CN"/>
        </w:rPr>
        <w:t>主流南木黑河</w:t>
      </w:r>
      <w:r>
        <w:rPr>
          <w:rFonts w:hint="eastAsia" w:ascii="宋体" w:hAnsi="宋体" w:eastAsia="方正仿宋_GBK" w:cs="方正仿宋_GBK"/>
          <w:kern w:val="0"/>
          <w:sz w:val="32"/>
          <w:szCs w:val="32"/>
        </w:rPr>
        <w:t>相接，无环境缓冲区，所以农业生产活动所产生的氮素、磷素、农药等有机或无机污染物容易下渗或随降水迁移进入水库，</w:t>
      </w:r>
      <w:r>
        <w:rPr>
          <w:rFonts w:hint="eastAsia" w:ascii="宋体" w:hAnsi="宋体" w:eastAsia="方正仿宋_GBK" w:cs="方正仿宋_GBK"/>
          <w:kern w:val="0"/>
          <w:sz w:val="32"/>
          <w:szCs w:val="32"/>
          <w:lang w:val="en-US" w:eastAsia="zh-CN"/>
        </w:rPr>
        <w:t>直接或间接</w:t>
      </w:r>
      <w:r>
        <w:rPr>
          <w:rFonts w:hint="eastAsia" w:ascii="宋体" w:hAnsi="宋体" w:eastAsia="方正仿宋_GBK" w:cs="方正仿宋_GBK"/>
          <w:kern w:val="0"/>
          <w:sz w:val="32"/>
          <w:szCs w:val="32"/>
        </w:rPr>
        <w:t>污染水库水环境。</w:t>
      </w:r>
    </w:p>
    <w:p w14:paraId="64D94161">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b/>
          <w:bCs/>
          <w:kern w:val="0"/>
          <w:sz w:val="32"/>
          <w:szCs w:val="32"/>
        </w:rPr>
      </w:pPr>
      <w:r>
        <w:rPr>
          <w:rFonts w:hint="eastAsia" w:ascii="宋体" w:hAnsi="宋体" w:eastAsia="方正仿宋_GBK" w:cs="方正仿宋_GBK"/>
          <w:b/>
          <w:bCs/>
          <w:kern w:val="0"/>
          <w:sz w:val="32"/>
          <w:szCs w:val="32"/>
          <w:lang w:val="en-US" w:eastAsia="zh-CN"/>
        </w:rPr>
        <w:t>3.3.1.3</w:t>
      </w:r>
      <w:r>
        <w:rPr>
          <w:rFonts w:hint="eastAsia" w:ascii="宋体" w:hAnsi="宋体" w:eastAsia="方正仿宋_GBK" w:cs="方正仿宋_GBK"/>
          <w:b/>
          <w:bCs/>
          <w:kern w:val="0"/>
          <w:sz w:val="32"/>
          <w:szCs w:val="32"/>
        </w:rPr>
        <w:t>旅游活动污染</w:t>
      </w:r>
    </w:p>
    <w:p w14:paraId="27EA8A3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w:t>
      </w:r>
      <w:r>
        <w:rPr>
          <w:rFonts w:hint="eastAsia" w:ascii="宋体" w:hAnsi="宋体" w:eastAsia="方正仿宋_GBK" w:cs="方正仿宋_GBK"/>
          <w:kern w:val="0"/>
          <w:sz w:val="32"/>
          <w:szCs w:val="32"/>
          <w:lang w:val="en-US" w:eastAsia="zh-CN"/>
        </w:rPr>
        <w:t>位于芒市城区附近</w:t>
      </w:r>
      <w:r>
        <w:rPr>
          <w:rFonts w:hint="eastAsia" w:ascii="宋体" w:hAnsi="宋体" w:eastAsia="方正仿宋_GBK" w:cs="方正仿宋_GBK"/>
          <w:kern w:val="0"/>
          <w:sz w:val="32"/>
          <w:szCs w:val="32"/>
        </w:rPr>
        <w:t>，其环境优美、气候宜人，成为当地居民青睐的游玩、休闲场所</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lang w:val="en-US" w:eastAsia="zh-CN"/>
        </w:rPr>
        <w:t>游客、</w:t>
      </w:r>
      <w:r>
        <w:rPr>
          <w:rFonts w:hint="eastAsia" w:ascii="宋体" w:hAnsi="宋体" w:eastAsia="方正仿宋_GBK" w:cs="方正仿宋_GBK"/>
          <w:kern w:val="0"/>
          <w:sz w:val="32"/>
          <w:szCs w:val="32"/>
        </w:rPr>
        <w:t>居民</w:t>
      </w:r>
      <w:r>
        <w:rPr>
          <w:rFonts w:hint="eastAsia" w:ascii="宋体" w:hAnsi="宋体" w:eastAsia="方正仿宋_GBK" w:cs="方正仿宋_GBK"/>
          <w:kern w:val="0"/>
          <w:sz w:val="32"/>
          <w:szCs w:val="32"/>
          <w:lang w:val="en-US" w:eastAsia="zh-CN"/>
        </w:rPr>
        <w:t>众多，</w:t>
      </w:r>
      <w:r>
        <w:rPr>
          <w:rFonts w:hint="eastAsia" w:ascii="宋体" w:hAnsi="宋体" w:eastAsia="方正仿宋_GBK" w:cs="方正仿宋_GBK"/>
          <w:kern w:val="0"/>
          <w:sz w:val="32"/>
          <w:szCs w:val="32"/>
        </w:rPr>
        <w:t>但</w:t>
      </w:r>
      <w:r>
        <w:rPr>
          <w:rFonts w:hint="eastAsia" w:ascii="宋体" w:hAnsi="宋体" w:eastAsia="方正仿宋_GBK" w:cs="方正仿宋_GBK"/>
          <w:kern w:val="0"/>
          <w:sz w:val="32"/>
          <w:szCs w:val="32"/>
          <w:lang w:val="en-US" w:eastAsia="zh-CN"/>
        </w:rPr>
        <w:t>其中一部分人群</w:t>
      </w:r>
      <w:r>
        <w:rPr>
          <w:rFonts w:hint="eastAsia" w:ascii="宋体" w:hAnsi="宋体" w:eastAsia="方正仿宋_GBK" w:cs="方正仿宋_GBK"/>
          <w:kern w:val="0"/>
          <w:sz w:val="32"/>
          <w:szCs w:val="32"/>
        </w:rPr>
        <w:t xml:space="preserve">因其环境保护意识淡薄，经常将垃圾随意丢弃在库区内，污染了水库库区内的生态环境。 </w:t>
      </w:r>
    </w:p>
    <w:p w14:paraId="252D9DD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rPr>
        <w:t>因此，要保护好水库水生态环境，就要做好相应的保障措施，避免新增污染负荷影响到水库正常的蓄水灌溉、</w:t>
      </w:r>
      <w:r>
        <w:rPr>
          <w:rFonts w:hint="eastAsia" w:ascii="宋体" w:hAnsi="宋体" w:eastAsia="方正仿宋_GBK" w:cs="方正仿宋_GBK"/>
          <w:kern w:val="0"/>
          <w:sz w:val="32"/>
          <w:szCs w:val="32"/>
          <w:lang w:eastAsia="zh-CN"/>
        </w:rPr>
        <w:t>水面开发利用</w:t>
      </w:r>
      <w:r>
        <w:rPr>
          <w:rFonts w:hint="eastAsia" w:ascii="宋体" w:hAnsi="宋体" w:eastAsia="方正仿宋_GBK" w:cs="方正仿宋_GBK"/>
          <w:kern w:val="0"/>
          <w:sz w:val="32"/>
          <w:szCs w:val="32"/>
        </w:rPr>
        <w:t>和生态旅游。同时要加快</w:t>
      </w: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水库生态文明及相关文旅产业的建设，要在保持优美水库环境的前提下大力发展当地经济，绿水青山即是金山银山。</w:t>
      </w:r>
    </w:p>
    <w:p w14:paraId="4CE3C4CE">
      <w:pPr>
        <w:keepNext w:val="0"/>
        <w:keepLines w:val="0"/>
        <w:pageBreakBefore w:val="0"/>
        <w:widowControl w:val="0"/>
        <w:kinsoku/>
        <w:wordWrap/>
        <w:overflowPunct/>
        <w:topLinePunct w:val="0"/>
        <w:bidi w:val="0"/>
        <w:snapToGrid/>
        <w:spacing w:line="560" w:lineRule="exact"/>
        <w:textAlignment w:val="auto"/>
        <w:outlineLvl w:val="1"/>
        <w:rPr>
          <w:rStyle w:val="52"/>
          <w:rFonts w:hint="eastAsia" w:ascii="宋体" w:hAnsi="宋体" w:eastAsia="方正仿宋_GBK" w:cs="方正仿宋_GBK"/>
          <w:b/>
          <w:bCs/>
          <w:sz w:val="32"/>
          <w:szCs w:val="32"/>
        </w:rPr>
      </w:pPr>
      <w:bookmarkStart w:id="76" w:name="_Toc77330259"/>
      <w:bookmarkStart w:id="77" w:name="_Toc17660"/>
      <w:bookmarkStart w:id="78" w:name="_Toc30504"/>
      <w:bookmarkStart w:id="79" w:name="_Toc25225"/>
      <w:bookmarkStart w:id="80" w:name="_Toc18313_WPSOffice_Level2"/>
      <w:bookmarkStart w:id="81" w:name="_Toc135930284"/>
      <w:r>
        <w:rPr>
          <w:rStyle w:val="52"/>
          <w:rFonts w:hint="eastAsia" w:ascii="宋体" w:hAnsi="宋体" w:eastAsia="方正仿宋_GBK" w:cs="方正仿宋_GBK"/>
          <w:b/>
          <w:bCs/>
          <w:sz w:val="32"/>
          <w:szCs w:val="32"/>
          <w:lang w:val="en-US" w:eastAsia="zh-CN"/>
        </w:rPr>
        <w:t>3.3.2</w:t>
      </w:r>
      <w:r>
        <w:rPr>
          <w:rStyle w:val="52"/>
          <w:rFonts w:hint="eastAsia" w:ascii="宋体" w:hAnsi="宋体" w:eastAsia="方正仿宋_GBK" w:cs="方正仿宋_GBK"/>
          <w:b/>
          <w:bCs/>
          <w:sz w:val="32"/>
          <w:szCs w:val="32"/>
        </w:rPr>
        <w:t>内源污染</w:t>
      </w:r>
      <w:bookmarkEnd w:id="76"/>
      <w:r>
        <w:rPr>
          <w:rStyle w:val="52"/>
          <w:rFonts w:hint="eastAsia" w:ascii="宋体" w:hAnsi="宋体" w:eastAsia="方正仿宋_GBK" w:cs="方正仿宋_GBK"/>
          <w:b/>
          <w:bCs/>
          <w:sz w:val="32"/>
          <w:szCs w:val="32"/>
        </w:rPr>
        <w:t>情况</w:t>
      </w:r>
      <w:bookmarkEnd w:id="77"/>
      <w:bookmarkEnd w:id="78"/>
      <w:bookmarkEnd w:id="79"/>
      <w:bookmarkEnd w:id="80"/>
      <w:bookmarkEnd w:id="81"/>
    </w:p>
    <w:p w14:paraId="0ABFE18C">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宋体" w:cs="宋体"/>
          <w:kern w:val="0"/>
          <w:sz w:val="28"/>
          <w:szCs w:val="28"/>
        </w:rPr>
      </w:pPr>
      <w:r>
        <w:rPr>
          <w:rFonts w:hint="eastAsia" w:ascii="宋体" w:hAnsi="宋体" w:eastAsia="方正仿宋_GBK" w:cs="方正仿宋_GBK"/>
          <w:kern w:val="0"/>
          <w:sz w:val="32"/>
          <w:szCs w:val="32"/>
        </w:rPr>
        <w:t>通过对</w:t>
      </w: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水库内源污染调查发现污染源主要包括：一是</w:t>
      </w:r>
      <w:r>
        <w:rPr>
          <w:rFonts w:hint="eastAsia" w:ascii="宋体" w:hAnsi="宋体" w:eastAsia="方正仿宋_GBK" w:cs="方正仿宋_GBK"/>
          <w:kern w:val="0"/>
          <w:sz w:val="32"/>
          <w:szCs w:val="32"/>
          <w:lang w:val="en-US" w:eastAsia="zh-CN"/>
        </w:rPr>
        <w:t>径流区</w:t>
      </w:r>
      <w:r>
        <w:rPr>
          <w:rFonts w:hint="eastAsia" w:ascii="宋体" w:hAnsi="宋体" w:eastAsia="方正仿宋_GBK" w:cs="方正仿宋_GBK"/>
          <w:kern w:val="0"/>
          <w:sz w:val="32"/>
          <w:szCs w:val="32"/>
        </w:rPr>
        <w:t>内产生的垃圾、污水等污染物在水力作用下进入水库，污染水库水环境；二是道路扬尘随风或降水迁移到水库中，使水体浑浊；三是水库周边</w:t>
      </w:r>
      <w:r>
        <w:rPr>
          <w:rFonts w:hint="eastAsia" w:ascii="宋体" w:hAnsi="宋体" w:eastAsia="方正仿宋_GBK" w:cs="方正仿宋_GBK"/>
          <w:kern w:val="0"/>
          <w:sz w:val="32"/>
          <w:szCs w:val="32"/>
          <w:lang w:val="en-US" w:eastAsia="zh-CN"/>
        </w:rPr>
        <w:t>农田</w:t>
      </w:r>
      <w:r>
        <w:rPr>
          <w:rFonts w:hint="eastAsia" w:ascii="宋体" w:hAnsi="宋体" w:eastAsia="方正仿宋_GBK" w:cs="方正仿宋_GBK"/>
          <w:kern w:val="0"/>
          <w:sz w:val="32"/>
          <w:szCs w:val="32"/>
        </w:rPr>
        <w:t>产生的农药、化肥等污染物下渗或随降水进入水库，恶化水质；四是水库历年来的除险加固工程遗留下来的泥沙、石块等建筑污染物；五是进入水库的污染物沉积在库底，而底部淤泥会向水体释放污染物，加速水体富营养化，成为导致水库水质恶化的重要污染源。</w:t>
      </w:r>
    </w:p>
    <w:bookmarkEnd w:id="63"/>
    <w:p w14:paraId="78DCA1F3">
      <w:pPr>
        <w:pStyle w:val="3"/>
        <w:pageBreakBefore w:val="0"/>
        <w:kinsoku/>
        <w:wordWrap/>
        <w:overflowPunct/>
        <w:topLinePunct w:val="0"/>
        <w:bidi w:val="0"/>
        <w:spacing w:before="0" w:after="0" w:line="413" w:lineRule="auto"/>
        <w:jc w:val="center"/>
        <w:outlineLvl w:val="0"/>
        <w:rPr>
          <w:rFonts w:hint="eastAsia" w:ascii="宋体" w:hAnsi="宋体" w:eastAsia="方正黑体简体" w:cs="方正黑体简体"/>
          <w:b w:val="0"/>
          <w:bCs w:val="0"/>
          <w:kern w:val="44"/>
          <w:sz w:val="32"/>
          <w:szCs w:val="32"/>
          <w:lang w:val="en-US" w:eastAsia="zh-CN" w:bidi="ar-SA"/>
        </w:rPr>
      </w:pPr>
      <w:bookmarkStart w:id="82" w:name="_Toc14567"/>
      <w:bookmarkStart w:id="83" w:name="_Toc15389_WPSOffice_Level1"/>
      <w:bookmarkStart w:id="84" w:name="_Toc21187"/>
      <w:bookmarkStart w:id="85" w:name="_Toc7976"/>
      <w:bookmarkStart w:id="86" w:name="_Toc14971"/>
    </w:p>
    <w:p w14:paraId="3C6F94AE">
      <w:pPr>
        <w:pStyle w:val="3"/>
        <w:pageBreakBefore w:val="0"/>
        <w:kinsoku/>
        <w:wordWrap/>
        <w:overflowPunct/>
        <w:topLinePunct w:val="0"/>
        <w:bidi w:val="0"/>
        <w:snapToGrid/>
        <w:spacing w:before="0" w:after="0" w:line="560" w:lineRule="exact"/>
        <w:jc w:val="center"/>
        <w:textAlignment w:val="auto"/>
        <w:outlineLvl w:val="0"/>
        <w:rPr>
          <w:rFonts w:hint="default" w:ascii="宋体" w:hAnsi="宋体" w:eastAsia="方正小标宋_GBK" w:cs="方正小标宋_GBK"/>
          <w:b w:val="0"/>
          <w:bCs w:val="0"/>
          <w:kern w:val="44"/>
          <w:sz w:val="44"/>
          <w:szCs w:val="44"/>
          <w:highlight w:val="none"/>
          <w:lang w:val="en-US" w:eastAsia="zh-CN" w:bidi="ar-SA"/>
        </w:rPr>
      </w:pPr>
      <w:bookmarkStart w:id="87" w:name="_Toc7772"/>
      <w:r>
        <w:rPr>
          <w:rFonts w:hint="eastAsia" w:ascii="宋体" w:hAnsi="宋体" w:eastAsia="方正小标宋_GBK" w:cs="方正小标宋_GBK"/>
          <w:b w:val="0"/>
          <w:bCs w:val="0"/>
          <w:kern w:val="44"/>
          <w:sz w:val="44"/>
          <w:szCs w:val="44"/>
          <w:highlight w:val="none"/>
          <w:lang w:val="en-US" w:eastAsia="zh-CN" w:bidi="ar-SA"/>
        </w:rPr>
        <w:t xml:space="preserve">第四章 </w:t>
      </w:r>
      <w:bookmarkEnd w:id="82"/>
      <w:bookmarkEnd w:id="83"/>
      <w:bookmarkEnd w:id="84"/>
      <w:r>
        <w:rPr>
          <w:rFonts w:hint="eastAsia" w:ascii="宋体" w:hAnsi="宋体" w:eastAsia="方正小标宋_GBK" w:cs="方正小标宋_GBK"/>
          <w:b w:val="0"/>
          <w:bCs w:val="0"/>
          <w:kern w:val="44"/>
          <w:sz w:val="44"/>
          <w:szCs w:val="44"/>
          <w:highlight w:val="none"/>
          <w:lang w:val="en-US" w:eastAsia="zh-CN" w:bidi="ar-SA"/>
        </w:rPr>
        <w:t>水面开发项目设计方案</w:t>
      </w:r>
      <w:bookmarkEnd w:id="87"/>
    </w:p>
    <w:p w14:paraId="63953A31">
      <w:pPr>
        <w:keepNext w:val="0"/>
        <w:keepLines w:val="0"/>
        <w:pageBreakBefore w:val="0"/>
        <w:kinsoku/>
        <w:wordWrap/>
        <w:overflowPunct/>
        <w:topLinePunct w:val="0"/>
        <w:bidi w:val="0"/>
        <w:snapToGrid/>
        <w:spacing w:line="560" w:lineRule="exact"/>
        <w:ind w:firstLine="640" w:firstLineChars="200"/>
        <w:textAlignment w:val="auto"/>
        <w:outlineLvl w:val="1"/>
        <w:rPr>
          <w:rFonts w:hint="eastAsia" w:ascii="宋体" w:hAnsi="宋体" w:eastAsia="方正仿宋_GBK" w:cs="方正仿宋_GBK"/>
          <w:b w:val="0"/>
          <w:bCs/>
          <w:sz w:val="32"/>
          <w:szCs w:val="32"/>
          <w:highlight w:val="none"/>
        </w:rPr>
      </w:pPr>
      <w:bookmarkStart w:id="88" w:name="_Toc4081"/>
      <w:bookmarkStart w:id="89" w:name="_Toc15325_WPSOffice_Level2"/>
      <w:bookmarkStart w:id="90" w:name="_Toc28417_WPSOffice_Level2"/>
    </w:p>
    <w:p w14:paraId="6566BA28">
      <w:pPr>
        <w:keepNext w:val="0"/>
        <w:keepLines w:val="0"/>
        <w:pageBreakBefore w:val="0"/>
        <w:kinsoku/>
        <w:wordWrap/>
        <w:overflowPunct/>
        <w:topLinePunct w:val="0"/>
        <w:bidi w:val="0"/>
        <w:snapToGrid/>
        <w:spacing w:line="560" w:lineRule="exact"/>
        <w:textAlignment w:val="auto"/>
        <w:outlineLvl w:val="1"/>
        <w:rPr>
          <w:rFonts w:hint="eastAsia" w:ascii="宋体" w:hAnsi="宋体" w:eastAsia="方正仿宋_GBK" w:cs="方正仿宋_GBK"/>
          <w:b/>
          <w:bCs w:val="0"/>
          <w:sz w:val="32"/>
          <w:szCs w:val="32"/>
          <w:highlight w:val="none"/>
        </w:rPr>
      </w:pPr>
      <w:bookmarkStart w:id="91" w:name="_Toc13460"/>
      <w:r>
        <w:rPr>
          <w:rFonts w:hint="eastAsia" w:ascii="宋体" w:hAnsi="宋体" w:eastAsia="方正仿宋_GBK" w:cs="方正仿宋_GBK"/>
          <w:b/>
          <w:bCs w:val="0"/>
          <w:sz w:val="32"/>
          <w:szCs w:val="32"/>
          <w:highlight w:val="none"/>
          <w:lang w:val="en-US" w:eastAsia="zh-CN"/>
        </w:rPr>
        <w:t>4</w:t>
      </w:r>
      <w:r>
        <w:rPr>
          <w:rFonts w:hint="eastAsia" w:ascii="宋体" w:hAnsi="宋体" w:eastAsia="方正仿宋_GBK" w:cs="方正仿宋_GBK"/>
          <w:b/>
          <w:bCs w:val="0"/>
          <w:sz w:val="32"/>
          <w:szCs w:val="32"/>
          <w:highlight w:val="none"/>
        </w:rPr>
        <w:t xml:space="preserve">.1 </w:t>
      </w:r>
      <w:bookmarkEnd w:id="88"/>
      <w:bookmarkEnd w:id="89"/>
      <w:r>
        <w:rPr>
          <w:rFonts w:hint="eastAsia" w:ascii="宋体" w:hAnsi="宋体" w:eastAsia="方正仿宋_GBK" w:cs="方正仿宋_GBK"/>
          <w:b/>
          <w:bCs w:val="0"/>
          <w:sz w:val="32"/>
          <w:szCs w:val="32"/>
          <w:highlight w:val="none"/>
        </w:rPr>
        <w:t>项目总体规划</w:t>
      </w:r>
      <w:bookmarkEnd w:id="91"/>
    </w:p>
    <w:p w14:paraId="7CD67B68">
      <w:pPr>
        <w:rPr>
          <w:rFonts w:hint="eastAsia"/>
        </w:rPr>
      </w:pPr>
      <w:r>
        <w:rPr>
          <w:rStyle w:val="52"/>
          <w:rFonts w:hint="eastAsia" w:ascii="宋体" w:hAnsi="宋体" w:eastAsia="方正仿宋_GBK" w:cs="方正仿宋_GBK"/>
          <w:b/>
          <w:bCs/>
          <w:sz w:val="32"/>
          <w:szCs w:val="32"/>
          <w:lang w:val="en-US" w:eastAsia="zh-CN"/>
        </w:rPr>
        <w:t>4.1.1开发范围与目标</w:t>
      </w:r>
      <w:r>
        <w:rPr>
          <w:rFonts w:hint="eastAsia"/>
        </w:rPr>
        <w:t>‌</w:t>
      </w:r>
    </w:p>
    <w:p w14:paraId="285517D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‌水域面积‌：</w:t>
      </w:r>
      <w:r>
        <w:rPr>
          <w:rFonts w:hint="eastAsia" w:ascii="宋体" w:hAnsi="宋体" w:eastAsia="方正仿宋_GBK" w:cs="方正仿宋_GBK"/>
          <w:kern w:val="0"/>
          <w:sz w:val="32"/>
          <w:szCs w:val="32"/>
          <w:lang w:val="en-US" w:eastAsia="zh-CN"/>
        </w:rPr>
        <w:t>规划可利用水面约14.6</w:t>
      </w:r>
      <w:r>
        <w:rPr>
          <w:rFonts w:hint="eastAsia" w:ascii="方正仿宋_GBK" w:hAnsi="方正仿宋_GBK" w:eastAsia="方正仿宋_GBK" w:cs="方正仿宋_GBK"/>
          <w:kern w:val="0"/>
          <w:sz w:val="32"/>
          <w:szCs w:val="32"/>
          <w:lang w:val="en-US" w:eastAsia="zh-CN"/>
        </w:rPr>
        <w:t>~</w:t>
      </w:r>
      <w:r>
        <w:rPr>
          <w:rFonts w:hint="eastAsia" w:ascii="宋体" w:hAnsi="宋体" w:eastAsia="方正仿宋_GBK" w:cs="方正仿宋_GBK"/>
          <w:kern w:val="0"/>
          <w:sz w:val="32"/>
          <w:szCs w:val="32"/>
          <w:lang w:val="en-US" w:eastAsia="zh-CN"/>
        </w:rPr>
        <w:t>104万m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w:t>
      </w:r>
    </w:p>
    <w:p w14:paraId="7E0690A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lang w:val="en-US" w:eastAsia="zh-CN"/>
        </w:rPr>
        <w:t>‌总投资额</w:t>
      </w:r>
      <w:r>
        <w:rPr>
          <w:rFonts w:hint="eastAsia" w:ascii="宋体" w:hAnsi="宋体" w:eastAsia="方正仿宋_GBK" w:cs="方正仿宋_GBK"/>
          <w:b/>
          <w:bCs/>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预计总投资约1.18亿元‌（含基建、设备、运营成本），分四期实施。‌一期（2025年）‌：全部动态娱乐区（孔雀小游船、飞跃孔雀湖、水上飞人、水上卡丁船、皮划艇、孔雀造型游船漂流等水上娱乐项目）、亲子休闲区（水上卡通城堡、拖拽卡通仓）与票务系统、游客中心、游客服务站点、更衣室、停车场等基础设施建设，投资2734.60万元。</w:t>
      </w:r>
    </w:p>
    <w:p w14:paraId="260934F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‌二期（2026年）‌：建设部分生态保育区（湿地、水上浮岛）、完成部分静水休闲区（观景栈道），投资2692万元。</w:t>
      </w:r>
    </w:p>
    <w:p w14:paraId="7D84CC0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三期（2027年）：建成剩余部分生态保育区（湿地、人工生态浮岛）、完成剩余静水休闲区（观景栈道），投资2460万元。</w:t>
      </w:r>
    </w:p>
    <w:p w14:paraId="45ACDAD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Style w:val="52"/>
          <w:rFonts w:hint="eastAsia" w:ascii="宋体" w:hAnsi="宋体" w:eastAsia="方正仿宋_GBK" w:cs="方正仿宋_GBK"/>
          <w:b/>
          <w:bCs/>
          <w:sz w:val="32"/>
          <w:szCs w:val="32"/>
          <w:highlight w:val="none"/>
          <w:lang w:val="en-US" w:eastAsia="zh-CN"/>
        </w:rPr>
      </w:pPr>
      <w:r>
        <w:rPr>
          <w:rFonts w:hint="eastAsia" w:ascii="宋体" w:hAnsi="宋体" w:eastAsia="方正仿宋_GBK" w:cs="方正仿宋_GBK"/>
          <w:kern w:val="0"/>
          <w:sz w:val="32"/>
          <w:szCs w:val="32"/>
          <w:highlight w:val="none"/>
          <w:lang w:val="en-US" w:eastAsia="zh-CN"/>
        </w:rPr>
        <w:t>‌四期（运营期：2028-2035年）‌：持续优化项目，年运营成本按230万元/年计算。</w:t>
      </w:r>
      <w:r>
        <w:rPr>
          <w:rFonts w:hint="eastAsia" w:ascii="宋体" w:hAnsi="宋体" w:eastAsia="方正仿宋_GBK" w:cs="方正仿宋_GBK"/>
          <w:b/>
          <w:bCs/>
          <w:kern w:val="0"/>
          <w:sz w:val="32"/>
          <w:szCs w:val="32"/>
          <w:highlight w:val="none"/>
          <w:lang w:val="en-US" w:eastAsia="zh-CN"/>
        </w:rPr>
        <w:t>‌开发周期‌：</w:t>
      </w:r>
      <w:r>
        <w:rPr>
          <w:rFonts w:hint="eastAsia" w:ascii="宋体" w:hAnsi="宋体" w:eastAsia="方正仿宋_GBK" w:cs="方正仿宋_GBK"/>
          <w:kern w:val="0"/>
          <w:sz w:val="32"/>
          <w:szCs w:val="32"/>
          <w:highlight w:val="none"/>
          <w:lang w:val="en-US" w:eastAsia="zh-CN"/>
        </w:rPr>
        <w:t>总运营期20年（包含建设期3年）（BOT模式或者全社会资本经营）。</w:t>
      </w:r>
    </w:p>
    <w:p w14:paraId="2C05810E">
      <w:pPr>
        <w:keepNext w:val="0"/>
        <w:keepLines w:val="0"/>
        <w:pageBreakBefore w:val="0"/>
        <w:kinsoku/>
        <w:wordWrap/>
        <w:overflowPunct/>
        <w:topLinePunct w:val="0"/>
        <w:bidi w:val="0"/>
        <w:snapToGrid/>
        <w:spacing w:line="560" w:lineRule="exact"/>
        <w:textAlignment w:val="auto"/>
        <w:outlineLvl w:val="1"/>
        <w:rPr>
          <w:rFonts w:hint="eastAsia" w:ascii="宋体" w:hAnsi="宋体" w:eastAsia="方正仿宋_GBK" w:cs="方正仿宋_GBK"/>
          <w:b/>
          <w:bCs w:val="0"/>
          <w:color w:val="000000"/>
          <w:sz w:val="32"/>
          <w:szCs w:val="32"/>
          <w:highlight w:val="none"/>
          <w:lang w:val="en-US" w:eastAsia="zh-CN"/>
        </w:rPr>
      </w:pPr>
      <w:bookmarkStart w:id="92" w:name="_Toc18468"/>
      <w:r>
        <w:rPr>
          <w:rStyle w:val="52"/>
          <w:rFonts w:hint="eastAsia" w:ascii="宋体" w:hAnsi="宋体" w:eastAsia="方正仿宋_GBK" w:cs="方正仿宋_GBK"/>
          <w:b/>
          <w:bCs/>
          <w:sz w:val="32"/>
          <w:szCs w:val="32"/>
          <w:highlight w:val="none"/>
          <w:lang w:val="en-US" w:eastAsia="zh-CN"/>
        </w:rPr>
        <w:t>4.1.2 功能分区与空间布局</w:t>
      </w:r>
      <w:r>
        <w:rPr>
          <w:rFonts w:hint="eastAsia" w:ascii="宋体" w:hAnsi="宋体" w:eastAsia="方正仿宋_GBK" w:cs="方正仿宋_GBK"/>
          <w:b/>
          <w:bCs w:val="0"/>
          <w:color w:val="000000"/>
          <w:sz w:val="32"/>
          <w:szCs w:val="32"/>
          <w:highlight w:val="none"/>
          <w:lang w:val="en-US" w:eastAsia="zh-CN"/>
        </w:rPr>
        <w:t>‌</w:t>
      </w:r>
      <w:bookmarkEnd w:id="92"/>
    </w:p>
    <w:tbl>
      <w:tblPr>
        <w:tblStyle w:val="30"/>
        <w:tblW w:w="9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597"/>
        <w:gridCol w:w="5710"/>
      </w:tblGrid>
      <w:tr w14:paraId="1886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079" w:type="dxa"/>
            <w:vAlign w:val="center"/>
          </w:tcPr>
          <w:p w14:paraId="6AD500A5">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分区‌</w:t>
            </w:r>
          </w:p>
        </w:tc>
        <w:tc>
          <w:tcPr>
            <w:tcW w:w="1597" w:type="dxa"/>
            <w:vAlign w:val="center"/>
          </w:tcPr>
          <w:p w14:paraId="1968A100">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‌面积占比‌</w:t>
            </w:r>
          </w:p>
        </w:tc>
        <w:tc>
          <w:tcPr>
            <w:tcW w:w="5710" w:type="dxa"/>
            <w:vAlign w:val="center"/>
          </w:tcPr>
          <w:p w14:paraId="4636AD52">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‌核心功能‌</w:t>
            </w:r>
          </w:p>
        </w:tc>
      </w:tr>
      <w:tr w14:paraId="5FA5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2D33DF82">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‌生态保育区‌</w:t>
            </w:r>
            <w:r>
              <w:rPr>
                <w:rFonts w:hint="eastAsia" w:ascii="宋体" w:hAnsi="宋体" w:eastAsia="方正仿宋_GBK" w:cs="方正仿宋_GBK"/>
                <w:kern w:val="0"/>
                <w:sz w:val="21"/>
                <w:szCs w:val="21"/>
                <w:highlight w:val="none"/>
                <w:lang w:val="en-US" w:eastAsia="zh-CN"/>
              </w:rPr>
              <w:tab/>
            </w:r>
          </w:p>
        </w:tc>
        <w:tc>
          <w:tcPr>
            <w:tcW w:w="1597" w:type="dxa"/>
            <w:vAlign w:val="center"/>
          </w:tcPr>
          <w:p w14:paraId="0B98785C">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30%</w:t>
            </w:r>
            <w:r>
              <w:rPr>
                <w:rFonts w:hint="eastAsia" w:ascii="宋体" w:hAnsi="宋体" w:eastAsia="方正仿宋_GBK" w:cs="方正仿宋_GBK"/>
                <w:kern w:val="0"/>
                <w:sz w:val="21"/>
                <w:szCs w:val="21"/>
                <w:highlight w:val="none"/>
                <w:lang w:val="en-US" w:eastAsia="zh-CN"/>
              </w:rPr>
              <w:tab/>
            </w:r>
          </w:p>
        </w:tc>
        <w:tc>
          <w:tcPr>
            <w:tcW w:w="5710" w:type="dxa"/>
            <w:vAlign w:val="center"/>
          </w:tcPr>
          <w:p w14:paraId="16D6E387">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限制开发，保留原生湿地，建设鸟类观测站、水质监测站</w:t>
            </w:r>
          </w:p>
        </w:tc>
      </w:tr>
      <w:tr w14:paraId="077E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C5E4016">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‌静水休闲区</w:t>
            </w:r>
          </w:p>
        </w:tc>
        <w:tc>
          <w:tcPr>
            <w:tcW w:w="1597" w:type="dxa"/>
            <w:vAlign w:val="center"/>
          </w:tcPr>
          <w:p w14:paraId="17A5F3F7">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25%</w:t>
            </w:r>
            <w:r>
              <w:rPr>
                <w:rFonts w:hint="eastAsia" w:ascii="宋体" w:hAnsi="宋体" w:eastAsia="方正仿宋_GBK" w:cs="方正仿宋_GBK"/>
                <w:kern w:val="0"/>
                <w:sz w:val="21"/>
                <w:szCs w:val="21"/>
                <w:highlight w:val="none"/>
                <w:lang w:val="en-US" w:eastAsia="zh-CN"/>
              </w:rPr>
              <w:tab/>
            </w:r>
          </w:p>
        </w:tc>
        <w:tc>
          <w:tcPr>
            <w:tcW w:w="5710" w:type="dxa"/>
            <w:vAlign w:val="center"/>
          </w:tcPr>
          <w:p w14:paraId="3F86885B">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default"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观景栈道</w:t>
            </w:r>
          </w:p>
        </w:tc>
      </w:tr>
      <w:tr w14:paraId="7CA5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41FEA00A">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‌动力娱乐区‌</w:t>
            </w:r>
            <w:r>
              <w:rPr>
                <w:rFonts w:hint="eastAsia" w:ascii="宋体" w:hAnsi="宋体" w:eastAsia="方正仿宋_GBK" w:cs="方正仿宋_GBK"/>
                <w:kern w:val="0"/>
                <w:sz w:val="21"/>
                <w:szCs w:val="21"/>
                <w:highlight w:val="none"/>
                <w:lang w:val="en-US" w:eastAsia="zh-CN"/>
              </w:rPr>
              <w:tab/>
            </w:r>
          </w:p>
        </w:tc>
        <w:tc>
          <w:tcPr>
            <w:tcW w:w="1597" w:type="dxa"/>
            <w:vAlign w:val="center"/>
          </w:tcPr>
          <w:p w14:paraId="48B8A3AD">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30%</w:t>
            </w:r>
            <w:r>
              <w:rPr>
                <w:rFonts w:hint="eastAsia" w:ascii="宋体" w:hAnsi="宋体" w:eastAsia="方正仿宋_GBK" w:cs="方正仿宋_GBK"/>
                <w:kern w:val="0"/>
                <w:sz w:val="21"/>
                <w:szCs w:val="21"/>
                <w:highlight w:val="none"/>
                <w:lang w:val="en-US" w:eastAsia="zh-CN"/>
              </w:rPr>
              <w:tab/>
            </w:r>
          </w:p>
        </w:tc>
        <w:tc>
          <w:tcPr>
            <w:tcW w:w="5710" w:type="dxa"/>
            <w:vAlign w:val="center"/>
          </w:tcPr>
          <w:p w14:paraId="43464FEC">
            <w:pPr>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飞跃孔雀湖、水上飞人、卡丁车赛道、皮划艇探险、孔雀造型游船漂流</w:t>
            </w:r>
          </w:p>
        </w:tc>
      </w:tr>
      <w:tr w14:paraId="1E6E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3096665C">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‌亲子互动区</w:t>
            </w:r>
          </w:p>
        </w:tc>
        <w:tc>
          <w:tcPr>
            <w:tcW w:w="1597" w:type="dxa"/>
            <w:vAlign w:val="center"/>
          </w:tcPr>
          <w:p w14:paraId="6B12B4C3">
            <w:pPr>
              <w:keepNext w:val="0"/>
              <w:keepLines w:val="0"/>
              <w:pageBreakBefore w:val="0"/>
              <w:widowControl w:val="0"/>
              <w:kinsoku/>
              <w:wordWrap/>
              <w:overflowPunct/>
              <w:topLinePunct w:val="0"/>
              <w:autoSpaceDE w:val="0"/>
              <w:autoSpaceDN w:val="0"/>
              <w:bidi w:val="0"/>
              <w:adjustRightInd w:val="0"/>
              <w:snapToGrid/>
              <w:spacing w:line="560" w:lineRule="exact"/>
              <w:ind w:firstLine="420" w:firstLineChars="200"/>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‌15%</w:t>
            </w:r>
          </w:p>
        </w:tc>
        <w:tc>
          <w:tcPr>
            <w:tcW w:w="5710" w:type="dxa"/>
            <w:vAlign w:val="center"/>
          </w:tcPr>
          <w:p w14:paraId="3F9C6722">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kern w:val="0"/>
                <w:sz w:val="21"/>
                <w:szCs w:val="21"/>
                <w:highlight w:val="none"/>
                <w:lang w:val="en-US" w:eastAsia="zh-CN"/>
              </w:rPr>
            </w:pPr>
            <w:r>
              <w:rPr>
                <w:rFonts w:hint="eastAsia" w:ascii="宋体" w:hAnsi="宋体" w:eastAsia="方正仿宋_GBK" w:cs="方正仿宋_GBK"/>
                <w:kern w:val="0"/>
                <w:sz w:val="21"/>
                <w:szCs w:val="21"/>
                <w:highlight w:val="none"/>
                <w:lang w:val="en-US" w:eastAsia="zh-CN"/>
              </w:rPr>
              <w:t>水上卡通城堡、拖拽卡通仓、儿童安全戏水区</w:t>
            </w:r>
          </w:p>
        </w:tc>
      </w:tr>
    </w:tbl>
    <w:p w14:paraId="7F5A4F7C">
      <w:pPr>
        <w:keepNext w:val="0"/>
        <w:keepLines w:val="0"/>
        <w:pageBreakBefore w:val="0"/>
        <w:kinsoku/>
        <w:wordWrap/>
        <w:overflowPunct/>
        <w:topLinePunct w:val="0"/>
        <w:bidi w:val="0"/>
        <w:snapToGrid/>
        <w:spacing w:line="560" w:lineRule="exact"/>
        <w:textAlignment w:val="auto"/>
        <w:outlineLvl w:val="1"/>
        <w:rPr>
          <w:rStyle w:val="52"/>
          <w:rFonts w:hint="default" w:ascii="宋体" w:hAnsi="宋体" w:eastAsia="方正仿宋_GBK" w:cs="方正仿宋_GBK"/>
          <w:b/>
          <w:bCs/>
          <w:sz w:val="32"/>
          <w:szCs w:val="32"/>
          <w:lang w:val="en-US" w:eastAsia="zh-CN"/>
        </w:rPr>
      </w:pPr>
      <w:bookmarkStart w:id="93" w:name="_Toc23995"/>
      <w:r>
        <w:rPr>
          <w:rStyle w:val="52"/>
          <w:rFonts w:hint="eastAsia" w:ascii="宋体" w:hAnsi="宋体" w:eastAsia="方正仿宋_GBK" w:cs="方正仿宋_GBK"/>
          <w:b/>
          <w:bCs/>
          <w:sz w:val="32"/>
          <w:szCs w:val="32"/>
          <w:lang w:val="en-US" w:eastAsia="zh-CN"/>
        </w:rPr>
        <w:t>4.1.3特许经营权出让方式</w:t>
      </w:r>
    </w:p>
    <w:p w14:paraId="0FD91E6C">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 xml:space="preserve">    借鉴全国关于水库水面开发的先进经验，芒究水库水面开发可采用国有资产特许经营权出让的几种普遍模式进行公开招、挂拍进行，具体可上报芒市人民政府进行批准实施（涉及公共基础设施处置也可按照重大行政决策程序运行）。</w:t>
      </w:r>
    </w:p>
    <w:p w14:paraId="66AB6E6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1.‌公开招标‌</w:t>
      </w:r>
    </w:p>
    <w:p w14:paraId="4026B08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通过公共资源交易平台发布招标公告，明确特许经营范围、期限及资质要求，择优选定特许经营者。‌案例‌：射洪市14座水库项目制定最低出让金额1.6亿元，采用技术+商务综合评分法遴选运营商。</w:t>
      </w:r>
    </w:p>
    <w:p w14:paraId="78AE3B1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2.‌拍卖出让‌</w:t>
      </w:r>
    </w:p>
    <w:p w14:paraId="7384265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以评估价为基准公开竞价，保证金与竞买资格双重筛选投资者。‌案例‌：嘉鱼县三湖连江水库采用30年特许经营权拍卖，设定100万元竞买保证金门槛。</w:t>
      </w:r>
    </w:p>
    <w:p w14:paraId="7DF2D3B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3.‌协议转让‌</w:t>
      </w:r>
    </w:p>
    <w:p w14:paraId="3F797F6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适用于特殊公共事业项目，由政府与特定企业直接磋商授予经营权。‌案例‌：贞丰县6座水库项目允许境内外无不良记录主体协议受让经营权。</w:t>
      </w:r>
    </w:p>
    <w:p w14:paraId="40CFFB3D">
      <w:pPr>
        <w:keepNext w:val="0"/>
        <w:keepLines w:val="0"/>
        <w:pageBreakBefore w:val="0"/>
        <w:kinsoku/>
        <w:wordWrap/>
        <w:overflowPunct/>
        <w:topLinePunct w:val="0"/>
        <w:bidi w:val="0"/>
        <w:snapToGrid/>
        <w:spacing w:line="560" w:lineRule="exact"/>
        <w:textAlignment w:val="auto"/>
        <w:outlineLvl w:val="1"/>
        <w:rPr>
          <w:rFonts w:hint="default" w:ascii="宋体" w:hAnsi="宋体" w:eastAsia="方正仿宋_GBK" w:cs="方正仿宋_GBK"/>
          <w:b/>
          <w:bCs w:val="0"/>
          <w:sz w:val="32"/>
          <w:szCs w:val="32"/>
          <w:highlight w:val="none"/>
          <w:lang w:val="en-US" w:eastAsia="zh-CN"/>
        </w:rPr>
      </w:pPr>
      <w:r>
        <w:rPr>
          <w:rFonts w:hint="eastAsia" w:ascii="宋体" w:hAnsi="宋体" w:eastAsia="方正仿宋_GBK" w:cs="方正仿宋_GBK"/>
          <w:b/>
          <w:bCs w:val="0"/>
          <w:sz w:val="32"/>
          <w:szCs w:val="32"/>
          <w:highlight w:val="none"/>
          <w:lang w:val="en-US" w:eastAsia="zh-CN"/>
        </w:rPr>
        <w:t>4.2设计原则</w:t>
      </w:r>
      <w:bookmarkEnd w:id="93"/>
    </w:p>
    <w:p w14:paraId="08E8459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lang w:val="en-US" w:eastAsia="zh-CN"/>
        </w:rPr>
      </w:pPr>
      <w:bookmarkStart w:id="94" w:name="_Toc30655"/>
      <w:bookmarkStart w:id="95" w:name="_Toc5502"/>
      <w:r>
        <w:rPr>
          <w:rFonts w:hint="eastAsia" w:ascii="宋体" w:hAnsi="宋体" w:eastAsia="方正仿宋_GBK" w:cs="方正仿宋_GBK"/>
          <w:kern w:val="0"/>
          <w:sz w:val="32"/>
          <w:szCs w:val="32"/>
          <w:lang w:val="en-US" w:eastAsia="zh-CN"/>
        </w:rPr>
        <w:t>一是水利工程兼顾生态优先，动态适应。开发不得影响防洪、蓄水计划、调度运行及大坝、输水隧洞、溢洪道运行安全，设施采用可拆卸浮台结构，汛期快速撤离；保护原生植被、建设湿地、人工生态浮岛及周边亲水植物、控制开发强度，确保水体自净能力。二是‌功能复合、</w:t>
      </w:r>
      <w:r>
        <w:rPr>
          <w:rFonts w:hint="eastAsia" w:ascii="宋体" w:hAnsi="宋体" w:eastAsia="方正仿宋_GBK" w:cs="方正仿宋_GBK"/>
          <w:kern w:val="0"/>
          <w:sz w:val="32"/>
          <w:szCs w:val="32"/>
          <w:highlight w:val="none"/>
          <w:lang w:val="en-US" w:eastAsia="zh-CN"/>
        </w:rPr>
        <w:t>分水位开发。死水位（916m）至汛限水位（942m）布局亲水设施，正常蓄水位（944.5m）以上区域禁建，划分生态保育区、休闲娱乐区、文化展示区等，实现多功能协同。三是‌可持续运营。水面运营设施设备采用清洁能源设备（如太阳能游船）、预留生态修复资金池。四是‌公众参与。设</w:t>
      </w:r>
      <w:r>
        <w:rPr>
          <w:rFonts w:hint="eastAsia" w:ascii="宋体" w:hAnsi="宋体" w:eastAsia="方正仿宋_GBK" w:cs="方正仿宋_GBK"/>
          <w:kern w:val="0"/>
          <w:sz w:val="32"/>
          <w:szCs w:val="32"/>
          <w:lang w:val="en-US" w:eastAsia="zh-CN"/>
        </w:rPr>
        <w:t>置游客环保教育区，建立水质数据公开平台。</w:t>
      </w:r>
    </w:p>
    <w:bookmarkEnd w:id="90"/>
    <w:bookmarkEnd w:id="94"/>
    <w:bookmarkEnd w:id="95"/>
    <w:p w14:paraId="0663DA78">
      <w:pPr>
        <w:keepNext w:val="0"/>
        <w:keepLines w:val="0"/>
        <w:pageBreakBefore w:val="0"/>
        <w:kinsoku/>
        <w:wordWrap/>
        <w:overflowPunct/>
        <w:topLinePunct w:val="0"/>
        <w:autoSpaceDE/>
        <w:autoSpaceDN/>
        <w:bidi w:val="0"/>
        <w:adjustRightInd/>
        <w:snapToGrid/>
        <w:spacing w:beforeAutospacing="0" w:afterAutospacing="0" w:line="560" w:lineRule="exact"/>
        <w:textAlignment w:val="auto"/>
        <w:outlineLvl w:val="1"/>
        <w:rPr>
          <w:rFonts w:hint="eastAsia" w:ascii="宋体" w:hAnsi="宋体" w:eastAsia="方正仿宋_GBK" w:cs="方正仿宋_GBK"/>
          <w:b/>
          <w:bCs w:val="0"/>
          <w:sz w:val="32"/>
          <w:szCs w:val="32"/>
          <w:highlight w:val="none"/>
          <w:lang w:val="en-US" w:eastAsia="zh-CN"/>
        </w:rPr>
      </w:pPr>
      <w:bookmarkStart w:id="96" w:name="_Toc30586_WPSOffice_Level2"/>
      <w:bookmarkStart w:id="97" w:name="_Toc278"/>
      <w:bookmarkStart w:id="98" w:name="_Toc10517_WPSOffice_Level2"/>
      <w:bookmarkStart w:id="99" w:name="_Toc19951"/>
      <w:bookmarkStart w:id="100" w:name="_Toc29519"/>
      <w:r>
        <w:rPr>
          <w:rFonts w:hint="eastAsia" w:ascii="宋体" w:hAnsi="宋体" w:eastAsia="方正仿宋_GBK" w:cs="方正仿宋_GBK"/>
          <w:b/>
          <w:bCs w:val="0"/>
          <w:sz w:val="32"/>
          <w:szCs w:val="32"/>
          <w:highlight w:val="none"/>
          <w:lang w:val="en-US" w:eastAsia="zh-CN"/>
        </w:rPr>
        <w:t>4</w:t>
      </w:r>
      <w:r>
        <w:rPr>
          <w:rFonts w:hint="eastAsia" w:ascii="宋体" w:hAnsi="宋体" w:eastAsia="方正仿宋_GBK" w:cs="方正仿宋_GBK"/>
          <w:b/>
          <w:bCs w:val="0"/>
          <w:sz w:val="32"/>
          <w:szCs w:val="32"/>
          <w:highlight w:val="none"/>
        </w:rPr>
        <w:t>.</w:t>
      </w:r>
      <w:r>
        <w:rPr>
          <w:rFonts w:hint="eastAsia" w:ascii="宋体" w:hAnsi="宋体" w:eastAsia="方正仿宋_GBK" w:cs="方正仿宋_GBK"/>
          <w:b/>
          <w:bCs w:val="0"/>
          <w:sz w:val="32"/>
          <w:szCs w:val="32"/>
          <w:highlight w:val="none"/>
          <w:lang w:val="en-US" w:eastAsia="zh-CN"/>
        </w:rPr>
        <w:t>3</w:t>
      </w:r>
      <w:r>
        <w:rPr>
          <w:rFonts w:hint="eastAsia" w:ascii="宋体" w:hAnsi="宋体" w:eastAsia="方正仿宋_GBK" w:cs="方正仿宋_GBK"/>
          <w:b/>
          <w:bCs w:val="0"/>
          <w:sz w:val="32"/>
          <w:szCs w:val="32"/>
          <w:highlight w:val="none"/>
        </w:rPr>
        <w:t xml:space="preserve"> </w:t>
      </w:r>
      <w:bookmarkEnd w:id="96"/>
      <w:bookmarkEnd w:id="97"/>
      <w:bookmarkEnd w:id="98"/>
      <w:bookmarkEnd w:id="99"/>
      <w:r>
        <w:rPr>
          <w:rFonts w:hint="eastAsia" w:ascii="宋体" w:hAnsi="宋体" w:eastAsia="方正仿宋_GBK" w:cs="方正仿宋_GBK"/>
          <w:b/>
          <w:bCs w:val="0"/>
          <w:sz w:val="32"/>
          <w:szCs w:val="32"/>
          <w:highlight w:val="none"/>
          <w:lang w:val="en-US" w:eastAsia="zh-CN"/>
        </w:rPr>
        <w:t>水面开发项目设计</w:t>
      </w:r>
      <w:bookmarkEnd w:id="85"/>
      <w:bookmarkEnd w:id="86"/>
      <w:bookmarkEnd w:id="100"/>
      <w:bookmarkStart w:id="101" w:name="_Toc26786"/>
      <w:bookmarkStart w:id="102" w:name="_Toc3657"/>
    </w:p>
    <w:p w14:paraId="070548C2">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Style w:val="52"/>
          <w:rFonts w:hint="default"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4.3.1总体要求</w:t>
      </w:r>
    </w:p>
    <w:p w14:paraId="669B5CB8">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yellow"/>
          <w:lang w:val="en-US" w:eastAsia="zh-CN"/>
        </w:rPr>
      </w:pPr>
    </w:p>
    <w:p w14:paraId="2B9E9BD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1.产业政策符合性要求</w:t>
      </w:r>
    </w:p>
    <w:p w14:paraId="428B083E">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芒究水库位于芒市城区，毗邻大金塔、大银塔，旅游开发区位优势显著。芒市孔雀湖旅游度假区于2024年6月创建为国家级旅游度假区，规划面积13.9平方公里，孔雀湖作为核心资源，是度假区不可分割的组成部分。2025年4月，《云南省世界级旅游景区度假区总体规划》（2023—2035年）出台，要打造培育10个闲适优美的世界级旅游度假区，芒市孔雀湖国家级旅游度假区是其中之一。芒究水库水面开发利用规划方案可作为孔雀湖国家级旅游度假区的先行试点项目，后期可逐步根据度假区总体规划将大金塔、大银塔、孔雀湖极其周边三位一体进行综合开发。度假区运营管理主体为芒市文旅投集团公司，在运营期内，水面开发运营同时具有旅游度假区产品开发的属性，其安全生产、运营管理、服务保障等须符合旅游度假区相关管理规范；水面运营企业接受度假区运营管理机构日常监管，并配合开展好度假区运营管理工作。</w:t>
      </w:r>
    </w:p>
    <w:p w14:paraId="47360A4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2.工程调度运行、安全管理相关要求</w:t>
      </w:r>
    </w:p>
    <w:p w14:paraId="520D4419">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因为芒究水库为均质土坝，若长期高水位运行有可能会对水库大坝安全运行造成隐患，运营期间如果非要坚持高水位运行，须组织有关专家进行专题论证是否可行；项目批复实施前，承包经营商需编制相关洪水安全评价、环境安全评价及安全评价专题报告报水利、环保等相关部门批准、备案后方能正常运营。运营期内，承包运营商采取为游客购置意外伤害保险、配备安全救生设备、配置安全救生工作人员、增设安全警示牌等相关安全措施对安全运营负全责。</w:t>
      </w:r>
    </w:p>
    <w:p w14:paraId="7790640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本次项目设计依据水库每年的蓄水计划及调度运行计划进行规划。根据现场实际调查，水库运行年蓄水及调度运行周期为：</w:t>
      </w:r>
    </w:p>
    <w:p w14:paraId="7F4DBCC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1.1月1日开始陆续开闸放水至4月中旬下游农田灌溉，水位由正常蓄水位944.50m逐渐下降后保持在高程942m，对应水面面积为95.5万m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w:t>
      </w:r>
    </w:p>
    <w:p w14:paraId="6CC0832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2.4月中旬至6月30日，水位保持在高程923m，对应水面面积37.3万m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w:t>
      </w:r>
    </w:p>
    <w:p w14:paraId="1A34B8A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3.6月30日至9月30日，水位保持在汛限水位942m以下，对应水面面积约为95.5万m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w:t>
      </w:r>
    </w:p>
    <w:p w14:paraId="76B7B64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4.10月1日至12月30日，水库水位保持在正常蓄水位944.5m，对应水面面积为104万m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w:t>
      </w:r>
    </w:p>
    <w:p w14:paraId="2C786AE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5.特殊情况：为安全运行考虑，水库每隔3</w:t>
      </w:r>
      <w:r>
        <w:rPr>
          <w:rFonts w:hint="eastAsia" w:ascii="方正仿宋_GBK" w:hAnsi="方正仿宋_GBK" w:eastAsia="方正仿宋_GBK" w:cs="方正仿宋_GBK"/>
          <w:kern w:val="0"/>
          <w:sz w:val="32"/>
          <w:szCs w:val="32"/>
          <w:lang w:val="en-US" w:eastAsia="zh-CN"/>
        </w:rPr>
        <w:t>~</w:t>
      </w:r>
      <w:r>
        <w:rPr>
          <w:rFonts w:hint="eastAsia" w:ascii="宋体" w:hAnsi="宋体" w:eastAsia="方正仿宋_GBK" w:cs="方正仿宋_GBK"/>
          <w:kern w:val="0"/>
          <w:sz w:val="32"/>
          <w:szCs w:val="32"/>
          <w:lang w:val="en-US" w:eastAsia="zh-CN"/>
        </w:rPr>
        <w:t>4年输水隧洞工作闸门需进行检修，水位会放至输水隧洞底板，即水位会保持在死水位916m高程10至20天左右，对应水面面积14.6万m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w:t>
      </w:r>
    </w:p>
    <w:p w14:paraId="1EF039F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综上所述，项目运营期间，所有水面开发经营项目根据水面调度进行适时调整，码头、舞台等均采用浮动台面，若水面降至死水位916m时，所有营运项目暂时停业进入维修保养期，实现水库运行与水面开发项目协调管理模式。</w:t>
      </w:r>
    </w:p>
    <w:p w14:paraId="3B9C7C3D">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Style w:val="52"/>
          <w:rFonts w:hint="default"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4.3.2水面开发项目设计</w:t>
      </w:r>
    </w:p>
    <w:p w14:paraId="5646D73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color w:val="auto"/>
          <w:kern w:val="0"/>
          <w:sz w:val="32"/>
          <w:szCs w:val="32"/>
          <w:lang w:val="en-US" w:eastAsia="zh-CN"/>
        </w:rPr>
        <w:t>1.</w:t>
      </w:r>
      <w:r>
        <w:rPr>
          <w:rFonts w:hint="default" w:ascii="宋体" w:hAnsi="宋体" w:eastAsia="方正仿宋_GBK" w:cs="方正仿宋_GBK"/>
          <w:b/>
          <w:bCs/>
          <w:color w:val="auto"/>
          <w:kern w:val="0"/>
          <w:sz w:val="32"/>
          <w:szCs w:val="32"/>
          <w:lang w:val="en-US" w:eastAsia="zh-CN"/>
        </w:rPr>
        <w:t>‌孔雀造型休闲小游船‌</w:t>
      </w:r>
    </w:p>
    <w:p w14:paraId="3269A87D">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default" w:ascii="宋体" w:hAnsi="宋体" w:eastAsia="方正仿宋_GBK" w:cs="方正仿宋_GBK"/>
          <w:kern w:val="0"/>
          <w:sz w:val="32"/>
          <w:szCs w:val="32"/>
          <w:lang w:val="en-US" w:eastAsia="zh-CN"/>
        </w:rPr>
        <w:t>提供孔雀造型的休闲小游船</w:t>
      </w:r>
      <w:r>
        <w:rPr>
          <w:rFonts w:hint="eastAsia" w:ascii="宋体" w:hAnsi="宋体" w:eastAsia="方正仿宋_GBK" w:cs="方正仿宋_GBK"/>
          <w:kern w:val="0"/>
          <w:sz w:val="32"/>
          <w:szCs w:val="32"/>
          <w:lang w:val="en-US" w:eastAsia="zh-CN"/>
        </w:rPr>
        <w:t>20艘</w:t>
      </w:r>
      <w:r>
        <w:rPr>
          <w:rFonts w:hint="default" w:ascii="宋体" w:hAnsi="宋体" w:eastAsia="方正仿宋_GBK" w:cs="方正仿宋_GBK"/>
          <w:kern w:val="0"/>
          <w:sz w:val="32"/>
          <w:szCs w:val="32"/>
          <w:lang w:val="en-US" w:eastAsia="zh-CN"/>
        </w:rPr>
        <w:t>，让游客在湖面上游览。</w:t>
      </w:r>
    </w:p>
    <w:p w14:paraId="70310F13">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default" w:ascii="宋体" w:hAnsi="宋体" w:eastAsia="方正仿宋_GBK" w:cs="方正仿宋_GBK"/>
          <w:kern w:val="0"/>
          <w:sz w:val="32"/>
          <w:szCs w:val="32"/>
          <w:lang w:val="en-US" w:eastAsia="zh-CN"/>
        </w:rPr>
        <w:t>采购或定制孔雀造型游船，设置游船码头。</w:t>
      </w:r>
    </w:p>
    <w:p w14:paraId="11113BA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提升水库观光体验，吸引游客拍照打卡，增加旅游收入。</w:t>
      </w:r>
    </w:p>
    <w:p w14:paraId="2B838860">
      <w:pPr>
        <w:ind w:firstLine="643" w:firstLineChars="200"/>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b/>
          <w:bCs/>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78万元</w:t>
      </w:r>
      <w:r>
        <w:rPr>
          <w:rFonts w:hint="eastAsia" w:ascii="宋体" w:hAnsi="宋体" w:eastAsia="方正仿宋_GBK" w:cs="方正仿宋_GBK"/>
          <w:kern w:val="0"/>
          <w:sz w:val="32"/>
          <w:szCs w:val="32"/>
          <w:lang w:val="en-US" w:eastAsia="zh-CN"/>
        </w:rPr>
        <w:t>。</w:t>
      </w:r>
    </w:p>
    <w:p w14:paraId="79414E5B">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2.民族文化长廊塑木栈道跨越</w:t>
      </w:r>
      <w:r>
        <w:rPr>
          <w:rFonts w:hint="default" w:ascii="宋体" w:hAnsi="宋体" w:eastAsia="方正仿宋_GBK" w:cs="方正仿宋_GBK"/>
          <w:b/>
          <w:bCs/>
          <w:kern w:val="0"/>
          <w:sz w:val="32"/>
          <w:szCs w:val="32"/>
          <w:lang w:val="en-US" w:eastAsia="zh-CN"/>
        </w:rPr>
        <w:t>孔雀湖</w:t>
      </w:r>
      <w:r>
        <w:rPr>
          <w:rFonts w:hint="default" w:ascii="宋体" w:hAnsi="宋体" w:eastAsia="方正仿宋_GBK" w:cs="方正仿宋_GBK"/>
          <w:kern w:val="0"/>
          <w:sz w:val="32"/>
          <w:szCs w:val="32"/>
          <w:lang w:val="en-US" w:eastAsia="zh-CN"/>
        </w:rPr>
        <w:t>‌</w:t>
      </w:r>
    </w:p>
    <w:p w14:paraId="30FA5A8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eastAsia" w:ascii="宋体" w:hAnsi="宋体" w:eastAsia="方正仿宋_GBK" w:cs="方正仿宋_GBK"/>
          <w:kern w:val="0"/>
          <w:sz w:val="32"/>
          <w:szCs w:val="32"/>
          <w:lang w:val="en-US" w:eastAsia="zh-CN"/>
        </w:rPr>
        <w:t>在孔雀湖北侧新建湿地内设置塑木栈道，栈道上打造民族文化长廊跨越孔雀湖，让游客对本地民族风情及文化增强了解</w:t>
      </w:r>
      <w:r>
        <w:rPr>
          <w:rFonts w:hint="default" w:ascii="宋体" w:hAnsi="宋体" w:eastAsia="方正仿宋_GBK" w:cs="方正仿宋_GBK"/>
          <w:kern w:val="0"/>
          <w:sz w:val="32"/>
          <w:szCs w:val="32"/>
          <w:lang w:val="en-US" w:eastAsia="zh-CN"/>
        </w:rPr>
        <w:t>。</w:t>
      </w:r>
    </w:p>
    <w:p w14:paraId="265756F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default" w:ascii="宋体" w:hAnsi="宋体" w:eastAsia="方正仿宋_GBK" w:cs="方正仿宋_GBK"/>
          <w:kern w:val="0"/>
          <w:sz w:val="32"/>
          <w:szCs w:val="32"/>
          <w:lang w:val="en-US" w:eastAsia="zh-CN"/>
        </w:rPr>
        <w:t>建设</w:t>
      </w:r>
      <w:r>
        <w:rPr>
          <w:rFonts w:hint="eastAsia" w:ascii="宋体" w:hAnsi="宋体" w:eastAsia="方正仿宋_GBK" w:cs="方正仿宋_GBK"/>
          <w:kern w:val="0"/>
          <w:sz w:val="32"/>
          <w:szCs w:val="32"/>
          <w:lang w:val="en-US" w:eastAsia="zh-CN"/>
        </w:rPr>
        <w:t>塑木栈道2.8km、</w:t>
      </w:r>
      <w:r>
        <w:rPr>
          <w:rFonts w:hint="default" w:ascii="宋体" w:hAnsi="宋体" w:eastAsia="方正仿宋_GBK" w:cs="方正仿宋_GBK"/>
          <w:kern w:val="0"/>
          <w:sz w:val="32"/>
          <w:szCs w:val="32"/>
          <w:lang w:val="en-US" w:eastAsia="zh-CN"/>
        </w:rPr>
        <w:t>观景平台</w:t>
      </w:r>
      <w:r>
        <w:rPr>
          <w:rFonts w:hint="eastAsia" w:ascii="宋体" w:hAnsi="宋体" w:eastAsia="方正仿宋_GBK" w:cs="方正仿宋_GBK"/>
          <w:kern w:val="0"/>
          <w:sz w:val="32"/>
          <w:szCs w:val="32"/>
          <w:lang w:val="en-US" w:eastAsia="zh-CN"/>
        </w:rPr>
        <w:t>及休闲椅</w:t>
      </w:r>
      <w:r>
        <w:rPr>
          <w:rFonts w:hint="default" w:ascii="宋体" w:hAnsi="宋体" w:eastAsia="方正仿宋_GBK" w:cs="方正仿宋_GBK"/>
          <w:kern w:val="0"/>
          <w:sz w:val="32"/>
          <w:szCs w:val="32"/>
          <w:lang w:val="en-US" w:eastAsia="zh-CN"/>
        </w:rPr>
        <w:t>。</w:t>
      </w:r>
    </w:p>
    <w:p w14:paraId="2B87066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结合地方特色文化，提供独特的旅游体验，提升水库吸引力。</w:t>
      </w:r>
    </w:p>
    <w:p w14:paraId="6F08FC6D">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kern w:val="0"/>
          <w:sz w:val="32"/>
          <w:szCs w:val="32"/>
          <w:highlight w:val="none"/>
          <w:lang w:val="en-US" w:eastAsia="zh-CN"/>
        </w:rPr>
        <w:t>280万元</w:t>
      </w:r>
    </w:p>
    <w:p w14:paraId="4A7480AA">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3.飞跃孔雀湖</w:t>
      </w:r>
    </w:p>
    <w:p w14:paraId="3F1E8F53">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项目介绍：</w:t>
      </w:r>
      <w:r>
        <w:rPr>
          <w:rFonts w:hint="eastAsia" w:ascii="宋体" w:hAnsi="宋体" w:eastAsia="方正仿宋_GBK" w:cs="方正仿宋_GBK"/>
          <w:kern w:val="0"/>
          <w:sz w:val="32"/>
          <w:szCs w:val="32"/>
          <w:highlight w:val="none"/>
          <w:lang w:val="en-US" w:eastAsia="zh-CN"/>
        </w:rPr>
        <w:t>借鉴桂林遇龙河当下较火爆的巨龙巡游项目，由众多竹筏组成一只巨大的孔雀，总长100m。</w:t>
      </w:r>
    </w:p>
    <w:p w14:paraId="67663BAB">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设施配套：</w:t>
      </w:r>
      <w:r>
        <w:rPr>
          <w:rFonts w:hint="eastAsia" w:ascii="宋体" w:hAnsi="宋体" w:eastAsia="方正仿宋_GBK" w:cs="方正仿宋_GBK"/>
          <w:kern w:val="0"/>
          <w:sz w:val="32"/>
          <w:szCs w:val="32"/>
          <w:highlight w:val="none"/>
          <w:lang w:val="en-US" w:eastAsia="zh-CN"/>
        </w:rPr>
        <w:t>设置1组孔雀巡游竹筏（竹筏20艘），竹筏用孔雀造型布置头部、身体及尾部，用灯光和音乐装点，设置表演竹筏数艘。</w:t>
      </w:r>
    </w:p>
    <w:p w14:paraId="19453AB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预期效益：</w:t>
      </w:r>
      <w:r>
        <w:rPr>
          <w:rFonts w:hint="eastAsia" w:ascii="宋体" w:hAnsi="宋体" w:eastAsia="方正仿宋_GBK" w:cs="方正仿宋_GBK"/>
          <w:kern w:val="0"/>
          <w:sz w:val="32"/>
          <w:szCs w:val="32"/>
          <w:highlight w:val="none"/>
          <w:lang w:val="en-US" w:eastAsia="zh-CN"/>
        </w:rPr>
        <w:t>游客可欣赏当地民族歌舞表演等，从而实现沉浸式体验民族文化的效果。</w:t>
      </w:r>
    </w:p>
    <w:p w14:paraId="265EC424">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投资估算：</w:t>
      </w:r>
      <w:r>
        <w:rPr>
          <w:rFonts w:hint="eastAsia" w:ascii="宋体" w:hAnsi="宋体" w:eastAsia="方正仿宋_GBK" w:cs="方正仿宋_GBK"/>
          <w:kern w:val="0"/>
          <w:sz w:val="32"/>
          <w:szCs w:val="32"/>
          <w:highlight w:val="none"/>
          <w:lang w:val="en-US" w:eastAsia="zh-CN"/>
        </w:rPr>
        <w:t>118万元（含新能源动力系统、蓄电池、孔雀造型定制、运费）。</w:t>
      </w:r>
    </w:p>
    <w:p w14:paraId="0C25F6E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4.</w:t>
      </w:r>
      <w:r>
        <w:rPr>
          <w:rFonts w:hint="default" w:ascii="宋体" w:hAnsi="宋体" w:eastAsia="方正仿宋_GBK" w:cs="方正仿宋_GBK"/>
          <w:b/>
          <w:bCs/>
          <w:kern w:val="0"/>
          <w:sz w:val="32"/>
          <w:szCs w:val="32"/>
          <w:lang w:val="en-US" w:eastAsia="zh-CN"/>
        </w:rPr>
        <w:t>‌水上飞人</w:t>
      </w:r>
      <w:r>
        <w:rPr>
          <w:rFonts w:hint="default" w:ascii="宋体" w:hAnsi="宋体" w:eastAsia="方正仿宋_GBK" w:cs="方正仿宋_GBK"/>
          <w:kern w:val="0"/>
          <w:sz w:val="32"/>
          <w:szCs w:val="32"/>
          <w:lang w:val="en-US" w:eastAsia="zh-CN"/>
        </w:rPr>
        <w:t>‌</w:t>
      </w:r>
    </w:p>
    <w:p w14:paraId="499E3BD4">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default" w:ascii="宋体" w:hAnsi="宋体" w:eastAsia="方正仿宋_GBK" w:cs="方正仿宋_GBK"/>
          <w:kern w:val="0"/>
          <w:sz w:val="32"/>
          <w:szCs w:val="32"/>
          <w:lang w:val="en-US" w:eastAsia="zh-CN"/>
        </w:rPr>
        <w:t>‌：引入水上飞人项目，供极限运动爱好者体验。</w:t>
      </w:r>
    </w:p>
    <w:p w14:paraId="64869462">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default" w:ascii="宋体" w:hAnsi="宋体" w:eastAsia="方正仿宋_GBK" w:cs="方正仿宋_GBK"/>
          <w:kern w:val="0"/>
          <w:sz w:val="32"/>
          <w:szCs w:val="32"/>
          <w:lang w:val="en-US" w:eastAsia="zh-CN"/>
        </w:rPr>
        <w:t>购置水上飞人专业设备</w:t>
      </w:r>
      <w:r>
        <w:rPr>
          <w:rFonts w:hint="eastAsia" w:ascii="宋体" w:hAnsi="宋体" w:eastAsia="方正仿宋_GBK" w:cs="方正仿宋_GBK"/>
          <w:kern w:val="0"/>
          <w:sz w:val="32"/>
          <w:szCs w:val="32"/>
          <w:lang w:val="en-US" w:eastAsia="zh-CN"/>
        </w:rPr>
        <w:t>2套、救生艇2艘</w:t>
      </w:r>
      <w:r>
        <w:rPr>
          <w:rFonts w:hint="default" w:ascii="宋体" w:hAnsi="宋体" w:eastAsia="方正仿宋_GBK" w:cs="方正仿宋_GBK"/>
          <w:kern w:val="0"/>
          <w:sz w:val="32"/>
          <w:szCs w:val="32"/>
          <w:lang w:val="en-US" w:eastAsia="zh-CN"/>
        </w:rPr>
        <w:t>设置安全保护区及观众区</w:t>
      </w:r>
      <w:r>
        <w:rPr>
          <w:rFonts w:hint="eastAsia" w:ascii="宋体" w:hAnsi="宋体" w:eastAsia="方正仿宋_GBK" w:cs="方正仿宋_GBK"/>
          <w:kern w:val="0"/>
          <w:sz w:val="32"/>
          <w:szCs w:val="32"/>
          <w:lang w:val="en-US" w:eastAsia="zh-CN"/>
        </w:rPr>
        <w:t>200m</w:t>
      </w:r>
      <w:r>
        <w:rPr>
          <w:rFonts w:hint="eastAsia" w:ascii="宋体" w:hAnsi="宋体" w:eastAsia="方正仿宋_GBK" w:cs="方正仿宋_GBK"/>
          <w:kern w:val="0"/>
          <w:sz w:val="32"/>
          <w:szCs w:val="32"/>
          <w:vertAlign w:val="superscript"/>
          <w:lang w:val="en-US" w:eastAsia="zh-CN"/>
        </w:rPr>
        <w:t>2</w:t>
      </w:r>
      <w:r>
        <w:rPr>
          <w:rFonts w:hint="default" w:ascii="宋体" w:hAnsi="宋体" w:eastAsia="方正仿宋_GBK" w:cs="方正仿宋_GBK"/>
          <w:kern w:val="0"/>
          <w:sz w:val="32"/>
          <w:szCs w:val="32"/>
          <w:lang w:val="en-US" w:eastAsia="zh-CN"/>
        </w:rPr>
        <w:t>。</w:t>
      </w:r>
    </w:p>
    <w:p w14:paraId="3B8F99B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吸引极限运动爱好者，增加刺激体验项目，提高水库知名度。</w:t>
      </w:r>
    </w:p>
    <w:p w14:paraId="2F9B8A3A">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b/>
          <w:bCs/>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120万元。</w:t>
      </w:r>
    </w:p>
    <w:p w14:paraId="4A7B4119">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5.</w:t>
      </w:r>
      <w:r>
        <w:rPr>
          <w:rFonts w:hint="default" w:ascii="宋体" w:hAnsi="宋体" w:eastAsia="方正仿宋_GBK" w:cs="方正仿宋_GBK"/>
          <w:b/>
          <w:bCs/>
          <w:kern w:val="0"/>
          <w:sz w:val="32"/>
          <w:szCs w:val="32"/>
          <w:lang w:val="en-US" w:eastAsia="zh-CN"/>
        </w:rPr>
        <w:t>‌水上拖拽卡通仓</w:t>
      </w:r>
      <w:r>
        <w:rPr>
          <w:rFonts w:hint="default" w:ascii="宋体" w:hAnsi="宋体" w:eastAsia="方正仿宋_GBK" w:cs="方正仿宋_GBK"/>
          <w:kern w:val="0"/>
          <w:sz w:val="32"/>
          <w:szCs w:val="32"/>
          <w:lang w:val="en-US" w:eastAsia="zh-CN"/>
        </w:rPr>
        <w:t>‌</w:t>
      </w:r>
    </w:p>
    <w:p w14:paraId="11B4CD0B">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default" w:ascii="宋体" w:hAnsi="宋体" w:eastAsia="方正仿宋_GBK" w:cs="方正仿宋_GBK"/>
          <w:kern w:val="0"/>
          <w:sz w:val="32"/>
          <w:szCs w:val="32"/>
          <w:lang w:val="en-US" w:eastAsia="zh-CN"/>
        </w:rPr>
        <w:t>通过快艇拖拽卡通造型的水上娱乐舱，供游客体验。</w:t>
      </w:r>
    </w:p>
    <w:p w14:paraId="2DA4168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default" w:ascii="宋体" w:hAnsi="宋体" w:eastAsia="方正仿宋_GBK" w:cs="方正仿宋_GBK"/>
          <w:kern w:val="0"/>
          <w:sz w:val="32"/>
          <w:szCs w:val="32"/>
          <w:lang w:val="en-US" w:eastAsia="zh-CN"/>
        </w:rPr>
        <w:t>定制卡通造型拖拽舱</w:t>
      </w:r>
      <w:r>
        <w:rPr>
          <w:rFonts w:hint="eastAsia" w:ascii="宋体" w:hAnsi="宋体" w:eastAsia="方正仿宋_GBK" w:cs="方正仿宋_GBK"/>
          <w:kern w:val="0"/>
          <w:sz w:val="32"/>
          <w:szCs w:val="32"/>
          <w:lang w:val="en-US" w:eastAsia="zh-CN"/>
        </w:rPr>
        <w:t>4套</w:t>
      </w:r>
      <w:r>
        <w:rPr>
          <w:rFonts w:hint="default" w:ascii="宋体" w:hAnsi="宋体" w:eastAsia="方正仿宋_GBK" w:cs="方正仿宋_GBK"/>
          <w:kern w:val="0"/>
          <w:sz w:val="32"/>
          <w:szCs w:val="32"/>
          <w:lang w:val="en-US" w:eastAsia="zh-CN"/>
        </w:rPr>
        <w:t>，配备专业快艇</w:t>
      </w:r>
      <w:r>
        <w:rPr>
          <w:rFonts w:hint="eastAsia" w:ascii="宋体" w:hAnsi="宋体" w:eastAsia="方正仿宋_GBK" w:cs="方正仿宋_GBK"/>
          <w:kern w:val="0"/>
          <w:sz w:val="32"/>
          <w:szCs w:val="32"/>
          <w:lang w:val="en-US" w:eastAsia="zh-CN"/>
        </w:rPr>
        <w:t>4艘</w:t>
      </w:r>
      <w:r>
        <w:rPr>
          <w:rFonts w:hint="default" w:ascii="宋体" w:hAnsi="宋体" w:eastAsia="方正仿宋_GBK" w:cs="方正仿宋_GBK"/>
          <w:kern w:val="0"/>
          <w:sz w:val="32"/>
          <w:szCs w:val="32"/>
          <w:lang w:val="en-US" w:eastAsia="zh-CN"/>
        </w:rPr>
        <w:t>。</w:t>
      </w:r>
    </w:p>
    <w:p w14:paraId="7F381F5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增加娱乐性和趣味性，吸引家庭游客，提高游客参与度。</w:t>
      </w:r>
    </w:p>
    <w:p w14:paraId="649B8F1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b/>
          <w:bCs/>
          <w:kern w:val="0"/>
          <w:sz w:val="32"/>
          <w:szCs w:val="32"/>
          <w:highlight w:val="none"/>
          <w:lang w:val="en-US" w:eastAsia="zh-CN"/>
        </w:rPr>
        <w:t>‌：</w:t>
      </w:r>
      <w:r>
        <w:rPr>
          <w:rFonts w:hint="eastAsia" w:ascii="宋体" w:hAnsi="宋体" w:eastAsia="方正仿宋_GBK" w:cs="方正仿宋_GBK"/>
          <w:kern w:val="0"/>
          <w:sz w:val="32"/>
          <w:szCs w:val="32"/>
          <w:lang w:val="en-US" w:eastAsia="zh-CN"/>
        </w:rPr>
        <w:t>112万元。</w:t>
      </w:r>
    </w:p>
    <w:p w14:paraId="21FC9826">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6.</w:t>
      </w:r>
      <w:r>
        <w:rPr>
          <w:rFonts w:hint="default" w:ascii="宋体" w:hAnsi="宋体" w:eastAsia="方正仿宋_GBK" w:cs="方正仿宋_GBK"/>
          <w:b/>
          <w:bCs/>
          <w:kern w:val="0"/>
          <w:sz w:val="32"/>
          <w:szCs w:val="32"/>
          <w:lang w:val="en-US" w:eastAsia="zh-CN"/>
        </w:rPr>
        <w:t>‌水上卡丁</w:t>
      </w:r>
      <w:r>
        <w:rPr>
          <w:rFonts w:hint="eastAsia" w:ascii="宋体" w:hAnsi="宋体" w:eastAsia="方正仿宋_GBK" w:cs="方正仿宋_GBK"/>
          <w:b/>
          <w:bCs/>
          <w:kern w:val="0"/>
          <w:sz w:val="32"/>
          <w:szCs w:val="32"/>
          <w:lang w:val="en-US" w:eastAsia="zh-CN"/>
        </w:rPr>
        <w:t>船</w:t>
      </w:r>
      <w:r>
        <w:rPr>
          <w:rFonts w:hint="default" w:ascii="宋体" w:hAnsi="宋体" w:eastAsia="方正仿宋_GBK" w:cs="方正仿宋_GBK"/>
          <w:b/>
          <w:bCs/>
          <w:kern w:val="0"/>
          <w:sz w:val="32"/>
          <w:szCs w:val="32"/>
          <w:lang w:val="en-US" w:eastAsia="zh-CN"/>
        </w:rPr>
        <w:t>‌</w:t>
      </w:r>
    </w:p>
    <w:p w14:paraId="3AE4546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default" w:ascii="宋体" w:hAnsi="宋体" w:eastAsia="方正仿宋_GBK" w:cs="方正仿宋_GBK"/>
          <w:kern w:val="0"/>
          <w:sz w:val="32"/>
          <w:szCs w:val="32"/>
          <w:lang w:val="en-US" w:eastAsia="zh-CN"/>
        </w:rPr>
        <w:t>设立水上卡丁</w:t>
      </w:r>
      <w:r>
        <w:rPr>
          <w:rFonts w:hint="eastAsia" w:ascii="宋体" w:hAnsi="宋体" w:eastAsia="方正仿宋_GBK" w:cs="方正仿宋_GBK"/>
          <w:kern w:val="0"/>
          <w:sz w:val="32"/>
          <w:szCs w:val="32"/>
          <w:lang w:val="en-US" w:eastAsia="zh-CN"/>
        </w:rPr>
        <w:t>船</w:t>
      </w:r>
      <w:r>
        <w:rPr>
          <w:rFonts w:hint="default" w:ascii="宋体" w:hAnsi="宋体" w:eastAsia="方正仿宋_GBK" w:cs="方正仿宋_GBK"/>
          <w:kern w:val="0"/>
          <w:sz w:val="32"/>
          <w:szCs w:val="32"/>
          <w:lang w:val="en-US" w:eastAsia="zh-CN"/>
        </w:rPr>
        <w:t>赛道，供游客驾驶体验。</w:t>
      </w:r>
    </w:p>
    <w:p w14:paraId="2F13D5FC">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eastAsia" w:ascii="宋体" w:hAnsi="宋体" w:eastAsia="方正仿宋_GBK" w:cs="方正仿宋_GBK"/>
          <w:kern w:val="0"/>
          <w:sz w:val="32"/>
          <w:szCs w:val="32"/>
          <w:lang w:val="en-US" w:eastAsia="zh-CN"/>
        </w:rPr>
        <w:t>购置电动卡丁船（10艘）、防撞赛道（1.2公里）、充电桩及游客服务站点、更衣室</w:t>
      </w:r>
      <w:r>
        <w:rPr>
          <w:rFonts w:hint="default" w:ascii="宋体" w:hAnsi="宋体" w:eastAsia="方正仿宋_GBK" w:cs="方正仿宋_GBK"/>
          <w:kern w:val="0"/>
          <w:sz w:val="32"/>
          <w:szCs w:val="32"/>
          <w:lang w:val="en-US" w:eastAsia="zh-CN"/>
        </w:rPr>
        <w:t>。</w:t>
      </w:r>
    </w:p>
    <w:p w14:paraId="74F636E9">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提供新奇的水上驾驶体验，增加娱乐性和互动性，吸引赛车爱好者。</w:t>
      </w:r>
    </w:p>
    <w:p w14:paraId="255077D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b/>
          <w:bCs/>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126万元。</w:t>
      </w:r>
    </w:p>
    <w:p w14:paraId="49AA9C7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7.</w:t>
      </w:r>
      <w:r>
        <w:rPr>
          <w:rFonts w:hint="default" w:ascii="宋体" w:hAnsi="宋体" w:eastAsia="方正仿宋_GBK" w:cs="方正仿宋_GBK"/>
          <w:b/>
          <w:bCs/>
          <w:kern w:val="0"/>
          <w:sz w:val="32"/>
          <w:szCs w:val="32"/>
          <w:lang w:val="en-US" w:eastAsia="zh-CN"/>
        </w:rPr>
        <w:t>‌水上皮划艇</w:t>
      </w:r>
      <w:r>
        <w:rPr>
          <w:rFonts w:hint="default" w:ascii="宋体" w:hAnsi="宋体" w:eastAsia="方正仿宋_GBK" w:cs="方正仿宋_GBK"/>
          <w:kern w:val="0"/>
          <w:sz w:val="32"/>
          <w:szCs w:val="32"/>
          <w:lang w:val="en-US" w:eastAsia="zh-CN"/>
        </w:rPr>
        <w:t>‌</w:t>
      </w:r>
    </w:p>
    <w:p w14:paraId="17DB6556">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default" w:ascii="宋体" w:hAnsi="宋体" w:eastAsia="方正仿宋_GBK" w:cs="方正仿宋_GBK"/>
          <w:kern w:val="0"/>
          <w:sz w:val="32"/>
          <w:szCs w:val="32"/>
          <w:lang w:val="en-US" w:eastAsia="zh-CN"/>
        </w:rPr>
        <w:t>提供皮划艇出租服务，让游客在水库划行。</w:t>
      </w:r>
    </w:p>
    <w:p w14:paraId="52D56D4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default" w:ascii="宋体" w:hAnsi="宋体" w:eastAsia="方正仿宋_GBK" w:cs="方正仿宋_GBK"/>
          <w:kern w:val="0"/>
          <w:sz w:val="32"/>
          <w:szCs w:val="32"/>
          <w:lang w:val="en-US" w:eastAsia="zh-CN"/>
        </w:rPr>
        <w:t>采购皮划艇</w:t>
      </w:r>
      <w:r>
        <w:rPr>
          <w:rFonts w:hint="eastAsia" w:ascii="宋体" w:hAnsi="宋体" w:eastAsia="方正仿宋_GBK" w:cs="方正仿宋_GBK"/>
          <w:kern w:val="0"/>
          <w:sz w:val="32"/>
          <w:szCs w:val="32"/>
          <w:lang w:val="en-US" w:eastAsia="zh-CN"/>
        </w:rPr>
        <w:t>20艘</w:t>
      </w:r>
      <w:r>
        <w:rPr>
          <w:rFonts w:hint="default" w:ascii="宋体" w:hAnsi="宋体" w:eastAsia="方正仿宋_GBK" w:cs="方正仿宋_GBK"/>
          <w:kern w:val="0"/>
          <w:sz w:val="32"/>
          <w:szCs w:val="32"/>
          <w:lang w:val="en-US" w:eastAsia="zh-CN"/>
        </w:rPr>
        <w:t>，设置租赁点和停靠点。</w:t>
      </w:r>
    </w:p>
    <w:p w14:paraId="02C9B603">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普及性强，适合各类游客，促进户外运动，提高游客参与感。</w:t>
      </w:r>
    </w:p>
    <w:p w14:paraId="388B2CB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b/>
          <w:bCs/>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40万元。</w:t>
      </w:r>
    </w:p>
    <w:p w14:paraId="133E503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8.</w:t>
      </w:r>
      <w:r>
        <w:rPr>
          <w:rFonts w:hint="default" w:ascii="宋体" w:hAnsi="宋体" w:eastAsia="方正仿宋_GBK" w:cs="方正仿宋_GBK"/>
          <w:b/>
          <w:bCs/>
          <w:kern w:val="0"/>
          <w:sz w:val="32"/>
          <w:szCs w:val="32"/>
          <w:lang w:val="en-US" w:eastAsia="zh-CN"/>
        </w:rPr>
        <w:t>‌水上卡通城堡‌</w:t>
      </w:r>
    </w:p>
    <w:p w14:paraId="190230A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default" w:ascii="宋体" w:hAnsi="宋体" w:eastAsia="方正仿宋_GBK" w:cs="方正仿宋_GBK"/>
          <w:kern w:val="0"/>
          <w:sz w:val="32"/>
          <w:szCs w:val="32"/>
          <w:lang w:val="en-US" w:eastAsia="zh-CN"/>
        </w:rPr>
        <w:t>在水面建设水上卡通城堡，供儿童及家长互动娱乐。</w:t>
      </w:r>
    </w:p>
    <w:p w14:paraId="00AF9779">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default" w:ascii="宋体" w:hAnsi="宋体" w:eastAsia="方正仿宋_GBK" w:cs="方正仿宋_GBK"/>
          <w:kern w:val="0"/>
          <w:sz w:val="32"/>
          <w:szCs w:val="32"/>
          <w:lang w:val="en-US" w:eastAsia="zh-CN"/>
        </w:rPr>
        <w:t>建造水上卡通城堡</w:t>
      </w:r>
      <w:r>
        <w:rPr>
          <w:rFonts w:hint="eastAsia" w:ascii="宋体" w:hAnsi="宋体" w:eastAsia="方正仿宋_GBK" w:cs="方正仿宋_GBK"/>
          <w:kern w:val="0"/>
          <w:sz w:val="32"/>
          <w:szCs w:val="32"/>
          <w:lang w:val="en-US" w:eastAsia="zh-CN"/>
        </w:rPr>
        <w:t>1套300m</w:t>
      </w:r>
      <w:r>
        <w:rPr>
          <w:rFonts w:hint="eastAsia" w:ascii="宋体" w:hAnsi="宋体" w:eastAsia="方正仿宋_GBK" w:cs="方正仿宋_GBK"/>
          <w:kern w:val="0"/>
          <w:sz w:val="32"/>
          <w:szCs w:val="32"/>
          <w:vertAlign w:val="superscript"/>
          <w:lang w:val="en-US" w:eastAsia="zh-CN"/>
        </w:rPr>
        <w:t>2</w:t>
      </w:r>
      <w:r>
        <w:rPr>
          <w:rFonts w:hint="default" w:ascii="宋体" w:hAnsi="宋体" w:eastAsia="方正仿宋_GBK" w:cs="方正仿宋_GBK"/>
          <w:kern w:val="0"/>
          <w:sz w:val="32"/>
          <w:szCs w:val="32"/>
          <w:lang w:val="en-US" w:eastAsia="zh-CN"/>
        </w:rPr>
        <w:t>，配置安全保护设施。</w:t>
      </w:r>
    </w:p>
    <w:p w14:paraId="3490DA1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提供家庭娱乐新选择，增强游客</w:t>
      </w:r>
      <w:r>
        <w:rPr>
          <w:rFonts w:hint="eastAsia" w:ascii="宋体" w:hAnsi="宋体" w:eastAsia="方正仿宋_GBK" w:cs="方正仿宋_GBK"/>
          <w:kern w:val="0"/>
          <w:sz w:val="32"/>
          <w:szCs w:val="32"/>
          <w:lang w:val="en-US" w:eastAsia="zh-CN"/>
        </w:rPr>
        <w:t>亲子活动旅游体验感。</w:t>
      </w:r>
    </w:p>
    <w:p w14:paraId="46D4ACB9">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kern w:val="0"/>
          <w:sz w:val="32"/>
          <w:szCs w:val="32"/>
          <w:highlight w:val="none"/>
          <w:lang w:val="en-US" w:eastAsia="zh-CN"/>
        </w:rPr>
        <w:t>27.8万元。</w:t>
      </w:r>
      <w:r>
        <w:rPr>
          <w:rFonts w:hint="default" w:ascii="宋体" w:hAnsi="宋体" w:eastAsia="方正仿宋_GBK" w:cs="方正仿宋_GBK"/>
          <w:kern w:val="0"/>
          <w:sz w:val="32"/>
          <w:szCs w:val="32"/>
          <w:lang w:val="en-US" w:eastAsia="zh-CN"/>
        </w:rPr>
        <w:t>‌</w:t>
      </w:r>
    </w:p>
    <w:p w14:paraId="4F1E338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9.水上漂流民宿</w:t>
      </w:r>
    </w:p>
    <w:p w14:paraId="239A0C1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‌项目介绍‌：</w:t>
      </w:r>
      <w:r>
        <w:rPr>
          <w:rFonts w:hint="default" w:ascii="宋体" w:hAnsi="宋体" w:eastAsia="方正仿宋_GBK" w:cs="方正仿宋_GBK"/>
          <w:kern w:val="0"/>
          <w:sz w:val="32"/>
          <w:szCs w:val="32"/>
          <w:lang w:val="en-US" w:eastAsia="zh-CN"/>
        </w:rPr>
        <w:t>在水面</w:t>
      </w:r>
      <w:r>
        <w:rPr>
          <w:rFonts w:hint="eastAsia" w:ascii="宋体" w:hAnsi="宋体" w:eastAsia="方正仿宋_GBK" w:cs="方正仿宋_GBK"/>
          <w:kern w:val="0"/>
          <w:sz w:val="32"/>
          <w:szCs w:val="32"/>
          <w:lang w:val="en-US" w:eastAsia="zh-CN"/>
        </w:rPr>
        <w:t>配置水上漂流民宿房船5艘，每艘设2-3个床位，室内应高标准配置现代化生活用具，供游客体验水上民宿漂流</w:t>
      </w:r>
      <w:r>
        <w:rPr>
          <w:rFonts w:hint="default" w:ascii="宋体" w:hAnsi="宋体" w:eastAsia="方正仿宋_GBK" w:cs="方正仿宋_GBK"/>
          <w:kern w:val="0"/>
          <w:sz w:val="32"/>
          <w:szCs w:val="32"/>
          <w:lang w:val="en-US" w:eastAsia="zh-CN"/>
        </w:rPr>
        <w:t>。</w:t>
      </w:r>
    </w:p>
    <w:p w14:paraId="6A4869B3">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‌设施配置‌：</w:t>
      </w:r>
      <w:r>
        <w:rPr>
          <w:rFonts w:hint="eastAsia" w:ascii="宋体" w:hAnsi="宋体" w:eastAsia="方正仿宋_GBK" w:cs="方正仿宋_GBK"/>
          <w:kern w:val="0"/>
          <w:sz w:val="32"/>
          <w:szCs w:val="32"/>
          <w:lang w:val="en-US" w:eastAsia="zh-CN"/>
        </w:rPr>
        <w:t>配置水上漂流民宿客船</w:t>
      </w:r>
      <w:r>
        <w:rPr>
          <w:rFonts w:hint="default" w:ascii="宋体" w:hAnsi="宋体" w:eastAsia="方正仿宋_GBK" w:cs="方正仿宋_GBK"/>
          <w:kern w:val="0"/>
          <w:sz w:val="32"/>
          <w:szCs w:val="32"/>
          <w:lang w:val="en-US" w:eastAsia="zh-CN"/>
        </w:rPr>
        <w:t>，配置安全保护设施。</w:t>
      </w:r>
    </w:p>
    <w:p w14:paraId="6B9D76DF">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‌预期效益‌：</w:t>
      </w:r>
      <w:r>
        <w:rPr>
          <w:rFonts w:hint="default" w:ascii="宋体" w:hAnsi="宋体" w:eastAsia="方正仿宋_GBK" w:cs="方正仿宋_GBK"/>
          <w:kern w:val="0"/>
          <w:sz w:val="32"/>
          <w:szCs w:val="32"/>
          <w:lang w:val="en-US" w:eastAsia="zh-CN"/>
        </w:rPr>
        <w:t>普及性强，适合各类游客，</w:t>
      </w:r>
      <w:r>
        <w:rPr>
          <w:rFonts w:hint="eastAsia" w:ascii="宋体" w:hAnsi="宋体" w:eastAsia="方正仿宋_GBK" w:cs="方正仿宋_GBK"/>
          <w:kern w:val="0"/>
          <w:sz w:val="32"/>
          <w:szCs w:val="32"/>
          <w:lang w:val="en-US" w:eastAsia="zh-CN"/>
        </w:rPr>
        <w:t>增强游客新奇体验感及</w:t>
      </w:r>
      <w:r>
        <w:rPr>
          <w:rFonts w:hint="default" w:ascii="宋体" w:hAnsi="宋体" w:eastAsia="方正仿宋_GBK" w:cs="方正仿宋_GBK"/>
          <w:kern w:val="0"/>
          <w:sz w:val="32"/>
          <w:szCs w:val="32"/>
          <w:lang w:val="en-US" w:eastAsia="zh-CN"/>
        </w:rPr>
        <w:t>驻留时间</w:t>
      </w:r>
      <w:r>
        <w:rPr>
          <w:rFonts w:hint="eastAsia" w:ascii="宋体" w:hAnsi="宋体" w:eastAsia="方正仿宋_GBK" w:cs="方正仿宋_GBK"/>
          <w:kern w:val="0"/>
          <w:sz w:val="32"/>
          <w:szCs w:val="32"/>
          <w:lang w:val="en-US" w:eastAsia="zh-CN"/>
        </w:rPr>
        <w:t>。</w:t>
      </w:r>
    </w:p>
    <w:p w14:paraId="5632AD44">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lang w:val="en-US" w:eastAsia="zh-CN"/>
        </w:rPr>
        <w:t>‌投资估算</w:t>
      </w:r>
      <w:r>
        <w:rPr>
          <w:rFonts w:hint="eastAsia" w:ascii="宋体" w:hAnsi="宋体" w:eastAsia="方正仿宋_GBK" w:cs="方正仿宋_GBK"/>
          <w:b/>
          <w:bCs/>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30万元。</w:t>
      </w:r>
    </w:p>
    <w:p w14:paraId="49A9C57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10.沿湖灯光秀</w:t>
      </w:r>
    </w:p>
    <w:p w14:paraId="7F2AD1E3">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bCs/>
          <w:sz w:val="32"/>
          <w:szCs w:val="32"/>
          <w:lang w:val="en-US" w:eastAsia="zh-CN"/>
        </w:rPr>
        <w:t>‌项目介绍‌：</w:t>
      </w:r>
      <w:r>
        <w:rPr>
          <w:rStyle w:val="52"/>
          <w:rFonts w:hint="eastAsia" w:ascii="宋体" w:hAnsi="宋体" w:eastAsia="方正仿宋_GBK" w:cs="方正仿宋_GBK"/>
          <w:b w:val="0"/>
          <w:bCs w:val="0"/>
          <w:sz w:val="32"/>
          <w:szCs w:val="32"/>
          <w:lang w:val="en-US" w:eastAsia="zh-CN"/>
        </w:rPr>
        <w:t>利用湖边山体作为载体，融入3D全息投影技术和实体灯光结合，以孔雀主体呈现。</w:t>
      </w:r>
    </w:p>
    <w:p w14:paraId="3610EBA2">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bCs/>
          <w:sz w:val="32"/>
          <w:szCs w:val="32"/>
          <w:lang w:val="en-US" w:eastAsia="zh-CN"/>
        </w:rPr>
        <w:t>‌设施配置‌：</w:t>
      </w:r>
      <w:r>
        <w:rPr>
          <w:rStyle w:val="52"/>
          <w:rFonts w:hint="eastAsia" w:ascii="宋体" w:hAnsi="宋体" w:eastAsia="方正仿宋_GBK" w:cs="方正仿宋_GBK"/>
          <w:b w:val="0"/>
          <w:bCs w:val="0"/>
          <w:sz w:val="32"/>
          <w:szCs w:val="32"/>
          <w:lang w:val="en-US" w:eastAsia="zh-CN"/>
        </w:rPr>
        <w:t>配套沿湖灯光工程若干面积。</w:t>
      </w:r>
    </w:p>
    <w:p w14:paraId="1C72295C">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bCs/>
          <w:sz w:val="32"/>
          <w:szCs w:val="32"/>
          <w:lang w:val="en-US" w:eastAsia="zh-CN"/>
        </w:rPr>
        <w:t>‌预期效益‌：</w:t>
      </w:r>
      <w:r>
        <w:rPr>
          <w:rStyle w:val="52"/>
          <w:rFonts w:hint="eastAsia" w:ascii="宋体" w:hAnsi="宋体" w:eastAsia="方正仿宋_GBK" w:cs="方正仿宋_GBK"/>
          <w:b w:val="0"/>
          <w:bCs w:val="0"/>
          <w:sz w:val="32"/>
          <w:szCs w:val="32"/>
          <w:lang w:val="en-US" w:eastAsia="zh-CN"/>
        </w:rPr>
        <w:t>光影倒映在湖面，与湖上的游船相互辉映，从而达到沉浸式的体验感受。</w:t>
      </w:r>
    </w:p>
    <w:p w14:paraId="7FB1296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bCs/>
          <w:sz w:val="32"/>
          <w:szCs w:val="32"/>
          <w:lang w:val="en-US" w:eastAsia="zh-CN"/>
        </w:rPr>
        <w:t>‌投资估算‌：</w:t>
      </w:r>
      <w:r>
        <w:rPr>
          <w:rStyle w:val="52"/>
          <w:rFonts w:hint="eastAsia" w:ascii="宋体" w:hAnsi="宋体" w:eastAsia="方正仿宋_GBK" w:cs="方正仿宋_GBK"/>
          <w:b w:val="0"/>
          <w:bCs w:val="0"/>
          <w:sz w:val="32"/>
          <w:szCs w:val="32"/>
          <w:lang w:val="en-US" w:eastAsia="zh-CN"/>
        </w:rPr>
        <w:t>2000万元/项目单格（根据湖边量化面积预算）。</w:t>
      </w:r>
    </w:p>
    <w:p w14:paraId="2FDBB1D5">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Style w:val="52"/>
          <w:rFonts w:hint="default"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11.夜游漂浮舞台</w:t>
      </w:r>
    </w:p>
    <w:p w14:paraId="3D7E2BB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32"/>
          <w:szCs w:val="32"/>
          <w:lang w:val="en-US" w:eastAsia="zh-CN"/>
        </w:rPr>
        <w:t>‌项目介绍‌：以孔雀和当地民族文化为主体设置水上漂浮舞台，每天设置多场以芒市当地民族特色的歌舞表演与游客进行互动。</w:t>
      </w:r>
    </w:p>
    <w:p w14:paraId="60D5F9C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32"/>
          <w:szCs w:val="32"/>
          <w:lang w:val="en-US" w:eastAsia="zh-CN"/>
        </w:rPr>
        <w:t>‌设施配置‌：配置配置夜游漂浮舞台1组，包含舞台搭建、包装、灯光、音响。</w:t>
      </w:r>
    </w:p>
    <w:p w14:paraId="53F70C49">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32"/>
          <w:szCs w:val="32"/>
          <w:lang w:val="en-US" w:eastAsia="zh-CN"/>
        </w:rPr>
        <w:t>‌预期效益‌：让游客可以参与其中，感受芒市的特色民族文化。</w:t>
      </w:r>
    </w:p>
    <w:p w14:paraId="46A1DEB1">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32"/>
          <w:szCs w:val="32"/>
          <w:lang w:val="en-US" w:eastAsia="zh-CN"/>
        </w:rPr>
        <w:t>‌投资估算‌：400万元/组。</w:t>
      </w:r>
    </w:p>
    <w:p w14:paraId="4B67C56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32"/>
          <w:szCs w:val="32"/>
          <w:lang w:val="en-US" w:eastAsia="zh-CN"/>
        </w:rPr>
        <w:drawing>
          <wp:inline distT="0" distB="0" distL="114300" distR="114300">
            <wp:extent cx="3023235" cy="2014855"/>
            <wp:effectExtent l="0" t="0" r="5715" b="4445"/>
            <wp:docPr id="4" name="图片 4" descr="174781167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7811677199"/>
                    <pic:cNvPicPr>
                      <a:picLocks noChangeAspect="1"/>
                    </pic:cNvPicPr>
                  </pic:nvPicPr>
                  <pic:blipFill>
                    <a:blip r:embed="rId18"/>
                    <a:stretch>
                      <a:fillRect/>
                    </a:stretch>
                  </pic:blipFill>
                  <pic:spPr>
                    <a:xfrm>
                      <a:off x="0" y="0"/>
                      <a:ext cx="3023235" cy="2014855"/>
                    </a:xfrm>
                    <a:prstGeom prst="rect">
                      <a:avLst/>
                    </a:prstGeom>
                  </pic:spPr>
                </pic:pic>
              </a:graphicData>
            </a:graphic>
          </wp:inline>
        </w:drawing>
      </w:r>
      <w:r>
        <w:rPr>
          <w:rStyle w:val="52"/>
          <w:rFonts w:hint="eastAsia" w:ascii="宋体" w:hAnsi="宋体" w:eastAsia="方正仿宋_GBK" w:cs="方正仿宋_GBK"/>
          <w:b w:val="0"/>
          <w:bCs w:val="0"/>
          <w:sz w:val="32"/>
          <w:szCs w:val="32"/>
          <w:lang w:val="en-US" w:eastAsia="zh-CN"/>
        </w:rPr>
        <w:t xml:space="preserve"> </w:t>
      </w:r>
      <w:r>
        <w:rPr>
          <w:rStyle w:val="52"/>
          <w:rFonts w:hint="eastAsia" w:ascii="宋体" w:hAnsi="宋体" w:eastAsia="方正仿宋_GBK" w:cs="方正仿宋_GBK"/>
          <w:b w:val="0"/>
          <w:bCs w:val="0"/>
          <w:sz w:val="32"/>
          <w:szCs w:val="32"/>
          <w:lang w:val="en-US" w:eastAsia="zh-CN"/>
        </w:rPr>
        <w:drawing>
          <wp:inline distT="0" distB="0" distL="114300" distR="114300">
            <wp:extent cx="2468880" cy="2225675"/>
            <wp:effectExtent l="0" t="0" r="7620" b="3175"/>
            <wp:docPr id="5" name="图片 5" descr="174781182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811825064"/>
                    <pic:cNvPicPr>
                      <a:picLocks noChangeAspect="1"/>
                    </pic:cNvPicPr>
                  </pic:nvPicPr>
                  <pic:blipFill>
                    <a:blip r:embed="rId19"/>
                    <a:stretch>
                      <a:fillRect/>
                    </a:stretch>
                  </pic:blipFill>
                  <pic:spPr>
                    <a:xfrm>
                      <a:off x="0" y="0"/>
                      <a:ext cx="2468880" cy="2225675"/>
                    </a:xfrm>
                    <a:prstGeom prst="rect">
                      <a:avLst/>
                    </a:prstGeom>
                  </pic:spPr>
                </pic:pic>
              </a:graphicData>
            </a:graphic>
          </wp:inline>
        </w:drawing>
      </w:r>
    </w:p>
    <w:p w14:paraId="375EFA76">
      <w:pPr>
        <w:keepNext w:val="0"/>
        <w:keepLines w:val="0"/>
        <w:pageBreakBefore w:val="0"/>
        <w:widowControl w:val="0"/>
        <w:kinsoku/>
        <w:wordWrap/>
        <w:overflowPunct/>
        <w:topLinePunct w:val="0"/>
        <w:autoSpaceDE w:val="0"/>
        <w:autoSpaceDN w:val="0"/>
        <w:bidi w:val="0"/>
        <w:adjustRightInd w:val="0"/>
        <w:snapToGrid/>
        <w:spacing w:line="360" w:lineRule="auto"/>
        <w:ind w:firstLine="1400" w:firstLineChars="500"/>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28"/>
          <w:szCs w:val="28"/>
          <w:lang w:val="en-US" w:eastAsia="zh-CN"/>
        </w:rPr>
        <w:t>图4.3.1飞跃孔雀湖                  图4.3.2孔雀小游船</w:t>
      </w:r>
    </w:p>
    <w:p w14:paraId="15350F0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32"/>
          <w:szCs w:val="32"/>
          <w:lang w:val="en-US" w:eastAsia="zh-CN"/>
        </w:rPr>
        <w:drawing>
          <wp:inline distT="0" distB="0" distL="114300" distR="114300">
            <wp:extent cx="1988185" cy="2506980"/>
            <wp:effectExtent l="0" t="0" r="12065" b="7620"/>
            <wp:docPr id="7" name="图片 7" descr="174781187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7811878702"/>
                    <pic:cNvPicPr>
                      <a:picLocks noChangeAspect="1"/>
                    </pic:cNvPicPr>
                  </pic:nvPicPr>
                  <pic:blipFill>
                    <a:blip r:embed="rId20"/>
                    <a:stretch>
                      <a:fillRect/>
                    </a:stretch>
                  </pic:blipFill>
                  <pic:spPr>
                    <a:xfrm>
                      <a:off x="0" y="0"/>
                      <a:ext cx="1988185" cy="2506980"/>
                    </a:xfrm>
                    <a:prstGeom prst="rect">
                      <a:avLst/>
                    </a:prstGeom>
                  </pic:spPr>
                </pic:pic>
              </a:graphicData>
            </a:graphic>
          </wp:inline>
        </w:drawing>
      </w:r>
      <w:r>
        <w:rPr>
          <w:rStyle w:val="52"/>
          <w:rFonts w:hint="eastAsia" w:ascii="宋体" w:hAnsi="宋体" w:eastAsia="方正仿宋_GBK" w:cs="方正仿宋_GBK"/>
          <w:b w:val="0"/>
          <w:bCs w:val="0"/>
          <w:sz w:val="32"/>
          <w:szCs w:val="32"/>
          <w:lang w:val="en-US" w:eastAsia="zh-CN"/>
        </w:rPr>
        <w:t xml:space="preserve">   </w:t>
      </w:r>
      <w:r>
        <w:rPr>
          <w:rStyle w:val="52"/>
          <w:rFonts w:hint="eastAsia" w:ascii="宋体" w:hAnsi="宋体" w:eastAsia="方正仿宋_GBK" w:cs="方正仿宋_GBK"/>
          <w:b w:val="0"/>
          <w:bCs w:val="0"/>
          <w:sz w:val="32"/>
          <w:szCs w:val="32"/>
          <w:lang w:val="en-US" w:eastAsia="zh-CN"/>
        </w:rPr>
        <w:drawing>
          <wp:inline distT="0" distB="0" distL="114300" distR="114300">
            <wp:extent cx="2400935" cy="2471420"/>
            <wp:effectExtent l="0" t="0" r="18415" b="5080"/>
            <wp:docPr id="16" name="图片 16" descr="174781209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7812090649"/>
                    <pic:cNvPicPr>
                      <a:picLocks noChangeAspect="1"/>
                    </pic:cNvPicPr>
                  </pic:nvPicPr>
                  <pic:blipFill>
                    <a:blip r:embed="rId21"/>
                    <a:stretch>
                      <a:fillRect/>
                    </a:stretch>
                  </pic:blipFill>
                  <pic:spPr>
                    <a:xfrm>
                      <a:off x="0" y="0"/>
                      <a:ext cx="2400935" cy="2471420"/>
                    </a:xfrm>
                    <a:prstGeom prst="rect">
                      <a:avLst/>
                    </a:prstGeom>
                  </pic:spPr>
                </pic:pic>
              </a:graphicData>
            </a:graphic>
          </wp:inline>
        </w:drawing>
      </w:r>
    </w:p>
    <w:p w14:paraId="7E0A0D54">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rPr>
          <w:rStyle w:val="52"/>
          <w:rFonts w:hint="default" w:ascii="宋体" w:hAnsi="宋体" w:eastAsia="方正仿宋_GBK" w:cs="方正仿宋_GBK"/>
          <w:b w:val="0"/>
          <w:bCs w:val="0"/>
          <w:sz w:val="28"/>
          <w:szCs w:val="28"/>
          <w:lang w:val="en-US" w:eastAsia="zh-CN"/>
        </w:rPr>
      </w:pPr>
      <w:r>
        <w:rPr>
          <w:rStyle w:val="52"/>
          <w:rFonts w:hint="eastAsia" w:ascii="宋体" w:hAnsi="宋体" w:eastAsia="方正仿宋_GBK" w:cs="方正仿宋_GBK"/>
          <w:b w:val="0"/>
          <w:bCs w:val="0"/>
          <w:sz w:val="28"/>
          <w:szCs w:val="28"/>
          <w:lang w:val="en-US" w:eastAsia="zh-CN"/>
        </w:rPr>
        <w:t>图4.3.3水上飞人                 图4.3.4水上卡通城堡</w:t>
      </w:r>
    </w:p>
    <w:p w14:paraId="35F375A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Style w:val="52"/>
          <w:rFonts w:hint="eastAsia" w:ascii="宋体" w:hAnsi="宋体" w:eastAsia="方正仿宋_GBK" w:cs="方正仿宋_GBK"/>
          <w:b w:val="0"/>
          <w:bCs w:val="0"/>
          <w:sz w:val="32"/>
          <w:szCs w:val="32"/>
          <w:lang w:val="en-US" w:eastAsia="zh-CN"/>
        </w:rPr>
      </w:pPr>
      <w:r>
        <w:rPr>
          <w:rStyle w:val="52"/>
          <w:rFonts w:hint="eastAsia" w:ascii="宋体" w:hAnsi="宋体" w:eastAsia="方正仿宋_GBK" w:cs="方正仿宋_GBK"/>
          <w:b w:val="0"/>
          <w:bCs w:val="0"/>
          <w:sz w:val="32"/>
          <w:szCs w:val="32"/>
          <w:lang w:val="en-US" w:eastAsia="zh-CN"/>
        </w:rPr>
        <w:drawing>
          <wp:inline distT="0" distB="0" distL="114300" distR="114300">
            <wp:extent cx="2654935" cy="1837690"/>
            <wp:effectExtent l="0" t="0" r="12065" b="10160"/>
            <wp:docPr id="14" name="图片 14" descr="17478120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7812021799"/>
                    <pic:cNvPicPr>
                      <a:picLocks noChangeAspect="1"/>
                    </pic:cNvPicPr>
                  </pic:nvPicPr>
                  <pic:blipFill>
                    <a:blip r:embed="rId22"/>
                    <a:stretch>
                      <a:fillRect/>
                    </a:stretch>
                  </pic:blipFill>
                  <pic:spPr>
                    <a:xfrm>
                      <a:off x="0" y="0"/>
                      <a:ext cx="2654935" cy="1837690"/>
                    </a:xfrm>
                    <a:prstGeom prst="rect">
                      <a:avLst/>
                    </a:prstGeom>
                  </pic:spPr>
                </pic:pic>
              </a:graphicData>
            </a:graphic>
          </wp:inline>
        </w:drawing>
      </w:r>
      <w:r>
        <w:rPr>
          <w:rStyle w:val="52"/>
          <w:rFonts w:hint="eastAsia" w:ascii="宋体" w:hAnsi="宋体" w:eastAsia="方正仿宋_GBK" w:cs="方正仿宋_GBK"/>
          <w:b w:val="0"/>
          <w:bCs w:val="0"/>
          <w:sz w:val="32"/>
          <w:szCs w:val="32"/>
          <w:lang w:val="en-US" w:eastAsia="zh-CN"/>
        </w:rPr>
        <w:drawing>
          <wp:inline distT="0" distB="0" distL="114300" distR="114300">
            <wp:extent cx="2852420" cy="1924050"/>
            <wp:effectExtent l="0" t="0" r="5080" b="0"/>
            <wp:docPr id="9" name="图片 9" descr="174781196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7811962749"/>
                    <pic:cNvPicPr>
                      <a:picLocks noChangeAspect="1"/>
                    </pic:cNvPicPr>
                  </pic:nvPicPr>
                  <pic:blipFill>
                    <a:blip r:embed="rId23"/>
                    <a:stretch>
                      <a:fillRect/>
                    </a:stretch>
                  </pic:blipFill>
                  <pic:spPr>
                    <a:xfrm>
                      <a:off x="0" y="0"/>
                      <a:ext cx="2852420" cy="1924050"/>
                    </a:xfrm>
                    <a:prstGeom prst="rect">
                      <a:avLst/>
                    </a:prstGeom>
                  </pic:spPr>
                </pic:pic>
              </a:graphicData>
            </a:graphic>
          </wp:inline>
        </w:drawing>
      </w:r>
    </w:p>
    <w:p w14:paraId="3C31FD26">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rPr>
          <w:rStyle w:val="52"/>
          <w:rFonts w:hint="default" w:ascii="宋体" w:hAnsi="宋体" w:eastAsia="方正仿宋_GBK" w:cs="方正仿宋_GBK"/>
          <w:b w:val="0"/>
          <w:bCs w:val="0"/>
          <w:sz w:val="28"/>
          <w:szCs w:val="28"/>
          <w:lang w:val="en-US" w:eastAsia="zh-CN"/>
        </w:rPr>
      </w:pPr>
      <w:r>
        <w:rPr>
          <w:rStyle w:val="52"/>
          <w:rFonts w:hint="eastAsia" w:ascii="宋体" w:hAnsi="宋体" w:eastAsia="方正仿宋_GBK" w:cs="方正仿宋_GBK"/>
          <w:b w:val="0"/>
          <w:bCs w:val="0"/>
          <w:sz w:val="28"/>
          <w:szCs w:val="28"/>
          <w:lang w:val="en-US" w:eastAsia="zh-CN"/>
        </w:rPr>
        <w:t>图4.3.5水上皮划艇               图4.3.6拖曳卡通仓</w:t>
      </w:r>
    </w:p>
    <w:p w14:paraId="49CD085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Style w:val="52"/>
          <w:rFonts w:hint="eastAsia"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drawing>
          <wp:inline distT="0" distB="0" distL="114300" distR="114300">
            <wp:extent cx="2237740" cy="2309495"/>
            <wp:effectExtent l="0" t="0" r="10160" b="14605"/>
            <wp:docPr id="18" name="图片 18" descr="174781256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7812561738"/>
                    <pic:cNvPicPr>
                      <a:picLocks noChangeAspect="1"/>
                    </pic:cNvPicPr>
                  </pic:nvPicPr>
                  <pic:blipFill>
                    <a:blip r:embed="rId24"/>
                    <a:stretch>
                      <a:fillRect/>
                    </a:stretch>
                  </pic:blipFill>
                  <pic:spPr>
                    <a:xfrm>
                      <a:off x="0" y="0"/>
                      <a:ext cx="2237740" cy="2309495"/>
                    </a:xfrm>
                    <a:prstGeom prst="rect">
                      <a:avLst/>
                    </a:prstGeom>
                  </pic:spPr>
                </pic:pic>
              </a:graphicData>
            </a:graphic>
          </wp:inline>
        </w:drawing>
      </w:r>
      <w:r>
        <w:rPr>
          <w:rStyle w:val="52"/>
          <w:rFonts w:hint="eastAsia" w:ascii="宋体" w:hAnsi="宋体" w:eastAsia="方正仿宋_GBK" w:cs="方正仿宋_GBK"/>
          <w:b/>
          <w:bCs/>
          <w:sz w:val="32"/>
          <w:szCs w:val="32"/>
          <w:lang w:val="en-US" w:eastAsia="zh-CN"/>
        </w:rPr>
        <w:t xml:space="preserve">      </w:t>
      </w:r>
      <w:r>
        <w:rPr>
          <w:rStyle w:val="52"/>
          <w:rFonts w:hint="eastAsia" w:ascii="宋体" w:hAnsi="宋体" w:eastAsia="方正仿宋_GBK" w:cs="方正仿宋_GBK"/>
          <w:b/>
          <w:bCs/>
          <w:sz w:val="32"/>
          <w:szCs w:val="32"/>
          <w:lang w:val="en-US" w:eastAsia="zh-CN"/>
        </w:rPr>
        <w:drawing>
          <wp:inline distT="0" distB="0" distL="114300" distR="114300">
            <wp:extent cx="2099310" cy="2317115"/>
            <wp:effectExtent l="0" t="0" r="15240" b="6985"/>
            <wp:docPr id="19" name="图片 19" descr="17478125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7812598440"/>
                    <pic:cNvPicPr>
                      <a:picLocks noChangeAspect="1"/>
                    </pic:cNvPicPr>
                  </pic:nvPicPr>
                  <pic:blipFill>
                    <a:blip r:embed="rId25"/>
                    <a:stretch>
                      <a:fillRect/>
                    </a:stretch>
                  </pic:blipFill>
                  <pic:spPr>
                    <a:xfrm>
                      <a:off x="0" y="0"/>
                      <a:ext cx="2099310" cy="2317115"/>
                    </a:xfrm>
                    <a:prstGeom prst="rect">
                      <a:avLst/>
                    </a:prstGeom>
                  </pic:spPr>
                </pic:pic>
              </a:graphicData>
            </a:graphic>
          </wp:inline>
        </w:drawing>
      </w:r>
    </w:p>
    <w:p w14:paraId="0F6BAB2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Style w:val="52"/>
          <w:rFonts w:hint="eastAsia" w:ascii="宋体" w:hAnsi="宋体" w:eastAsia="方正仿宋_GBK" w:cs="方正仿宋_GBK"/>
          <w:b w:val="0"/>
          <w:bCs w:val="0"/>
          <w:sz w:val="28"/>
          <w:szCs w:val="28"/>
          <w:lang w:val="en-US" w:eastAsia="zh-CN"/>
        </w:rPr>
      </w:pPr>
      <w:r>
        <w:rPr>
          <w:rStyle w:val="52"/>
          <w:rFonts w:hint="eastAsia" w:ascii="宋体" w:hAnsi="宋体" w:eastAsia="方正仿宋_GBK" w:cs="方正仿宋_GBK"/>
          <w:b/>
          <w:bCs/>
          <w:sz w:val="32"/>
          <w:szCs w:val="32"/>
          <w:lang w:val="en-US" w:eastAsia="zh-CN"/>
        </w:rPr>
        <w:t xml:space="preserve"> </w:t>
      </w:r>
      <w:r>
        <w:rPr>
          <w:rStyle w:val="52"/>
          <w:rFonts w:hint="eastAsia" w:ascii="宋体" w:hAnsi="宋体" w:eastAsia="方正仿宋_GBK" w:cs="方正仿宋_GBK"/>
          <w:b/>
          <w:bCs/>
          <w:sz w:val="28"/>
          <w:szCs w:val="28"/>
          <w:lang w:val="en-US" w:eastAsia="zh-CN"/>
        </w:rPr>
        <w:t xml:space="preserve">  图</w:t>
      </w:r>
      <w:r>
        <w:rPr>
          <w:rStyle w:val="52"/>
          <w:rFonts w:hint="eastAsia" w:ascii="宋体" w:hAnsi="宋体" w:eastAsia="方正仿宋_GBK" w:cs="方正仿宋_GBK"/>
          <w:b w:val="0"/>
          <w:bCs w:val="0"/>
          <w:sz w:val="28"/>
          <w:szCs w:val="28"/>
          <w:lang w:val="en-US" w:eastAsia="zh-CN"/>
        </w:rPr>
        <w:t>4.3.7水上卡丁船              图4.3.8水上卡丁船赛道</w:t>
      </w:r>
    </w:p>
    <w:p w14:paraId="7503FDD7">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default"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4.3.3</w:t>
      </w:r>
      <w:r>
        <w:rPr>
          <w:rStyle w:val="52"/>
          <w:rFonts w:hint="default" w:ascii="宋体" w:hAnsi="宋体" w:eastAsia="方正仿宋_GBK" w:cs="方正仿宋_GBK"/>
          <w:b/>
          <w:bCs/>
          <w:sz w:val="32"/>
          <w:szCs w:val="32"/>
          <w:lang w:val="en-US" w:eastAsia="zh-CN"/>
        </w:rPr>
        <w:t>‌湿地</w:t>
      </w:r>
      <w:r>
        <w:rPr>
          <w:rStyle w:val="52"/>
          <w:rFonts w:hint="eastAsia" w:ascii="宋体" w:hAnsi="宋体" w:eastAsia="方正仿宋_GBK" w:cs="方正仿宋_GBK"/>
          <w:b/>
          <w:bCs/>
          <w:sz w:val="32"/>
          <w:szCs w:val="32"/>
          <w:lang w:val="en-US" w:eastAsia="zh-CN"/>
        </w:rPr>
        <w:t>、人工浮岛</w:t>
      </w:r>
      <w:r>
        <w:rPr>
          <w:rStyle w:val="52"/>
          <w:rFonts w:hint="default" w:ascii="宋体" w:hAnsi="宋体" w:eastAsia="方正仿宋_GBK" w:cs="方正仿宋_GBK"/>
          <w:b/>
          <w:bCs/>
          <w:sz w:val="32"/>
          <w:szCs w:val="32"/>
          <w:lang w:val="en-US" w:eastAsia="zh-CN"/>
        </w:rPr>
        <w:t>生态修复及旅游</w:t>
      </w:r>
    </w:p>
    <w:p w14:paraId="616DC0E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highlight w:val="none"/>
          <w:lang w:val="en-US" w:eastAsia="zh-CN"/>
        </w:rPr>
      </w:pPr>
      <w:r>
        <w:rPr>
          <w:rFonts w:hint="default" w:ascii="宋体" w:hAnsi="宋体" w:eastAsia="方正仿宋_GBK" w:cs="方正仿宋_GBK"/>
          <w:b/>
          <w:bCs/>
          <w:kern w:val="0"/>
          <w:sz w:val="32"/>
          <w:szCs w:val="32"/>
          <w:lang w:val="en-US" w:eastAsia="zh-CN"/>
        </w:rPr>
        <w:t>‌湿地公园‌：</w:t>
      </w:r>
      <w:r>
        <w:rPr>
          <w:rFonts w:hint="default" w:ascii="宋体" w:hAnsi="宋体" w:eastAsia="方正仿宋_GBK" w:cs="方正仿宋_GBK"/>
          <w:kern w:val="0"/>
          <w:sz w:val="32"/>
          <w:szCs w:val="32"/>
          <w:lang w:val="en-US" w:eastAsia="zh-CN"/>
        </w:rPr>
        <w:t>利用水库</w:t>
      </w:r>
      <w:r>
        <w:rPr>
          <w:rFonts w:hint="eastAsia" w:ascii="宋体" w:hAnsi="宋体" w:eastAsia="方正仿宋_GBK" w:cs="方正仿宋_GBK"/>
          <w:kern w:val="0"/>
          <w:sz w:val="32"/>
          <w:szCs w:val="32"/>
          <w:lang w:val="en-US" w:eastAsia="zh-CN"/>
        </w:rPr>
        <w:t>北部</w:t>
      </w:r>
      <w:r>
        <w:rPr>
          <w:rFonts w:hint="default" w:ascii="宋体" w:hAnsi="宋体" w:eastAsia="方正仿宋_GBK" w:cs="方正仿宋_GBK"/>
          <w:kern w:val="0"/>
          <w:sz w:val="32"/>
          <w:szCs w:val="32"/>
          <w:lang w:val="en-US" w:eastAsia="zh-CN"/>
        </w:rPr>
        <w:t>区域，建设湿地公园，</w:t>
      </w:r>
      <w:r>
        <w:rPr>
          <w:rFonts w:hint="default" w:ascii="宋体" w:hAnsi="宋体" w:eastAsia="方正仿宋_GBK" w:cs="方正仿宋_GBK"/>
          <w:kern w:val="0"/>
          <w:sz w:val="32"/>
          <w:szCs w:val="32"/>
          <w:highlight w:val="none"/>
          <w:lang w:val="en-US" w:eastAsia="zh-CN"/>
        </w:rPr>
        <w:t>种植水生植物，吸引鸟类和其他野生动物，形成独特的生态景观</w:t>
      </w:r>
      <w:r>
        <w:rPr>
          <w:rFonts w:hint="eastAsia" w:ascii="宋体" w:hAnsi="宋体" w:eastAsia="方正仿宋_GBK" w:cs="方正仿宋_GBK"/>
          <w:kern w:val="0"/>
          <w:sz w:val="32"/>
          <w:szCs w:val="32"/>
          <w:highlight w:val="none"/>
          <w:lang w:val="en-US" w:eastAsia="zh-CN"/>
        </w:rPr>
        <w:t>，对入库河流南木黑河水质进行有效改善，使水库水环境整体质量得到明显提升</w:t>
      </w:r>
      <w:r>
        <w:rPr>
          <w:rFonts w:hint="default" w:ascii="宋体" w:hAnsi="宋体" w:eastAsia="方正仿宋_GBK" w:cs="方正仿宋_GBK"/>
          <w:kern w:val="0"/>
          <w:sz w:val="32"/>
          <w:szCs w:val="32"/>
          <w:highlight w:val="none"/>
          <w:lang w:val="en-US" w:eastAsia="zh-CN"/>
        </w:rPr>
        <w:t>。</w:t>
      </w:r>
    </w:p>
    <w:p w14:paraId="373717C6">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‌科普教育‌：</w:t>
      </w:r>
      <w:r>
        <w:rPr>
          <w:rFonts w:hint="default" w:ascii="宋体" w:hAnsi="宋体" w:eastAsia="方正仿宋_GBK" w:cs="方正仿宋_GBK"/>
          <w:kern w:val="0"/>
          <w:sz w:val="32"/>
          <w:szCs w:val="32"/>
          <w:lang w:val="en-US" w:eastAsia="zh-CN"/>
        </w:rPr>
        <w:t>设立生态科普教育基地，开展湿地生态、水产养殖</w:t>
      </w:r>
      <w:r>
        <w:rPr>
          <w:rFonts w:hint="eastAsia" w:ascii="宋体" w:hAnsi="宋体" w:eastAsia="方正仿宋_GBK" w:cs="方正仿宋_GBK"/>
          <w:kern w:val="0"/>
          <w:sz w:val="32"/>
          <w:szCs w:val="32"/>
          <w:lang w:val="en-US" w:eastAsia="zh-CN"/>
        </w:rPr>
        <w:t>、水利文化、当地少数民族文化体验宣传</w:t>
      </w:r>
      <w:r>
        <w:rPr>
          <w:rFonts w:hint="default" w:ascii="宋体" w:hAnsi="宋体" w:eastAsia="方正仿宋_GBK" w:cs="方正仿宋_GBK"/>
          <w:kern w:val="0"/>
          <w:sz w:val="32"/>
          <w:szCs w:val="32"/>
          <w:lang w:val="en-US" w:eastAsia="zh-CN"/>
        </w:rPr>
        <w:t>等知识普及活动，提高公众环保意识。</w:t>
      </w:r>
    </w:p>
    <w:p w14:paraId="40B9205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投资估算约为4000万元，项目资金尽量争取《</w:t>
      </w:r>
      <w:r>
        <w:rPr>
          <w:rFonts w:hint="default" w:ascii="宋体" w:hAnsi="宋体" w:eastAsia="方正仿宋_GBK" w:cs="方正仿宋_GBK"/>
          <w:kern w:val="0"/>
          <w:sz w:val="32"/>
          <w:szCs w:val="32"/>
          <w:lang w:val="en-US" w:eastAsia="zh-CN"/>
        </w:rPr>
        <w:t>云南省关于全面推进幸福河湖建设的实施方案》</w:t>
      </w:r>
      <w:r>
        <w:rPr>
          <w:rFonts w:hint="eastAsia" w:ascii="宋体" w:hAnsi="宋体" w:eastAsia="方正仿宋_GBK" w:cs="方正仿宋_GBK"/>
          <w:kern w:val="0"/>
          <w:sz w:val="32"/>
          <w:szCs w:val="32"/>
          <w:lang w:val="en-US" w:eastAsia="zh-CN"/>
        </w:rPr>
        <w:t>等上级项目资金4000万元，如未能争取上级项目资金则由承包经营商分三年投资建设。</w:t>
      </w:r>
    </w:p>
    <w:p w14:paraId="7C2978AB">
      <w:pPr>
        <w:keepNext w:val="0"/>
        <w:keepLines w:val="0"/>
        <w:pageBreakBefore w:val="0"/>
        <w:kinsoku/>
        <w:wordWrap/>
        <w:overflowPunct/>
        <w:topLinePunct w:val="0"/>
        <w:autoSpaceDE/>
        <w:autoSpaceDN/>
        <w:bidi w:val="0"/>
        <w:adjustRightInd/>
        <w:snapToGrid/>
        <w:spacing w:beforeAutospacing="0" w:afterAutospacing="0" w:line="560" w:lineRule="exact"/>
        <w:textAlignment w:val="auto"/>
        <w:outlineLvl w:val="1"/>
        <w:rPr>
          <w:rFonts w:hint="eastAsia" w:ascii="宋体" w:hAnsi="宋体" w:eastAsia="方正仿宋_GBK" w:cs="方正仿宋_GBK"/>
          <w:b/>
          <w:bCs w:val="0"/>
          <w:sz w:val="32"/>
          <w:szCs w:val="32"/>
          <w:highlight w:val="none"/>
          <w:lang w:val="en-US" w:eastAsia="zh-CN"/>
        </w:rPr>
      </w:pPr>
      <w:bookmarkStart w:id="103" w:name="_Toc26097"/>
      <w:bookmarkStart w:id="104" w:name="_Toc12412"/>
      <w:bookmarkStart w:id="105" w:name="_Toc6651"/>
      <w:bookmarkStart w:id="106" w:name="_Toc14108"/>
      <w:r>
        <w:rPr>
          <w:rFonts w:hint="eastAsia" w:ascii="宋体" w:hAnsi="宋体" w:eastAsia="方正仿宋_GBK" w:cs="方正仿宋_GBK"/>
          <w:b/>
          <w:bCs w:val="0"/>
          <w:sz w:val="32"/>
          <w:szCs w:val="32"/>
          <w:highlight w:val="none"/>
          <w:lang w:val="en-US" w:eastAsia="zh-CN"/>
        </w:rPr>
        <w:t>4.4基础设施建设</w:t>
      </w:r>
      <w:bookmarkEnd w:id="103"/>
      <w:bookmarkEnd w:id="104"/>
      <w:bookmarkEnd w:id="105"/>
      <w:bookmarkEnd w:id="106"/>
    </w:p>
    <w:p w14:paraId="57FF35D5">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default"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4.4.1停车场设置方案备选</w:t>
      </w:r>
    </w:p>
    <w:p w14:paraId="4B0CBA8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方案一：</w:t>
      </w:r>
      <w:r>
        <w:rPr>
          <w:rFonts w:hint="eastAsia" w:ascii="宋体" w:hAnsi="宋体" w:eastAsia="方正仿宋_GBK" w:cs="方正仿宋_GBK"/>
          <w:kern w:val="0"/>
          <w:sz w:val="32"/>
          <w:szCs w:val="32"/>
          <w:highlight w:val="none"/>
          <w:lang w:val="en-US" w:eastAsia="zh-CN"/>
        </w:rPr>
        <w:t>由芒市人民政府统一规划建设孔雀湖旅游度假区游客中心，覆盖大金塔、大银塔及孔雀湖水面开发利用项目，布设大型停车场，游客购票后通过摆渡车达到各旅游景点，可以有效缓解景点内交通拥堵压力，增强游客旅游体验观感。</w:t>
      </w:r>
    </w:p>
    <w:p w14:paraId="11A16CB3">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方案二：</w:t>
      </w:r>
      <w:r>
        <w:rPr>
          <w:rFonts w:hint="eastAsia" w:ascii="宋体" w:hAnsi="宋体" w:eastAsia="方正仿宋_GBK" w:cs="方正仿宋_GBK"/>
          <w:kern w:val="0"/>
          <w:sz w:val="32"/>
          <w:szCs w:val="32"/>
          <w:lang w:val="en-US" w:eastAsia="zh-CN"/>
        </w:rPr>
        <w:t>景区入口连接环城东路，在现花海位置（靠近环湖路附近区域，不能占用水库副坝及其管理范围）设置生态停车场（200车位）占地面积至少1800～2500m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配备电动摆渡车便于游客到达各游玩区域，游客可提供当日游玩票据免费停车，无票据则收费5元/次停车费。优点在于可以有效增强游客旅游体验观感，缺点在于停车场面积较小，高峰期不能有效放置游客车辆。</w:t>
      </w:r>
    </w:p>
    <w:p w14:paraId="61AB090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lang w:val="en-US" w:eastAsia="zh-CN"/>
        </w:rPr>
        <w:t>方案三：</w:t>
      </w:r>
      <w:r>
        <w:rPr>
          <w:rFonts w:hint="eastAsia" w:ascii="宋体" w:hAnsi="宋体" w:eastAsia="方正仿宋_GBK" w:cs="方正仿宋_GBK"/>
          <w:kern w:val="0"/>
          <w:sz w:val="32"/>
          <w:szCs w:val="32"/>
          <w:lang w:val="en-US" w:eastAsia="zh-CN"/>
        </w:rPr>
        <w:t>利用现有停车泊位停车，在大坝脚空地</w:t>
      </w:r>
      <w:r>
        <w:rPr>
          <w:rFonts w:hint="eastAsia" w:ascii="宋体" w:hAnsi="宋体" w:eastAsia="方正仿宋_GBK" w:cs="方正仿宋_GBK"/>
          <w:kern w:val="0"/>
          <w:sz w:val="32"/>
          <w:szCs w:val="32"/>
          <w:highlight w:val="none"/>
          <w:lang w:val="en-US" w:eastAsia="zh-CN"/>
        </w:rPr>
        <w:t>设置生态备用停车场（200车位）</w:t>
      </w:r>
      <w:r>
        <w:rPr>
          <w:rFonts w:hint="eastAsia" w:ascii="宋体" w:hAnsi="宋体" w:eastAsia="方正仿宋_GBK" w:cs="方正仿宋_GBK"/>
          <w:kern w:val="0"/>
          <w:sz w:val="32"/>
          <w:szCs w:val="32"/>
          <w:lang w:val="en-US" w:eastAsia="zh-CN"/>
        </w:rPr>
        <w:t>占地面积至少1800～2500m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，游客到达停车场后可通过大坝下游坝坡踏步步行至游客服务中心</w:t>
      </w:r>
      <w:r>
        <w:rPr>
          <w:rFonts w:hint="eastAsia" w:ascii="宋体" w:hAnsi="宋体" w:eastAsia="方正仿宋_GBK" w:cs="方正仿宋_GBK"/>
          <w:kern w:val="0"/>
          <w:sz w:val="32"/>
          <w:szCs w:val="32"/>
          <w:highlight w:val="none"/>
          <w:lang w:val="en-US" w:eastAsia="zh-CN"/>
        </w:rPr>
        <w:t>，游客可提供当日游玩票据免费停车，无票据则收费5元/次停车费。缺点在于会增加孔雀湖沿路交通压力，且游客进入景点后还需折返步行，极大的影响游客旅游体验观感。</w:t>
      </w:r>
    </w:p>
    <w:p w14:paraId="7B847453">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eastAsia"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4.4.2航道设置</w:t>
      </w:r>
    </w:p>
    <w:p w14:paraId="3BCBBCA5">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lang w:val="en-US" w:eastAsia="zh-CN"/>
        </w:rPr>
        <w:t>水面设置游船、拖曳卡通仓等航道，湿地栈道，水上卡通城堡，水上卡丁车等水面分区</w:t>
      </w:r>
      <w:r>
        <w:rPr>
          <w:rFonts w:hint="eastAsia" w:ascii="宋体" w:hAnsi="宋体" w:eastAsia="方正仿宋_GBK" w:cs="方正仿宋_GBK"/>
          <w:kern w:val="0"/>
          <w:sz w:val="32"/>
          <w:szCs w:val="32"/>
          <w:highlight w:val="none"/>
          <w:lang w:val="en-US" w:eastAsia="zh-CN"/>
        </w:rPr>
        <w:t>，航道宽度15米，最小水深1.5米。</w:t>
      </w:r>
    </w:p>
    <w:p w14:paraId="1565A949">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default"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4.4.3游客服务中心、游客服务站点及漂浮码头</w:t>
      </w:r>
    </w:p>
    <w:p w14:paraId="7863911E">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default" w:ascii="宋体" w:hAnsi="宋体" w:eastAsia="方正仿宋_GBK" w:cs="方正仿宋_GBK"/>
          <w:b w:val="0"/>
          <w:bCs w:val="0"/>
          <w:kern w:val="0"/>
          <w:sz w:val="32"/>
          <w:szCs w:val="32"/>
          <w:lang w:val="en-US" w:eastAsia="zh-CN"/>
        </w:rPr>
      </w:pPr>
      <w:r>
        <w:rPr>
          <w:rStyle w:val="52"/>
          <w:rFonts w:hint="eastAsia" w:ascii="宋体" w:hAnsi="宋体" w:eastAsia="方正仿宋_GBK" w:cs="方正仿宋_GBK"/>
          <w:b w:val="0"/>
          <w:bCs w:val="0"/>
          <w:sz w:val="32"/>
          <w:szCs w:val="32"/>
          <w:lang w:val="en-US" w:eastAsia="zh-CN"/>
        </w:rPr>
        <w:t xml:space="preserve">    </w:t>
      </w:r>
      <w:r>
        <w:rPr>
          <w:rFonts w:hint="eastAsia" w:ascii="宋体" w:hAnsi="宋体" w:eastAsia="方正仿宋_GBK" w:cs="方正仿宋_GBK"/>
          <w:b w:val="0"/>
          <w:bCs w:val="0"/>
          <w:kern w:val="0"/>
          <w:sz w:val="32"/>
          <w:szCs w:val="32"/>
          <w:lang w:val="en-US" w:eastAsia="zh-CN"/>
        </w:rPr>
        <w:t xml:space="preserve"> 游客服务中心建设方案根据孔雀湖旅游度假区规划，推荐两种方案进行比选，本次投资测算暂时按照第二种方案计算。</w:t>
      </w:r>
    </w:p>
    <w:p w14:paraId="159C0B6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方案一：</w:t>
      </w:r>
      <w:r>
        <w:rPr>
          <w:rFonts w:hint="eastAsia" w:ascii="宋体" w:hAnsi="宋体" w:eastAsia="方正仿宋_GBK" w:cs="方正仿宋_GBK"/>
          <w:kern w:val="0"/>
          <w:sz w:val="32"/>
          <w:szCs w:val="32"/>
          <w:lang w:val="en-US" w:eastAsia="zh-CN"/>
        </w:rPr>
        <w:t>可根据市人民政府统一规划，包含大金塔、大银塔、孔雀湖等区域建设孔雀湖旅游度假游客中心，通过摆渡车进行区域分流。</w:t>
      </w:r>
    </w:p>
    <w:p w14:paraId="33A8B0F9">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Style w:val="52"/>
          <w:rFonts w:hint="default" w:ascii="宋体" w:hAnsi="宋体" w:eastAsia="方正仿宋_GBK" w:cs="方正仿宋_GBK"/>
          <w:b/>
          <w:bCs/>
          <w:sz w:val="32"/>
          <w:szCs w:val="32"/>
          <w:lang w:val="en-US" w:eastAsia="zh-CN"/>
        </w:rPr>
      </w:pPr>
      <w:r>
        <w:rPr>
          <w:rFonts w:hint="eastAsia" w:ascii="宋体" w:hAnsi="宋体" w:eastAsia="方正仿宋_GBK" w:cs="方正仿宋_GBK"/>
          <w:b/>
          <w:bCs/>
          <w:kern w:val="0"/>
          <w:sz w:val="32"/>
          <w:szCs w:val="32"/>
          <w:lang w:val="en-US" w:eastAsia="zh-CN"/>
        </w:rPr>
        <w:t>方案二：</w:t>
      </w:r>
      <w:r>
        <w:rPr>
          <w:rFonts w:hint="eastAsia" w:ascii="宋体" w:hAnsi="宋体" w:eastAsia="方正仿宋_GBK" w:cs="方正仿宋_GBK"/>
          <w:kern w:val="0"/>
          <w:sz w:val="32"/>
          <w:szCs w:val="32"/>
          <w:lang w:val="en-US" w:eastAsia="zh-CN"/>
        </w:rPr>
        <w:t>游客服务中心设置在水库管理所老楼二楼（原游客服务中心，可根据市人民政府关于孔雀湖旅游度假区规划的建设进度进行调整），面积约200m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，需进行翻修。各游玩点设置游客服务站点及更衣室，面积50</w:t>
      </w:r>
      <w:r>
        <w:rPr>
          <w:rFonts w:hint="eastAsia" w:ascii="方正仿宋_GBK" w:hAnsi="方正仿宋_GBK" w:eastAsia="方正仿宋_GBK" w:cs="方正仿宋_GBK"/>
          <w:kern w:val="0"/>
          <w:sz w:val="32"/>
          <w:szCs w:val="32"/>
          <w:lang w:val="en-US" w:eastAsia="zh-CN"/>
        </w:rPr>
        <w:t>~</w:t>
      </w:r>
      <w:r>
        <w:rPr>
          <w:rFonts w:hint="eastAsia" w:ascii="宋体" w:hAnsi="宋体" w:eastAsia="方正仿宋_GBK" w:cs="方正仿宋_GBK"/>
          <w:kern w:val="0"/>
          <w:sz w:val="32"/>
          <w:szCs w:val="32"/>
          <w:lang w:val="en-US" w:eastAsia="zh-CN"/>
        </w:rPr>
        <w:t>100m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vertAlign w:val="baseline"/>
          <w:lang w:val="en-US" w:eastAsia="zh-CN"/>
        </w:rPr>
        <w:t>/个。各个水上娱乐项目需配套漂浮码头，总面积800m</w:t>
      </w:r>
      <w:r>
        <w:rPr>
          <w:rFonts w:hint="eastAsia"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vertAlign w:val="baseline"/>
          <w:lang w:val="en-US" w:eastAsia="zh-CN"/>
        </w:rPr>
        <w:t>。上述投资测算分别为游客服务中心翻修50万元、游客服务站点建设150万元、漂浮码头255万元，小计455万元。</w:t>
      </w:r>
    </w:p>
    <w:p w14:paraId="7AD03EF2">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default" w:ascii="宋体" w:hAnsi="宋体" w:eastAsia="方正仿宋_GBK" w:cs="方正仿宋_GBK"/>
          <w:b/>
          <w:bCs/>
          <w:sz w:val="32"/>
          <w:szCs w:val="32"/>
          <w:highlight w:val="none"/>
          <w:lang w:val="en-US" w:eastAsia="zh-CN"/>
        </w:rPr>
      </w:pPr>
      <w:r>
        <w:rPr>
          <w:rStyle w:val="52"/>
          <w:rFonts w:hint="eastAsia" w:ascii="宋体" w:hAnsi="宋体" w:eastAsia="方正仿宋_GBK" w:cs="方正仿宋_GBK"/>
          <w:b/>
          <w:bCs/>
          <w:sz w:val="32"/>
          <w:szCs w:val="32"/>
          <w:highlight w:val="none"/>
          <w:lang w:val="en-US" w:eastAsia="zh-CN"/>
        </w:rPr>
        <w:t>4.4.4防溺水工作体系、安全救生设备及警示牌设置</w:t>
      </w:r>
    </w:p>
    <w:p w14:paraId="53FB042C">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为加强游客安全管理，构建“预防为主、联防联控、快速响应”的防溺水体系，实现涉水景区“零溺亡”目标，保障游客生命财产安全。</w:t>
      </w:r>
    </w:p>
    <w:p w14:paraId="79FB466C">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组织领导：</w:t>
      </w:r>
      <w:r>
        <w:rPr>
          <w:rFonts w:hint="eastAsia" w:ascii="宋体" w:hAnsi="宋体" w:eastAsia="方正仿宋_GBK" w:cs="方正仿宋_GBK"/>
          <w:kern w:val="0"/>
          <w:sz w:val="32"/>
          <w:szCs w:val="32"/>
          <w:highlight w:val="none"/>
          <w:lang w:val="en-US" w:eastAsia="zh-CN"/>
        </w:rPr>
        <w:t>承包经营商需成立防溺水应急指挥部，由景区主要负责人任组长，联合安保、医疗、救援等部门成立专项小组，实行24小时值班制度。同时划定水域网格化管理区域，明确各区域安全责任人及救援队伍配置。</w:t>
      </w:r>
    </w:p>
    <w:p w14:paraId="5030D72E">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bidi="ar-SA"/>
        </w:rPr>
      </w:pPr>
      <w:r>
        <w:rPr>
          <w:rFonts w:hint="eastAsia" w:ascii="宋体" w:hAnsi="宋体" w:eastAsia="方正仿宋_GBK" w:cs="方正仿宋_GBK"/>
          <w:b/>
          <w:bCs/>
          <w:kern w:val="0"/>
          <w:sz w:val="32"/>
          <w:szCs w:val="32"/>
          <w:highlight w:val="none"/>
          <w:lang w:val="en-US" w:eastAsia="zh-CN"/>
        </w:rPr>
        <w:t>应急处置：</w:t>
      </w:r>
      <w:r>
        <w:rPr>
          <w:rFonts w:hint="eastAsia" w:ascii="宋体" w:hAnsi="宋体" w:eastAsia="方正仿宋_GBK" w:cs="方正仿宋_GBK"/>
          <w:kern w:val="0"/>
          <w:sz w:val="32"/>
          <w:szCs w:val="32"/>
          <w:highlight w:val="none"/>
          <w:lang w:val="en-US" w:eastAsia="zh-CN"/>
        </w:rPr>
        <w:t>救援流程：发现险情→启动警报→同步实施“抛（救生圈）、拉（绳索）、游（专业救生）”三级救援；</w:t>
      </w:r>
      <w:r>
        <w:rPr>
          <w:rFonts w:hint="eastAsia" w:ascii="宋体" w:hAnsi="宋体" w:eastAsia="方正仿宋_GBK" w:cs="方正仿宋_GBK"/>
          <w:kern w:val="0"/>
          <w:sz w:val="32"/>
          <w:szCs w:val="32"/>
          <w:highlight w:val="none"/>
          <w:lang w:val="en-US" w:eastAsia="zh-CN" w:bidi="ar-SA"/>
        </w:rPr>
        <w:t>医疗联动：与最近医院建立绿色通道，景区医务室配备自动体外除颤仪（AED）及溺水急救包。</w:t>
      </w:r>
    </w:p>
    <w:p w14:paraId="692F1349">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宣传教育：</w:t>
      </w:r>
      <w:r>
        <w:rPr>
          <w:rFonts w:hint="eastAsia" w:ascii="宋体" w:hAnsi="宋体" w:eastAsia="方正仿宋_GBK" w:cs="方正仿宋_GBK"/>
          <w:kern w:val="0"/>
          <w:sz w:val="32"/>
          <w:szCs w:val="32"/>
          <w:highlight w:val="none"/>
          <w:lang w:val="en-US" w:eastAsia="zh-CN"/>
        </w:rPr>
        <w:t>游客告知：门票背面印制防溺水“六不准”，入园时播放30秒安全提示短片。</w:t>
      </w:r>
    </w:p>
    <w:p w14:paraId="64EC1EE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员工培训：</w:t>
      </w:r>
      <w:r>
        <w:rPr>
          <w:rFonts w:hint="eastAsia" w:ascii="宋体" w:hAnsi="宋体" w:eastAsia="方正仿宋_GBK" w:cs="方正仿宋_GBK"/>
          <w:kern w:val="0"/>
          <w:sz w:val="32"/>
          <w:szCs w:val="32"/>
          <w:highlight w:val="none"/>
          <w:lang w:val="en-US" w:eastAsia="zh-CN"/>
        </w:rPr>
        <w:t>每月开展1次心肺复苏+水域救援演练，确保救生员持证上岗率100%。</w:t>
      </w:r>
    </w:p>
    <w:p w14:paraId="39E54ADC">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安全救生设备及警示牌设置：</w:t>
      </w:r>
      <w:r>
        <w:rPr>
          <w:rFonts w:hint="eastAsia" w:ascii="宋体" w:hAnsi="宋体" w:eastAsia="方正仿宋_GBK" w:cs="方正仿宋_GBK"/>
          <w:kern w:val="0"/>
          <w:sz w:val="32"/>
          <w:szCs w:val="32"/>
          <w:highlight w:val="none"/>
          <w:lang w:val="en-US" w:eastAsia="zh-CN"/>
        </w:rPr>
        <w:t>承包经营商需在危险水域设置隔离栏、警示牌（每50米1块），岸上配备救生圈、绳索、竹竿“三件套”应急设备，船只配置救生圈、救生衣、救生绳、口哨、急救箱等安全救生用品，并确保以下措施落实到位：</w:t>
      </w:r>
    </w:p>
    <w:p w14:paraId="3C0124A9">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1.‌数量要求‌：</w:t>
      </w:r>
      <w:r>
        <w:rPr>
          <w:rFonts w:hint="eastAsia" w:ascii="宋体" w:hAnsi="宋体" w:eastAsia="方正仿宋_GBK" w:cs="方正仿宋_GBK"/>
          <w:kern w:val="0"/>
          <w:sz w:val="32"/>
          <w:szCs w:val="32"/>
          <w:highlight w:val="none"/>
          <w:lang w:val="en-US" w:eastAsia="zh-CN"/>
        </w:rPr>
        <w:t>根据游客最大承载量，按比例配备足量救生设备（如每50名游客至少配置10个游泳圈、游船每座椅配备1件救生衣）；</w:t>
      </w:r>
    </w:p>
    <w:p w14:paraId="35C88AA8">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2.‌质量标准‌：</w:t>
      </w:r>
      <w:r>
        <w:rPr>
          <w:rFonts w:hint="eastAsia" w:ascii="宋体" w:hAnsi="宋体" w:eastAsia="方正仿宋_GBK" w:cs="方正仿宋_GBK"/>
          <w:kern w:val="0"/>
          <w:sz w:val="32"/>
          <w:szCs w:val="32"/>
          <w:highlight w:val="none"/>
          <w:lang w:val="en-US" w:eastAsia="zh-CN"/>
        </w:rPr>
        <w:t>所有救生设备需符合国家强制认证（如GB/T 32232-2015），定期检查更换老化破损物品；</w:t>
      </w:r>
    </w:p>
    <w:p w14:paraId="0BBF0BE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3.‌存放规范‌：</w:t>
      </w:r>
      <w:r>
        <w:rPr>
          <w:rFonts w:hint="eastAsia" w:ascii="宋体" w:hAnsi="宋体" w:eastAsia="方正仿宋_GBK" w:cs="方正仿宋_GBK"/>
          <w:kern w:val="0"/>
          <w:sz w:val="32"/>
          <w:szCs w:val="32"/>
          <w:highlight w:val="none"/>
          <w:lang w:val="en-US" w:eastAsia="zh-CN"/>
        </w:rPr>
        <w:t>在码头等关键区域设置明显标识的救生设备存放点，确保3秒内可取用；</w:t>
      </w:r>
    </w:p>
    <w:p w14:paraId="6376C33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4.‌辅助设施‌：</w:t>
      </w:r>
      <w:r>
        <w:rPr>
          <w:rFonts w:hint="eastAsia" w:ascii="宋体" w:hAnsi="宋体" w:eastAsia="方正仿宋_GBK" w:cs="方正仿宋_GBK"/>
          <w:kern w:val="0"/>
          <w:sz w:val="32"/>
          <w:szCs w:val="32"/>
          <w:highlight w:val="none"/>
          <w:lang w:val="en-US" w:eastAsia="zh-CN"/>
        </w:rPr>
        <w:t>配套安装警示牌、广播系统，完善安全监控覆盖。</w:t>
      </w:r>
    </w:p>
    <w:p w14:paraId="2BC64F4C">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b/>
          <w:bCs/>
          <w:kern w:val="0"/>
          <w:sz w:val="32"/>
          <w:szCs w:val="32"/>
          <w:highlight w:val="none"/>
          <w:lang w:val="en-US" w:eastAsia="zh-CN"/>
        </w:rPr>
        <w:t>5.监督问责：</w:t>
      </w:r>
      <w:r>
        <w:rPr>
          <w:rFonts w:hint="eastAsia" w:ascii="宋体" w:hAnsi="宋体" w:eastAsia="方正仿宋_GBK" w:cs="方正仿宋_GBK"/>
          <w:kern w:val="0"/>
          <w:sz w:val="32"/>
          <w:szCs w:val="32"/>
          <w:highlight w:val="none"/>
          <w:lang w:val="en-US" w:eastAsia="zh-CN"/>
        </w:rPr>
        <w:t>实行“双查”制度：每日自查安全隐患，文旅部门每周抽查，对措施不力者通报约谈。</w:t>
      </w:r>
    </w:p>
    <w:p w14:paraId="170D0BB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上述投资估算为100万元。</w:t>
      </w:r>
    </w:p>
    <w:p w14:paraId="21EB5001">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default" w:ascii="宋体" w:hAnsi="宋体" w:eastAsia="方正仿宋_GBK" w:cs="方正仿宋_GBK"/>
          <w:b/>
          <w:bCs/>
          <w:sz w:val="32"/>
          <w:szCs w:val="32"/>
          <w:highlight w:val="none"/>
          <w:lang w:val="en-US" w:eastAsia="zh-CN"/>
        </w:rPr>
      </w:pPr>
      <w:r>
        <w:rPr>
          <w:rStyle w:val="52"/>
          <w:rFonts w:hint="eastAsia" w:ascii="宋体" w:hAnsi="宋体" w:eastAsia="方正仿宋_GBK" w:cs="方正仿宋_GBK"/>
          <w:b/>
          <w:bCs/>
          <w:sz w:val="32"/>
          <w:szCs w:val="32"/>
          <w:highlight w:val="none"/>
          <w:lang w:val="en-US" w:eastAsia="zh-CN"/>
        </w:rPr>
        <w:t>4.4.5票务系统</w:t>
      </w:r>
    </w:p>
    <w:p w14:paraId="7641962B">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eastAsia"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 xml:space="preserve">  </w:t>
      </w:r>
      <w:r>
        <w:rPr>
          <w:rFonts w:hint="eastAsia" w:ascii="宋体" w:hAnsi="宋体" w:eastAsia="方正仿宋_GBK" w:cs="方正仿宋_GBK"/>
          <w:kern w:val="0"/>
          <w:sz w:val="32"/>
          <w:szCs w:val="32"/>
          <w:highlight w:val="none"/>
          <w:lang w:val="en-US" w:eastAsia="zh-CN"/>
        </w:rPr>
        <w:t xml:space="preserve"> 为实时监控客流、收入数据等，设置票务系统1套，投资估算约12.8万元。</w:t>
      </w:r>
    </w:p>
    <w:p w14:paraId="3E2FFB90">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eastAsia" w:ascii="宋体" w:hAnsi="宋体" w:eastAsia="方正仿宋_GBK" w:cs="方正仿宋_GBK"/>
          <w:b/>
          <w:bCs/>
          <w:sz w:val="32"/>
          <w:szCs w:val="32"/>
          <w:lang w:val="en-US" w:eastAsia="zh-CN"/>
        </w:rPr>
      </w:pPr>
      <w:bookmarkStart w:id="107" w:name="_Toc29758"/>
      <w:bookmarkStart w:id="108" w:name="_Toc2367"/>
      <w:bookmarkStart w:id="109" w:name="_Toc32016"/>
      <w:r>
        <w:rPr>
          <w:rStyle w:val="52"/>
          <w:rFonts w:hint="eastAsia" w:ascii="宋体" w:hAnsi="宋体" w:eastAsia="方正仿宋_GBK" w:cs="方正仿宋_GBK"/>
          <w:b/>
          <w:bCs/>
          <w:sz w:val="32"/>
          <w:szCs w:val="32"/>
          <w:lang w:val="en-US" w:eastAsia="zh-CN"/>
        </w:rPr>
        <w:t>4.4.6水电路架设铺筑</w:t>
      </w:r>
      <w:bookmarkEnd w:id="107"/>
      <w:bookmarkEnd w:id="108"/>
      <w:bookmarkEnd w:id="109"/>
      <w:r>
        <w:rPr>
          <w:rStyle w:val="52"/>
          <w:rFonts w:hint="eastAsia" w:ascii="宋体" w:hAnsi="宋体" w:eastAsia="方正仿宋_GBK" w:cs="方正仿宋_GBK"/>
          <w:b/>
          <w:bCs/>
          <w:sz w:val="32"/>
          <w:szCs w:val="32"/>
          <w:lang w:val="en-US" w:eastAsia="zh-CN"/>
        </w:rPr>
        <w:t xml:space="preserve"> </w:t>
      </w:r>
    </w:p>
    <w:p w14:paraId="7838B68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为了营运管理便捷，需要沿游玩区域架设电缆和自来水管，自来水的架设可结合城镇自来水管网架设。修筑道路、架设电缆及自来水管道长度依照实际需要建设。投资估算约60万元。</w:t>
      </w:r>
    </w:p>
    <w:p w14:paraId="14C0CDE0">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eastAsia" w:ascii="宋体" w:hAnsi="宋体" w:eastAsia="方正仿宋_GBK" w:cs="方正仿宋_GBK"/>
          <w:b/>
          <w:bCs/>
          <w:sz w:val="32"/>
          <w:szCs w:val="32"/>
          <w:lang w:val="en-US" w:eastAsia="zh-CN"/>
        </w:rPr>
      </w:pPr>
      <w:bookmarkStart w:id="110" w:name="_Toc7011"/>
      <w:bookmarkStart w:id="111" w:name="_Toc24393"/>
      <w:r>
        <w:rPr>
          <w:rStyle w:val="52"/>
          <w:rFonts w:hint="eastAsia" w:ascii="宋体" w:hAnsi="宋体" w:eastAsia="方正仿宋_GBK" w:cs="方正仿宋_GBK"/>
          <w:b/>
          <w:bCs/>
          <w:sz w:val="32"/>
          <w:szCs w:val="32"/>
          <w:lang w:val="en-US" w:eastAsia="zh-CN"/>
        </w:rPr>
        <w:t>4.4.7水库景区景观打造</w:t>
      </w:r>
      <w:bookmarkEnd w:id="110"/>
      <w:bookmarkEnd w:id="111"/>
      <w:r>
        <w:rPr>
          <w:rStyle w:val="52"/>
          <w:rFonts w:hint="eastAsia" w:ascii="宋体" w:hAnsi="宋体" w:eastAsia="方正仿宋_GBK" w:cs="方正仿宋_GBK"/>
          <w:b/>
          <w:bCs/>
          <w:sz w:val="32"/>
          <w:szCs w:val="32"/>
          <w:lang w:val="en-US" w:eastAsia="zh-CN"/>
        </w:rPr>
        <w:t xml:space="preserve"> </w:t>
      </w:r>
    </w:p>
    <w:p w14:paraId="71C95B2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以往的景区景点设计只要求有山有水、有吃有玩即可，但随着人们生活品味的提高，人们对旅游景点的“热度”追求也随之提高。芒究水库海拔低、库岸边上有闲置空地，可成片种植乔木类景观花卉（如观赏性樱花、桃花、腊肠花等，见下图4.4.7-1景观），其次是沿水库岸边消落区栽培水生植物，如规划湿地区还可以种植睡莲、荷花、芦苇草、鸢尾花等水生植物（见下图水景观），既可美化消落区因水库泄水时暴露出的表土，同时还可以培养人工湿地，修饰湖面水景，营造水域生态环境氛围，增强水库景观吸引力。</w:t>
      </w:r>
    </w:p>
    <w:p w14:paraId="502C1D4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其次，规划水库远景文旅综合开发，提升水库水域生态景观，完善周边居民健康生活设施，可以借鉴普洱市梅子湖的沿湖栈道建设经验，沿库岸边际种植水草、花卉，建设步行栈道，既美化了水库沿岸消落区域，增添了水库水域湿地氛围，提升了水库生态环境品质，增强了水库旅游基础设施硬实力，让到此旅游观光、休闲度假的旅客更能亲近水域、亲近自然、畅快呼吸充满富氧离子的空气，同时也为整个水库库区综合文旅开发奠定坚实的基础，也为周边普通少数民族群众健康生活方式呈现了新的步道环境。</w:t>
      </w:r>
    </w:p>
    <w:tbl>
      <w:tblPr>
        <w:tblStyle w:val="29"/>
        <w:tblW w:w="9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42"/>
        <w:gridCol w:w="4738"/>
      </w:tblGrid>
      <w:tr w14:paraId="2E175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8" w:hRule="atLeast"/>
          <w:jc w:val="center"/>
        </w:trPr>
        <w:tc>
          <w:tcPr>
            <w:tcW w:w="4842" w:type="dxa"/>
            <w:shd w:val="clear" w:color="auto" w:fill="auto"/>
            <w:vAlign w:val="center"/>
          </w:tcPr>
          <w:p w14:paraId="74FF7D68">
            <w:pPr>
              <w:pStyle w:val="49"/>
              <w:ind w:left="-53" w:leftChars="-25" w:right="-53" w:rightChars="-25"/>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2456815" cy="2133600"/>
                  <wp:effectExtent l="0" t="0" r="635" b="0"/>
                  <wp:docPr id="24" name="图片 24" descr="C:\Users\llw\Desktop\85f0b09839bec8ad7bd4a5c0b87e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lw\Desktop\85f0b09839bec8ad7bd4a5c0b87e33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56815" cy="2133600"/>
                          </a:xfrm>
                          <a:prstGeom prst="rect">
                            <a:avLst/>
                          </a:prstGeom>
                          <a:noFill/>
                          <a:ln>
                            <a:noFill/>
                          </a:ln>
                        </pic:spPr>
                      </pic:pic>
                    </a:graphicData>
                  </a:graphic>
                </wp:inline>
              </w:drawing>
            </w:r>
          </w:p>
        </w:tc>
        <w:tc>
          <w:tcPr>
            <w:tcW w:w="4738" w:type="dxa"/>
            <w:shd w:val="clear" w:color="auto" w:fill="auto"/>
            <w:vAlign w:val="center"/>
          </w:tcPr>
          <w:p w14:paraId="2FA1C043">
            <w:pPr>
              <w:pStyle w:val="49"/>
              <w:ind w:left="-53" w:leftChars="-25" w:right="-53" w:rightChars="-25"/>
              <w:rPr>
                <w:rFonts w:ascii="仿宋_GB2312" w:hAnsi="仿宋_GB2312" w:eastAsia="仿宋_GB2312" w:cs="仿宋_GB2312"/>
                <w:sz w:val="24"/>
                <w:szCs w:val="24"/>
              </w:rPr>
            </w:pPr>
            <w:r>
              <w:rPr>
                <w:rFonts w:hint="eastAsia" w:ascii="仿宋_GB2312" w:hAnsi="仿宋_GB2312" w:eastAsia="仿宋_GB2312" w:cs="仿宋_GB2312"/>
                <w:b/>
                <w:sz w:val="24"/>
                <w:szCs w:val="24"/>
              </w:rPr>
              <w:drawing>
                <wp:inline distT="0" distB="0" distL="0" distR="0">
                  <wp:extent cx="1873250" cy="2004695"/>
                  <wp:effectExtent l="0" t="0" r="12700" b="14605"/>
                  <wp:docPr id="11" name="图片 11" descr="C:\Users\llw\Desktop\6751113eaecea22d1b588e6ddd3b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lw\Desktop\6751113eaecea22d1b588e6ddd3b5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73250" cy="2004695"/>
                          </a:xfrm>
                          <a:prstGeom prst="rect">
                            <a:avLst/>
                          </a:prstGeom>
                          <a:noFill/>
                          <a:ln>
                            <a:noFill/>
                          </a:ln>
                        </pic:spPr>
                      </pic:pic>
                    </a:graphicData>
                  </a:graphic>
                </wp:inline>
              </w:drawing>
            </w:r>
          </w:p>
        </w:tc>
      </w:tr>
      <w:tr w14:paraId="6D2FA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842" w:type="dxa"/>
            <w:shd w:val="clear" w:color="auto" w:fill="auto"/>
            <w:vAlign w:val="center"/>
          </w:tcPr>
          <w:p w14:paraId="2311F71D">
            <w:pPr>
              <w:pStyle w:val="2"/>
              <w:ind w:firstLine="482"/>
              <w:jc w:val="center"/>
              <w:rPr>
                <w:rFonts w:ascii="仿宋_GB2312" w:hAnsi="仿宋_GB2312" w:eastAsia="仿宋_GB2312" w:cs="仿宋_GB2312"/>
                <w:sz w:val="24"/>
                <w:szCs w:val="24"/>
              </w:rPr>
            </w:pPr>
            <w:r>
              <w:rPr>
                <w:rFonts w:hint="eastAsia" w:ascii="仿宋_GB2312" w:hAnsi="仿宋_GB2312" w:eastAsia="仿宋_GB2312" w:cs="仿宋_GB2312"/>
                <w:b/>
                <w:sz w:val="24"/>
                <w:szCs w:val="24"/>
              </w:rPr>
              <w:t>4.4.</w:t>
            </w:r>
            <w:r>
              <w:rPr>
                <w:rFonts w:hint="eastAsia" w:ascii="仿宋_GB2312" w:hAnsi="仿宋_GB2312" w:eastAsia="仿宋_GB2312" w:cs="仿宋_GB2312"/>
                <w:b/>
                <w:sz w:val="24"/>
                <w:szCs w:val="24"/>
                <w:lang w:val="en-US" w:eastAsia="zh-CN"/>
              </w:rPr>
              <w:t>7</w:t>
            </w:r>
            <w:r>
              <w:rPr>
                <w:rFonts w:hint="eastAsia" w:ascii="仿宋_GB2312" w:hAnsi="仿宋_GB2312" w:eastAsia="仿宋_GB2312" w:cs="仿宋_GB2312"/>
                <w:b/>
                <w:sz w:val="24"/>
                <w:szCs w:val="24"/>
              </w:rPr>
              <w:t>-1大理大学校园樱花景观</w:t>
            </w:r>
          </w:p>
        </w:tc>
        <w:tc>
          <w:tcPr>
            <w:tcW w:w="4738" w:type="dxa"/>
            <w:shd w:val="clear" w:color="auto" w:fill="auto"/>
            <w:vAlign w:val="center"/>
          </w:tcPr>
          <w:p w14:paraId="18FF139F">
            <w:pPr>
              <w:pStyle w:val="2"/>
              <w:ind w:firstLine="482"/>
              <w:jc w:val="center"/>
              <w:rPr>
                <w:rFonts w:ascii="仿宋_GB2312" w:hAnsi="仿宋_GB2312" w:eastAsia="仿宋_GB2312" w:cs="仿宋_GB2312"/>
                <w:sz w:val="24"/>
                <w:szCs w:val="24"/>
              </w:rPr>
            </w:pPr>
            <w:r>
              <w:rPr>
                <w:rFonts w:hint="eastAsia" w:ascii="仿宋_GB2312" w:hAnsi="仿宋_GB2312" w:eastAsia="仿宋_GB2312" w:cs="仿宋_GB2312"/>
                <w:b/>
                <w:sz w:val="24"/>
                <w:szCs w:val="24"/>
              </w:rPr>
              <w:t>4.4.</w:t>
            </w:r>
            <w:r>
              <w:rPr>
                <w:rFonts w:hint="eastAsia" w:ascii="仿宋_GB2312" w:hAnsi="仿宋_GB2312" w:eastAsia="仿宋_GB2312" w:cs="仿宋_GB2312"/>
                <w:b/>
                <w:sz w:val="24"/>
                <w:szCs w:val="24"/>
                <w:lang w:val="en-US" w:eastAsia="zh-CN"/>
              </w:rPr>
              <w:t>7</w:t>
            </w:r>
            <w:r>
              <w:rPr>
                <w:rFonts w:hint="eastAsia" w:ascii="仿宋_GB2312" w:hAnsi="仿宋_GB2312" w:eastAsia="仿宋_GB2312" w:cs="仿宋_GB2312"/>
                <w:b/>
                <w:sz w:val="24"/>
                <w:szCs w:val="24"/>
              </w:rPr>
              <w:t>-2腊肠花景观</w:t>
            </w:r>
          </w:p>
        </w:tc>
      </w:tr>
      <w:tr w14:paraId="1C26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7" w:hRule="atLeast"/>
          <w:jc w:val="center"/>
        </w:trPr>
        <w:tc>
          <w:tcPr>
            <w:tcW w:w="4842" w:type="dxa"/>
            <w:shd w:val="clear" w:color="auto" w:fill="auto"/>
            <w:vAlign w:val="center"/>
          </w:tcPr>
          <w:p w14:paraId="30E0CB90">
            <w:pPr>
              <w:autoSpaceDE w:val="0"/>
              <w:autoSpaceDN w:val="0"/>
              <w:adjustRightInd w:val="0"/>
              <w:jc w:val="center"/>
              <w:rPr>
                <w:rFonts w:ascii="仿宋_GB2312" w:hAnsi="仿宋_GB2312" w:eastAsia="仿宋_GB2312" w:cs="仿宋_GB2312"/>
                <w:sz w:val="24"/>
                <w:szCs w:val="24"/>
              </w:rPr>
            </w:pPr>
            <w:r>
              <w:rPr>
                <w:rFonts w:hint="eastAsia" w:ascii="仿宋_GB2312" w:hAnsi="仿宋_GB2312" w:eastAsia="仿宋_GB2312" w:cs="仿宋_GB2312"/>
                <w:b/>
                <w:sz w:val="24"/>
                <w:szCs w:val="24"/>
              </w:rPr>
              <w:drawing>
                <wp:inline distT="0" distB="0" distL="0" distR="0">
                  <wp:extent cx="2947670" cy="1971040"/>
                  <wp:effectExtent l="0" t="0" r="5080" b="10160"/>
                  <wp:docPr id="17" name="图片 17" descr="C:\Users\llw\Desktop\9dc3254b8ce6ad917cc35379a1c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lw\Desktop\9dc3254b8ce6ad917cc35379a1c01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947670" cy="1971040"/>
                          </a:xfrm>
                          <a:prstGeom prst="rect">
                            <a:avLst/>
                          </a:prstGeom>
                          <a:noFill/>
                          <a:ln>
                            <a:noFill/>
                          </a:ln>
                        </pic:spPr>
                      </pic:pic>
                    </a:graphicData>
                  </a:graphic>
                </wp:inline>
              </w:drawing>
            </w:r>
          </w:p>
        </w:tc>
        <w:tc>
          <w:tcPr>
            <w:tcW w:w="4738" w:type="dxa"/>
            <w:shd w:val="clear" w:color="auto" w:fill="auto"/>
            <w:vAlign w:val="center"/>
          </w:tcPr>
          <w:p w14:paraId="69E5A35E">
            <w:pPr>
              <w:autoSpaceDE w:val="0"/>
              <w:autoSpaceDN w:val="0"/>
              <w:adjustRightInd w:val="0"/>
              <w:rPr>
                <w:rFonts w:ascii="仿宋_GB2312" w:hAnsi="仿宋_GB2312" w:eastAsia="仿宋_GB2312" w:cs="仿宋_GB2312"/>
                <w:sz w:val="24"/>
                <w:szCs w:val="24"/>
              </w:rPr>
            </w:pPr>
            <w:r>
              <w:rPr>
                <w:rFonts w:hint="eastAsia" w:ascii="仿宋_GB2312" w:hAnsi="仿宋_GB2312" w:eastAsia="仿宋_GB2312" w:cs="仿宋_GB2312"/>
                <w:b/>
                <w:bCs/>
                <w:kern w:val="0"/>
                <w:sz w:val="24"/>
                <w:szCs w:val="24"/>
              </w:rPr>
              <w:drawing>
                <wp:inline distT="0" distB="0" distL="114300" distR="114300">
                  <wp:extent cx="2849880" cy="1940560"/>
                  <wp:effectExtent l="0" t="0" r="7620" b="2540"/>
                  <wp:docPr id="21" name="图片 21" descr="716fe6a21048123e414e31b5e7cc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16fe6a21048123e414e31b5e7cc987"/>
                          <pic:cNvPicPr>
                            <a:picLocks noChangeAspect="1"/>
                          </pic:cNvPicPr>
                        </pic:nvPicPr>
                        <pic:blipFill>
                          <a:blip r:embed="rId29"/>
                          <a:stretch>
                            <a:fillRect/>
                          </a:stretch>
                        </pic:blipFill>
                        <pic:spPr>
                          <a:xfrm>
                            <a:off x="0" y="0"/>
                            <a:ext cx="2849880" cy="1940560"/>
                          </a:xfrm>
                          <a:prstGeom prst="rect">
                            <a:avLst/>
                          </a:prstGeom>
                        </pic:spPr>
                      </pic:pic>
                    </a:graphicData>
                  </a:graphic>
                </wp:inline>
              </w:drawing>
            </w:r>
          </w:p>
        </w:tc>
      </w:tr>
      <w:tr w14:paraId="30828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842" w:type="dxa"/>
            <w:shd w:val="clear" w:color="auto" w:fill="auto"/>
            <w:vAlign w:val="center"/>
          </w:tcPr>
          <w:p w14:paraId="309A8880">
            <w:pPr>
              <w:pStyle w:val="2"/>
              <w:ind w:firstLine="482"/>
              <w:jc w:val="center"/>
              <w:rPr>
                <w:rFonts w:ascii="仿宋_GB2312" w:hAnsi="仿宋_GB2312" w:eastAsia="仿宋_GB2312" w:cs="仿宋_GB2312"/>
                <w:sz w:val="24"/>
                <w:szCs w:val="24"/>
              </w:rPr>
            </w:pPr>
            <w:r>
              <w:rPr>
                <w:rFonts w:hint="eastAsia" w:ascii="仿宋_GB2312" w:hAnsi="仿宋_GB2312" w:eastAsia="仿宋_GB2312" w:cs="仿宋_GB2312"/>
                <w:b/>
                <w:sz w:val="24"/>
                <w:szCs w:val="24"/>
              </w:rPr>
              <w:t>4.4.</w:t>
            </w:r>
            <w:r>
              <w:rPr>
                <w:rFonts w:hint="eastAsia" w:ascii="仿宋_GB2312" w:hAnsi="仿宋_GB2312" w:eastAsia="仿宋_GB2312" w:cs="仿宋_GB2312"/>
                <w:b/>
                <w:sz w:val="24"/>
                <w:szCs w:val="24"/>
                <w:lang w:val="en-US" w:eastAsia="zh-CN"/>
              </w:rPr>
              <w:t>7</w:t>
            </w:r>
            <w:r>
              <w:rPr>
                <w:rFonts w:hint="eastAsia" w:ascii="仿宋_GB2312" w:hAnsi="仿宋_GB2312" w:eastAsia="仿宋_GB2312" w:cs="仿宋_GB2312"/>
                <w:b/>
                <w:sz w:val="24"/>
                <w:szCs w:val="24"/>
              </w:rPr>
              <w:t>-3芒市板过河湿地公园水景观</w:t>
            </w:r>
          </w:p>
        </w:tc>
        <w:tc>
          <w:tcPr>
            <w:tcW w:w="4738" w:type="dxa"/>
            <w:shd w:val="clear" w:color="auto" w:fill="auto"/>
            <w:vAlign w:val="center"/>
          </w:tcPr>
          <w:p w14:paraId="0E035B19">
            <w:pPr>
              <w:ind w:firstLine="482" w:firstLineChars="200"/>
              <w:jc w:val="center"/>
              <w:rPr>
                <w:rFonts w:ascii="仿宋_GB2312" w:hAnsi="仿宋_GB2312" w:eastAsia="仿宋_GB2312" w:cs="仿宋_GB2312"/>
                <w:sz w:val="24"/>
                <w:szCs w:val="24"/>
              </w:rPr>
            </w:pPr>
            <w:r>
              <w:rPr>
                <w:rFonts w:hint="eastAsia" w:ascii="仿宋_GB2312" w:hAnsi="仿宋_GB2312" w:eastAsia="仿宋_GB2312" w:cs="仿宋_GB2312"/>
                <w:b/>
                <w:sz w:val="24"/>
                <w:szCs w:val="24"/>
              </w:rPr>
              <w:t>4.4.</w:t>
            </w:r>
            <w:r>
              <w:rPr>
                <w:rFonts w:hint="eastAsia" w:ascii="仿宋_GB2312" w:hAnsi="仿宋_GB2312" w:eastAsia="仿宋_GB2312" w:cs="仿宋_GB2312"/>
                <w:b/>
                <w:sz w:val="24"/>
                <w:szCs w:val="24"/>
                <w:lang w:val="en-US" w:eastAsia="zh-CN"/>
              </w:rPr>
              <w:t>7</w:t>
            </w:r>
            <w:r>
              <w:rPr>
                <w:rFonts w:hint="eastAsia" w:ascii="仿宋_GB2312" w:hAnsi="仿宋_GB2312" w:eastAsia="仿宋_GB2312" w:cs="仿宋_GB2312"/>
                <w:b/>
                <w:sz w:val="24"/>
                <w:szCs w:val="24"/>
              </w:rPr>
              <w:t>-4普洱市梅子湖栈道建设景观</w:t>
            </w:r>
          </w:p>
        </w:tc>
      </w:tr>
    </w:tbl>
    <w:p w14:paraId="0280A3FF">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eastAsia" w:ascii="宋体" w:hAnsi="宋体" w:eastAsia="方正仿宋_GBK" w:cs="方正仿宋_GBK"/>
          <w:b/>
          <w:bCs/>
          <w:sz w:val="32"/>
          <w:szCs w:val="32"/>
          <w:lang w:val="en-US" w:eastAsia="zh-CN"/>
        </w:rPr>
      </w:pPr>
      <w:bookmarkStart w:id="112" w:name="_Toc1830"/>
      <w:bookmarkStart w:id="113" w:name="_Toc13519"/>
      <w:bookmarkStart w:id="114" w:name="_Toc667"/>
      <w:r>
        <w:rPr>
          <w:rStyle w:val="52"/>
          <w:rFonts w:hint="eastAsia" w:ascii="宋体" w:hAnsi="宋体" w:eastAsia="方正仿宋_GBK" w:cs="方正仿宋_GBK"/>
          <w:b/>
          <w:bCs/>
          <w:sz w:val="32"/>
          <w:szCs w:val="32"/>
          <w:lang w:val="en-US" w:eastAsia="zh-CN"/>
        </w:rPr>
        <w:t>4.4.8垃圾收集池和公共卫生设施</w:t>
      </w:r>
      <w:bookmarkEnd w:id="112"/>
      <w:bookmarkEnd w:id="113"/>
      <w:bookmarkEnd w:id="114"/>
      <w:r>
        <w:rPr>
          <w:rStyle w:val="52"/>
          <w:rFonts w:hint="eastAsia" w:ascii="宋体" w:hAnsi="宋体" w:eastAsia="方正仿宋_GBK" w:cs="方正仿宋_GBK"/>
          <w:b/>
          <w:bCs/>
          <w:sz w:val="32"/>
          <w:szCs w:val="32"/>
          <w:lang w:val="en-US" w:eastAsia="zh-CN"/>
        </w:rPr>
        <w:t xml:space="preserve"> </w:t>
      </w:r>
    </w:p>
    <w:p w14:paraId="05F7662D">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有游客的地方就会产生垃圾，有人活动的地方就需要方便；依据水库开展项目位置及游客活动频繁的地方设置公共卫生设施，垃圾收集池可分4个点位设置；停车场附近设一个公共卫生间（格调为古朴式），卫生间面积每个占地不少于80m</w:t>
      </w:r>
      <w:r>
        <w:rPr>
          <w:rFonts w:hint="eastAsia" w:ascii="宋体" w:hAnsi="宋体" w:eastAsia="方正仿宋_GBK" w:cs="方正仿宋_GBK"/>
          <w:kern w:val="0"/>
          <w:sz w:val="32"/>
          <w:szCs w:val="32"/>
          <w:highlight w:val="none"/>
          <w:vertAlign w:val="superscript"/>
          <w:lang w:val="en-US" w:eastAsia="zh-CN"/>
        </w:rPr>
        <w:t>2</w:t>
      </w:r>
      <w:r>
        <w:rPr>
          <w:rFonts w:hint="eastAsia" w:ascii="宋体" w:hAnsi="宋体" w:eastAsia="方正仿宋_GBK" w:cs="方正仿宋_GBK"/>
          <w:kern w:val="0"/>
          <w:sz w:val="32"/>
          <w:szCs w:val="32"/>
          <w:highlight w:val="none"/>
          <w:lang w:val="en-US" w:eastAsia="zh-CN"/>
        </w:rPr>
        <w:t>,垃圾收集池每个占地约10m</w:t>
      </w:r>
      <w:r>
        <w:rPr>
          <w:rFonts w:hint="eastAsia" w:ascii="宋体" w:hAnsi="宋体" w:eastAsia="方正仿宋_GBK" w:cs="方正仿宋_GBK"/>
          <w:kern w:val="0"/>
          <w:sz w:val="32"/>
          <w:szCs w:val="32"/>
          <w:highlight w:val="none"/>
          <w:vertAlign w:val="superscript"/>
          <w:lang w:val="en-US" w:eastAsia="zh-CN"/>
        </w:rPr>
        <w:t>2</w:t>
      </w:r>
      <w:r>
        <w:rPr>
          <w:rFonts w:hint="eastAsia" w:ascii="宋体" w:hAnsi="宋体" w:eastAsia="方正仿宋_GBK" w:cs="方正仿宋_GBK"/>
          <w:kern w:val="0"/>
          <w:sz w:val="32"/>
          <w:szCs w:val="32"/>
          <w:highlight w:val="none"/>
          <w:lang w:val="en-US" w:eastAsia="zh-CN"/>
        </w:rPr>
        <w:t>,收集垃圾量不少于15m</w:t>
      </w:r>
      <w:r>
        <w:rPr>
          <w:rFonts w:hint="eastAsia" w:ascii="宋体" w:hAnsi="宋体" w:eastAsia="方正仿宋_GBK" w:cs="方正仿宋_GBK"/>
          <w:kern w:val="0"/>
          <w:sz w:val="32"/>
          <w:szCs w:val="32"/>
          <w:highlight w:val="none"/>
          <w:vertAlign w:val="superscript"/>
          <w:lang w:val="en-US" w:eastAsia="zh-CN"/>
        </w:rPr>
        <w:t>3</w:t>
      </w:r>
      <w:r>
        <w:rPr>
          <w:rFonts w:hint="eastAsia" w:ascii="宋体" w:hAnsi="宋体" w:eastAsia="方正仿宋_GBK" w:cs="方正仿宋_GBK"/>
          <w:kern w:val="0"/>
          <w:sz w:val="32"/>
          <w:szCs w:val="32"/>
          <w:highlight w:val="none"/>
          <w:lang w:val="en-US" w:eastAsia="zh-CN"/>
        </w:rPr>
        <w:t>。其次，所有库区营运项目的生活污废水必须设置专门污水处理设施，处理达标后方可排入附近沟渠，或者就近排入城市污水管网，禁止排入库区内。如无法设置污水处理设施则需通过外运至污水处理站的方式处理（例如水上漂流民宿，禁止在船上经营餐饮项目，需就餐则外购，船内设置污水收集舱，每日靠岸抽取外运至污水处理站，承包运营商可采用外包的方式进行管理）。</w:t>
      </w:r>
    </w:p>
    <w:p w14:paraId="21C681D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方正小标宋_GBK" w:cs="方正小标宋_GBK"/>
          <w:b w:val="0"/>
          <w:bCs/>
          <w:sz w:val="44"/>
          <w:szCs w:val="44"/>
          <w:lang w:eastAsia="zh-CN"/>
        </w:rPr>
      </w:pPr>
      <w:r>
        <w:rPr>
          <w:rFonts w:hint="eastAsia" w:ascii="宋体" w:hAnsi="宋体" w:eastAsia="方正小标宋_GBK" w:cs="方正小标宋_GBK"/>
          <w:b w:val="0"/>
          <w:bCs/>
          <w:sz w:val="44"/>
          <w:szCs w:val="44"/>
          <w:lang w:eastAsia="zh-CN"/>
        </w:rPr>
        <w:drawing>
          <wp:inline distT="0" distB="0" distL="114300" distR="114300">
            <wp:extent cx="5581650" cy="6829425"/>
            <wp:effectExtent l="0" t="0" r="0" b="9525"/>
            <wp:docPr id="15" name="图片 15" descr="175064374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0643744187"/>
                    <pic:cNvPicPr>
                      <a:picLocks noChangeAspect="1"/>
                    </pic:cNvPicPr>
                  </pic:nvPicPr>
                  <pic:blipFill>
                    <a:blip r:embed="rId30"/>
                    <a:stretch>
                      <a:fillRect/>
                    </a:stretch>
                  </pic:blipFill>
                  <pic:spPr>
                    <a:xfrm>
                      <a:off x="0" y="0"/>
                      <a:ext cx="5581650" cy="6829425"/>
                    </a:xfrm>
                    <a:prstGeom prst="rect">
                      <a:avLst/>
                    </a:prstGeom>
                  </pic:spPr>
                </pic:pic>
              </a:graphicData>
            </a:graphic>
          </wp:inline>
        </w:drawing>
      </w:r>
    </w:p>
    <w:p w14:paraId="75F838F8">
      <w:pPr>
        <w:pStyle w:val="28"/>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0" w:firstLineChars="0"/>
        <w:jc w:val="center"/>
        <w:textAlignment w:val="auto"/>
        <w:rPr>
          <w:rFonts w:hint="eastAsia" w:ascii="仿宋_GB2312" w:hAnsi="仿宋_GB2312" w:eastAsia="仿宋_GB2312" w:cs="仿宋_GB2312"/>
          <w:b/>
          <w:kern w:val="2"/>
          <w:sz w:val="24"/>
          <w:szCs w:val="24"/>
          <w:lang w:val="en-US" w:eastAsia="zh-CN" w:bidi="ar-SA"/>
        </w:rPr>
        <w:sectPr>
          <w:pgSz w:w="11906" w:h="16838"/>
          <w:pgMar w:top="2098" w:right="1474" w:bottom="1984" w:left="1587" w:header="851" w:footer="992" w:gutter="0"/>
          <w:pgNumType w:fmt="decimal" w:start="1"/>
          <w:cols w:space="720" w:num="1"/>
          <w:docGrid w:type="lines" w:linePitch="312" w:charSpace="0"/>
        </w:sectPr>
      </w:pPr>
      <w:r>
        <w:rPr>
          <w:rFonts w:hint="eastAsia" w:ascii="仿宋_GB2312" w:hAnsi="仿宋_GB2312" w:eastAsia="仿宋_GB2312" w:cs="仿宋_GB2312"/>
          <w:b/>
          <w:kern w:val="2"/>
          <w:sz w:val="24"/>
          <w:szCs w:val="24"/>
          <w:lang w:val="en-US" w:eastAsia="zh-CN" w:bidi="ar-SA"/>
        </w:rPr>
        <w:t>分区规划示意</w:t>
      </w:r>
    </w:p>
    <w:p w14:paraId="5F138213">
      <w:pPr>
        <w:pStyle w:val="28"/>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Fonts w:hint="eastAsia" w:ascii="仿宋_GB2312" w:hAnsi="仿宋_GB2312" w:eastAsia="仿宋_GB2312" w:cs="仿宋_GB2312"/>
          <w:b/>
          <w:kern w:val="2"/>
          <w:sz w:val="24"/>
          <w:szCs w:val="24"/>
          <w:lang w:val="en-US" w:eastAsia="zh-CN" w:bidi="ar-SA"/>
        </w:rPr>
      </w:pPr>
    </w:p>
    <w:p w14:paraId="692ABFED">
      <w:pPr>
        <w:pStyle w:val="28"/>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left="0" w:leftChars="0" w:firstLine="0" w:firstLineChars="0"/>
        <w:jc w:val="center"/>
        <w:textAlignment w:val="auto"/>
        <w:outlineLvl w:val="0"/>
        <w:rPr>
          <w:rFonts w:hint="eastAsia" w:ascii="宋体" w:hAnsi="宋体" w:eastAsia="方正小标宋_GBK" w:cs="方正小标宋_GBK"/>
          <w:b w:val="0"/>
          <w:bCs/>
          <w:sz w:val="44"/>
          <w:szCs w:val="44"/>
        </w:rPr>
      </w:pPr>
      <w:bookmarkStart w:id="115" w:name="_Toc28781"/>
      <w:r>
        <w:rPr>
          <w:rFonts w:hint="eastAsia" w:ascii="宋体" w:hAnsi="宋体" w:eastAsia="方正小标宋_GBK" w:cs="方正小标宋_GBK"/>
          <w:b w:val="0"/>
          <w:bCs/>
          <w:sz w:val="44"/>
          <w:szCs w:val="44"/>
        </w:rPr>
        <w:t>第</w:t>
      </w:r>
      <w:r>
        <w:rPr>
          <w:rFonts w:hint="eastAsia" w:ascii="宋体" w:hAnsi="宋体" w:eastAsia="方正小标宋_GBK" w:cs="方正小标宋_GBK"/>
          <w:b w:val="0"/>
          <w:bCs/>
          <w:sz w:val="44"/>
          <w:szCs w:val="44"/>
          <w:lang w:val="en-US" w:eastAsia="zh-CN"/>
        </w:rPr>
        <w:t>五</w:t>
      </w:r>
      <w:r>
        <w:rPr>
          <w:rFonts w:hint="eastAsia" w:ascii="宋体" w:hAnsi="宋体" w:eastAsia="方正小标宋_GBK" w:cs="方正小标宋_GBK"/>
          <w:b w:val="0"/>
          <w:bCs/>
          <w:sz w:val="44"/>
          <w:szCs w:val="44"/>
        </w:rPr>
        <w:t>章</w:t>
      </w:r>
      <w:r>
        <w:rPr>
          <w:rFonts w:hint="eastAsia" w:ascii="宋体" w:hAnsi="宋体" w:eastAsia="方正小标宋_GBK" w:cs="方正小标宋_GBK"/>
          <w:b w:val="0"/>
          <w:bCs/>
          <w:sz w:val="44"/>
          <w:szCs w:val="44"/>
          <w:lang w:val="en-US" w:eastAsia="zh-CN"/>
        </w:rPr>
        <w:t xml:space="preserve">  </w:t>
      </w:r>
      <w:r>
        <w:rPr>
          <w:rFonts w:hint="eastAsia" w:ascii="宋体" w:hAnsi="宋体" w:eastAsia="方正小标宋_GBK" w:cs="方正小标宋_GBK"/>
          <w:b w:val="0"/>
          <w:bCs/>
          <w:sz w:val="44"/>
          <w:szCs w:val="44"/>
        </w:rPr>
        <w:t>营运预测分析</w:t>
      </w:r>
      <w:bookmarkEnd w:id="101"/>
      <w:bookmarkEnd w:id="102"/>
      <w:bookmarkEnd w:id="115"/>
    </w:p>
    <w:p w14:paraId="39587BCE">
      <w:pPr>
        <w:keepNext/>
        <w:keepLines/>
        <w:pageBreakBefore w:val="0"/>
        <w:widowControl w:val="0"/>
        <w:kinsoku/>
        <w:wordWrap/>
        <w:overflowPunct/>
        <w:topLinePunct w:val="0"/>
        <w:bidi w:val="0"/>
        <w:snapToGrid/>
        <w:spacing w:line="560" w:lineRule="exact"/>
        <w:ind w:firstLine="640" w:firstLineChars="200"/>
        <w:textAlignment w:val="auto"/>
        <w:outlineLvl w:val="1"/>
        <w:rPr>
          <w:rFonts w:hint="eastAsia" w:ascii="宋体" w:hAnsi="宋体" w:eastAsia="方正仿宋_GBK" w:cs="方正仿宋_GBK"/>
          <w:b w:val="0"/>
          <w:bCs w:val="0"/>
          <w:kern w:val="44"/>
          <w:sz w:val="32"/>
          <w:szCs w:val="32"/>
          <w:lang w:val="en-US" w:eastAsia="zh-CN"/>
        </w:rPr>
      </w:pPr>
      <w:bookmarkStart w:id="116" w:name="_Toc10980"/>
      <w:bookmarkStart w:id="117" w:name="_Toc22510"/>
      <w:bookmarkStart w:id="118" w:name="_Toc24800"/>
    </w:p>
    <w:p w14:paraId="65042BBB">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val="0"/>
          <w:bCs w:val="0"/>
          <w:kern w:val="44"/>
          <w:sz w:val="32"/>
          <w:szCs w:val="32"/>
        </w:rPr>
      </w:pPr>
      <w:bookmarkStart w:id="119" w:name="_Toc19364"/>
      <w:r>
        <w:rPr>
          <w:rFonts w:hint="eastAsia" w:ascii="宋体" w:hAnsi="宋体" w:eastAsia="方正仿宋_GBK" w:cs="方正仿宋_GBK"/>
          <w:b/>
          <w:bCs/>
          <w:kern w:val="44"/>
          <w:sz w:val="32"/>
          <w:szCs w:val="32"/>
          <w:lang w:val="en-US" w:eastAsia="zh-CN"/>
        </w:rPr>
        <w:t>5</w:t>
      </w:r>
      <w:r>
        <w:rPr>
          <w:rFonts w:hint="eastAsia" w:ascii="宋体" w:hAnsi="宋体" w:eastAsia="方正仿宋_GBK" w:cs="方正仿宋_GBK"/>
          <w:b/>
          <w:bCs/>
          <w:kern w:val="44"/>
          <w:sz w:val="32"/>
          <w:szCs w:val="32"/>
        </w:rPr>
        <w:t xml:space="preserve">.1 </w:t>
      </w:r>
      <w:r>
        <w:rPr>
          <w:rFonts w:hint="eastAsia" w:ascii="宋体" w:hAnsi="宋体" w:eastAsia="方正仿宋_GBK" w:cs="方正仿宋_GBK"/>
          <w:b/>
          <w:bCs/>
          <w:kern w:val="44"/>
          <w:sz w:val="32"/>
          <w:szCs w:val="32"/>
          <w:lang w:val="en-US" w:eastAsia="zh-CN"/>
        </w:rPr>
        <w:t>项目</w:t>
      </w:r>
      <w:r>
        <w:rPr>
          <w:rFonts w:hint="eastAsia" w:ascii="宋体" w:hAnsi="宋体" w:eastAsia="方正仿宋_GBK" w:cs="方正仿宋_GBK"/>
          <w:b/>
          <w:bCs/>
          <w:kern w:val="44"/>
          <w:sz w:val="32"/>
          <w:szCs w:val="32"/>
        </w:rPr>
        <w:t>投资成本分析</w:t>
      </w:r>
      <w:bookmarkEnd w:id="116"/>
      <w:bookmarkEnd w:id="117"/>
      <w:bookmarkEnd w:id="118"/>
      <w:bookmarkEnd w:id="119"/>
    </w:p>
    <w:p w14:paraId="4ECEC260">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default" w:ascii="宋体" w:hAnsi="宋体" w:eastAsia="方正仿宋_GBK" w:cs="方正仿宋_GBK"/>
          <w:b/>
          <w:bCs/>
          <w:sz w:val="32"/>
          <w:szCs w:val="32"/>
          <w:lang w:val="en-US" w:eastAsia="zh-CN"/>
        </w:rPr>
      </w:pPr>
      <w:r>
        <w:rPr>
          <w:rStyle w:val="52"/>
          <w:rFonts w:hint="eastAsia" w:ascii="宋体" w:hAnsi="宋体" w:eastAsia="方正仿宋_GBK" w:cs="方正仿宋_GBK"/>
          <w:b/>
          <w:bCs/>
          <w:sz w:val="32"/>
          <w:szCs w:val="32"/>
          <w:lang w:val="en-US" w:eastAsia="zh-CN"/>
        </w:rPr>
        <w:t>5.1.1水上休闲项目</w:t>
      </w:r>
    </w:p>
    <w:p w14:paraId="7357C3CA">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color w:val="auto"/>
          <w:kern w:val="0"/>
          <w:sz w:val="32"/>
          <w:szCs w:val="32"/>
          <w:lang w:val="en-US" w:eastAsia="zh-CN"/>
        </w:rPr>
      </w:pPr>
      <w:r>
        <w:rPr>
          <w:rFonts w:hint="eastAsia" w:ascii="宋体" w:hAnsi="宋体" w:eastAsia="方正仿宋_GBK" w:cs="方正仿宋_GBK"/>
          <w:b/>
          <w:bCs/>
          <w:color w:val="auto"/>
          <w:kern w:val="0"/>
          <w:sz w:val="32"/>
          <w:szCs w:val="32"/>
          <w:lang w:val="en-US" w:eastAsia="zh-CN"/>
        </w:rPr>
        <w:t>1.</w:t>
      </w:r>
      <w:r>
        <w:rPr>
          <w:rFonts w:hint="default" w:ascii="宋体" w:hAnsi="宋体" w:eastAsia="方正仿宋_GBK" w:cs="方正仿宋_GBK"/>
          <w:b/>
          <w:bCs/>
          <w:color w:val="auto"/>
          <w:kern w:val="0"/>
          <w:sz w:val="32"/>
          <w:szCs w:val="32"/>
          <w:lang w:val="en-US" w:eastAsia="zh-CN"/>
        </w:rPr>
        <w:t>‌孔雀造型休闲小游船</w:t>
      </w:r>
    </w:p>
    <w:p w14:paraId="418620AF">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kern w:val="0"/>
          <w:sz w:val="32"/>
          <w:szCs w:val="32"/>
          <w:lang w:val="en-US" w:eastAsia="zh-CN"/>
        </w:rPr>
        <w:t>采购或定制孔雀造型游船</w:t>
      </w:r>
      <w:r>
        <w:rPr>
          <w:rFonts w:hint="eastAsia" w:ascii="宋体" w:hAnsi="宋体" w:eastAsia="方正仿宋_GBK" w:cs="方正仿宋_GBK"/>
          <w:kern w:val="0"/>
          <w:sz w:val="32"/>
          <w:szCs w:val="32"/>
          <w:lang w:val="en-US" w:eastAsia="zh-CN"/>
        </w:rPr>
        <w:t>20艘</w:t>
      </w:r>
      <w:r>
        <w:rPr>
          <w:rFonts w:hint="default" w:ascii="宋体" w:hAnsi="宋体" w:eastAsia="方正仿宋_GBK" w:cs="方正仿宋_GBK"/>
          <w:kern w:val="0"/>
          <w:sz w:val="32"/>
          <w:szCs w:val="32"/>
          <w:lang w:val="en-US" w:eastAsia="zh-CN"/>
        </w:rPr>
        <w:t>，设置游船码头</w:t>
      </w:r>
      <w:r>
        <w:rPr>
          <w:rFonts w:hint="eastAsia" w:ascii="宋体" w:hAnsi="宋体" w:eastAsia="方正仿宋_GBK" w:cs="方正仿宋_GBK"/>
          <w:kern w:val="0"/>
          <w:sz w:val="32"/>
          <w:szCs w:val="32"/>
          <w:lang w:val="en-US" w:eastAsia="zh-CN"/>
        </w:rPr>
        <w:t>、游客服务点</w:t>
      </w:r>
      <w:r>
        <w:rPr>
          <w:rFonts w:hint="default" w:ascii="宋体" w:hAnsi="宋体" w:eastAsia="方正仿宋_GBK" w:cs="方正仿宋_GBK"/>
          <w:kern w:val="0"/>
          <w:sz w:val="32"/>
          <w:szCs w:val="32"/>
          <w:lang w:val="en-US" w:eastAsia="zh-CN"/>
        </w:rPr>
        <w:t>。</w:t>
      </w:r>
      <w:r>
        <w:rPr>
          <w:rFonts w:hint="eastAsia" w:ascii="宋体" w:hAnsi="宋体" w:eastAsia="方正仿宋_GBK" w:cs="方正仿宋_GBK"/>
          <w:b w:val="0"/>
          <w:bCs w:val="0"/>
          <w:kern w:val="0"/>
          <w:sz w:val="32"/>
          <w:szCs w:val="32"/>
          <w:lang w:val="en-US" w:eastAsia="zh-CN"/>
        </w:rPr>
        <w:t>‌投资估算</w:t>
      </w:r>
      <w:r>
        <w:rPr>
          <w:rFonts w:hint="eastAsia" w:ascii="宋体" w:hAnsi="宋体" w:eastAsia="方正仿宋_GBK" w:cs="方正仿宋_GBK"/>
          <w:b w:val="0"/>
          <w:bCs w:val="0"/>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78万元</w:t>
      </w:r>
      <w:r>
        <w:rPr>
          <w:rFonts w:hint="eastAsia" w:ascii="宋体" w:hAnsi="宋体" w:eastAsia="方正仿宋_GBK" w:cs="方正仿宋_GBK"/>
          <w:kern w:val="0"/>
          <w:sz w:val="32"/>
          <w:szCs w:val="32"/>
          <w:lang w:val="en-US" w:eastAsia="zh-CN"/>
        </w:rPr>
        <w:t>。</w:t>
      </w:r>
    </w:p>
    <w:p w14:paraId="7EEE6564">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2.民族文化长廊塑木栈道跨越</w:t>
      </w:r>
      <w:r>
        <w:rPr>
          <w:rFonts w:hint="default" w:ascii="宋体" w:hAnsi="宋体" w:eastAsia="方正仿宋_GBK" w:cs="方正仿宋_GBK"/>
          <w:b/>
          <w:bCs/>
          <w:kern w:val="0"/>
          <w:sz w:val="32"/>
          <w:szCs w:val="32"/>
          <w:lang w:val="en-US" w:eastAsia="zh-CN"/>
        </w:rPr>
        <w:t>孔雀湖</w:t>
      </w:r>
      <w:r>
        <w:rPr>
          <w:rFonts w:hint="default" w:ascii="宋体" w:hAnsi="宋体" w:eastAsia="方正仿宋_GBK" w:cs="方正仿宋_GBK"/>
          <w:kern w:val="0"/>
          <w:sz w:val="32"/>
          <w:szCs w:val="32"/>
          <w:lang w:val="en-US" w:eastAsia="zh-CN"/>
        </w:rPr>
        <w:t>‌</w:t>
      </w:r>
    </w:p>
    <w:p w14:paraId="5E7DE9B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lang w:val="en-US" w:eastAsia="zh-CN"/>
        </w:rPr>
        <w:t>在孔雀湖北侧建设湿地300亩，湿地内设置塑木栈道2.3km，栈道上打造民族文化长廊、</w:t>
      </w:r>
      <w:r>
        <w:rPr>
          <w:rFonts w:hint="default" w:ascii="宋体" w:hAnsi="宋体" w:eastAsia="方正仿宋_GBK" w:cs="方正仿宋_GBK"/>
          <w:kern w:val="0"/>
          <w:sz w:val="32"/>
          <w:szCs w:val="32"/>
          <w:lang w:val="en-US" w:eastAsia="zh-CN"/>
        </w:rPr>
        <w:t>观景平台</w:t>
      </w:r>
      <w:r>
        <w:rPr>
          <w:rFonts w:hint="eastAsia" w:ascii="宋体" w:hAnsi="宋体" w:eastAsia="方正仿宋_GBK" w:cs="方正仿宋_GBK"/>
          <w:kern w:val="0"/>
          <w:sz w:val="32"/>
          <w:szCs w:val="32"/>
          <w:lang w:val="en-US" w:eastAsia="zh-CN"/>
        </w:rPr>
        <w:t>及休闲椅</w:t>
      </w:r>
      <w:r>
        <w:rPr>
          <w:rFonts w:hint="default" w:ascii="宋体" w:hAnsi="宋体" w:eastAsia="方正仿宋_GBK" w:cs="方正仿宋_GBK"/>
          <w:kern w:val="0"/>
          <w:sz w:val="32"/>
          <w:szCs w:val="32"/>
          <w:lang w:val="en-US" w:eastAsia="zh-CN"/>
        </w:rPr>
        <w:t>。</w:t>
      </w:r>
      <w:r>
        <w:rPr>
          <w:rFonts w:hint="eastAsia" w:ascii="宋体" w:hAnsi="宋体" w:eastAsia="方正仿宋_GBK" w:cs="方正仿宋_GBK"/>
          <w:kern w:val="0"/>
          <w:sz w:val="32"/>
          <w:szCs w:val="32"/>
          <w:lang w:val="en-US" w:eastAsia="zh-CN"/>
        </w:rPr>
        <w:t>栈道</w:t>
      </w:r>
      <w:r>
        <w:rPr>
          <w:rFonts w:hint="eastAsia" w:ascii="宋体" w:hAnsi="宋体" w:eastAsia="方正仿宋_GBK" w:cs="方正仿宋_GBK"/>
          <w:b w:val="0"/>
          <w:bCs w:val="0"/>
          <w:kern w:val="0"/>
          <w:sz w:val="32"/>
          <w:szCs w:val="32"/>
          <w:lang w:val="en-US" w:eastAsia="zh-CN"/>
        </w:rPr>
        <w:t>‌投资估算‌：280</w:t>
      </w:r>
      <w:r>
        <w:rPr>
          <w:rFonts w:hint="eastAsia" w:ascii="宋体" w:hAnsi="宋体" w:eastAsia="方正仿宋_GBK" w:cs="方正仿宋_GBK"/>
          <w:kern w:val="0"/>
          <w:sz w:val="32"/>
          <w:szCs w:val="32"/>
          <w:highlight w:val="none"/>
          <w:lang w:val="en-US" w:eastAsia="zh-CN"/>
        </w:rPr>
        <w:t>万元。</w:t>
      </w:r>
    </w:p>
    <w:p w14:paraId="23BA4D66">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3.飞跃孔雀湖</w:t>
      </w:r>
    </w:p>
    <w:p w14:paraId="7656784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b/>
          <w:bCs/>
          <w:kern w:val="0"/>
          <w:sz w:val="32"/>
          <w:szCs w:val="32"/>
          <w:lang w:val="en-US" w:eastAsia="zh-CN"/>
        </w:rPr>
      </w:pPr>
      <w:r>
        <w:rPr>
          <w:rFonts w:hint="eastAsia" w:ascii="宋体" w:hAnsi="宋体" w:eastAsia="方正仿宋_GBK" w:cs="方正仿宋_GBK"/>
          <w:kern w:val="0"/>
          <w:sz w:val="32"/>
          <w:szCs w:val="32"/>
          <w:lang w:val="en-US" w:eastAsia="zh-CN"/>
        </w:rPr>
        <w:t>设置1组孔雀巡游竹筏（竹筏20艘），竹筏用孔雀造型布置头部、身体及尾部，用灯光和音乐装点，设置表演竹筏数艘。投资估算：118万元。</w:t>
      </w:r>
    </w:p>
    <w:p w14:paraId="2958DBF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4.</w:t>
      </w:r>
      <w:r>
        <w:rPr>
          <w:rFonts w:hint="default" w:ascii="宋体" w:hAnsi="宋体" w:eastAsia="方正仿宋_GBK" w:cs="方正仿宋_GBK"/>
          <w:b/>
          <w:bCs/>
          <w:kern w:val="0"/>
          <w:sz w:val="32"/>
          <w:szCs w:val="32"/>
          <w:lang w:val="en-US" w:eastAsia="zh-CN"/>
        </w:rPr>
        <w:t>‌水上飞人</w:t>
      </w:r>
      <w:r>
        <w:rPr>
          <w:rFonts w:hint="default" w:ascii="宋体" w:hAnsi="宋体" w:eastAsia="方正仿宋_GBK" w:cs="方正仿宋_GBK"/>
          <w:kern w:val="0"/>
          <w:sz w:val="32"/>
          <w:szCs w:val="32"/>
          <w:lang w:val="en-US" w:eastAsia="zh-CN"/>
        </w:rPr>
        <w:t>‌</w:t>
      </w:r>
    </w:p>
    <w:p w14:paraId="7062A4B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kern w:val="0"/>
          <w:sz w:val="32"/>
          <w:szCs w:val="32"/>
          <w:lang w:val="en-US" w:eastAsia="zh-CN"/>
        </w:rPr>
        <w:t>购置水上飞人专业设备</w:t>
      </w:r>
      <w:r>
        <w:rPr>
          <w:rFonts w:hint="eastAsia" w:ascii="宋体" w:hAnsi="宋体" w:eastAsia="方正仿宋_GBK" w:cs="方正仿宋_GBK"/>
          <w:kern w:val="0"/>
          <w:sz w:val="32"/>
          <w:szCs w:val="32"/>
          <w:lang w:val="en-US" w:eastAsia="zh-CN"/>
        </w:rPr>
        <w:t>1套、救生艇1艘</w:t>
      </w:r>
      <w:r>
        <w:rPr>
          <w:rFonts w:hint="default" w:ascii="宋体" w:hAnsi="宋体" w:eastAsia="方正仿宋_GBK" w:cs="方正仿宋_GBK"/>
          <w:kern w:val="0"/>
          <w:sz w:val="32"/>
          <w:szCs w:val="32"/>
          <w:lang w:val="en-US" w:eastAsia="zh-CN"/>
        </w:rPr>
        <w:t>设置安全保护区及观众区</w:t>
      </w:r>
      <w:r>
        <w:rPr>
          <w:rFonts w:hint="eastAsia" w:ascii="宋体" w:hAnsi="宋体" w:eastAsia="方正仿宋_GBK" w:cs="方正仿宋_GBK"/>
          <w:kern w:val="0"/>
          <w:sz w:val="32"/>
          <w:szCs w:val="32"/>
          <w:lang w:val="en-US" w:eastAsia="zh-CN"/>
        </w:rPr>
        <w:t>200m</w:t>
      </w:r>
      <w:r>
        <w:rPr>
          <w:rFonts w:hint="eastAsia" w:ascii="宋体" w:hAnsi="宋体" w:eastAsia="方正仿宋_GBK" w:cs="方正仿宋_GBK"/>
          <w:kern w:val="0"/>
          <w:sz w:val="32"/>
          <w:szCs w:val="32"/>
          <w:vertAlign w:val="superscript"/>
          <w:lang w:val="en-US" w:eastAsia="zh-CN"/>
        </w:rPr>
        <w:t>2</w:t>
      </w:r>
      <w:r>
        <w:rPr>
          <w:rFonts w:hint="default" w:ascii="宋体" w:hAnsi="宋体" w:eastAsia="方正仿宋_GBK" w:cs="方正仿宋_GBK"/>
          <w:kern w:val="0"/>
          <w:sz w:val="32"/>
          <w:szCs w:val="32"/>
          <w:lang w:val="en-US" w:eastAsia="zh-CN"/>
        </w:rPr>
        <w:t>。</w:t>
      </w:r>
      <w:r>
        <w:rPr>
          <w:rFonts w:hint="eastAsia" w:ascii="宋体" w:hAnsi="宋体" w:eastAsia="方正仿宋_GBK" w:cs="方正仿宋_GBK"/>
          <w:b w:val="0"/>
          <w:bCs w:val="0"/>
          <w:kern w:val="0"/>
          <w:sz w:val="32"/>
          <w:szCs w:val="32"/>
          <w:lang w:val="en-US" w:eastAsia="zh-CN"/>
        </w:rPr>
        <w:t>‌投资估算</w:t>
      </w:r>
      <w:r>
        <w:rPr>
          <w:rFonts w:hint="eastAsia" w:ascii="宋体" w:hAnsi="宋体" w:eastAsia="方正仿宋_GBK" w:cs="方正仿宋_GBK"/>
          <w:b w:val="0"/>
          <w:bCs w:val="0"/>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60万元。</w:t>
      </w:r>
    </w:p>
    <w:p w14:paraId="4A8949F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5.</w:t>
      </w:r>
      <w:r>
        <w:rPr>
          <w:rFonts w:hint="default" w:ascii="宋体" w:hAnsi="宋体" w:eastAsia="方正仿宋_GBK" w:cs="方正仿宋_GBK"/>
          <w:b/>
          <w:bCs/>
          <w:kern w:val="0"/>
          <w:sz w:val="32"/>
          <w:szCs w:val="32"/>
          <w:lang w:val="en-US" w:eastAsia="zh-CN"/>
        </w:rPr>
        <w:t>‌水上拖拽卡通仓</w:t>
      </w:r>
      <w:r>
        <w:rPr>
          <w:rFonts w:hint="default" w:ascii="宋体" w:hAnsi="宋体" w:eastAsia="方正仿宋_GBK" w:cs="方正仿宋_GBK"/>
          <w:kern w:val="0"/>
          <w:sz w:val="32"/>
          <w:szCs w:val="32"/>
          <w:lang w:val="en-US" w:eastAsia="zh-CN"/>
        </w:rPr>
        <w:t>‌</w:t>
      </w:r>
    </w:p>
    <w:p w14:paraId="3AB96B92">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b w:val="0"/>
          <w:bCs w:val="0"/>
          <w:kern w:val="0"/>
          <w:sz w:val="32"/>
          <w:szCs w:val="32"/>
          <w:lang w:val="en-US" w:eastAsia="zh-CN"/>
        </w:rPr>
      </w:pPr>
      <w:r>
        <w:rPr>
          <w:rFonts w:hint="default" w:ascii="宋体" w:hAnsi="宋体" w:eastAsia="方正仿宋_GBK" w:cs="方正仿宋_GBK"/>
          <w:kern w:val="0"/>
          <w:sz w:val="32"/>
          <w:szCs w:val="32"/>
          <w:lang w:val="en-US" w:eastAsia="zh-CN"/>
        </w:rPr>
        <w:t>定制卡通造型拖拽舱</w:t>
      </w:r>
      <w:r>
        <w:rPr>
          <w:rFonts w:hint="eastAsia" w:ascii="宋体" w:hAnsi="宋体" w:eastAsia="方正仿宋_GBK" w:cs="方正仿宋_GBK"/>
          <w:kern w:val="0"/>
          <w:sz w:val="32"/>
          <w:szCs w:val="32"/>
          <w:lang w:val="en-US" w:eastAsia="zh-CN"/>
        </w:rPr>
        <w:t>5套</w:t>
      </w:r>
      <w:r>
        <w:rPr>
          <w:rFonts w:hint="default" w:ascii="宋体" w:hAnsi="宋体" w:eastAsia="方正仿宋_GBK" w:cs="方正仿宋_GBK"/>
          <w:kern w:val="0"/>
          <w:sz w:val="32"/>
          <w:szCs w:val="32"/>
          <w:lang w:val="en-US" w:eastAsia="zh-CN"/>
        </w:rPr>
        <w:t>，配备专业快艇</w:t>
      </w:r>
      <w:r>
        <w:rPr>
          <w:rFonts w:hint="eastAsia" w:ascii="宋体" w:hAnsi="宋体" w:eastAsia="方正仿宋_GBK" w:cs="方正仿宋_GBK"/>
          <w:b w:val="0"/>
          <w:bCs w:val="0"/>
          <w:kern w:val="0"/>
          <w:sz w:val="32"/>
          <w:szCs w:val="32"/>
          <w:lang w:val="en-US" w:eastAsia="zh-CN"/>
        </w:rPr>
        <w:t>5艘</w:t>
      </w:r>
      <w:r>
        <w:rPr>
          <w:rFonts w:hint="default" w:ascii="宋体" w:hAnsi="宋体" w:eastAsia="方正仿宋_GBK" w:cs="方正仿宋_GBK"/>
          <w:b w:val="0"/>
          <w:bCs w:val="0"/>
          <w:kern w:val="0"/>
          <w:sz w:val="32"/>
          <w:szCs w:val="32"/>
          <w:lang w:val="en-US" w:eastAsia="zh-CN"/>
        </w:rPr>
        <w:t>。</w:t>
      </w:r>
      <w:r>
        <w:rPr>
          <w:rFonts w:hint="eastAsia" w:ascii="宋体" w:hAnsi="宋体" w:eastAsia="方正仿宋_GBK" w:cs="方正仿宋_GBK"/>
          <w:b w:val="0"/>
          <w:bCs w:val="0"/>
          <w:kern w:val="0"/>
          <w:sz w:val="32"/>
          <w:szCs w:val="32"/>
          <w:lang w:val="en-US" w:eastAsia="zh-CN"/>
        </w:rPr>
        <w:t>‌投资估算</w:t>
      </w:r>
      <w:r>
        <w:rPr>
          <w:rFonts w:hint="eastAsia" w:ascii="宋体" w:hAnsi="宋体" w:eastAsia="方正仿宋_GBK" w:cs="方正仿宋_GBK"/>
          <w:b w:val="0"/>
          <w:bCs w:val="0"/>
          <w:kern w:val="0"/>
          <w:sz w:val="32"/>
          <w:szCs w:val="32"/>
          <w:highlight w:val="none"/>
          <w:lang w:val="en-US" w:eastAsia="zh-CN"/>
        </w:rPr>
        <w:t>‌：</w:t>
      </w:r>
      <w:r>
        <w:rPr>
          <w:rFonts w:hint="eastAsia" w:ascii="宋体" w:hAnsi="宋体" w:eastAsia="方正仿宋_GBK" w:cs="方正仿宋_GBK"/>
          <w:b w:val="0"/>
          <w:bCs w:val="0"/>
          <w:kern w:val="0"/>
          <w:sz w:val="32"/>
          <w:szCs w:val="32"/>
          <w:lang w:val="en-US" w:eastAsia="zh-CN"/>
        </w:rPr>
        <w:t>112万元。</w:t>
      </w:r>
    </w:p>
    <w:p w14:paraId="413563C1">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6.</w:t>
      </w:r>
      <w:r>
        <w:rPr>
          <w:rFonts w:hint="default" w:ascii="宋体" w:hAnsi="宋体" w:eastAsia="方正仿宋_GBK" w:cs="方正仿宋_GBK"/>
          <w:b/>
          <w:bCs/>
          <w:kern w:val="0"/>
          <w:sz w:val="32"/>
          <w:szCs w:val="32"/>
          <w:lang w:val="en-US" w:eastAsia="zh-CN"/>
        </w:rPr>
        <w:t>‌水上卡丁</w:t>
      </w:r>
      <w:r>
        <w:rPr>
          <w:rFonts w:hint="eastAsia" w:ascii="宋体" w:hAnsi="宋体" w:eastAsia="方正仿宋_GBK" w:cs="方正仿宋_GBK"/>
          <w:b/>
          <w:bCs/>
          <w:kern w:val="0"/>
          <w:sz w:val="32"/>
          <w:szCs w:val="32"/>
          <w:lang w:val="en-US" w:eastAsia="zh-CN"/>
        </w:rPr>
        <w:t>船</w:t>
      </w:r>
      <w:r>
        <w:rPr>
          <w:rFonts w:hint="default" w:ascii="宋体" w:hAnsi="宋体" w:eastAsia="方正仿宋_GBK" w:cs="方正仿宋_GBK"/>
          <w:b/>
          <w:bCs/>
          <w:kern w:val="0"/>
          <w:sz w:val="32"/>
          <w:szCs w:val="32"/>
          <w:lang w:val="en-US" w:eastAsia="zh-CN"/>
        </w:rPr>
        <w:t>‌</w:t>
      </w:r>
    </w:p>
    <w:p w14:paraId="3501945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购置电动卡丁船（10辆）、防撞赛道（1.2公里）、充电桩及管理中心</w:t>
      </w:r>
      <w:r>
        <w:rPr>
          <w:rFonts w:hint="default" w:ascii="宋体" w:hAnsi="宋体" w:eastAsia="方正仿宋_GBK" w:cs="方正仿宋_GBK"/>
          <w:b w:val="0"/>
          <w:bCs w:val="0"/>
          <w:kern w:val="0"/>
          <w:sz w:val="32"/>
          <w:szCs w:val="32"/>
          <w:lang w:val="en-US" w:eastAsia="zh-CN"/>
        </w:rPr>
        <w:t>。</w:t>
      </w:r>
      <w:r>
        <w:rPr>
          <w:rFonts w:hint="eastAsia" w:ascii="宋体" w:hAnsi="宋体" w:eastAsia="方正仿宋_GBK" w:cs="方正仿宋_GBK"/>
          <w:b w:val="0"/>
          <w:bCs w:val="0"/>
          <w:kern w:val="0"/>
          <w:sz w:val="32"/>
          <w:szCs w:val="32"/>
          <w:lang w:val="en-US" w:eastAsia="zh-CN"/>
        </w:rPr>
        <w:t>‌投资估算</w:t>
      </w:r>
      <w:r>
        <w:rPr>
          <w:rFonts w:hint="eastAsia" w:ascii="宋体" w:hAnsi="宋体" w:eastAsia="方正仿宋_GBK" w:cs="方正仿宋_GBK"/>
          <w:b w:val="0"/>
          <w:bCs w:val="0"/>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126万元。</w:t>
      </w:r>
    </w:p>
    <w:p w14:paraId="348D5ABD">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lang w:val="en-US" w:eastAsia="zh-CN"/>
        </w:rPr>
        <w:t>7.</w:t>
      </w:r>
      <w:r>
        <w:rPr>
          <w:rFonts w:hint="default" w:ascii="宋体" w:hAnsi="宋体" w:eastAsia="方正仿宋_GBK" w:cs="方正仿宋_GBK"/>
          <w:b/>
          <w:bCs/>
          <w:kern w:val="0"/>
          <w:sz w:val="32"/>
          <w:szCs w:val="32"/>
          <w:lang w:val="en-US" w:eastAsia="zh-CN"/>
        </w:rPr>
        <w:t>‌水上皮划艇</w:t>
      </w:r>
      <w:r>
        <w:rPr>
          <w:rFonts w:hint="default" w:ascii="宋体" w:hAnsi="宋体" w:eastAsia="方正仿宋_GBK" w:cs="方正仿宋_GBK"/>
          <w:kern w:val="0"/>
          <w:sz w:val="32"/>
          <w:szCs w:val="32"/>
          <w:lang w:val="en-US" w:eastAsia="zh-CN"/>
        </w:rPr>
        <w:t>‌</w:t>
      </w:r>
    </w:p>
    <w:p w14:paraId="2CFB909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kern w:val="0"/>
          <w:sz w:val="32"/>
          <w:szCs w:val="32"/>
          <w:lang w:val="en-US" w:eastAsia="zh-CN"/>
        </w:rPr>
        <w:t>采购皮划艇</w:t>
      </w:r>
      <w:r>
        <w:rPr>
          <w:rFonts w:hint="eastAsia" w:ascii="宋体" w:hAnsi="宋体" w:eastAsia="方正仿宋_GBK" w:cs="方正仿宋_GBK"/>
          <w:kern w:val="0"/>
          <w:sz w:val="32"/>
          <w:szCs w:val="32"/>
          <w:lang w:val="en-US" w:eastAsia="zh-CN"/>
        </w:rPr>
        <w:t>20艘</w:t>
      </w:r>
      <w:r>
        <w:rPr>
          <w:rFonts w:hint="default" w:ascii="宋体" w:hAnsi="宋体" w:eastAsia="方正仿宋_GBK" w:cs="方正仿宋_GBK"/>
          <w:kern w:val="0"/>
          <w:sz w:val="32"/>
          <w:szCs w:val="32"/>
          <w:lang w:val="en-US" w:eastAsia="zh-CN"/>
        </w:rPr>
        <w:t>，</w:t>
      </w:r>
      <w:r>
        <w:rPr>
          <w:rFonts w:hint="eastAsia" w:ascii="宋体" w:hAnsi="宋体" w:eastAsia="方正仿宋_GBK" w:cs="方正仿宋_GBK"/>
          <w:kern w:val="0"/>
          <w:sz w:val="32"/>
          <w:szCs w:val="32"/>
          <w:lang w:val="en-US" w:eastAsia="zh-CN"/>
        </w:rPr>
        <w:t>在游船码头</w:t>
      </w:r>
      <w:r>
        <w:rPr>
          <w:rFonts w:hint="default" w:ascii="宋体" w:hAnsi="宋体" w:eastAsia="方正仿宋_GBK" w:cs="方正仿宋_GBK"/>
          <w:kern w:val="0"/>
          <w:sz w:val="32"/>
          <w:szCs w:val="32"/>
          <w:lang w:val="en-US" w:eastAsia="zh-CN"/>
        </w:rPr>
        <w:t>设置租赁点和停靠点</w:t>
      </w:r>
      <w:r>
        <w:rPr>
          <w:rFonts w:hint="default" w:ascii="宋体" w:hAnsi="宋体" w:eastAsia="方正仿宋_GBK" w:cs="方正仿宋_GBK"/>
          <w:b w:val="0"/>
          <w:bCs w:val="0"/>
          <w:kern w:val="0"/>
          <w:sz w:val="32"/>
          <w:szCs w:val="32"/>
          <w:lang w:val="en-US" w:eastAsia="zh-CN"/>
        </w:rPr>
        <w:t>。</w:t>
      </w:r>
      <w:r>
        <w:rPr>
          <w:rFonts w:hint="eastAsia" w:ascii="宋体" w:hAnsi="宋体" w:eastAsia="方正仿宋_GBK" w:cs="方正仿宋_GBK"/>
          <w:b w:val="0"/>
          <w:bCs w:val="0"/>
          <w:kern w:val="0"/>
          <w:sz w:val="32"/>
          <w:szCs w:val="32"/>
          <w:lang w:val="en-US" w:eastAsia="zh-CN"/>
        </w:rPr>
        <w:t>‌投资估算</w:t>
      </w:r>
      <w:r>
        <w:rPr>
          <w:rFonts w:hint="eastAsia" w:ascii="宋体" w:hAnsi="宋体" w:eastAsia="方正仿宋_GBK" w:cs="方正仿宋_GBK"/>
          <w:b w:val="0"/>
          <w:bCs w:val="0"/>
          <w:kern w:val="0"/>
          <w:sz w:val="32"/>
          <w:szCs w:val="32"/>
          <w:highlight w:val="none"/>
          <w:lang w:val="en-US" w:eastAsia="zh-CN"/>
        </w:rPr>
        <w:t>‌：4</w:t>
      </w:r>
      <w:r>
        <w:rPr>
          <w:rFonts w:hint="eastAsia" w:ascii="宋体" w:hAnsi="宋体" w:eastAsia="方正仿宋_GBK" w:cs="方正仿宋_GBK"/>
          <w:kern w:val="0"/>
          <w:sz w:val="32"/>
          <w:szCs w:val="32"/>
          <w:highlight w:val="none"/>
          <w:lang w:val="en-US" w:eastAsia="zh-CN"/>
        </w:rPr>
        <w:t>0万元。</w:t>
      </w:r>
    </w:p>
    <w:p w14:paraId="08AA21A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8.</w:t>
      </w:r>
      <w:r>
        <w:rPr>
          <w:rFonts w:hint="default" w:ascii="宋体" w:hAnsi="宋体" w:eastAsia="方正仿宋_GBK" w:cs="方正仿宋_GBK"/>
          <w:b/>
          <w:bCs/>
          <w:kern w:val="0"/>
          <w:sz w:val="32"/>
          <w:szCs w:val="32"/>
          <w:lang w:val="en-US" w:eastAsia="zh-CN"/>
        </w:rPr>
        <w:t>‌水上卡通城堡‌</w:t>
      </w:r>
    </w:p>
    <w:p w14:paraId="2CFE06E9">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kern w:val="0"/>
          <w:sz w:val="32"/>
          <w:szCs w:val="32"/>
          <w:lang w:val="en-US" w:eastAsia="zh-CN"/>
        </w:rPr>
        <w:t>建造水上卡通城堡</w:t>
      </w:r>
      <w:r>
        <w:rPr>
          <w:rFonts w:hint="eastAsia" w:ascii="宋体" w:hAnsi="宋体" w:eastAsia="方正仿宋_GBK" w:cs="方正仿宋_GBK"/>
          <w:kern w:val="0"/>
          <w:sz w:val="32"/>
          <w:szCs w:val="32"/>
          <w:lang w:val="en-US" w:eastAsia="zh-CN"/>
        </w:rPr>
        <w:t>1套300m</w:t>
      </w:r>
      <w:r>
        <w:rPr>
          <w:rFonts w:hint="eastAsia" w:ascii="宋体" w:hAnsi="宋体" w:eastAsia="方正仿宋_GBK" w:cs="方正仿宋_GBK"/>
          <w:kern w:val="0"/>
          <w:sz w:val="32"/>
          <w:szCs w:val="32"/>
          <w:vertAlign w:val="superscript"/>
          <w:lang w:val="en-US" w:eastAsia="zh-CN"/>
        </w:rPr>
        <w:t>2</w:t>
      </w:r>
      <w:r>
        <w:rPr>
          <w:rFonts w:hint="default" w:ascii="宋体" w:hAnsi="宋体" w:eastAsia="方正仿宋_GBK" w:cs="方正仿宋_GBK"/>
          <w:kern w:val="0"/>
          <w:sz w:val="32"/>
          <w:szCs w:val="32"/>
          <w:lang w:val="en-US" w:eastAsia="zh-CN"/>
        </w:rPr>
        <w:t>，配置安全保护设施</w:t>
      </w:r>
      <w:r>
        <w:rPr>
          <w:rFonts w:hint="default" w:ascii="宋体" w:hAnsi="宋体" w:eastAsia="方正仿宋_GBK" w:cs="方正仿宋_GBK"/>
          <w:b w:val="0"/>
          <w:bCs w:val="0"/>
          <w:kern w:val="0"/>
          <w:sz w:val="32"/>
          <w:szCs w:val="32"/>
          <w:lang w:val="en-US" w:eastAsia="zh-CN"/>
        </w:rPr>
        <w:t>。</w:t>
      </w:r>
      <w:r>
        <w:rPr>
          <w:rFonts w:hint="eastAsia" w:ascii="宋体" w:hAnsi="宋体" w:eastAsia="方正仿宋_GBK" w:cs="方正仿宋_GBK"/>
          <w:b w:val="0"/>
          <w:bCs w:val="0"/>
          <w:kern w:val="0"/>
          <w:sz w:val="32"/>
          <w:szCs w:val="32"/>
          <w:lang w:val="en-US" w:eastAsia="zh-CN"/>
        </w:rPr>
        <w:t>‌投资估算‌：</w:t>
      </w:r>
      <w:r>
        <w:rPr>
          <w:rFonts w:hint="eastAsia" w:ascii="宋体" w:hAnsi="宋体" w:eastAsia="方正仿宋_GBK" w:cs="方正仿宋_GBK"/>
          <w:kern w:val="0"/>
          <w:sz w:val="32"/>
          <w:szCs w:val="32"/>
          <w:highlight w:val="none"/>
          <w:lang w:val="en-US" w:eastAsia="zh-CN"/>
        </w:rPr>
        <w:t>27.8万元。</w:t>
      </w:r>
      <w:r>
        <w:rPr>
          <w:rFonts w:hint="default" w:ascii="宋体" w:hAnsi="宋体" w:eastAsia="方正仿宋_GBK" w:cs="方正仿宋_GBK"/>
          <w:kern w:val="0"/>
          <w:sz w:val="32"/>
          <w:szCs w:val="32"/>
          <w:lang w:val="en-US" w:eastAsia="zh-CN"/>
        </w:rPr>
        <w:t>‌</w:t>
      </w:r>
    </w:p>
    <w:p w14:paraId="1CA040CC">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9.水上漂流民宿</w:t>
      </w:r>
    </w:p>
    <w:p w14:paraId="22017D1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default" w:ascii="宋体" w:hAnsi="宋体" w:eastAsia="方正仿宋_GBK" w:cs="方正仿宋_GBK"/>
          <w:kern w:val="0"/>
          <w:sz w:val="32"/>
          <w:szCs w:val="32"/>
          <w:lang w:val="en-US" w:eastAsia="zh-CN"/>
        </w:rPr>
        <w:t>在水面</w:t>
      </w:r>
      <w:r>
        <w:rPr>
          <w:rFonts w:hint="eastAsia" w:ascii="宋体" w:hAnsi="宋体" w:eastAsia="方正仿宋_GBK" w:cs="方正仿宋_GBK"/>
          <w:kern w:val="0"/>
          <w:sz w:val="32"/>
          <w:szCs w:val="32"/>
          <w:lang w:val="en-US" w:eastAsia="zh-CN"/>
        </w:rPr>
        <w:t>配置水上漂流民宿房船5艘，设1-3个床位，室内应高标准配置现代化生活用具</w:t>
      </w:r>
      <w:r>
        <w:rPr>
          <w:rFonts w:hint="default" w:ascii="宋体" w:hAnsi="宋体" w:eastAsia="方正仿宋_GBK" w:cs="方正仿宋_GBK"/>
          <w:kern w:val="0"/>
          <w:sz w:val="32"/>
          <w:szCs w:val="32"/>
          <w:lang w:val="en-US" w:eastAsia="zh-CN"/>
        </w:rPr>
        <w:t>，配置安全保护设施</w:t>
      </w:r>
      <w:r>
        <w:rPr>
          <w:rFonts w:hint="default" w:ascii="宋体" w:hAnsi="宋体" w:eastAsia="方正仿宋_GBK" w:cs="方正仿宋_GBK"/>
          <w:b w:val="0"/>
          <w:bCs w:val="0"/>
          <w:kern w:val="0"/>
          <w:sz w:val="32"/>
          <w:szCs w:val="32"/>
          <w:lang w:val="en-US" w:eastAsia="zh-CN"/>
        </w:rPr>
        <w:t>。</w:t>
      </w:r>
      <w:r>
        <w:rPr>
          <w:rFonts w:hint="eastAsia" w:ascii="宋体" w:hAnsi="宋体" w:eastAsia="方正仿宋_GBK" w:cs="方正仿宋_GBK"/>
          <w:b w:val="0"/>
          <w:bCs w:val="0"/>
          <w:kern w:val="0"/>
          <w:sz w:val="32"/>
          <w:szCs w:val="32"/>
          <w:lang w:val="en-US" w:eastAsia="zh-CN"/>
        </w:rPr>
        <w:t>‌投资估算</w:t>
      </w:r>
      <w:r>
        <w:rPr>
          <w:rFonts w:hint="eastAsia" w:ascii="宋体" w:hAnsi="宋体" w:eastAsia="方正仿宋_GBK" w:cs="方正仿宋_GBK"/>
          <w:b w:val="0"/>
          <w:bCs w:val="0"/>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30万元。</w:t>
      </w:r>
    </w:p>
    <w:p w14:paraId="34813AE7">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10.沿湖灯光秀</w:t>
      </w:r>
    </w:p>
    <w:p w14:paraId="6F106A0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利用湖边山体作为载体，融入3D全息投影技术和实体灯光结合，以孔雀主体呈现。‌投资估算‌：2000万元/项目单格（根据湖边量化面积预算），初步计划配置1/4项目单格面积，按照500万元估算。</w:t>
      </w:r>
    </w:p>
    <w:p w14:paraId="1217748E">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b/>
          <w:bCs/>
          <w:kern w:val="0"/>
          <w:sz w:val="32"/>
          <w:szCs w:val="32"/>
          <w:lang w:val="en-US" w:eastAsia="zh-CN"/>
        </w:rPr>
      </w:pPr>
      <w:r>
        <w:rPr>
          <w:rFonts w:hint="eastAsia" w:ascii="宋体" w:hAnsi="宋体" w:eastAsia="方正仿宋_GBK" w:cs="方正仿宋_GBK"/>
          <w:b/>
          <w:bCs/>
          <w:kern w:val="0"/>
          <w:sz w:val="32"/>
          <w:szCs w:val="32"/>
          <w:lang w:val="en-US" w:eastAsia="zh-CN"/>
        </w:rPr>
        <w:t>11.夜游漂浮舞台</w:t>
      </w:r>
    </w:p>
    <w:p w14:paraId="393A04C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Style w:val="52"/>
          <w:rFonts w:hint="eastAsia" w:ascii="宋体" w:hAnsi="宋体" w:eastAsia="方正仿宋_GBK" w:cs="方正仿宋_GBK"/>
          <w:b/>
          <w:bCs/>
          <w:sz w:val="32"/>
          <w:szCs w:val="32"/>
          <w:lang w:val="en-US" w:eastAsia="zh-CN"/>
        </w:rPr>
      </w:pPr>
      <w:r>
        <w:rPr>
          <w:rFonts w:hint="eastAsia" w:ascii="宋体" w:hAnsi="宋体" w:eastAsia="方正仿宋_GBK" w:cs="方正仿宋_GBK"/>
          <w:kern w:val="0"/>
          <w:sz w:val="32"/>
          <w:szCs w:val="32"/>
          <w:highlight w:val="none"/>
          <w:lang w:val="en-US" w:eastAsia="zh-CN"/>
        </w:rPr>
        <w:t>以孔雀和当地民族文化为主体设置水上漂浮舞台1组，每天设置多场以芒市当地民族特色的歌舞表演与游客进行互动。‌投资估算‌：400万元/组。</w:t>
      </w:r>
    </w:p>
    <w:p w14:paraId="530EF363">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Style w:val="52"/>
          <w:rFonts w:hint="default" w:ascii="宋体" w:hAnsi="宋体" w:eastAsia="方正仿宋_GBK" w:cs="方正仿宋_GBK"/>
          <w:b/>
          <w:bCs/>
          <w:sz w:val="32"/>
          <w:szCs w:val="32"/>
          <w:highlight w:val="none"/>
          <w:lang w:val="en-US" w:eastAsia="zh-CN"/>
        </w:rPr>
      </w:pPr>
      <w:r>
        <w:rPr>
          <w:rStyle w:val="52"/>
          <w:rFonts w:hint="eastAsia" w:ascii="宋体" w:hAnsi="宋体" w:eastAsia="方正仿宋_GBK" w:cs="方正仿宋_GBK"/>
          <w:b/>
          <w:bCs/>
          <w:sz w:val="32"/>
          <w:szCs w:val="32"/>
          <w:highlight w:val="none"/>
          <w:lang w:val="en-US" w:eastAsia="zh-CN"/>
        </w:rPr>
        <w:t>5.1.2</w:t>
      </w:r>
      <w:r>
        <w:rPr>
          <w:rStyle w:val="52"/>
          <w:rFonts w:hint="default" w:ascii="宋体" w:hAnsi="宋体" w:eastAsia="方正仿宋_GBK" w:cs="方正仿宋_GBK"/>
          <w:b/>
          <w:bCs/>
          <w:sz w:val="32"/>
          <w:szCs w:val="32"/>
          <w:highlight w:val="none"/>
          <w:lang w:val="en-US" w:eastAsia="zh-CN"/>
        </w:rPr>
        <w:t>‌湿地</w:t>
      </w:r>
      <w:r>
        <w:rPr>
          <w:rStyle w:val="52"/>
          <w:rFonts w:hint="eastAsia" w:ascii="宋体" w:hAnsi="宋体" w:eastAsia="方正仿宋_GBK" w:cs="方正仿宋_GBK"/>
          <w:b/>
          <w:bCs/>
          <w:sz w:val="32"/>
          <w:szCs w:val="32"/>
          <w:highlight w:val="none"/>
          <w:lang w:val="en-US" w:eastAsia="zh-CN"/>
        </w:rPr>
        <w:t>、人工浮岛</w:t>
      </w:r>
      <w:r>
        <w:rPr>
          <w:rStyle w:val="52"/>
          <w:rFonts w:hint="default" w:ascii="宋体" w:hAnsi="宋体" w:eastAsia="方正仿宋_GBK" w:cs="方正仿宋_GBK"/>
          <w:b/>
          <w:bCs/>
          <w:sz w:val="32"/>
          <w:szCs w:val="32"/>
          <w:highlight w:val="none"/>
          <w:lang w:val="en-US" w:eastAsia="zh-CN"/>
        </w:rPr>
        <w:t>生态修复及旅游</w:t>
      </w:r>
    </w:p>
    <w:p w14:paraId="5453A516">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default" w:ascii="宋体" w:hAnsi="宋体" w:eastAsia="方正仿宋_GBK" w:cs="方正仿宋_GBK"/>
          <w:kern w:val="0"/>
          <w:sz w:val="32"/>
          <w:szCs w:val="32"/>
          <w:highlight w:val="none"/>
          <w:lang w:val="en-US" w:eastAsia="zh-CN"/>
        </w:rPr>
      </w:pPr>
      <w:r>
        <w:rPr>
          <w:rFonts w:hint="default" w:ascii="宋体" w:hAnsi="宋体" w:eastAsia="方正仿宋_GBK" w:cs="方正仿宋_GBK"/>
          <w:b/>
          <w:bCs/>
          <w:kern w:val="0"/>
          <w:sz w:val="32"/>
          <w:szCs w:val="32"/>
          <w:highlight w:val="none"/>
          <w:lang w:val="en-US" w:eastAsia="zh-CN"/>
        </w:rPr>
        <w:t>‌湿地公园‌：</w:t>
      </w:r>
      <w:r>
        <w:rPr>
          <w:rFonts w:hint="default" w:ascii="宋体" w:hAnsi="宋体" w:eastAsia="方正仿宋_GBK" w:cs="方正仿宋_GBK"/>
          <w:kern w:val="0"/>
          <w:sz w:val="32"/>
          <w:szCs w:val="32"/>
          <w:highlight w:val="none"/>
          <w:lang w:val="en-US" w:eastAsia="zh-CN"/>
        </w:rPr>
        <w:t>利用水库</w:t>
      </w:r>
      <w:r>
        <w:rPr>
          <w:rFonts w:hint="eastAsia" w:ascii="宋体" w:hAnsi="宋体" w:eastAsia="方正仿宋_GBK" w:cs="方正仿宋_GBK"/>
          <w:kern w:val="0"/>
          <w:sz w:val="32"/>
          <w:szCs w:val="32"/>
          <w:highlight w:val="none"/>
          <w:lang w:val="en-US" w:eastAsia="zh-CN"/>
        </w:rPr>
        <w:t>北部</w:t>
      </w:r>
      <w:r>
        <w:rPr>
          <w:rFonts w:hint="default" w:ascii="宋体" w:hAnsi="宋体" w:eastAsia="方正仿宋_GBK" w:cs="方正仿宋_GBK"/>
          <w:kern w:val="0"/>
          <w:sz w:val="32"/>
          <w:szCs w:val="32"/>
          <w:highlight w:val="none"/>
          <w:lang w:val="en-US" w:eastAsia="zh-CN"/>
        </w:rPr>
        <w:t>区域，建设湿地公园，种植水生植物，吸引鸟类和其他野生动物，形成独特的生态景观。</w:t>
      </w:r>
      <w:r>
        <w:rPr>
          <w:rFonts w:hint="eastAsia" w:ascii="宋体" w:hAnsi="宋体" w:eastAsia="方正仿宋_GBK" w:cs="方正仿宋_GBK"/>
          <w:kern w:val="0"/>
          <w:sz w:val="32"/>
          <w:szCs w:val="32"/>
          <w:highlight w:val="none"/>
          <w:lang w:val="en-US" w:eastAsia="zh-CN"/>
        </w:rPr>
        <w:t>投资估算：4000万元。项目资金尽量争取《云南省关于全面推进幸福河湖建设的实施方案》等上级项目资金4000万元，如未能争取上级项目资金则由承包经营商分三年投资建设。</w:t>
      </w:r>
    </w:p>
    <w:p w14:paraId="2B25789C">
      <w:pPr>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b/>
          <w:bCs/>
          <w:kern w:val="0"/>
          <w:sz w:val="32"/>
          <w:szCs w:val="32"/>
          <w:highlight w:val="none"/>
          <w:lang w:val="en-US" w:eastAsia="zh-CN"/>
        </w:rPr>
        <w:t>人工浮岛：</w:t>
      </w:r>
      <w:r>
        <w:rPr>
          <w:rFonts w:hint="eastAsia" w:ascii="宋体" w:hAnsi="宋体" w:eastAsia="方正仿宋_GBK" w:cs="方正仿宋_GBK"/>
          <w:kern w:val="0"/>
          <w:sz w:val="32"/>
          <w:szCs w:val="32"/>
          <w:highlight w:val="none"/>
          <w:lang w:val="en-US" w:eastAsia="zh-CN"/>
        </w:rPr>
        <w:t>在水库深水区设置人工浮岛3座，200</w:t>
      </w:r>
      <w:r>
        <w:rPr>
          <w:rFonts w:hint="eastAsia" w:ascii="方正仿宋_GBK" w:hAnsi="方正仿宋_GBK" w:eastAsia="方正仿宋_GBK" w:cs="方正仿宋_GBK"/>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300m</w:t>
      </w:r>
      <w:r>
        <w:rPr>
          <w:rFonts w:hint="eastAsia" w:ascii="宋体" w:hAnsi="宋体" w:eastAsia="方正仿宋_GBK" w:cs="方正仿宋_GBK"/>
          <w:kern w:val="0"/>
          <w:sz w:val="32"/>
          <w:szCs w:val="32"/>
          <w:highlight w:val="none"/>
          <w:vertAlign w:val="superscript"/>
          <w:lang w:val="en-US" w:eastAsia="zh-CN"/>
        </w:rPr>
        <w:t>2</w:t>
      </w:r>
      <w:r>
        <w:rPr>
          <w:rFonts w:hint="eastAsia" w:ascii="宋体" w:hAnsi="宋体" w:eastAsia="方正仿宋_GBK" w:cs="方正仿宋_GBK"/>
          <w:kern w:val="0"/>
          <w:sz w:val="32"/>
          <w:szCs w:val="32"/>
          <w:highlight w:val="none"/>
          <w:lang w:val="en-US" w:eastAsia="zh-CN"/>
        </w:rPr>
        <w:t>/座，可根据承包运营商水上娱乐项目分区规划便利采用条带状或孤岛状布设，浮岛采用限制漂浮半径的方式固定，实现净化水质、美化水面景观</w:t>
      </w:r>
      <w:r>
        <w:rPr>
          <w:rFonts w:hint="eastAsia" w:ascii="宋体" w:hAnsi="宋体" w:eastAsia="方正仿宋_GBK" w:cs="方正仿宋_GBK"/>
          <w:kern w:val="0"/>
          <w:sz w:val="32"/>
          <w:szCs w:val="32"/>
          <w:lang w:val="en-US" w:eastAsia="zh-CN"/>
        </w:rPr>
        <w:t>、提供水生生物栖息空间及进行环境教育等功能。投资估算300万元。</w:t>
      </w:r>
    </w:p>
    <w:p w14:paraId="0F8817B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kern w:val="0"/>
          <w:sz w:val="32"/>
          <w:szCs w:val="32"/>
          <w:lang w:val="en-US" w:eastAsia="zh-CN"/>
        </w:rPr>
        <w:drawing>
          <wp:inline distT="0" distB="0" distL="114300" distR="114300">
            <wp:extent cx="2841625" cy="1912620"/>
            <wp:effectExtent l="0" t="0" r="15875" b="11430"/>
            <wp:docPr id="25" name="图片 25" descr="3c9aeb76993eb76c749aa531893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c9aeb76993eb76c749aa5318933008"/>
                    <pic:cNvPicPr>
                      <a:picLocks noChangeAspect="1"/>
                    </pic:cNvPicPr>
                  </pic:nvPicPr>
                  <pic:blipFill>
                    <a:blip r:embed="rId31"/>
                    <a:stretch>
                      <a:fillRect/>
                    </a:stretch>
                  </pic:blipFill>
                  <pic:spPr>
                    <a:xfrm>
                      <a:off x="0" y="0"/>
                      <a:ext cx="2841625" cy="1912620"/>
                    </a:xfrm>
                    <a:prstGeom prst="rect">
                      <a:avLst/>
                    </a:prstGeom>
                  </pic:spPr>
                </pic:pic>
              </a:graphicData>
            </a:graphic>
          </wp:inline>
        </w:drawing>
      </w:r>
      <w:r>
        <w:rPr>
          <w:rFonts w:hint="default" w:ascii="宋体" w:hAnsi="宋体" w:eastAsia="方正仿宋_GBK" w:cs="方正仿宋_GBK"/>
          <w:kern w:val="0"/>
          <w:sz w:val="32"/>
          <w:szCs w:val="32"/>
          <w:lang w:val="en-US" w:eastAsia="zh-CN"/>
        </w:rPr>
        <w:drawing>
          <wp:inline distT="0" distB="0" distL="114300" distR="114300">
            <wp:extent cx="2710815" cy="1943735"/>
            <wp:effectExtent l="0" t="0" r="13335" b="18415"/>
            <wp:docPr id="23" name="图片 23" descr="1cf0f68ff16830d644d021121e66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cf0f68ff16830d644d021121e6602a"/>
                    <pic:cNvPicPr>
                      <a:picLocks noChangeAspect="1"/>
                    </pic:cNvPicPr>
                  </pic:nvPicPr>
                  <pic:blipFill>
                    <a:blip r:embed="rId32"/>
                    <a:stretch>
                      <a:fillRect/>
                    </a:stretch>
                  </pic:blipFill>
                  <pic:spPr>
                    <a:xfrm>
                      <a:off x="0" y="0"/>
                      <a:ext cx="2710815" cy="1943735"/>
                    </a:xfrm>
                    <a:prstGeom prst="rect">
                      <a:avLst/>
                    </a:prstGeom>
                  </pic:spPr>
                </pic:pic>
              </a:graphicData>
            </a:graphic>
          </wp:inline>
        </w:drawing>
      </w:r>
    </w:p>
    <w:p w14:paraId="71CFDF64">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28"/>
          <w:szCs w:val="28"/>
          <w:lang w:val="en-US" w:eastAsia="zh-CN"/>
        </w:rPr>
        <w:t>5.1.2-1人工生态浮岛案例照片</w:t>
      </w:r>
    </w:p>
    <w:p w14:paraId="46B42C72">
      <w:pPr>
        <w:keepNext w:val="0"/>
        <w:keepLines w:val="0"/>
        <w:pageBreakBefore w:val="0"/>
        <w:widowControl w:val="0"/>
        <w:kinsoku/>
        <w:wordWrap/>
        <w:overflowPunct/>
        <w:topLinePunct w:val="0"/>
        <w:autoSpaceDE w:val="0"/>
        <w:autoSpaceDN w:val="0"/>
        <w:bidi w:val="0"/>
        <w:adjustRightInd w:val="0"/>
        <w:snapToGrid/>
        <w:spacing w:line="360" w:lineRule="auto"/>
        <w:ind w:firstLine="643"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b/>
          <w:bCs/>
          <w:kern w:val="0"/>
          <w:sz w:val="32"/>
          <w:szCs w:val="32"/>
          <w:lang w:val="en-US" w:eastAsia="zh-CN"/>
        </w:rPr>
        <w:t>‌科普教育‌：</w:t>
      </w:r>
      <w:r>
        <w:rPr>
          <w:rFonts w:hint="default" w:ascii="宋体" w:hAnsi="宋体" w:eastAsia="方正仿宋_GBK" w:cs="方正仿宋_GBK"/>
          <w:kern w:val="0"/>
          <w:sz w:val="32"/>
          <w:szCs w:val="32"/>
          <w:lang w:val="en-US" w:eastAsia="zh-CN"/>
        </w:rPr>
        <w:t>设立</w:t>
      </w:r>
      <w:r>
        <w:rPr>
          <w:rFonts w:hint="eastAsia" w:ascii="宋体" w:hAnsi="宋体" w:eastAsia="方正仿宋_GBK" w:cs="方正仿宋_GBK"/>
          <w:kern w:val="0"/>
          <w:sz w:val="32"/>
          <w:szCs w:val="32"/>
          <w:lang w:val="en-US" w:eastAsia="zh-CN"/>
        </w:rPr>
        <w:t>在湿地栈道建立文化宣传长廊</w:t>
      </w:r>
      <w:r>
        <w:rPr>
          <w:rFonts w:hint="default" w:ascii="宋体" w:hAnsi="宋体" w:eastAsia="方正仿宋_GBK" w:cs="方正仿宋_GBK"/>
          <w:kern w:val="0"/>
          <w:sz w:val="32"/>
          <w:szCs w:val="32"/>
          <w:lang w:val="en-US" w:eastAsia="zh-CN"/>
        </w:rPr>
        <w:t>，开展湿地生态、水产养殖</w:t>
      </w:r>
      <w:r>
        <w:rPr>
          <w:rFonts w:hint="eastAsia" w:ascii="宋体" w:hAnsi="宋体" w:eastAsia="方正仿宋_GBK" w:cs="方正仿宋_GBK"/>
          <w:kern w:val="0"/>
          <w:sz w:val="32"/>
          <w:szCs w:val="32"/>
          <w:lang w:val="en-US" w:eastAsia="zh-CN"/>
        </w:rPr>
        <w:t>、水利文化、当地少数民族文化体验宣传</w:t>
      </w:r>
      <w:r>
        <w:rPr>
          <w:rFonts w:hint="default" w:ascii="宋体" w:hAnsi="宋体" w:eastAsia="方正仿宋_GBK" w:cs="方正仿宋_GBK"/>
          <w:kern w:val="0"/>
          <w:sz w:val="32"/>
          <w:szCs w:val="32"/>
          <w:lang w:val="en-US" w:eastAsia="zh-CN"/>
        </w:rPr>
        <w:t>等知识普及活动，提高公众环保意识。</w:t>
      </w:r>
      <w:r>
        <w:rPr>
          <w:rFonts w:hint="eastAsia" w:ascii="宋体" w:hAnsi="宋体" w:eastAsia="方正仿宋_GBK" w:cs="方正仿宋_GBK"/>
          <w:kern w:val="0"/>
          <w:sz w:val="32"/>
          <w:szCs w:val="32"/>
          <w:lang w:val="en-US" w:eastAsia="zh-CN"/>
        </w:rPr>
        <w:t>概算投资50万元。</w:t>
      </w:r>
    </w:p>
    <w:p w14:paraId="69597077">
      <w:pPr>
        <w:keepNext w:val="0"/>
        <w:keepLines w:val="0"/>
        <w:pageBreakBefore w:val="0"/>
        <w:kinsoku/>
        <w:wordWrap/>
        <w:overflowPunct/>
        <w:topLinePunct w:val="0"/>
        <w:autoSpaceDE/>
        <w:autoSpaceDN/>
        <w:bidi w:val="0"/>
        <w:adjustRightInd/>
        <w:snapToGrid/>
        <w:spacing w:beforeAutospacing="0" w:afterAutospacing="0" w:line="560" w:lineRule="exact"/>
        <w:textAlignment w:val="auto"/>
        <w:outlineLvl w:val="1"/>
        <w:rPr>
          <w:rFonts w:hint="eastAsia" w:ascii="宋体" w:hAnsi="宋体" w:eastAsia="方正仿宋_GBK" w:cs="方正仿宋_GBK"/>
          <w:b/>
          <w:bCs w:val="0"/>
          <w:sz w:val="32"/>
          <w:szCs w:val="32"/>
          <w:highlight w:val="none"/>
          <w:lang w:val="en-US" w:eastAsia="zh-CN"/>
        </w:rPr>
      </w:pPr>
      <w:bookmarkStart w:id="120" w:name="_Toc9356"/>
      <w:r>
        <w:rPr>
          <w:rFonts w:hint="eastAsia" w:ascii="宋体" w:hAnsi="宋体" w:eastAsia="方正仿宋_GBK" w:cs="方正仿宋_GBK"/>
          <w:b/>
          <w:bCs w:val="0"/>
          <w:sz w:val="32"/>
          <w:szCs w:val="32"/>
          <w:highlight w:val="none"/>
          <w:lang w:val="en-US" w:eastAsia="zh-CN"/>
        </w:rPr>
        <w:t>5.1.4基础设施建设</w:t>
      </w:r>
      <w:bookmarkEnd w:id="120"/>
    </w:p>
    <w:p w14:paraId="2F33811A">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一是停车场设置，初步规划停放200辆汽车，占地面积至少1800～2500m</w:t>
      </w:r>
      <w:r>
        <w:rPr>
          <w:rFonts w:hint="default" w:ascii="宋体" w:hAnsi="宋体" w:eastAsia="方正仿宋_GBK" w:cs="方正仿宋_GBK"/>
          <w:kern w:val="0"/>
          <w:sz w:val="32"/>
          <w:szCs w:val="32"/>
          <w:vertAlign w:val="superscript"/>
          <w:lang w:val="en-US" w:eastAsia="zh-CN"/>
        </w:rPr>
        <w:t>2</w:t>
      </w:r>
      <w:r>
        <w:rPr>
          <w:rFonts w:hint="eastAsia" w:ascii="宋体" w:hAnsi="宋体" w:eastAsia="方正仿宋_GBK" w:cs="方正仿宋_GBK"/>
          <w:kern w:val="0"/>
          <w:sz w:val="32"/>
          <w:szCs w:val="32"/>
          <w:lang w:val="en-US" w:eastAsia="zh-CN"/>
        </w:rPr>
        <w:t>，需要投入38万元。二是安全救生设备及警示牌、自来水电缆及卫生设施等投入100万元。三是水库部分库区需要进行人工清淤，清扫库内垃圾等，约需投入资金35万元。四是水面设置水上卡丁车</w:t>
      </w:r>
      <w:r>
        <w:rPr>
          <w:rFonts w:hint="eastAsia" w:ascii="宋体" w:hAnsi="宋体" w:eastAsia="方正仿宋_GBK" w:cs="方正仿宋_GBK"/>
          <w:kern w:val="0"/>
          <w:sz w:val="32"/>
          <w:szCs w:val="32"/>
          <w:highlight w:val="none"/>
          <w:lang w:val="en-US" w:eastAsia="zh-CN"/>
        </w:rPr>
        <w:t>航道宽度15米，最小水深1.5米，约需投入资金10万元。五是设置票务系统1套，投资估算约12.8万元。六是翻修游客服务中心，面积约200m</w:t>
      </w:r>
      <w:r>
        <w:rPr>
          <w:rFonts w:hint="eastAsia" w:ascii="宋体" w:hAnsi="宋体" w:eastAsia="方正仿宋_GBK" w:cs="方正仿宋_GBK"/>
          <w:kern w:val="0"/>
          <w:sz w:val="32"/>
          <w:szCs w:val="32"/>
          <w:highlight w:val="none"/>
          <w:vertAlign w:val="superscript"/>
          <w:lang w:val="en-US" w:eastAsia="zh-CN"/>
        </w:rPr>
        <w:t>2</w:t>
      </w:r>
      <w:r>
        <w:rPr>
          <w:rFonts w:hint="eastAsia" w:ascii="宋体" w:hAnsi="宋体" w:eastAsia="方正仿宋_GBK" w:cs="方正仿宋_GBK"/>
          <w:kern w:val="0"/>
          <w:sz w:val="32"/>
          <w:szCs w:val="32"/>
          <w:highlight w:val="none"/>
          <w:lang w:val="en-US" w:eastAsia="zh-CN"/>
        </w:rPr>
        <w:t>；各游玩点设置游客服务站点及更衣室，面积50</w:t>
      </w:r>
      <w:r>
        <w:rPr>
          <w:rFonts w:hint="eastAsia" w:ascii="方正仿宋_GBK" w:hAnsi="方正仿宋_GBK" w:eastAsia="方正仿宋_GBK" w:cs="方正仿宋_GBK"/>
          <w:kern w:val="0"/>
          <w:sz w:val="32"/>
          <w:szCs w:val="32"/>
          <w:highlight w:val="none"/>
          <w:lang w:val="en-US" w:eastAsia="zh-CN"/>
        </w:rPr>
        <w:t>~</w:t>
      </w:r>
      <w:r>
        <w:rPr>
          <w:rFonts w:hint="eastAsia" w:ascii="宋体" w:hAnsi="宋体" w:eastAsia="方正仿宋_GBK" w:cs="方正仿宋_GBK"/>
          <w:kern w:val="0"/>
          <w:sz w:val="32"/>
          <w:szCs w:val="32"/>
          <w:highlight w:val="none"/>
          <w:lang w:val="en-US" w:eastAsia="zh-CN"/>
        </w:rPr>
        <w:t>100m</w:t>
      </w:r>
      <w:r>
        <w:rPr>
          <w:rFonts w:hint="eastAsia" w:ascii="宋体" w:hAnsi="宋体" w:eastAsia="方正仿宋_GBK" w:cs="方正仿宋_GBK"/>
          <w:kern w:val="0"/>
          <w:sz w:val="32"/>
          <w:szCs w:val="32"/>
          <w:highlight w:val="none"/>
          <w:vertAlign w:val="superscript"/>
          <w:lang w:val="en-US" w:eastAsia="zh-CN"/>
        </w:rPr>
        <w:t>2</w:t>
      </w:r>
      <w:r>
        <w:rPr>
          <w:rFonts w:hint="eastAsia" w:ascii="宋体" w:hAnsi="宋体" w:eastAsia="方正仿宋_GBK" w:cs="方正仿宋_GBK"/>
          <w:kern w:val="0"/>
          <w:sz w:val="32"/>
          <w:szCs w:val="32"/>
          <w:highlight w:val="none"/>
          <w:lang w:val="en-US" w:eastAsia="zh-CN"/>
        </w:rPr>
        <w:t>/个；各个水上娱乐项目需配套漂浮码头，总面积800m</w:t>
      </w:r>
      <w:r>
        <w:rPr>
          <w:rFonts w:hint="eastAsia" w:ascii="宋体" w:hAnsi="宋体" w:eastAsia="方正仿宋_GBK" w:cs="方正仿宋_GBK"/>
          <w:kern w:val="0"/>
          <w:sz w:val="32"/>
          <w:szCs w:val="32"/>
          <w:highlight w:val="none"/>
          <w:vertAlign w:val="superscript"/>
          <w:lang w:val="en-US" w:eastAsia="zh-CN"/>
        </w:rPr>
        <w:t>2</w:t>
      </w:r>
      <w:r>
        <w:rPr>
          <w:rFonts w:hint="eastAsia" w:ascii="宋体" w:hAnsi="宋体" w:eastAsia="方正仿宋_GBK" w:cs="方正仿宋_GBK"/>
          <w:kern w:val="0"/>
          <w:sz w:val="32"/>
          <w:szCs w:val="32"/>
          <w:highlight w:val="none"/>
          <w:lang w:val="en-US" w:eastAsia="zh-CN"/>
        </w:rPr>
        <w:t>；上述投资估算分别为游客服务中心翻修50万元、游客服务站点建设150万元、漂浮码头255万元。</w:t>
      </w:r>
      <w:r>
        <w:rPr>
          <w:rFonts w:hint="eastAsia" w:ascii="宋体" w:hAnsi="宋体" w:eastAsia="方正仿宋_GBK" w:cs="方正仿宋_GBK"/>
          <w:kern w:val="0"/>
          <w:sz w:val="32"/>
          <w:szCs w:val="32"/>
          <w:lang w:val="en-US" w:eastAsia="zh-CN"/>
        </w:rPr>
        <w:t>。</w:t>
      </w:r>
    </w:p>
    <w:p w14:paraId="0B63A86A">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default" w:ascii="宋体" w:hAnsi="宋体" w:eastAsia="方正仿宋_GBK" w:cs="方正仿宋_GBK"/>
          <w:kern w:val="0"/>
          <w:sz w:val="32"/>
          <w:szCs w:val="32"/>
          <w:lang w:val="en-US" w:eastAsia="zh-CN"/>
        </w:rPr>
      </w:pPr>
      <w:r>
        <w:rPr>
          <w:rFonts w:hint="default" w:ascii="宋体" w:hAnsi="宋体" w:eastAsia="方正仿宋_GBK" w:cs="方正仿宋_GBK"/>
          <w:kern w:val="0"/>
          <w:sz w:val="32"/>
          <w:szCs w:val="32"/>
          <w:lang w:val="en-US" w:eastAsia="zh-CN"/>
        </w:rPr>
        <w:t>本项投入小计</w:t>
      </w:r>
      <w:r>
        <w:rPr>
          <w:rFonts w:hint="eastAsia" w:ascii="宋体" w:hAnsi="宋体" w:eastAsia="方正仿宋_GBK" w:cs="方正仿宋_GBK"/>
          <w:kern w:val="0"/>
          <w:sz w:val="32"/>
          <w:szCs w:val="32"/>
          <w:lang w:val="en-US" w:eastAsia="zh-CN"/>
        </w:rPr>
        <w:t>约650.8</w:t>
      </w:r>
      <w:r>
        <w:rPr>
          <w:rFonts w:hint="default" w:ascii="宋体" w:hAnsi="宋体" w:eastAsia="方正仿宋_GBK" w:cs="方正仿宋_GBK"/>
          <w:kern w:val="0"/>
          <w:sz w:val="32"/>
          <w:szCs w:val="32"/>
          <w:lang w:val="en-US" w:eastAsia="zh-CN"/>
        </w:rPr>
        <w:t>万元。</w:t>
      </w:r>
    </w:p>
    <w:p w14:paraId="6DD85888">
      <w:pPr>
        <w:keepNext w:val="0"/>
        <w:keepLines w:val="0"/>
        <w:pageBreakBefore w:val="0"/>
        <w:kinsoku/>
        <w:wordWrap/>
        <w:overflowPunct/>
        <w:topLinePunct w:val="0"/>
        <w:autoSpaceDE/>
        <w:autoSpaceDN/>
        <w:bidi w:val="0"/>
        <w:adjustRightInd/>
        <w:snapToGrid/>
        <w:spacing w:beforeAutospacing="0" w:afterAutospacing="0" w:line="560" w:lineRule="exact"/>
        <w:textAlignment w:val="auto"/>
        <w:outlineLvl w:val="1"/>
        <w:rPr>
          <w:rFonts w:hint="eastAsia" w:ascii="宋体" w:hAnsi="宋体" w:eastAsia="方正仿宋_GBK" w:cs="方正仿宋_GBK"/>
          <w:b/>
          <w:bCs w:val="0"/>
          <w:sz w:val="32"/>
          <w:szCs w:val="32"/>
          <w:highlight w:val="none"/>
          <w:lang w:val="en-US" w:eastAsia="zh-CN"/>
        </w:rPr>
      </w:pPr>
      <w:bookmarkStart w:id="121" w:name="_Toc1948"/>
      <w:r>
        <w:rPr>
          <w:rFonts w:hint="eastAsia" w:ascii="宋体" w:hAnsi="宋体" w:eastAsia="方正仿宋_GBK" w:cs="方正仿宋_GBK"/>
          <w:b/>
          <w:bCs w:val="0"/>
          <w:sz w:val="32"/>
          <w:szCs w:val="32"/>
          <w:highlight w:val="none"/>
          <w:lang w:val="en-US" w:eastAsia="zh-CN"/>
        </w:rPr>
        <w:t>5.1.5水库景观打造投入</w:t>
      </w:r>
      <w:bookmarkEnd w:id="121"/>
      <w:r>
        <w:rPr>
          <w:rFonts w:hint="eastAsia" w:ascii="宋体" w:hAnsi="宋体" w:eastAsia="方正仿宋_GBK" w:cs="方正仿宋_GBK"/>
          <w:b/>
          <w:bCs w:val="0"/>
          <w:sz w:val="32"/>
          <w:szCs w:val="32"/>
          <w:highlight w:val="none"/>
          <w:lang w:val="en-US" w:eastAsia="zh-CN"/>
        </w:rPr>
        <w:t xml:space="preserve"> </w:t>
      </w:r>
    </w:p>
    <w:p w14:paraId="7D7D7149">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水库景观主要有两个方面，一是岸边樱花、凤凰花等种植投入（直径10cm、高2.5m，共800株）24万元；二是沿岸水生植物栽培，芦苇、鸢尾花、沉水植物种植（苦草、狐尾藻）等100亩，需投入200万元。</w:t>
      </w:r>
    </w:p>
    <w:p w14:paraId="31C4C687">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本项投入小计224万元。</w:t>
      </w:r>
      <w:bookmarkStart w:id="122" w:name="_Toc31463"/>
      <w:bookmarkStart w:id="123" w:name="_Toc15189"/>
      <w:bookmarkStart w:id="124" w:name="_Toc4312"/>
      <w:bookmarkStart w:id="125" w:name="_Toc14068"/>
    </w:p>
    <w:p w14:paraId="315A6E8F">
      <w:pPr>
        <w:rPr>
          <w:rFonts w:hint="eastAsia"/>
        </w:rPr>
      </w:pPr>
      <w:r>
        <w:rPr>
          <w:rFonts w:hint="eastAsia" w:ascii="宋体" w:hAnsi="宋体" w:eastAsia="方正仿宋_GBK" w:cs="方正仿宋_GBK"/>
          <w:b/>
          <w:bCs w:val="0"/>
          <w:sz w:val="32"/>
          <w:szCs w:val="32"/>
          <w:highlight w:val="none"/>
          <w:lang w:val="en-US" w:eastAsia="zh-CN"/>
        </w:rPr>
        <w:t>5.1.6运营预备金</w:t>
      </w:r>
      <w:r>
        <w:rPr>
          <w:rFonts w:hint="eastAsia"/>
        </w:rPr>
        <w:t>‌</w:t>
      </w:r>
    </w:p>
    <w:p w14:paraId="0CE24BBA">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‌应急维护基金‌：设备年度检修、水质突发事件处理，预算 50万元/年。</w:t>
      </w:r>
    </w:p>
    <w:p w14:paraId="2A855955">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‌市场推广费用‌：首年线上营销（短视频平台+OTA合作），预算 100万元。</w:t>
      </w:r>
    </w:p>
    <w:p w14:paraId="72ADFB5A">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‌年运营成本‌：人工按30人计算，平均工资5000元/月= 180万元‌。</w:t>
      </w:r>
    </w:p>
    <w:p w14:paraId="15669527">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综上分析，投资总成本（包含运营期成本）约为1.18亿元，投资经营商可根据资金情况分期进行投资建设，具体见下表。</w:t>
      </w:r>
    </w:p>
    <w:p w14:paraId="0C1C9DAA">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default" w:ascii="宋体" w:hAnsi="宋体" w:eastAsia="方正仿宋_GBK" w:cs="方正仿宋_GBK"/>
          <w:kern w:val="0"/>
          <w:sz w:val="32"/>
          <w:szCs w:val="32"/>
          <w:highlight w:val="none"/>
          <w:lang w:val="en-US" w:eastAsia="zh-CN"/>
        </w:rPr>
      </w:pPr>
    </w:p>
    <w:p w14:paraId="5A15D129">
      <w:pPr>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val="0"/>
          <w:sz w:val="32"/>
          <w:szCs w:val="32"/>
          <w:lang w:val="en-US" w:eastAsia="zh-CN"/>
        </w:rPr>
        <w:sectPr>
          <w:pgSz w:w="11906" w:h="16838"/>
          <w:pgMar w:top="2098" w:right="1474" w:bottom="1984" w:left="1587" w:header="851" w:footer="992" w:gutter="0"/>
          <w:pgNumType w:fmt="decimal" w:start="1"/>
          <w:cols w:space="720" w:num="1"/>
          <w:docGrid w:type="lines" w:linePitch="312" w:charSpace="0"/>
        </w:sectPr>
      </w:pPr>
    </w:p>
    <w:p w14:paraId="1716745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方正仿宋_GBK" w:cs="方正仿宋_GBK"/>
          <w:b/>
          <w:bCs w:val="0"/>
          <w:sz w:val="32"/>
          <w:szCs w:val="32"/>
          <w:lang w:val="en-US" w:eastAsia="zh-CN"/>
        </w:rPr>
        <w:sectPr>
          <w:pgSz w:w="23811" w:h="16838" w:orient="landscape"/>
          <w:pgMar w:top="1587" w:right="2098" w:bottom="1474" w:left="1984" w:header="851" w:footer="992" w:gutter="0"/>
          <w:pgNumType w:fmt="decimal"/>
          <w:cols w:space="720" w:num="1"/>
          <w:docGrid w:type="lines" w:linePitch="312" w:charSpace="0"/>
        </w:sectPr>
      </w:pPr>
      <w:r>
        <w:drawing>
          <wp:inline distT="0" distB="0" distL="114300" distR="114300">
            <wp:extent cx="12520295" cy="3180715"/>
            <wp:effectExtent l="0" t="0" r="14605"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3"/>
                    <a:stretch>
                      <a:fillRect/>
                    </a:stretch>
                  </pic:blipFill>
                  <pic:spPr>
                    <a:xfrm>
                      <a:off x="0" y="0"/>
                      <a:ext cx="12520295" cy="3180715"/>
                    </a:xfrm>
                    <a:prstGeom prst="rect">
                      <a:avLst/>
                    </a:prstGeom>
                    <a:noFill/>
                    <a:ln>
                      <a:noFill/>
                    </a:ln>
                  </pic:spPr>
                </pic:pic>
              </a:graphicData>
            </a:graphic>
          </wp:inline>
        </w:drawing>
      </w:r>
    </w:p>
    <w:p w14:paraId="330A8669">
      <w:pPr>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val="0"/>
          <w:bCs/>
          <w:sz w:val="32"/>
          <w:szCs w:val="32"/>
        </w:rPr>
      </w:pPr>
      <w:bookmarkStart w:id="126" w:name="_Toc19646"/>
      <w:r>
        <w:rPr>
          <w:rFonts w:hint="eastAsia" w:ascii="宋体" w:hAnsi="宋体" w:eastAsia="方正仿宋_GBK" w:cs="方正仿宋_GBK"/>
          <w:b/>
          <w:bCs w:val="0"/>
          <w:sz w:val="32"/>
          <w:szCs w:val="32"/>
          <w:lang w:val="en-US" w:eastAsia="zh-CN"/>
        </w:rPr>
        <w:t>5</w:t>
      </w:r>
      <w:r>
        <w:rPr>
          <w:rFonts w:hint="eastAsia" w:ascii="宋体" w:hAnsi="宋体" w:eastAsia="方正仿宋_GBK" w:cs="方正仿宋_GBK"/>
          <w:b/>
          <w:bCs w:val="0"/>
          <w:sz w:val="32"/>
          <w:szCs w:val="32"/>
        </w:rPr>
        <w:t>.2项目开发</w:t>
      </w:r>
      <w:r>
        <w:rPr>
          <w:rFonts w:hint="eastAsia" w:ascii="宋体" w:hAnsi="宋体" w:eastAsia="方正仿宋_GBK" w:cs="方正仿宋_GBK"/>
          <w:b/>
          <w:bCs w:val="0"/>
          <w:sz w:val="32"/>
          <w:szCs w:val="32"/>
          <w:lang w:val="en-US" w:eastAsia="zh-CN"/>
        </w:rPr>
        <w:t>资金筹措、总成本测算与预期</w:t>
      </w:r>
      <w:r>
        <w:rPr>
          <w:rFonts w:hint="eastAsia" w:ascii="宋体" w:hAnsi="宋体" w:eastAsia="方正仿宋_GBK" w:cs="方正仿宋_GBK"/>
          <w:b/>
          <w:bCs w:val="0"/>
          <w:sz w:val="32"/>
          <w:szCs w:val="32"/>
        </w:rPr>
        <w:t>收益分析</w:t>
      </w:r>
      <w:bookmarkEnd w:id="122"/>
      <w:bookmarkEnd w:id="123"/>
      <w:bookmarkEnd w:id="124"/>
      <w:bookmarkEnd w:id="125"/>
      <w:bookmarkEnd w:id="126"/>
    </w:p>
    <w:p w14:paraId="15CF7182">
      <w:pPr>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lang w:val="en-US" w:eastAsia="zh-CN"/>
        </w:rPr>
      </w:pPr>
      <w:bookmarkStart w:id="127" w:name="_Toc5401"/>
      <w:bookmarkStart w:id="128" w:name="_Toc3828"/>
      <w:bookmarkStart w:id="129" w:name="_Toc8811"/>
      <w:bookmarkStart w:id="130" w:name="_Toc22940"/>
      <w:r>
        <w:rPr>
          <w:rFonts w:hint="eastAsia" w:ascii="宋体" w:hAnsi="宋体" w:eastAsia="方正仿宋_GBK" w:cs="方正仿宋_GBK"/>
          <w:b/>
          <w:sz w:val="32"/>
          <w:szCs w:val="32"/>
          <w:lang w:val="en-US" w:eastAsia="zh-CN"/>
        </w:rPr>
        <w:t>5.2.1 资金结构‌</w:t>
      </w:r>
    </w:p>
    <w:p w14:paraId="55F67F93">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一是可以采用政府与社会资本联合经营模式，‌政府拨款30%（生态修复专项补贴）、‌社会资本50%（文旅企业联合投资）、‌银行贷款20%（10年期低息贷款）。</w:t>
      </w:r>
    </w:p>
    <w:p w14:paraId="406939D6">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二是由社会资本自主全额投资经营模式，私营企业负责项目的融资、建设及特许期内的运营，期满后将设施无偿移交给政府。</w:t>
      </w:r>
    </w:p>
    <w:p w14:paraId="21F62332">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default"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无论任何经营模式，湿地、栈道及生态浮岛建设资金作为实现水库生态保护修复的投资部分，不计效益，仅做水面开发项目效益分析。</w:t>
      </w:r>
    </w:p>
    <w:p w14:paraId="05CBC593">
      <w:pPr>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lang w:val="en-US" w:eastAsia="zh-CN"/>
        </w:rPr>
      </w:pPr>
      <w:r>
        <w:rPr>
          <w:rFonts w:hint="eastAsia" w:ascii="宋体" w:hAnsi="宋体" w:eastAsia="方正仿宋_GBK" w:cs="方正仿宋_GBK"/>
          <w:b/>
          <w:sz w:val="32"/>
          <w:szCs w:val="32"/>
          <w:lang w:val="en-US" w:eastAsia="zh-CN"/>
        </w:rPr>
        <w:t>5.2.2营运政策导向分析</w:t>
      </w:r>
    </w:p>
    <w:p w14:paraId="4F75B27B">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近年来，中央定调全国以经济建设为中心的格局已经很明朗，创新管理模式，整合现有国控资源，挖掘财税营收潜力，是目前各级政府发展经济的工作重心。政府要着力打造营商环境，鼎力支持企业谋发展，政府与企业之间要相互理解、尊重、信任，其次要完善营商法治环境，政府依法行政，企业依法经营，共同建立公开、透明、守信的社会信用制度，只有建立起良好的营商环境，企业才能取得长足发展。</w:t>
      </w:r>
    </w:p>
    <w:p w14:paraId="0A81BB83">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放眼国内沿海发达地区的做法，大胆长线租赁整合、开发水域资源，深度挖掘乡村振兴产业的潜力。如浙江青田县将蓄水工程管理与综合经营分开来，完善租赁合同，将综合经营权租赁给民营20年的期限，这是一种大胆的尝试，给经营者一个大的发展和运作空间，经营者也才敢大胆的投资。</w:t>
      </w:r>
    </w:p>
    <w:p w14:paraId="5F6600E9">
      <w:pPr>
        <w:pageBreakBefore w:val="0"/>
        <w:widowControl w:val="0"/>
        <w:kinsoku/>
        <w:wordWrap/>
        <w:overflowPunct/>
        <w:topLinePunct w:val="0"/>
        <w:autoSpaceDE w:val="0"/>
        <w:autoSpaceDN w:val="0"/>
        <w:bidi w:val="0"/>
        <w:adjustRightInd w:val="0"/>
        <w:snapToGrid/>
        <w:spacing w:line="560" w:lineRule="exact"/>
        <w:textAlignment w:val="auto"/>
        <w:outlineLvl w:val="2"/>
        <w:rPr>
          <w:rFonts w:hint="default" w:ascii="宋体" w:hAnsi="宋体" w:eastAsia="方正仿宋_GBK" w:cs="方正仿宋_GBK"/>
          <w:b/>
          <w:sz w:val="32"/>
          <w:szCs w:val="32"/>
          <w:lang w:val="en-US" w:eastAsia="zh-CN"/>
        </w:rPr>
      </w:pPr>
      <w:r>
        <w:rPr>
          <w:rFonts w:hint="eastAsia" w:ascii="宋体" w:hAnsi="宋体" w:eastAsia="方正仿宋_GBK" w:cs="方正仿宋_GBK"/>
          <w:b/>
          <w:sz w:val="32"/>
          <w:szCs w:val="32"/>
          <w:lang w:val="en-US" w:eastAsia="zh-CN"/>
        </w:rPr>
        <w:t>5</w:t>
      </w:r>
      <w:r>
        <w:rPr>
          <w:rFonts w:hint="eastAsia" w:ascii="宋体" w:hAnsi="宋体" w:eastAsia="方正仿宋_GBK" w:cs="方正仿宋_GBK"/>
          <w:b/>
          <w:sz w:val="32"/>
          <w:szCs w:val="32"/>
        </w:rPr>
        <w:t>.2.</w:t>
      </w:r>
      <w:bookmarkEnd w:id="127"/>
      <w:bookmarkEnd w:id="128"/>
      <w:bookmarkEnd w:id="129"/>
      <w:bookmarkEnd w:id="130"/>
      <w:r>
        <w:rPr>
          <w:rFonts w:hint="eastAsia" w:ascii="宋体" w:hAnsi="宋体" w:eastAsia="方正仿宋_GBK" w:cs="方正仿宋_GBK"/>
          <w:b/>
          <w:sz w:val="32"/>
          <w:szCs w:val="32"/>
          <w:lang w:val="en-US" w:eastAsia="zh-CN"/>
        </w:rPr>
        <w:t>3水面开发项目预期收益分析</w:t>
      </w:r>
    </w:p>
    <w:p w14:paraId="61513609">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default" w:ascii="宋体" w:hAnsi="宋体" w:eastAsia="方正仿宋_GBK" w:cs="方正仿宋_GBK"/>
          <w:kern w:val="0"/>
          <w:sz w:val="32"/>
          <w:szCs w:val="32"/>
          <w:highlight w:val="none"/>
          <w:lang w:val="en-US" w:eastAsia="zh-CN"/>
        </w:rPr>
      </w:pPr>
      <w:bookmarkStart w:id="131" w:name="_Toc26972"/>
      <w:bookmarkStart w:id="132" w:name="_Toc8019"/>
      <w:bookmarkStart w:id="133" w:name="_Toc7131"/>
      <w:bookmarkStart w:id="134" w:name="_Toc1133"/>
      <w:r>
        <w:rPr>
          <w:rFonts w:hint="eastAsia" w:ascii="宋体" w:hAnsi="宋体" w:eastAsia="方正仿宋_GBK" w:cs="方正仿宋_GBK"/>
          <w:kern w:val="0"/>
          <w:sz w:val="32"/>
          <w:szCs w:val="32"/>
          <w:highlight w:val="none"/>
          <w:lang w:val="en-US" w:eastAsia="zh-CN"/>
        </w:rPr>
        <w:t>根据水库调度运行计划，运行期全年按345天营业期进行计算。</w:t>
      </w:r>
    </w:p>
    <w:p w14:paraId="7F97223D">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1.停车场收益。按摩托车3元/辆、3.45万辆/年计算，收益10.35万元/年；小车5元/天、10万辆/年计算，收益50万元/年；旅游大巴10元/天、1.2万辆/年计算，收益12万元/年；摆渡车收益按5元/人、15万人/年计算，收益75万元/年。本项收益小计147.35万元/年。</w:t>
      </w:r>
    </w:p>
    <w:p w14:paraId="5636F112">
      <w:pPr>
        <w:keepNext w:val="0"/>
        <w:keepLines w:val="0"/>
        <w:pageBreakBefore w:val="0"/>
        <w:widowControl w:val="0"/>
        <w:kinsoku/>
        <w:wordWrap/>
        <w:overflowPunct/>
        <w:topLinePunct w:val="0"/>
        <w:autoSpaceDE w:val="0"/>
        <w:autoSpaceDN w:val="0"/>
        <w:bidi w:val="0"/>
        <w:adjustRightInd w:val="0"/>
        <w:snapToGrid/>
        <w:spacing w:line="360" w:lineRule="auto"/>
        <w:ind w:firstLine="640" w:firstLineChars="200"/>
        <w:textAlignment w:val="auto"/>
        <w:rPr>
          <w:rFonts w:hint="eastAsia" w:ascii="宋体" w:hAnsi="宋体" w:eastAsia="方正仿宋_GBK" w:cs="方正仿宋_GBK"/>
          <w:kern w:val="0"/>
          <w:sz w:val="32"/>
          <w:szCs w:val="32"/>
          <w:highlight w:val="none"/>
          <w:lang w:val="en-US" w:eastAsia="zh-CN"/>
        </w:rPr>
      </w:pPr>
      <w:r>
        <w:rPr>
          <w:rFonts w:hint="eastAsia" w:ascii="宋体" w:hAnsi="宋体" w:eastAsia="方正仿宋_GBK" w:cs="方正仿宋_GBK"/>
          <w:kern w:val="0"/>
          <w:sz w:val="32"/>
          <w:szCs w:val="32"/>
          <w:highlight w:val="none"/>
          <w:lang w:val="en-US" w:eastAsia="zh-CN"/>
        </w:rPr>
        <w:t>2.亲水游乐项目收益。孔雀造型休闲游船游湖售票收益20元/人，按15万人次/年计算，收益300万元/年；飞跃孔雀湖售票收益10元/人，按10万人次/年计算，收益100万元/年；水上飞人售票收益80元/人，按10万人次/年，计算，收益800万元/年；水上拖曳卡通仓售票收益20元/人，按20万人次/年计算，收益400万元/年；水上卡丁车售票收益40元/人，按15万人次/年计算，收益600万元/年；水上皮划艇售票收益20元/人，按20万人次/年计算，收益400万元/年；水上卡通城堡售票收益30元/人，按20万人次/年计算，收益600万元/年；水上漂流民宿售票收益680元/房船（按70%满房率计算，收益82.11万元/年。本项收益小计3282.11万元/年。</w:t>
      </w:r>
    </w:p>
    <w:p w14:paraId="590C94DA">
      <w:pPr>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val="0"/>
          <w:sz w:val="32"/>
          <w:szCs w:val="32"/>
        </w:rPr>
      </w:pPr>
      <w:bookmarkStart w:id="135" w:name="_Toc19285"/>
      <w:r>
        <w:rPr>
          <w:rFonts w:hint="eastAsia" w:ascii="宋体" w:hAnsi="宋体" w:eastAsia="方正仿宋_GBK" w:cs="方正仿宋_GBK"/>
          <w:b/>
          <w:bCs w:val="0"/>
          <w:sz w:val="32"/>
          <w:szCs w:val="32"/>
          <w:lang w:val="en-US" w:eastAsia="zh-CN"/>
        </w:rPr>
        <w:t>5</w:t>
      </w:r>
      <w:r>
        <w:rPr>
          <w:rFonts w:hint="eastAsia" w:ascii="宋体" w:hAnsi="宋体" w:eastAsia="方正仿宋_GBK" w:cs="方正仿宋_GBK"/>
          <w:b/>
          <w:bCs w:val="0"/>
          <w:sz w:val="32"/>
          <w:szCs w:val="32"/>
        </w:rPr>
        <w:t>.3开发项</w:t>
      </w:r>
      <w:r>
        <w:rPr>
          <w:rFonts w:hint="eastAsia" w:ascii="宋体" w:hAnsi="宋体" w:eastAsia="方正仿宋_GBK" w:cs="方正仿宋_GBK"/>
          <w:b/>
          <w:bCs w:val="0"/>
          <w:sz w:val="32"/>
          <w:szCs w:val="32"/>
          <w:highlight w:val="none"/>
        </w:rPr>
        <w:t>目20年营</w:t>
      </w:r>
      <w:r>
        <w:rPr>
          <w:rFonts w:hint="eastAsia" w:ascii="宋体" w:hAnsi="宋体" w:eastAsia="方正仿宋_GBK" w:cs="方正仿宋_GBK"/>
          <w:b/>
          <w:bCs w:val="0"/>
          <w:sz w:val="32"/>
          <w:szCs w:val="32"/>
        </w:rPr>
        <w:t>运收支预测</w:t>
      </w:r>
      <w:bookmarkEnd w:id="131"/>
      <w:bookmarkEnd w:id="132"/>
      <w:bookmarkEnd w:id="133"/>
      <w:bookmarkEnd w:id="134"/>
      <w:bookmarkEnd w:id="135"/>
    </w:p>
    <w:p w14:paraId="4DD6711B">
      <w:pPr>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rPr>
        <w:t>按照</w:t>
      </w:r>
      <w:r>
        <w:rPr>
          <w:rFonts w:hint="eastAsia" w:ascii="宋体" w:hAnsi="宋体" w:eastAsia="方正仿宋_GBK" w:cs="方正仿宋_GBK"/>
          <w:kern w:val="0"/>
          <w:sz w:val="32"/>
          <w:szCs w:val="32"/>
          <w:lang w:val="en-US" w:eastAsia="zh-CN"/>
        </w:rPr>
        <w:t>20年营运</w:t>
      </w:r>
      <w:r>
        <w:rPr>
          <w:rFonts w:hint="eastAsia" w:ascii="宋体" w:hAnsi="宋体" w:eastAsia="方正仿宋_GBK" w:cs="方正仿宋_GBK"/>
          <w:kern w:val="0"/>
          <w:sz w:val="32"/>
          <w:szCs w:val="32"/>
        </w:rPr>
        <w:t>承包周期进行测算，考虑综合投入及产出，</w:t>
      </w:r>
      <w:r>
        <w:rPr>
          <w:rFonts w:hint="eastAsia" w:ascii="宋体" w:hAnsi="宋体" w:eastAsia="方正仿宋_GBK" w:cs="方正仿宋_GBK"/>
          <w:kern w:val="0"/>
          <w:sz w:val="32"/>
          <w:szCs w:val="32"/>
          <w:lang w:val="en-US" w:eastAsia="zh-CN"/>
        </w:rPr>
        <w:t>营运收支预测</w:t>
      </w:r>
      <w:r>
        <w:rPr>
          <w:rFonts w:hint="eastAsia" w:ascii="宋体" w:hAnsi="宋体" w:eastAsia="方正仿宋_GBK" w:cs="方正仿宋_GBK"/>
          <w:kern w:val="0"/>
          <w:sz w:val="32"/>
          <w:szCs w:val="32"/>
        </w:rPr>
        <w:t>具体情况</w:t>
      </w:r>
      <w:r>
        <w:rPr>
          <w:rFonts w:hint="eastAsia" w:ascii="宋体" w:hAnsi="宋体" w:eastAsia="方正仿宋_GBK" w:cs="方正仿宋_GBK"/>
          <w:kern w:val="0"/>
          <w:sz w:val="32"/>
          <w:szCs w:val="32"/>
          <w:lang w:val="en-US" w:eastAsia="zh-CN"/>
        </w:rPr>
        <w:t>见下表</w:t>
      </w:r>
      <w:r>
        <w:rPr>
          <w:rFonts w:hint="eastAsia" w:ascii="宋体" w:hAnsi="宋体" w:eastAsia="方正仿宋_GBK" w:cs="方正仿宋_GBK"/>
          <w:kern w:val="0"/>
          <w:sz w:val="32"/>
          <w:szCs w:val="32"/>
        </w:rPr>
        <w:t>：</w:t>
      </w:r>
    </w:p>
    <w:p w14:paraId="57F207C6">
      <w:pPr>
        <w:pageBreakBefore w:val="0"/>
        <w:widowControl w:val="0"/>
        <w:kinsoku/>
        <w:wordWrap/>
        <w:overflowPunct/>
        <w:topLinePunct w:val="0"/>
        <w:bidi w:val="0"/>
        <w:snapToGrid/>
        <w:spacing w:line="560" w:lineRule="exact"/>
        <w:ind w:firstLine="640" w:firstLineChars="200"/>
        <w:textAlignment w:val="auto"/>
        <w:rPr>
          <w:rFonts w:hint="default" w:ascii="宋体" w:hAnsi="宋体" w:eastAsia="方正仿宋_GBK" w:cs="方正仿宋_GBK"/>
          <w:sz w:val="32"/>
          <w:szCs w:val="32"/>
          <w:lang w:val="en-US" w:eastAsia="zh-CN"/>
        </w:rPr>
        <w:sectPr>
          <w:pgSz w:w="11906" w:h="16838"/>
          <w:pgMar w:top="2098" w:right="1474" w:bottom="1984" w:left="1587" w:header="851" w:footer="992" w:gutter="0"/>
          <w:pgNumType w:fmt="decimal"/>
          <w:cols w:space="720" w:num="1"/>
          <w:docGrid w:type="lines" w:linePitch="312" w:charSpace="0"/>
        </w:sectPr>
      </w:pPr>
      <w:r>
        <w:rPr>
          <w:rFonts w:hint="eastAsia" w:ascii="宋体" w:hAnsi="宋体" w:eastAsia="方正仿宋_GBK" w:cs="方正仿宋_GBK"/>
          <w:kern w:val="0"/>
          <w:sz w:val="32"/>
          <w:szCs w:val="32"/>
          <w:lang w:val="en-US" w:eastAsia="zh-CN"/>
        </w:rPr>
        <w:t>经测算</w:t>
      </w:r>
      <w:r>
        <w:rPr>
          <w:rFonts w:hint="default" w:ascii="宋体" w:hAnsi="宋体" w:eastAsia="方正仿宋_GBK" w:cs="方正仿宋_GBK"/>
          <w:sz w:val="32"/>
          <w:szCs w:val="32"/>
          <w:lang w:val="en-US"/>
        </w:rPr>
        <w:t>经过20年</w:t>
      </w:r>
      <w:r>
        <w:rPr>
          <w:rFonts w:hint="default" w:ascii="宋体" w:hAnsi="宋体" w:eastAsia="方正仿宋_GBK" w:cs="方正仿宋_GBK"/>
          <w:sz w:val="32"/>
          <w:szCs w:val="32"/>
          <w:highlight w:val="none"/>
          <w:lang w:val="en-US"/>
        </w:rPr>
        <w:t>的经营，整个</w:t>
      </w:r>
      <w:r>
        <w:rPr>
          <w:rFonts w:hint="eastAsia" w:ascii="宋体" w:hAnsi="宋体" w:eastAsia="方正仿宋_GBK" w:cs="方正仿宋_GBK"/>
          <w:sz w:val="32"/>
          <w:szCs w:val="32"/>
          <w:highlight w:val="none"/>
          <w:lang w:val="en-US" w:eastAsia="zh-CN"/>
        </w:rPr>
        <w:t>芒究</w:t>
      </w:r>
      <w:r>
        <w:rPr>
          <w:rFonts w:hint="default" w:ascii="宋体" w:hAnsi="宋体" w:eastAsia="方正仿宋_GBK" w:cs="方正仿宋_GBK"/>
          <w:sz w:val="32"/>
          <w:szCs w:val="32"/>
          <w:highlight w:val="none"/>
          <w:lang w:val="en-US"/>
        </w:rPr>
        <w:t>水库综合开发预计投入各种开发项目资金</w:t>
      </w:r>
      <w:r>
        <w:rPr>
          <w:rFonts w:hint="eastAsia" w:ascii="宋体" w:hAnsi="宋体" w:eastAsia="方正仿宋_GBK" w:cs="方正仿宋_GBK"/>
          <w:sz w:val="32"/>
          <w:szCs w:val="32"/>
          <w:highlight w:val="none"/>
          <w:lang w:val="en-US" w:eastAsia="zh-CN"/>
        </w:rPr>
        <w:t>约为1.18</w:t>
      </w:r>
      <w:r>
        <w:rPr>
          <w:rFonts w:hint="default" w:ascii="宋体" w:hAnsi="宋体" w:eastAsia="方正仿宋_GBK" w:cs="方正仿宋_GBK"/>
          <w:sz w:val="32"/>
          <w:szCs w:val="32"/>
          <w:highlight w:val="none"/>
          <w:lang w:val="en-US"/>
        </w:rPr>
        <w:t>亿元，预计毛收入</w:t>
      </w:r>
      <w:r>
        <w:rPr>
          <w:rFonts w:hint="eastAsia" w:ascii="宋体" w:hAnsi="宋体" w:eastAsia="方正仿宋_GBK" w:cs="方正仿宋_GBK"/>
          <w:sz w:val="32"/>
          <w:szCs w:val="32"/>
          <w:highlight w:val="none"/>
          <w:lang w:val="en-US" w:eastAsia="zh-CN"/>
        </w:rPr>
        <w:t>约为5.68</w:t>
      </w:r>
      <w:r>
        <w:rPr>
          <w:rFonts w:hint="default" w:ascii="宋体" w:hAnsi="宋体" w:eastAsia="方正仿宋_GBK" w:cs="方正仿宋_GBK"/>
          <w:sz w:val="32"/>
          <w:szCs w:val="32"/>
          <w:highlight w:val="none"/>
          <w:lang w:val="en-US"/>
        </w:rPr>
        <w:t>亿元</w:t>
      </w:r>
      <w:r>
        <w:rPr>
          <w:rFonts w:hint="eastAsia" w:ascii="宋体" w:hAnsi="宋体" w:eastAsia="方正仿宋_GBK" w:cs="方正仿宋_GBK"/>
          <w:sz w:val="32"/>
          <w:szCs w:val="32"/>
          <w:highlight w:val="none"/>
          <w:lang w:val="en-US" w:eastAsia="zh-CN"/>
        </w:rPr>
        <w:t>，预计纯收入约为4.50亿元</w:t>
      </w:r>
      <w:r>
        <w:rPr>
          <w:rFonts w:hint="eastAsia" w:ascii="宋体" w:hAnsi="宋体" w:eastAsia="方正仿宋_GBK" w:cs="方正仿宋_GBK"/>
          <w:sz w:val="32"/>
          <w:szCs w:val="32"/>
          <w:lang w:val="en-US" w:eastAsia="zh-CN"/>
        </w:rPr>
        <w:t>。</w:t>
      </w:r>
    </w:p>
    <w:p w14:paraId="60603F27">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方正小标宋_GBK" w:cs="方正小标宋_GBK"/>
          <w:b w:val="0"/>
          <w:bCs w:val="0"/>
          <w:sz w:val="44"/>
          <w:szCs w:val="44"/>
        </w:rPr>
        <w:sectPr>
          <w:footerReference r:id="rId9" w:type="default"/>
          <w:pgSz w:w="16838" w:h="11906" w:orient="landscape"/>
          <w:pgMar w:top="1587" w:right="1984" w:bottom="1474" w:left="1928" w:header="851" w:footer="992" w:gutter="0"/>
          <w:pgNumType w:fmt="decimal"/>
          <w:cols w:space="720" w:num="1"/>
          <w:docGrid w:type="lines" w:linePitch="312" w:charSpace="0"/>
        </w:sectPr>
      </w:pPr>
      <w:bookmarkStart w:id="136" w:name="_Toc30935"/>
      <w:bookmarkStart w:id="137" w:name="_Toc22340"/>
      <w:r>
        <w:drawing>
          <wp:inline distT="0" distB="0" distL="114300" distR="114300">
            <wp:extent cx="8206105" cy="3723640"/>
            <wp:effectExtent l="0" t="0" r="4445"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4"/>
                    <a:stretch>
                      <a:fillRect/>
                    </a:stretch>
                  </pic:blipFill>
                  <pic:spPr>
                    <a:xfrm>
                      <a:off x="0" y="0"/>
                      <a:ext cx="8206105" cy="3723640"/>
                    </a:xfrm>
                    <a:prstGeom prst="rect">
                      <a:avLst/>
                    </a:prstGeom>
                    <a:noFill/>
                    <a:ln>
                      <a:noFill/>
                    </a:ln>
                  </pic:spPr>
                </pic:pic>
              </a:graphicData>
            </a:graphic>
          </wp:inline>
        </w:drawing>
      </w:r>
    </w:p>
    <w:p w14:paraId="47A6C9A0">
      <w:pPr>
        <w:pageBreakBefore w:val="0"/>
        <w:widowControl w:val="0"/>
        <w:kinsoku/>
        <w:wordWrap/>
        <w:overflowPunct/>
        <w:topLinePunct w:val="0"/>
        <w:bidi w:val="0"/>
        <w:snapToGrid/>
        <w:spacing w:line="560" w:lineRule="exact"/>
        <w:jc w:val="center"/>
        <w:textAlignment w:val="auto"/>
        <w:outlineLvl w:val="0"/>
        <w:rPr>
          <w:rFonts w:hint="eastAsia" w:ascii="宋体" w:hAnsi="宋体" w:eastAsia="方正小标宋_GBK" w:cs="方正小标宋_GBK"/>
          <w:b w:val="0"/>
          <w:bCs w:val="0"/>
          <w:sz w:val="44"/>
          <w:szCs w:val="44"/>
        </w:rPr>
      </w:pPr>
      <w:bookmarkStart w:id="138" w:name="_Toc23244"/>
      <w:r>
        <w:rPr>
          <w:rFonts w:hint="eastAsia" w:ascii="宋体" w:hAnsi="宋体" w:eastAsia="方正小标宋_GBK" w:cs="方正小标宋_GBK"/>
          <w:b w:val="0"/>
          <w:bCs w:val="0"/>
          <w:sz w:val="44"/>
          <w:szCs w:val="44"/>
        </w:rPr>
        <w:t>第</w:t>
      </w:r>
      <w:r>
        <w:rPr>
          <w:rFonts w:hint="eastAsia" w:ascii="宋体" w:hAnsi="宋体" w:eastAsia="方正小标宋_GBK" w:cs="方正小标宋_GBK"/>
          <w:b w:val="0"/>
          <w:bCs w:val="0"/>
          <w:sz w:val="44"/>
          <w:szCs w:val="44"/>
          <w:lang w:val="en-US" w:eastAsia="zh-CN"/>
        </w:rPr>
        <w:t>六</w:t>
      </w:r>
      <w:r>
        <w:rPr>
          <w:rFonts w:hint="eastAsia" w:ascii="宋体" w:hAnsi="宋体" w:eastAsia="方正小标宋_GBK" w:cs="方正小标宋_GBK"/>
          <w:b w:val="0"/>
          <w:bCs w:val="0"/>
          <w:sz w:val="44"/>
          <w:szCs w:val="44"/>
        </w:rPr>
        <w:t>章 效益分析</w:t>
      </w:r>
      <w:bookmarkEnd w:id="136"/>
      <w:bookmarkEnd w:id="137"/>
      <w:bookmarkEnd w:id="138"/>
    </w:p>
    <w:p w14:paraId="0A74C60F">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宋体" w:cs="宋体"/>
          <w:b w:val="0"/>
          <w:bCs w:val="0"/>
          <w:kern w:val="0"/>
          <w:sz w:val="32"/>
          <w:szCs w:val="32"/>
          <w:lang w:val="en-US" w:eastAsia="zh-CN"/>
        </w:rPr>
      </w:pPr>
      <w:bookmarkStart w:id="139" w:name="_Toc22822_WPSOffice_Level2"/>
      <w:bookmarkStart w:id="140" w:name="_Toc77330270"/>
      <w:bookmarkStart w:id="141" w:name="_Toc7633"/>
    </w:p>
    <w:p w14:paraId="44F20A05">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val="0"/>
          <w:bCs w:val="0"/>
          <w:kern w:val="0"/>
          <w:sz w:val="32"/>
          <w:szCs w:val="32"/>
        </w:rPr>
      </w:pPr>
      <w:bookmarkStart w:id="142" w:name="_Toc27424"/>
      <w:r>
        <w:rPr>
          <w:rFonts w:hint="eastAsia" w:ascii="宋体" w:hAnsi="宋体" w:eastAsia="方正仿宋_GBK" w:cs="方正仿宋_GBK"/>
          <w:b/>
          <w:bCs/>
          <w:kern w:val="0"/>
          <w:sz w:val="32"/>
          <w:szCs w:val="32"/>
          <w:lang w:val="en-US" w:eastAsia="zh-CN"/>
        </w:rPr>
        <w:t>6</w:t>
      </w:r>
      <w:r>
        <w:rPr>
          <w:rFonts w:hint="eastAsia" w:ascii="宋体" w:hAnsi="宋体" w:eastAsia="方正仿宋_GBK" w:cs="方正仿宋_GBK"/>
          <w:b/>
          <w:bCs/>
          <w:kern w:val="0"/>
          <w:sz w:val="32"/>
          <w:szCs w:val="32"/>
        </w:rPr>
        <w:t>.1 社会效益</w:t>
      </w:r>
      <w:bookmarkEnd w:id="139"/>
      <w:bookmarkEnd w:id="140"/>
      <w:bookmarkEnd w:id="141"/>
      <w:bookmarkEnd w:id="142"/>
    </w:p>
    <w:p w14:paraId="12806897">
      <w:pPr>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kern w:val="0"/>
          <w:sz w:val="32"/>
          <w:szCs w:val="32"/>
          <w:lang w:eastAsia="zh-CN"/>
        </w:rPr>
      </w:pPr>
      <w:r>
        <w:rPr>
          <w:rFonts w:hint="eastAsia" w:ascii="宋体" w:hAnsi="宋体" w:eastAsia="方正仿宋_GBK" w:cs="方正仿宋_GBK"/>
          <w:kern w:val="0"/>
          <w:sz w:val="32"/>
          <w:szCs w:val="32"/>
          <w:lang w:eastAsia="zh-CN"/>
        </w:rPr>
        <w:t>芒究水库保护对象主要是芒市城区，是州、市政府所在地，水库的安全运行对芒市具有十分重要的意义。</w:t>
      </w:r>
    </w:p>
    <w:p w14:paraId="7B7C66E4">
      <w:pPr>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b/>
          <w:bCs/>
          <w:kern w:val="0"/>
          <w:sz w:val="32"/>
          <w:szCs w:val="32"/>
          <w:lang w:val="en-US" w:eastAsia="zh-CN"/>
        </w:rPr>
        <w:t>一是实现</w:t>
      </w:r>
      <w:r>
        <w:rPr>
          <w:rFonts w:hint="eastAsia" w:ascii="宋体" w:hAnsi="宋体" w:eastAsia="方正仿宋_GBK" w:cs="方正仿宋_GBK"/>
          <w:b/>
          <w:bCs/>
          <w:kern w:val="0"/>
          <w:sz w:val="32"/>
          <w:szCs w:val="32"/>
        </w:rPr>
        <w:t>安全保障与基础功能</w:t>
      </w:r>
      <w:r>
        <w:rPr>
          <w:rFonts w:hint="eastAsia" w:ascii="宋体" w:hAnsi="宋体" w:eastAsia="方正仿宋_GBK" w:cs="方正仿宋_GBK"/>
          <w:b/>
          <w:bCs/>
          <w:kern w:val="0"/>
          <w:sz w:val="32"/>
          <w:szCs w:val="32"/>
          <w:lang w:eastAsia="zh-CN"/>
        </w:rPr>
        <w:t>。</w:t>
      </w:r>
      <w:r>
        <w:rPr>
          <w:rFonts w:hint="eastAsia" w:ascii="宋体" w:hAnsi="宋体" w:eastAsia="方正仿宋_GBK" w:cs="方正仿宋_GBK"/>
          <w:b/>
          <w:bCs/>
          <w:kern w:val="0"/>
          <w:sz w:val="32"/>
          <w:szCs w:val="32"/>
        </w:rPr>
        <w:t>‌</w:t>
      </w:r>
      <w:r>
        <w:rPr>
          <w:rFonts w:hint="eastAsia" w:ascii="宋体" w:hAnsi="宋体" w:eastAsia="方正仿宋_GBK" w:cs="方正仿宋_GBK"/>
          <w:kern w:val="0"/>
          <w:sz w:val="32"/>
          <w:szCs w:val="32"/>
        </w:rPr>
        <w:t>水库直接保障芒市城区（州、市政府驻地）约10.2万人口、12万亩耕地安全，同时承担下游5km范围内军分区、飞机厂、芒市糖厂等重要企业及30km国道线路的防洪任务。</w:t>
      </w:r>
      <w:r>
        <w:rPr>
          <w:rFonts w:hint="eastAsia" w:ascii="宋体" w:hAnsi="宋体" w:eastAsia="方正仿宋_GBK" w:cs="方正仿宋_GBK"/>
          <w:kern w:val="0"/>
          <w:sz w:val="32"/>
          <w:szCs w:val="32"/>
          <w:lang w:val="en-US" w:eastAsia="zh-CN"/>
        </w:rPr>
        <w:t>同时</w:t>
      </w:r>
      <w:r>
        <w:rPr>
          <w:rFonts w:hint="eastAsia" w:ascii="宋体" w:hAnsi="宋体" w:eastAsia="方正仿宋_GBK" w:cs="方正仿宋_GBK"/>
          <w:kern w:val="0"/>
          <w:sz w:val="32"/>
          <w:szCs w:val="32"/>
        </w:rPr>
        <w:t>为下游4万亩农田提供灌溉保障，年均供水量达50万立方米，并通过河湖长制强化水源地保护，确保水质长期稳定在Ⅱ-Ⅲ类标准，支撑农业原生态品质与绿色食品产业发展。</w:t>
      </w:r>
    </w:p>
    <w:p w14:paraId="6B48EE57">
      <w:pPr>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b/>
          <w:bCs/>
          <w:kern w:val="0"/>
          <w:sz w:val="32"/>
          <w:szCs w:val="32"/>
          <w:lang w:val="en-US" w:eastAsia="zh-CN"/>
        </w:rPr>
        <w:t>二是体现</w:t>
      </w:r>
      <w:r>
        <w:rPr>
          <w:rFonts w:hint="eastAsia" w:ascii="宋体" w:hAnsi="宋体" w:eastAsia="方正仿宋_GBK" w:cs="方正仿宋_GBK"/>
          <w:b/>
          <w:bCs/>
          <w:kern w:val="0"/>
          <w:sz w:val="32"/>
          <w:szCs w:val="32"/>
        </w:rPr>
        <w:t>人居环境与文旅</w:t>
      </w:r>
      <w:r>
        <w:rPr>
          <w:rFonts w:hint="eastAsia" w:ascii="宋体" w:hAnsi="宋体" w:eastAsia="方正仿宋_GBK" w:cs="方正仿宋_GBK"/>
          <w:b/>
          <w:bCs/>
          <w:kern w:val="0"/>
          <w:sz w:val="32"/>
          <w:szCs w:val="32"/>
          <w:lang w:val="en-US" w:eastAsia="zh-CN"/>
        </w:rPr>
        <w:t>品质升级的</w:t>
      </w:r>
      <w:r>
        <w:rPr>
          <w:rFonts w:hint="eastAsia" w:ascii="宋体" w:hAnsi="宋体" w:eastAsia="方正仿宋_GBK" w:cs="方正仿宋_GBK"/>
          <w:b/>
          <w:bCs/>
          <w:kern w:val="0"/>
          <w:sz w:val="32"/>
          <w:szCs w:val="32"/>
        </w:rPr>
        <w:t>价值</w:t>
      </w:r>
      <w:r>
        <w:rPr>
          <w:rFonts w:hint="eastAsia" w:ascii="宋体" w:hAnsi="宋体" w:eastAsia="方正仿宋_GBK" w:cs="方正仿宋_GBK"/>
          <w:b/>
          <w:bCs/>
          <w:kern w:val="0"/>
          <w:sz w:val="32"/>
          <w:szCs w:val="32"/>
          <w:lang w:eastAsia="zh-CN"/>
        </w:rPr>
        <w:t>。</w:t>
      </w:r>
      <w:r>
        <w:rPr>
          <w:rFonts w:hint="eastAsia" w:ascii="宋体" w:hAnsi="宋体" w:eastAsia="方正仿宋_GBK" w:cs="方正仿宋_GBK"/>
          <w:b/>
          <w:bCs/>
          <w:kern w:val="0"/>
          <w:sz w:val="32"/>
          <w:szCs w:val="32"/>
        </w:rPr>
        <w:t>‌</w:t>
      </w:r>
      <w:r>
        <w:rPr>
          <w:rFonts w:hint="eastAsia" w:ascii="宋体" w:hAnsi="宋体" w:eastAsia="方正仿宋_GBK" w:cs="方正仿宋_GBK"/>
          <w:kern w:val="0"/>
          <w:sz w:val="32"/>
          <w:szCs w:val="32"/>
        </w:rPr>
        <w:t>水库毗邻城区，密集居民区依托湖区微气候调节功能优化温度、湿度，提升区域舒适度，缓解居民生活压力。孔雀湖（芒究水库）通过景观提升与国家级旅游度假区建设，融合森林植被、湖泊生态与民族文化，成为市民休闲与外地游客体验“绿美芒市”的核心目的地。</w:t>
      </w:r>
    </w:p>
    <w:p w14:paraId="083A79D2">
      <w:pPr>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b/>
          <w:bCs/>
          <w:kern w:val="0"/>
          <w:sz w:val="32"/>
          <w:szCs w:val="32"/>
          <w:lang w:val="en-US" w:eastAsia="zh-CN"/>
        </w:rPr>
        <w:t>三是采用</w:t>
      </w:r>
      <w:r>
        <w:rPr>
          <w:rFonts w:hint="eastAsia" w:ascii="宋体" w:hAnsi="宋体" w:eastAsia="方正仿宋_GBK" w:cs="方正仿宋_GBK"/>
          <w:b/>
          <w:bCs/>
          <w:kern w:val="0"/>
          <w:sz w:val="32"/>
          <w:szCs w:val="32"/>
        </w:rPr>
        <w:t>长效机制</w:t>
      </w:r>
      <w:r>
        <w:rPr>
          <w:rFonts w:hint="eastAsia" w:ascii="宋体" w:hAnsi="宋体" w:eastAsia="方正仿宋_GBK" w:cs="方正仿宋_GBK"/>
          <w:b/>
          <w:bCs/>
          <w:kern w:val="0"/>
          <w:sz w:val="32"/>
          <w:szCs w:val="32"/>
          <w:lang w:val="en-US" w:eastAsia="zh-CN"/>
        </w:rPr>
        <w:t>实现</w:t>
      </w:r>
      <w:r>
        <w:rPr>
          <w:rFonts w:hint="eastAsia" w:ascii="宋体" w:hAnsi="宋体" w:eastAsia="方正仿宋_GBK" w:cs="方正仿宋_GBK"/>
          <w:b/>
          <w:bCs/>
          <w:kern w:val="0"/>
          <w:sz w:val="32"/>
          <w:szCs w:val="32"/>
        </w:rPr>
        <w:t>可持续发展</w:t>
      </w:r>
      <w:r>
        <w:rPr>
          <w:rFonts w:hint="eastAsia" w:ascii="宋体" w:hAnsi="宋体" w:eastAsia="方正仿宋_GBK" w:cs="方正仿宋_GBK"/>
          <w:b/>
          <w:bCs/>
          <w:kern w:val="0"/>
          <w:sz w:val="32"/>
          <w:szCs w:val="32"/>
          <w:lang w:eastAsia="zh-CN"/>
        </w:rPr>
        <w:t>。</w:t>
      </w:r>
      <w:r>
        <w:rPr>
          <w:rFonts w:hint="eastAsia" w:ascii="宋体" w:hAnsi="宋体" w:eastAsia="方正仿宋_GBK" w:cs="方正仿宋_GBK"/>
          <w:b/>
          <w:bCs/>
          <w:kern w:val="0"/>
          <w:sz w:val="32"/>
          <w:szCs w:val="32"/>
        </w:rPr>
        <w:t>‌</w:t>
      </w:r>
      <w:r>
        <w:rPr>
          <w:rFonts w:hint="eastAsia" w:ascii="宋体" w:hAnsi="宋体" w:eastAsia="方正仿宋_GBK" w:cs="方正仿宋_GBK"/>
          <w:kern w:val="0"/>
          <w:sz w:val="32"/>
          <w:szCs w:val="32"/>
        </w:rPr>
        <w:t>推行河湖长制与水源地综合治理，定期水质监测、垃圾清理及污水管控形成常态化管理机制，确保水库50年安全运行基础，为城市供水、防洪抗旱提供长期保障。</w:t>
      </w:r>
    </w:p>
    <w:p w14:paraId="35A24B1B">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val="0"/>
          <w:bCs w:val="0"/>
          <w:kern w:val="0"/>
          <w:sz w:val="32"/>
          <w:szCs w:val="32"/>
        </w:rPr>
      </w:pPr>
      <w:bookmarkStart w:id="143" w:name="_Toc21754"/>
      <w:bookmarkStart w:id="144" w:name="_Toc8367_WPSOffice_Level2"/>
      <w:bookmarkStart w:id="145" w:name="_Toc7340"/>
      <w:bookmarkStart w:id="146" w:name="_Toc77330271"/>
      <w:r>
        <w:rPr>
          <w:rFonts w:hint="eastAsia" w:ascii="宋体" w:hAnsi="宋体" w:eastAsia="方正仿宋_GBK" w:cs="方正仿宋_GBK"/>
          <w:b/>
          <w:bCs/>
          <w:kern w:val="0"/>
          <w:sz w:val="32"/>
          <w:szCs w:val="32"/>
          <w:lang w:val="en-US" w:eastAsia="zh-CN"/>
        </w:rPr>
        <w:t>6</w:t>
      </w:r>
      <w:r>
        <w:rPr>
          <w:rFonts w:hint="eastAsia" w:ascii="宋体" w:hAnsi="宋体" w:eastAsia="方正仿宋_GBK" w:cs="方正仿宋_GBK"/>
          <w:b/>
          <w:bCs/>
          <w:kern w:val="0"/>
          <w:sz w:val="32"/>
          <w:szCs w:val="32"/>
        </w:rPr>
        <w:t>.2 生态效益</w:t>
      </w:r>
      <w:bookmarkEnd w:id="143"/>
      <w:bookmarkEnd w:id="144"/>
      <w:bookmarkEnd w:id="145"/>
      <w:bookmarkEnd w:id="146"/>
    </w:p>
    <w:p w14:paraId="226CF481">
      <w:pPr>
        <w:pageBreakBefore w:val="0"/>
        <w:widowControl w:val="0"/>
        <w:kinsoku/>
        <w:wordWrap/>
        <w:overflowPunct/>
        <w:topLinePunct w:val="0"/>
        <w:bidi w:val="0"/>
        <w:snapToGrid/>
        <w:spacing w:line="560" w:lineRule="exact"/>
        <w:ind w:firstLine="640" w:firstLineChars="200"/>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rPr>
        <w:t>通过对水库整个流域开展水环境整治、水生态修复工程后，能有效改善当地人民的生活环境，提升流域内居民的生活品质。随着水质的稳定提升和改善，对下游农副产品品质提升起到保驾护航的作用。对上游径流区控污染、清除垃圾、维护疏通引水渠，库内沿库岸植水草，打造天然和谐的湖光山色美景，</w:t>
      </w:r>
      <w:r>
        <w:rPr>
          <w:rFonts w:hint="eastAsia" w:ascii="宋体" w:hAnsi="宋体" w:eastAsia="方正仿宋_GBK" w:cs="方正仿宋_GBK"/>
          <w:kern w:val="0"/>
          <w:sz w:val="32"/>
          <w:szCs w:val="32"/>
          <w:lang w:val="en-US" w:eastAsia="zh-CN"/>
        </w:rPr>
        <w:t>为芒市树立旅游品牌产生极大的生态效益。具体体现为：</w:t>
      </w:r>
    </w:p>
    <w:p w14:paraId="015D8840">
      <w:pPr>
        <w:pageBreakBefore w:val="0"/>
        <w:widowControl w:val="0"/>
        <w:kinsoku/>
        <w:wordWrap/>
        <w:overflowPunct/>
        <w:topLinePunct w:val="0"/>
        <w:bidi w:val="0"/>
        <w:snapToGrid/>
        <w:spacing w:line="560" w:lineRule="exact"/>
        <w:ind w:firstLine="643" w:firstLineChars="200"/>
        <w:textAlignment w:val="auto"/>
        <w:rPr>
          <w:rFonts w:hint="eastAsia" w:ascii="宋体" w:hAnsi="宋体" w:eastAsia="方正仿宋_GBK" w:cs="方正仿宋_GBK"/>
          <w:kern w:val="0"/>
          <w:sz w:val="32"/>
          <w:szCs w:val="32"/>
          <w:lang w:eastAsia="zh-CN"/>
        </w:rPr>
      </w:pPr>
      <w:r>
        <w:rPr>
          <w:rFonts w:hint="eastAsia" w:ascii="宋体" w:hAnsi="宋体" w:eastAsia="方正仿宋_GBK" w:cs="方正仿宋_GBK"/>
          <w:b/>
          <w:bCs/>
          <w:kern w:val="0"/>
          <w:sz w:val="32"/>
          <w:szCs w:val="32"/>
          <w:lang w:val="en-US" w:eastAsia="zh-CN"/>
        </w:rPr>
        <w:t>一是可实现</w:t>
      </w:r>
      <w:r>
        <w:rPr>
          <w:rFonts w:hint="eastAsia" w:ascii="宋体" w:hAnsi="宋体" w:eastAsia="方正仿宋_GBK" w:cs="方正仿宋_GBK"/>
          <w:b/>
          <w:bCs/>
          <w:kern w:val="0"/>
          <w:sz w:val="32"/>
          <w:szCs w:val="32"/>
        </w:rPr>
        <w:t>生态效益体系升级</w:t>
      </w:r>
      <w:r>
        <w:rPr>
          <w:rFonts w:hint="eastAsia" w:ascii="宋体" w:hAnsi="宋体" w:eastAsia="方正仿宋_GBK" w:cs="方正仿宋_GBK"/>
          <w:b/>
          <w:bCs/>
          <w:kern w:val="0"/>
          <w:sz w:val="32"/>
          <w:szCs w:val="32"/>
          <w:lang w:eastAsia="zh-CN"/>
        </w:rPr>
        <w:t>。</w:t>
      </w:r>
      <w:r>
        <w:rPr>
          <w:rFonts w:hint="eastAsia" w:ascii="宋体" w:hAnsi="宋体" w:eastAsia="方正仿宋_GBK" w:cs="方正仿宋_GBK"/>
          <w:kern w:val="0"/>
          <w:sz w:val="32"/>
          <w:szCs w:val="32"/>
          <w:lang w:val="en-US" w:eastAsia="zh-CN"/>
        </w:rPr>
        <w:t>湿地及水上浮岛的建设可</w:t>
      </w:r>
      <w:r>
        <w:rPr>
          <w:rFonts w:hint="eastAsia" w:ascii="宋体" w:hAnsi="宋体" w:eastAsia="方正仿宋_GBK" w:cs="方正仿宋_GBK"/>
          <w:kern w:val="0"/>
          <w:sz w:val="32"/>
          <w:szCs w:val="32"/>
        </w:rPr>
        <w:t>构建</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水生植物-鱼类-鸟类"三维生态链，使湿地ECO指数提升0.8-1.2，珍稀物种回归率达15%</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lang w:val="en-US" w:eastAsia="zh-CN"/>
        </w:rPr>
        <w:t>同时运营期间</w:t>
      </w:r>
      <w:r>
        <w:rPr>
          <w:rFonts w:hint="eastAsia" w:ascii="宋体" w:hAnsi="宋体" w:eastAsia="方正仿宋_GBK" w:cs="方正仿宋_GBK"/>
          <w:kern w:val="0"/>
          <w:sz w:val="32"/>
          <w:szCs w:val="32"/>
        </w:rPr>
        <w:t>采用湖库富营养化综合治理技术，总磷浓度控制在0.02mg/L以下，</w:t>
      </w:r>
      <w:r>
        <w:rPr>
          <w:rFonts w:hint="eastAsia" w:ascii="宋体" w:hAnsi="宋体" w:eastAsia="方正仿宋_GBK" w:cs="方正仿宋_GBK"/>
          <w:kern w:val="0"/>
          <w:sz w:val="32"/>
          <w:szCs w:val="32"/>
          <w:lang w:val="en-US" w:eastAsia="zh-CN"/>
        </w:rPr>
        <w:t>可使水质稳定</w:t>
      </w:r>
      <w:r>
        <w:rPr>
          <w:rFonts w:hint="eastAsia" w:ascii="宋体" w:hAnsi="宋体" w:eastAsia="方正仿宋_GBK" w:cs="方正仿宋_GBK"/>
          <w:kern w:val="0"/>
          <w:sz w:val="32"/>
          <w:szCs w:val="32"/>
        </w:rPr>
        <w:t>Ⅱ类水质标准</w:t>
      </w:r>
      <w:r>
        <w:rPr>
          <w:rFonts w:hint="eastAsia" w:ascii="宋体" w:hAnsi="宋体" w:eastAsia="方正仿宋_GBK" w:cs="方正仿宋_GBK"/>
          <w:kern w:val="0"/>
          <w:sz w:val="32"/>
          <w:szCs w:val="32"/>
          <w:lang w:eastAsia="zh-CN"/>
        </w:rPr>
        <w:t>。</w:t>
      </w:r>
    </w:p>
    <w:p w14:paraId="25BF81E0">
      <w:pPr>
        <w:pageBreakBefore w:val="0"/>
        <w:widowControl w:val="0"/>
        <w:kinsoku/>
        <w:wordWrap/>
        <w:overflowPunct/>
        <w:topLinePunct w:val="0"/>
        <w:bidi w:val="0"/>
        <w:snapToGrid/>
        <w:spacing w:line="560" w:lineRule="exact"/>
        <w:ind w:firstLine="643" w:firstLineChars="200"/>
        <w:textAlignment w:val="auto"/>
        <w:rPr>
          <w:rFonts w:hint="eastAsia" w:ascii="宋体" w:hAnsi="宋体" w:eastAsia="方正仿宋_GBK" w:cs="方正仿宋_GBK"/>
          <w:kern w:val="0"/>
          <w:sz w:val="32"/>
          <w:szCs w:val="32"/>
          <w:lang w:eastAsia="zh-CN"/>
        </w:rPr>
      </w:pPr>
      <w:r>
        <w:rPr>
          <w:rFonts w:hint="eastAsia" w:ascii="宋体" w:hAnsi="宋体" w:eastAsia="方正仿宋_GBK" w:cs="方正仿宋_GBK"/>
          <w:b/>
          <w:bCs/>
          <w:kern w:val="0"/>
          <w:sz w:val="32"/>
          <w:szCs w:val="32"/>
          <w:lang w:val="en-US" w:eastAsia="zh-CN"/>
        </w:rPr>
        <w:t>二是实现</w:t>
      </w:r>
      <w:r>
        <w:rPr>
          <w:rFonts w:hint="eastAsia" w:ascii="宋体" w:hAnsi="宋体" w:eastAsia="方正仿宋_GBK" w:cs="方正仿宋_GBK"/>
          <w:b/>
          <w:bCs/>
          <w:kern w:val="0"/>
          <w:sz w:val="32"/>
          <w:szCs w:val="32"/>
        </w:rPr>
        <w:t>经济价值拓展</w:t>
      </w:r>
      <w:r>
        <w:rPr>
          <w:rFonts w:hint="eastAsia" w:ascii="宋体" w:hAnsi="宋体" w:eastAsia="方正仿宋_GBK" w:cs="方正仿宋_GBK"/>
          <w:b/>
          <w:bCs/>
          <w:kern w:val="0"/>
          <w:sz w:val="32"/>
          <w:szCs w:val="32"/>
          <w:lang w:eastAsia="zh-CN"/>
        </w:rPr>
        <w:t>。</w:t>
      </w:r>
      <w:r>
        <w:rPr>
          <w:rFonts w:hint="eastAsia" w:ascii="宋体" w:hAnsi="宋体" w:eastAsia="方正仿宋_GBK" w:cs="方正仿宋_GBK"/>
          <w:kern w:val="0"/>
          <w:sz w:val="32"/>
          <w:szCs w:val="32"/>
          <w:lang w:val="en-US" w:eastAsia="zh-CN"/>
        </w:rPr>
        <w:t>项目与</w:t>
      </w:r>
      <w:r>
        <w:rPr>
          <w:rFonts w:hint="eastAsia" w:ascii="宋体" w:hAnsi="宋体" w:eastAsia="方正仿宋_GBK" w:cs="方正仿宋_GBK"/>
          <w:kern w:val="0"/>
          <w:sz w:val="32"/>
          <w:szCs w:val="32"/>
        </w:rPr>
        <w:t>‌绿色产业融合‌</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形成康养旅游产业链，带动区域GDP增长2-3个百分点</w:t>
      </w:r>
      <w:r>
        <w:rPr>
          <w:rFonts w:hint="eastAsia" w:ascii="宋体" w:hAnsi="宋体" w:eastAsia="方正仿宋_GBK" w:cs="方正仿宋_GBK"/>
          <w:kern w:val="0"/>
          <w:sz w:val="32"/>
          <w:szCs w:val="32"/>
          <w:lang w:eastAsia="zh-CN"/>
        </w:rPr>
        <w:t>。结合民族特色开发沉浸式生态</w:t>
      </w:r>
      <w:r>
        <w:rPr>
          <w:rFonts w:hint="eastAsia" w:ascii="宋体" w:hAnsi="宋体" w:eastAsia="方正仿宋_GBK" w:cs="方正仿宋_GBK"/>
          <w:kern w:val="0"/>
          <w:sz w:val="32"/>
          <w:szCs w:val="32"/>
          <w:lang w:val="en-US" w:eastAsia="zh-CN"/>
        </w:rPr>
        <w:t>旅游</w:t>
      </w:r>
      <w:r>
        <w:rPr>
          <w:rFonts w:hint="eastAsia" w:ascii="宋体" w:hAnsi="宋体" w:eastAsia="方正仿宋_GBK" w:cs="方正仿宋_GBK"/>
          <w:kern w:val="0"/>
          <w:sz w:val="32"/>
          <w:szCs w:val="32"/>
          <w:lang w:eastAsia="zh-CN"/>
        </w:rPr>
        <w:t>体验，</w:t>
      </w:r>
      <w:r>
        <w:rPr>
          <w:rFonts w:hint="eastAsia" w:ascii="宋体" w:hAnsi="宋体" w:eastAsia="方正仿宋_GBK" w:cs="方正仿宋_GBK"/>
          <w:kern w:val="0"/>
          <w:sz w:val="32"/>
          <w:szCs w:val="32"/>
          <w:lang w:val="en-US" w:eastAsia="zh-CN"/>
        </w:rPr>
        <w:t>同时可促进芒市</w:t>
      </w:r>
      <w:r>
        <w:rPr>
          <w:rFonts w:hint="eastAsia" w:ascii="宋体" w:hAnsi="宋体" w:eastAsia="方正仿宋_GBK" w:cs="方正仿宋_GBK"/>
          <w:kern w:val="0"/>
          <w:sz w:val="32"/>
          <w:szCs w:val="32"/>
        </w:rPr>
        <w:t>‌旅游品牌建设‌</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lang w:val="en-US" w:eastAsia="zh-CN"/>
        </w:rPr>
        <w:t>有利于</w:t>
      </w:r>
      <w:r>
        <w:rPr>
          <w:rFonts w:hint="eastAsia" w:ascii="宋体" w:hAnsi="宋体" w:eastAsia="方正仿宋_GBK" w:cs="方正仿宋_GBK"/>
          <w:kern w:val="0"/>
          <w:sz w:val="32"/>
          <w:szCs w:val="32"/>
        </w:rPr>
        <w:t>国家级水利风景区</w:t>
      </w:r>
      <w:r>
        <w:rPr>
          <w:rFonts w:hint="eastAsia" w:ascii="宋体" w:hAnsi="宋体" w:eastAsia="方正仿宋_GBK" w:cs="方正仿宋_GBK"/>
          <w:kern w:val="0"/>
          <w:sz w:val="32"/>
          <w:szCs w:val="32"/>
          <w:lang w:val="en-US" w:eastAsia="zh-CN"/>
        </w:rPr>
        <w:t>及芒市孔雀湖国家级旅游度假区的旅游品牌形象打造</w:t>
      </w:r>
      <w:r>
        <w:rPr>
          <w:rFonts w:hint="eastAsia" w:ascii="宋体" w:hAnsi="宋体" w:eastAsia="方正仿宋_GBK" w:cs="方正仿宋_GBK"/>
          <w:kern w:val="0"/>
          <w:sz w:val="32"/>
          <w:szCs w:val="32"/>
        </w:rPr>
        <w:t>，</w:t>
      </w:r>
      <w:r>
        <w:rPr>
          <w:rFonts w:hint="eastAsia" w:ascii="宋体" w:hAnsi="宋体" w:eastAsia="方正仿宋_GBK" w:cs="方正仿宋_GBK"/>
          <w:kern w:val="0"/>
          <w:sz w:val="32"/>
          <w:szCs w:val="32"/>
          <w:lang w:val="en-US" w:eastAsia="zh-CN"/>
        </w:rPr>
        <w:t>预计可实现</w:t>
      </w:r>
      <w:r>
        <w:rPr>
          <w:rFonts w:hint="eastAsia" w:ascii="宋体" w:hAnsi="宋体" w:eastAsia="方正仿宋_GBK" w:cs="方正仿宋_GBK"/>
          <w:kern w:val="0"/>
          <w:sz w:val="32"/>
          <w:szCs w:val="32"/>
        </w:rPr>
        <w:t>游客人均消费提升25%，过夜率提高至60%</w:t>
      </w:r>
      <w:r>
        <w:rPr>
          <w:rFonts w:hint="eastAsia" w:ascii="宋体" w:hAnsi="宋体" w:eastAsia="方正仿宋_GBK" w:cs="方正仿宋_GBK"/>
          <w:kern w:val="0"/>
          <w:sz w:val="32"/>
          <w:szCs w:val="32"/>
          <w:lang w:eastAsia="zh-CN"/>
        </w:rPr>
        <w:t>。</w:t>
      </w:r>
    </w:p>
    <w:p w14:paraId="3D2BE5B0">
      <w:pPr>
        <w:pageBreakBefore w:val="0"/>
        <w:widowControl w:val="0"/>
        <w:kinsoku/>
        <w:wordWrap/>
        <w:overflowPunct/>
        <w:topLinePunct w:val="0"/>
        <w:bidi w:val="0"/>
        <w:snapToGrid/>
        <w:spacing w:line="560" w:lineRule="exact"/>
        <w:ind w:firstLine="643" w:firstLineChars="200"/>
        <w:textAlignment w:val="auto"/>
        <w:rPr>
          <w:rFonts w:hint="eastAsia" w:ascii="宋体" w:hAnsi="宋体" w:eastAsia="方正仿宋_GBK" w:cs="方正仿宋_GBK"/>
          <w:kern w:val="0"/>
          <w:sz w:val="32"/>
          <w:szCs w:val="32"/>
          <w:lang w:eastAsia="zh-CN"/>
        </w:rPr>
      </w:pPr>
      <w:r>
        <w:rPr>
          <w:rFonts w:hint="eastAsia" w:ascii="宋体" w:hAnsi="宋体" w:eastAsia="方正仿宋_GBK" w:cs="方正仿宋_GBK"/>
          <w:b/>
          <w:bCs/>
          <w:kern w:val="0"/>
          <w:sz w:val="32"/>
          <w:szCs w:val="32"/>
          <w:lang w:val="en-US" w:eastAsia="zh-CN"/>
        </w:rPr>
        <w:t>三是实现</w:t>
      </w:r>
      <w:r>
        <w:rPr>
          <w:rFonts w:hint="eastAsia" w:ascii="宋体" w:hAnsi="宋体" w:eastAsia="方正仿宋_GBK" w:cs="方正仿宋_GBK"/>
          <w:b/>
          <w:bCs/>
          <w:kern w:val="0"/>
          <w:sz w:val="32"/>
          <w:szCs w:val="32"/>
        </w:rPr>
        <w:t>社会治理创新</w:t>
      </w:r>
      <w:r>
        <w:rPr>
          <w:rFonts w:hint="eastAsia" w:ascii="宋体" w:hAnsi="宋体" w:eastAsia="方正仿宋_GBK" w:cs="方正仿宋_GBK"/>
          <w:b/>
          <w:bCs/>
          <w:kern w:val="0"/>
          <w:sz w:val="32"/>
          <w:szCs w:val="32"/>
          <w:lang w:eastAsia="zh-CN"/>
        </w:rPr>
        <w:t>。</w:t>
      </w:r>
      <w:r>
        <w:rPr>
          <w:rFonts w:hint="eastAsia" w:ascii="宋体" w:hAnsi="宋体" w:eastAsia="方正仿宋_GBK" w:cs="方正仿宋_GBK"/>
          <w:kern w:val="0"/>
          <w:sz w:val="32"/>
          <w:szCs w:val="32"/>
          <w:lang w:val="en-US" w:eastAsia="zh-CN"/>
        </w:rPr>
        <w:t>项目可与</w:t>
      </w:r>
      <w:r>
        <w:rPr>
          <w:rFonts w:hint="eastAsia" w:ascii="宋体" w:hAnsi="宋体" w:eastAsia="方正仿宋_GBK" w:cs="方正仿宋_GBK"/>
          <w:kern w:val="0"/>
          <w:sz w:val="32"/>
          <w:szCs w:val="32"/>
        </w:rPr>
        <w:t>河湖长制智能平台</w:t>
      </w:r>
      <w:r>
        <w:rPr>
          <w:rFonts w:hint="eastAsia" w:ascii="宋体" w:hAnsi="宋体" w:eastAsia="方正仿宋_GBK" w:cs="方正仿宋_GBK"/>
          <w:kern w:val="0"/>
          <w:sz w:val="32"/>
          <w:szCs w:val="32"/>
          <w:lang w:val="en-US" w:eastAsia="zh-CN"/>
        </w:rPr>
        <w:t>实施孪生搭建</w:t>
      </w:r>
      <w:r>
        <w:rPr>
          <w:rFonts w:hint="eastAsia" w:ascii="宋体" w:hAnsi="宋体" w:eastAsia="方正仿宋_GBK" w:cs="方正仿宋_GBK"/>
          <w:kern w:val="0"/>
          <w:sz w:val="32"/>
          <w:szCs w:val="32"/>
        </w:rPr>
        <w:t>，实现水质、生态流量等数据实时监测</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河长+警长+检察长”多跨协同机制，问题整改闭环率</w:t>
      </w:r>
      <w:r>
        <w:rPr>
          <w:rFonts w:hint="eastAsia" w:ascii="宋体" w:hAnsi="宋体" w:eastAsia="方正仿宋_GBK" w:cs="方正仿宋_GBK"/>
          <w:kern w:val="0"/>
          <w:sz w:val="32"/>
          <w:szCs w:val="32"/>
          <w:lang w:val="en-US" w:eastAsia="zh-CN"/>
        </w:rPr>
        <w:t>预计可</w:t>
      </w:r>
      <w:r>
        <w:rPr>
          <w:rFonts w:hint="eastAsia" w:ascii="宋体" w:hAnsi="宋体" w:eastAsia="方正仿宋_GBK" w:cs="方正仿宋_GBK"/>
          <w:kern w:val="0"/>
          <w:sz w:val="32"/>
          <w:szCs w:val="32"/>
        </w:rPr>
        <w:t>达100%</w:t>
      </w:r>
      <w:r>
        <w:rPr>
          <w:rFonts w:hint="eastAsia" w:ascii="宋体" w:hAnsi="宋体" w:eastAsia="方正仿宋_GBK" w:cs="方正仿宋_GBK"/>
          <w:kern w:val="0"/>
          <w:sz w:val="32"/>
          <w:szCs w:val="32"/>
          <w:lang w:eastAsia="zh-CN"/>
        </w:rPr>
        <w:t>。</w:t>
      </w:r>
    </w:p>
    <w:p w14:paraId="355F0423">
      <w:pPr>
        <w:pageBreakBefore w:val="0"/>
        <w:widowControl w:val="0"/>
        <w:kinsoku/>
        <w:wordWrap/>
        <w:overflowPunct/>
        <w:topLinePunct w:val="0"/>
        <w:bidi w:val="0"/>
        <w:snapToGrid/>
        <w:spacing w:line="560" w:lineRule="exact"/>
        <w:ind w:firstLine="643" w:firstLineChars="200"/>
        <w:textAlignment w:val="auto"/>
        <w:rPr>
          <w:rFonts w:hint="eastAsia" w:ascii="宋体" w:hAnsi="宋体" w:eastAsia="方正仿宋_GBK" w:cs="方正仿宋_GBK"/>
          <w:kern w:val="0"/>
          <w:sz w:val="32"/>
          <w:szCs w:val="32"/>
          <w:lang w:eastAsia="zh-CN"/>
        </w:rPr>
      </w:pPr>
      <w:r>
        <w:rPr>
          <w:rFonts w:hint="eastAsia" w:ascii="宋体" w:hAnsi="宋体" w:eastAsia="方正仿宋_GBK" w:cs="方正仿宋_GBK"/>
          <w:b/>
          <w:bCs/>
          <w:kern w:val="0"/>
          <w:sz w:val="32"/>
          <w:szCs w:val="32"/>
          <w:lang w:val="en-US" w:eastAsia="zh-CN"/>
        </w:rPr>
        <w:t>四是</w:t>
      </w:r>
      <w:r>
        <w:rPr>
          <w:rFonts w:hint="eastAsia" w:ascii="宋体" w:hAnsi="宋体" w:eastAsia="方正仿宋_GBK" w:cs="方正仿宋_GBK"/>
          <w:b/>
          <w:bCs/>
          <w:kern w:val="0"/>
          <w:sz w:val="32"/>
          <w:szCs w:val="32"/>
        </w:rPr>
        <w:t>‌文化赋能</w:t>
      </w:r>
      <w:r>
        <w:rPr>
          <w:rFonts w:hint="eastAsia" w:ascii="宋体" w:hAnsi="宋体" w:eastAsia="方正仿宋_GBK" w:cs="方正仿宋_GBK"/>
          <w:b/>
          <w:bCs/>
          <w:kern w:val="0"/>
          <w:sz w:val="32"/>
          <w:szCs w:val="32"/>
          <w:lang w:eastAsia="zh-CN"/>
        </w:rPr>
        <w:t>。</w:t>
      </w:r>
      <w:r>
        <w:rPr>
          <w:rFonts w:hint="eastAsia" w:ascii="宋体" w:hAnsi="宋体" w:eastAsia="方正仿宋_GBK" w:cs="方正仿宋_GBK"/>
          <w:kern w:val="0"/>
          <w:sz w:val="32"/>
          <w:szCs w:val="32"/>
        </w:rPr>
        <w:t>‌</w:t>
      </w:r>
      <w:r>
        <w:rPr>
          <w:rFonts w:hint="eastAsia" w:ascii="宋体" w:hAnsi="宋体" w:eastAsia="方正仿宋_GBK" w:cs="方正仿宋_GBK"/>
          <w:kern w:val="0"/>
          <w:sz w:val="32"/>
          <w:szCs w:val="32"/>
          <w:lang w:val="en-US" w:eastAsia="zh-CN"/>
        </w:rPr>
        <w:t>结合</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世界水日”等打造</w:t>
      </w:r>
      <w:r>
        <w:rPr>
          <w:rFonts w:hint="eastAsia" w:ascii="宋体" w:hAnsi="宋体" w:eastAsia="方正仿宋_GBK" w:cs="方正仿宋_GBK"/>
          <w:kern w:val="0"/>
          <w:sz w:val="32"/>
          <w:szCs w:val="32"/>
          <w:lang w:val="en-US" w:eastAsia="zh-CN"/>
        </w:rPr>
        <w:t>各项</w:t>
      </w:r>
      <w:r>
        <w:rPr>
          <w:rFonts w:hint="eastAsia" w:ascii="宋体" w:hAnsi="宋体" w:eastAsia="方正仿宋_GBK" w:cs="方正仿宋_GBK"/>
          <w:kern w:val="0"/>
          <w:sz w:val="32"/>
          <w:szCs w:val="32"/>
        </w:rPr>
        <w:t>IP活动，年吸引研学团队</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社区环保志愿者</w:t>
      </w:r>
      <w:r>
        <w:rPr>
          <w:rFonts w:hint="eastAsia" w:ascii="宋体" w:hAnsi="宋体" w:eastAsia="方正仿宋_GBK" w:cs="方正仿宋_GBK"/>
          <w:kern w:val="0"/>
          <w:sz w:val="32"/>
          <w:szCs w:val="32"/>
          <w:lang w:val="en-US" w:eastAsia="zh-CN"/>
        </w:rPr>
        <w:t>等参与环保、生态项目的实施，</w:t>
      </w:r>
      <w:r>
        <w:rPr>
          <w:rFonts w:hint="eastAsia" w:ascii="宋体" w:hAnsi="宋体" w:eastAsia="方正仿宋_GBK" w:cs="方正仿宋_GBK"/>
          <w:kern w:val="0"/>
          <w:sz w:val="32"/>
          <w:szCs w:val="32"/>
        </w:rPr>
        <w:t>形成全民护水格局</w:t>
      </w:r>
      <w:r>
        <w:rPr>
          <w:rFonts w:hint="eastAsia" w:ascii="宋体" w:hAnsi="宋体" w:eastAsia="方正仿宋_GBK" w:cs="方正仿宋_GBK"/>
          <w:kern w:val="0"/>
          <w:sz w:val="32"/>
          <w:szCs w:val="32"/>
          <w:lang w:eastAsia="zh-CN"/>
        </w:rPr>
        <w:t>。</w:t>
      </w:r>
    </w:p>
    <w:p w14:paraId="2BFBD9D0">
      <w:pPr>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rPr>
        <w:t>该体系通过三生融合（生态-生产-生活）实现综合效益最大化，符合美丽河湖建设</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40%达标率”的阶段性目标</w:t>
      </w:r>
      <w:r>
        <w:rPr>
          <w:rFonts w:hint="eastAsia" w:ascii="宋体" w:hAnsi="宋体" w:eastAsia="方正仿宋_GBK" w:cs="方正仿宋_GBK"/>
          <w:kern w:val="0"/>
          <w:sz w:val="32"/>
          <w:szCs w:val="32"/>
          <w:lang w:eastAsia="zh-CN"/>
        </w:rPr>
        <w:t>。</w:t>
      </w:r>
    </w:p>
    <w:p w14:paraId="79DAAAC9">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val="0"/>
          <w:bCs w:val="0"/>
          <w:color w:val="000000" w:themeColor="text1"/>
          <w:kern w:val="0"/>
          <w:sz w:val="32"/>
          <w:szCs w:val="32"/>
          <w14:textFill>
            <w14:solidFill>
              <w14:schemeClr w14:val="tx1"/>
            </w14:solidFill>
          </w14:textFill>
        </w:rPr>
      </w:pPr>
      <w:bookmarkStart w:id="147" w:name="_Toc77330272"/>
      <w:bookmarkStart w:id="148" w:name="_Toc4163"/>
      <w:bookmarkStart w:id="149" w:name="_Toc7735_WPSOffice_Level2"/>
      <w:bookmarkStart w:id="150" w:name="_Toc17504"/>
      <w:r>
        <w:rPr>
          <w:rFonts w:hint="eastAsia" w:ascii="宋体" w:hAnsi="宋体" w:eastAsia="方正仿宋_GBK" w:cs="方正仿宋_GBK"/>
          <w:b/>
          <w:bCs/>
          <w:color w:val="000000" w:themeColor="text1"/>
          <w:kern w:val="0"/>
          <w:sz w:val="32"/>
          <w:szCs w:val="32"/>
          <w:lang w:val="en-US" w:eastAsia="zh-CN"/>
          <w14:textFill>
            <w14:solidFill>
              <w14:schemeClr w14:val="tx1"/>
            </w14:solidFill>
          </w14:textFill>
        </w:rPr>
        <w:t>6</w:t>
      </w:r>
      <w:r>
        <w:rPr>
          <w:rFonts w:hint="eastAsia" w:ascii="宋体" w:hAnsi="宋体" w:eastAsia="方正仿宋_GBK" w:cs="方正仿宋_GBK"/>
          <w:b/>
          <w:bCs/>
          <w:color w:val="000000" w:themeColor="text1"/>
          <w:kern w:val="0"/>
          <w:sz w:val="32"/>
          <w:szCs w:val="32"/>
          <w14:textFill>
            <w14:solidFill>
              <w14:schemeClr w14:val="tx1"/>
            </w14:solidFill>
          </w14:textFill>
        </w:rPr>
        <w:t>.3 经济效益</w:t>
      </w:r>
      <w:bookmarkEnd w:id="147"/>
      <w:bookmarkEnd w:id="148"/>
      <w:bookmarkEnd w:id="149"/>
      <w:bookmarkEnd w:id="150"/>
    </w:p>
    <w:p w14:paraId="43A1C478">
      <w:pPr>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在保障水库工程安全、有效运转的前提下，开发水库水域资源，通过对外公开竞拍、租赁、承包经</w:t>
      </w:r>
      <w:r>
        <w:rPr>
          <w:rFonts w:hint="eastAsia" w:ascii="宋体" w:hAnsi="宋体" w:eastAsia="方正仿宋_GBK" w:cs="方正仿宋_GBK"/>
          <w:sz w:val="32"/>
          <w:szCs w:val="32"/>
          <w:highlight w:val="none"/>
        </w:rPr>
        <w:t>营20年开发权，20年预计项目投入各种开发项目资金约为</w:t>
      </w:r>
      <w:r>
        <w:rPr>
          <w:rFonts w:hint="eastAsia" w:ascii="宋体" w:hAnsi="宋体" w:eastAsia="方正仿宋_GBK" w:cs="方正仿宋_GBK"/>
          <w:sz w:val="32"/>
          <w:szCs w:val="32"/>
          <w:highlight w:val="none"/>
          <w:lang w:val="en-US" w:eastAsia="zh-CN"/>
        </w:rPr>
        <w:t>1.18</w:t>
      </w:r>
      <w:r>
        <w:rPr>
          <w:rFonts w:hint="eastAsia" w:ascii="宋体" w:hAnsi="宋体" w:eastAsia="方正仿宋_GBK" w:cs="方正仿宋_GBK"/>
          <w:sz w:val="32"/>
          <w:szCs w:val="32"/>
          <w:highlight w:val="none"/>
        </w:rPr>
        <w:t>亿元，预计毛收入约为</w:t>
      </w:r>
      <w:r>
        <w:rPr>
          <w:rFonts w:hint="eastAsia" w:ascii="宋体" w:hAnsi="宋体" w:eastAsia="方正仿宋_GBK" w:cs="方正仿宋_GBK"/>
          <w:sz w:val="32"/>
          <w:szCs w:val="32"/>
          <w:highlight w:val="none"/>
          <w:lang w:val="en-US" w:eastAsia="zh-CN"/>
        </w:rPr>
        <w:t>5.68</w:t>
      </w:r>
      <w:r>
        <w:rPr>
          <w:rFonts w:hint="eastAsia" w:ascii="宋体" w:hAnsi="宋体" w:eastAsia="方正仿宋_GBK" w:cs="方正仿宋_GBK"/>
          <w:sz w:val="32"/>
          <w:szCs w:val="32"/>
          <w:highlight w:val="none"/>
        </w:rPr>
        <w:t>亿元，预计纯收入约为</w:t>
      </w:r>
      <w:r>
        <w:rPr>
          <w:rFonts w:hint="eastAsia" w:ascii="宋体" w:hAnsi="宋体" w:eastAsia="方正仿宋_GBK" w:cs="方正仿宋_GBK"/>
          <w:sz w:val="32"/>
          <w:szCs w:val="32"/>
          <w:highlight w:val="none"/>
          <w:lang w:val="en-US" w:eastAsia="zh-CN"/>
        </w:rPr>
        <w:t>4.50</w:t>
      </w:r>
      <w:r>
        <w:rPr>
          <w:rFonts w:hint="eastAsia" w:ascii="宋体" w:hAnsi="宋体" w:eastAsia="方正仿宋_GBK" w:cs="方正仿宋_GBK"/>
          <w:sz w:val="32"/>
          <w:szCs w:val="32"/>
          <w:highlight w:val="none"/>
        </w:rPr>
        <w:t>亿元。</w:t>
      </w:r>
      <w:r>
        <w:rPr>
          <w:rFonts w:hint="eastAsia" w:ascii="宋体" w:hAnsi="宋体" w:eastAsia="方正仿宋_GBK" w:cs="方正仿宋_GBK"/>
          <w:sz w:val="32"/>
          <w:szCs w:val="32"/>
        </w:rPr>
        <w:t>水库</w:t>
      </w:r>
      <w:r>
        <w:rPr>
          <w:rFonts w:hint="eastAsia" w:ascii="宋体" w:hAnsi="宋体" w:eastAsia="方正仿宋_GBK" w:cs="方正仿宋_GBK"/>
          <w:sz w:val="32"/>
          <w:szCs w:val="32"/>
          <w:lang w:val="en-US" w:eastAsia="zh-CN"/>
        </w:rPr>
        <w:t>水面开发利用</w:t>
      </w:r>
      <w:r>
        <w:rPr>
          <w:rFonts w:hint="eastAsia" w:ascii="宋体" w:hAnsi="宋体" w:eastAsia="方正仿宋_GBK" w:cs="方正仿宋_GBK"/>
          <w:sz w:val="32"/>
          <w:szCs w:val="32"/>
        </w:rPr>
        <w:t>开发不仅盘活了市场，改善了民生，增加了社会就业机会，扎实推动芒市经济建设向前快速发展，同时还促进了政府部分财税收益，对政府化解债务风险起到了积极的作用。</w:t>
      </w:r>
    </w:p>
    <w:p w14:paraId="2836ED06">
      <w:pPr>
        <w:pageBreakBefore w:val="0"/>
        <w:widowControl w:val="0"/>
        <w:kinsoku/>
        <w:wordWrap/>
        <w:overflowPunct/>
        <w:topLinePunct w:val="0"/>
        <w:autoSpaceDE w:val="0"/>
        <w:autoSpaceDN w:val="0"/>
        <w:bidi w:val="0"/>
        <w:adjustRightInd w:val="0"/>
        <w:snapToGrid/>
        <w:spacing w:line="560" w:lineRule="exact"/>
        <w:jc w:val="both"/>
        <w:textAlignment w:val="auto"/>
        <w:outlineLvl w:val="0"/>
        <w:rPr>
          <w:rFonts w:hint="eastAsia" w:ascii="宋体" w:hAnsi="宋体" w:eastAsia="方正小标宋_GBK" w:cs="方正小标宋_GBK"/>
          <w:b w:val="0"/>
          <w:bCs w:val="0"/>
          <w:sz w:val="44"/>
          <w:szCs w:val="44"/>
        </w:rPr>
      </w:pPr>
      <w:bookmarkStart w:id="151" w:name="_Toc24914"/>
      <w:bookmarkStart w:id="152" w:name="_Toc6724"/>
      <w:bookmarkStart w:id="153" w:name="_Toc30860"/>
    </w:p>
    <w:p w14:paraId="2459C776">
      <w:pPr>
        <w:pageBreakBefore w:val="0"/>
        <w:widowControl w:val="0"/>
        <w:kinsoku/>
        <w:wordWrap/>
        <w:overflowPunct/>
        <w:topLinePunct w:val="0"/>
        <w:autoSpaceDE w:val="0"/>
        <w:autoSpaceDN w:val="0"/>
        <w:bidi w:val="0"/>
        <w:adjustRightInd w:val="0"/>
        <w:snapToGrid/>
        <w:spacing w:line="560" w:lineRule="exact"/>
        <w:jc w:val="center"/>
        <w:textAlignment w:val="auto"/>
        <w:outlineLvl w:val="0"/>
        <w:rPr>
          <w:rFonts w:hint="eastAsia" w:ascii="宋体" w:hAnsi="宋体" w:eastAsia="方正黑体_GBK" w:cs="方正黑体_GBK"/>
          <w:b/>
          <w:bCs/>
          <w:sz w:val="32"/>
          <w:szCs w:val="32"/>
          <w:lang w:val="en-US" w:eastAsia="zh-CN"/>
        </w:rPr>
      </w:pPr>
      <w:bookmarkStart w:id="154" w:name="_Toc11374"/>
      <w:r>
        <w:rPr>
          <w:rFonts w:hint="eastAsia" w:ascii="宋体" w:hAnsi="宋体" w:eastAsia="方正小标宋_GBK" w:cs="方正小标宋_GBK"/>
          <w:b w:val="0"/>
          <w:bCs w:val="0"/>
          <w:color w:val="000000" w:themeColor="text1"/>
          <w:sz w:val="44"/>
          <w:szCs w:val="44"/>
          <w14:textFill>
            <w14:solidFill>
              <w14:schemeClr w14:val="tx1"/>
            </w14:solidFill>
          </w14:textFill>
        </w:rPr>
        <w:t>第</w:t>
      </w:r>
      <w:r>
        <w:rPr>
          <w:rFonts w:hint="eastAsia" w:ascii="宋体" w:hAnsi="宋体" w:eastAsia="方正小标宋_GBK" w:cs="方正小标宋_GBK"/>
          <w:b w:val="0"/>
          <w:bCs w:val="0"/>
          <w:color w:val="000000" w:themeColor="text1"/>
          <w:sz w:val="44"/>
          <w:szCs w:val="44"/>
          <w:lang w:val="en-US" w:eastAsia="zh-CN"/>
          <w14:textFill>
            <w14:solidFill>
              <w14:schemeClr w14:val="tx1"/>
            </w14:solidFill>
          </w14:textFill>
        </w:rPr>
        <w:t>七</w:t>
      </w:r>
      <w:r>
        <w:rPr>
          <w:rFonts w:hint="eastAsia" w:ascii="宋体" w:hAnsi="宋体" w:eastAsia="方正小标宋_GBK" w:cs="方正小标宋_GBK"/>
          <w:b w:val="0"/>
          <w:bCs w:val="0"/>
          <w:color w:val="000000" w:themeColor="text1"/>
          <w:sz w:val="44"/>
          <w:szCs w:val="44"/>
          <w14:textFill>
            <w14:solidFill>
              <w14:schemeClr w14:val="tx1"/>
            </w14:solidFill>
          </w14:textFill>
        </w:rPr>
        <w:t xml:space="preserve">章 </w:t>
      </w:r>
      <w:r>
        <w:rPr>
          <w:rFonts w:hint="eastAsia" w:ascii="宋体" w:hAnsi="宋体" w:eastAsia="方正小标宋_GBK" w:cs="方正小标宋_GBK"/>
          <w:b w:val="0"/>
          <w:bCs w:val="0"/>
          <w:color w:val="000000" w:themeColor="text1"/>
          <w:sz w:val="44"/>
          <w:szCs w:val="44"/>
          <w:lang w:eastAsia="zh-CN"/>
          <w14:textFill>
            <w14:solidFill>
              <w14:schemeClr w14:val="tx1"/>
            </w14:solidFill>
          </w14:textFill>
        </w:rPr>
        <w:t>水面开发利用</w:t>
      </w:r>
      <w:r>
        <w:rPr>
          <w:rFonts w:hint="eastAsia" w:ascii="宋体" w:hAnsi="宋体" w:eastAsia="方正小标宋_GBK" w:cs="方正小标宋_GBK"/>
          <w:b w:val="0"/>
          <w:bCs w:val="0"/>
          <w:color w:val="000000" w:themeColor="text1"/>
          <w:sz w:val="44"/>
          <w:szCs w:val="44"/>
          <w14:textFill>
            <w14:solidFill>
              <w14:schemeClr w14:val="tx1"/>
            </w14:solidFill>
          </w14:textFill>
        </w:rPr>
        <w:t>风险评估分析</w:t>
      </w:r>
      <w:bookmarkEnd w:id="151"/>
      <w:bookmarkEnd w:id="152"/>
      <w:bookmarkEnd w:id="153"/>
      <w:bookmarkEnd w:id="154"/>
      <w:bookmarkStart w:id="155" w:name="_Toc8091"/>
      <w:bookmarkStart w:id="156" w:name="_Toc20536"/>
      <w:bookmarkStart w:id="157" w:name="_Toc31735"/>
      <w:bookmarkStart w:id="158" w:name="_Toc30760"/>
    </w:p>
    <w:p w14:paraId="6EC2BF3B">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sz w:val="32"/>
          <w:szCs w:val="32"/>
        </w:rPr>
      </w:pPr>
      <w:bookmarkStart w:id="159" w:name="_Toc23094"/>
      <w:r>
        <w:rPr>
          <w:rFonts w:hint="eastAsia" w:ascii="宋体" w:hAnsi="宋体" w:eastAsia="方正仿宋_GBK" w:cs="方正仿宋_GBK"/>
          <w:b/>
          <w:bCs/>
          <w:sz w:val="32"/>
          <w:szCs w:val="32"/>
          <w:lang w:val="en-US" w:eastAsia="zh-CN"/>
        </w:rPr>
        <w:t>7</w:t>
      </w:r>
      <w:r>
        <w:rPr>
          <w:rFonts w:hint="eastAsia" w:ascii="宋体" w:hAnsi="宋体" w:eastAsia="方正仿宋_GBK" w:cs="方正仿宋_GBK"/>
          <w:b/>
          <w:bCs/>
          <w:sz w:val="32"/>
          <w:szCs w:val="32"/>
        </w:rPr>
        <w:t>.1 市场环境评估</w:t>
      </w:r>
      <w:bookmarkEnd w:id="155"/>
      <w:bookmarkEnd w:id="156"/>
      <w:bookmarkEnd w:id="157"/>
      <w:bookmarkEnd w:id="158"/>
      <w:bookmarkEnd w:id="159"/>
    </w:p>
    <w:p w14:paraId="2A86D836">
      <w:pPr>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rPr>
      </w:pPr>
      <w:bookmarkStart w:id="160" w:name="_Toc14318"/>
      <w:bookmarkStart w:id="161" w:name="_Toc19642"/>
      <w:bookmarkStart w:id="162" w:name="_Toc11456"/>
      <w:bookmarkStart w:id="163" w:name="_Toc23761"/>
      <w:r>
        <w:rPr>
          <w:rFonts w:hint="eastAsia" w:ascii="宋体" w:hAnsi="宋体" w:eastAsia="方正仿宋_GBK" w:cs="方正仿宋_GBK"/>
          <w:b/>
          <w:sz w:val="32"/>
          <w:szCs w:val="32"/>
          <w:lang w:val="en-US" w:eastAsia="zh-CN"/>
        </w:rPr>
        <w:t>7</w:t>
      </w:r>
      <w:r>
        <w:rPr>
          <w:rFonts w:hint="eastAsia" w:ascii="宋体" w:hAnsi="宋体" w:eastAsia="方正仿宋_GBK" w:cs="方正仿宋_GBK"/>
          <w:b/>
          <w:sz w:val="32"/>
          <w:szCs w:val="32"/>
        </w:rPr>
        <w:t>.1.1 芒市国际机场扩建影响分析</w:t>
      </w:r>
      <w:bookmarkEnd w:id="160"/>
      <w:bookmarkEnd w:id="161"/>
      <w:bookmarkEnd w:id="162"/>
      <w:bookmarkEnd w:id="163"/>
    </w:p>
    <w:p w14:paraId="353410FC">
      <w:pPr>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航空业的迅速崛起，也是筑牢一个地区经济基础的关键。自改革开放以来，德宏的交通随着我国的经济振兴也得以快速发展，特别是 “天路”航空更是令人瞩目。目前，芒市国际机场建设紧跟国内航空市场发展、中国与南亚国家友好往来关系的升温，州市政府正在组织第三次芒市国际机场扩建，统筹扩建资金，待机场扩建完成，芒市国际机场的“国际”范又会有新的样貌展露在国际航空市场上，届时德宏人出行、出国旅行将会更加便捷，预计到2030年芒市国际机场的旅客吞吐量将达到500万人次。如此规模的客流量，势必会助推州内各行各业的消费市场。</w:t>
      </w:r>
    </w:p>
    <w:tbl>
      <w:tblPr>
        <w:tblStyle w:val="29"/>
        <w:tblW w:w="9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42"/>
        <w:gridCol w:w="4738"/>
      </w:tblGrid>
      <w:tr w14:paraId="51934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7" w:hRule="atLeast"/>
          <w:jc w:val="center"/>
        </w:trPr>
        <w:tc>
          <w:tcPr>
            <w:tcW w:w="4842" w:type="dxa"/>
            <w:shd w:val="clear" w:color="auto" w:fill="auto"/>
            <w:vAlign w:val="center"/>
          </w:tcPr>
          <w:p w14:paraId="45A3BEAC">
            <w:pPr>
              <w:pageBreakBefore w:val="0"/>
              <w:kinsoku/>
              <w:wordWrap/>
              <w:overflowPunct/>
              <w:topLinePunct w:val="0"/>
              <w:bidi w:val="0"/>
              <w:ind w:right="-53" w:rightChars="-25"/>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drawing>
                <wp:inline distT="0" distB="0" distL="0" distR="0">
                  <wp:extent cx="2925445" cy="1744980"/>
                  <wp:effectExtent l="0" t="0" r="8255" b="7620"/>
                  <wp:docPr id="29" name="图片 29" descr="C:\Users\llw\Desktop\7961f19322ef27ad53dae38c25c5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lw\Desktop\7961f19322ef27ad53dae38c25c5f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25445" cy="1744980"/>
                          </a:xfrm>
                          <a:prstGeom prst="rect">
                            <a:avLst/>
                          </a:prstGeom>
                          <a:noFill/>
                          <a:ln>
                            <a:noFill/>
                          </a:ln>
                        </pic:spPr>
                      </pic:pic>
                    </a:graphicData>
                  </a:graphic>
                </wp:inline>
              </w:drawing>
            </w:r>
          </w:p>
        </w:tc>
        <w:tc>
          <w:tcPr>
            <w:tcW w:w="4738" w:type="dxa"/>
            <w:shd w:val="clear" w:color="auto" w:fill="auto"/>
            <w:vAlign w:val="center"/>
          </w:tcPr>
          <w:p w14:paraId="6D48A21E">
            <w:pPr>
              <w:pageBreakBefore w:val="0"/>
              <w:kinsoku/>
              <w:wordWrap/>
              <w:overflowPunct/>
              <w:topLinePunct w:val="0"/>
              <w:bidi w:val="0"/>
              <w:ind w:right="-53" w:rightChars="-25"/>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drawing>
                <wp:inline distT="0" distB="0" distL="0" distR="0">
                  <wp:extent cx="2846070" cy="1715135"/>
                  <wp:effectExtent l="0" t="0" r="0" b="0"/>
                  <wp:docPr id="35" name="图片 35" descr="C:\Users\llw\AppData\Local\Temp\WeChat Files\14bd2ba36cb96d6771852340811f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lw\AppData\Local\Temp\WeChat Files\14bd2ba36cb96d6771852340811fc1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46070" cy="1715135"/>
                          </a:xfrm>
                          <a:prstGeom prst="rect">
                            <a:avLst/>
                          </a:prstGeom>
                          <a:noFill/>
                          <a:ln>
                            <a:noFill/>
                          </a:ln>
                        </pic:spPr>
                      </pic:pic>
                    </a:graphicData>
                  </a:graphic>
                </wp:inline>
              </w:drawing>
            </w:r>
          </w:p>
        </w:tc>
      </w:tr>
      <w:tr w14:paraId="442C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842" w:type="dxa"/>
            <w:shd w:val="clear" w:color="auto" w:fill="auto"/>
            <w:vAlign w:val="center"/>
          </w:tcPr>
          <w:p w14:paraId="480032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方正仿宋_GBK" w:cs="方正仿宋_GBK"/>
                <w:b/>
                <w:sz w:val="24"/>
                <w:szCs w:val="24"/>
              </w:rPr>
            </w:pPr>
            <w:r>
              <w:rPr>
                <w:rFonts w:hint="eastAsia" w:ascii="宋体" w:hAnsi="宋体" w:eastAsia="方正仿宋_GBK" w:cs="方正仿宋_GBK"/>
                <w:b/>
                <w:sz w:val="24"/>
                <w:szCs w:val="24"/>
                <w:lang w:val="en-US" w:eastAsia="zh-CN"/>
              </w:rPr>
              <w:t>8</w:t>
            </w:r>
            <w:r>
              <w:rPr>
                <w:rFonts w:hint="eastAsia" w:ascii="宋体" w:hAnsi="宋体" w:eastAsia="方正仿宋_GBK" w:cs="方正仿宋_GBK"/>
                <w:b/>
                <w:sz w:val="24"/>
                <w:szCs w:val="24"/>
              </w:rPr>
              <w:t>.1.1-1</w:t>
            </w:r>
          </w:p>
          <w:p w14:paraId="5170E5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方正仿宋_GBK" w:cs="方正仿宋_GBK"/>
                <w:b/>
                <w:sz w:val="24"/>
                <w:szCs w:val="24"/>
              </w:rPr>
            </w:pPr>
            <w:r>
              <w:rPr>
                <w:rFonts w:hint="eastAsia" w:ascii="宋体" w:hAnsi="宋体" w:eastAsia="方正仿宋_GBK" w:cs="方正仿宋_GBK"/>
                <w:b/>
                <w:sz w:val="24"/>
                <w:szCs w:val="24"/>
              </w:rPr>
              <w:t>德宏芒市国际机场大门</w:t>
            </w:r>
          </w:p>
        </w:tc>
        <w:tc>
          <w:tcPr>
            <w:tcW w:w="4738" w:type="dxa"/>
            <w:shd w:val="clear" w:color="auto" w:fill="auto"/>
            <w:vAlign w:val="center"/>
          </w:tcPr>
          <w:p w14:paraId="2FE438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方正仿宋_GBK" w:cs="方正仿宋_GBK"/>
                <w:b/>
                <w:sz w:val="24"/>
                <w:szCs w:val="24"/>
              </w:rPr>
            </w:pPr>
            <w:r>
              <w:rPr>
                <w:rFonts w:hint="eastAsia" w:ascii="宋体" w:hAnsi="宋体" w:eastAsia="方正仿宋_GBK" w:cs="方正仿宋_GBK"/>
                <w:b/>
                <w:sz w:val="24"/>
                <w:szCs w:val="24"/>
                <w:lang w:val="en-US" w:eastAsia="zh-CN"/>
              </w:rPr>
              <w:t>8</w:t>
            </w:r>
            <w:r>
              <w:rPr>
                <w:rFonts w:hint="eastAsia" w:ascii="宋体" w:hAnsi="宋体" w:eastAsia="方正仿宋_GBK" w:cs="方正仿宋_GBK"/>
                <w:b/>
                <w:sz w:val="24"/>
                <w:szCs w:val="24"/>
              </w:rPr>
              <w:t>.1.1-2</w:t>
            </w:r>
          </w:p>
          <w:p w14:paraId="062237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方正仿宋_GBK" w:cs="方正仿宋_GBK"/>
                <w:sz w:val="24"/>
                <w:szCs w:val="24"/>
              </w:rPr>
            </w:pPr>
            <w:r>
              <w:rPr>
                <w:rFonts w:hint="eastAsia" w:ascii="宋体" w:hAnsi="宋体" w:eastAsia="方正仿宋_GBK" w:cs="方正仿宋_GBK"/>
                <w:b/>
                <w:sz w:val="24"/>
                <w:szCs w:val="24"/>
              </w:rPr>
              <w:t>德宏芒市国际机场停机坪</w:t>
            </w:r>
          </w:p>
        </w:tc>
      </w:tr>
    </w:tbl>
    <w:p w14:paraId="0EFA36BF">
      <w:pPr>
        <w:keepNext w:val="0"/>
        <w:keepLines w:val="0"/>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rPr>
      </w:pPr>
      <w:bookmarkStart w:id="164" w:name="_Toc5597"/>
      <w:bookmarkStart w:id="165" w:name="_Toc22636"/>
      <w:bookmarkStart w:id="166" w:name="_Toc22818"/>
      <w:r>
        <w:rPr>
          <w:rFonts w:hint="eastAsia" w:ascii="宋体" w:hAnsi="宋体" w:eastAsia="方正仿宋_GBK" w:cs="方正仿宋_GBK"/>
          <w:b/>
          <w:sz w:val="32"/>
          <w:szCs w:val="32"/>
          <w:lang w:val="en-US" w:eastAsia="zh-CN"/>
        </w:rPr>
        <w:t>7</w:t>
      </w:r>
      <w:r>
        <w:rPr>
          <w:rFonts w:hint="eastAsia" w:ascii="宋体" w:hAnsi="宋体" w:eastAsia="方正仿宋_GBK" w:cs="方正仿宋_GBK"/>
          <w:b/>
          <w:sz w:val="32"/>
          <w:szCs w:val="32"/>
        </w:rPr>
        <w:t>.1.2 大瑞铁路通车影响分析</w:t>
      </w:r>
      <w:bookmarkEnd w:id="164"/>
      <w:bookmarkEnd w:id="165"/>
      <w:bookmarkEnd w:id="166"/>
    </w:p>
    <w:p w14:paraId="3A41EE44">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交通条件的改善，是发展经济的瓶颈。大瑞铁路是一条连接中国大理市和瑞丽市的国铁Ⅰ级单线电气化客货共线铁路，是泛亚铁路西线和中缅国际大通道的重要组成部分，全长350km。大瑞铁路是贯彻落实国家西部大开发战略，加快我国连接东南亚、南亚国际大通道建设的关键性交通基础设施项目，也是实现云南经济社会又好又快发展的一项重点工程，更是德宏州实现飞跃发展的致富瓶颈，大瑞铁路的建成，将重塑历史上的“南方丝绸古路”新的辉煌。自大瑞铁路大保段2022年7月开通运营以来，呈现客货运输两旺的良好态势，开通后仅4个月的客货运输量就突破百万人次和百万吨。因此，大瑞铁路的贯通运营，将极大地推进德宏经济全面发展，届时外贸、地产、交通运输、旅游、农副业等都会刷新发展历史，几乎每一个行业都将受此影响，且</w:t>
      </w:r>
      <w:r>
        <w:rPr>
          <w:rFonts w:hint="eastAsia" w:ascii="宋体" w:hAnsi="宋体" w:eastAsia="方正仿宋_GBK" w:cs="方正仿宋_GBK"/>
          <w:sz w:val="32"/>
          <w:szCs w:val="32"/>
          <w:lang w:eastAsia="zh-CN"/>
        </w:rPr>
        <w:t>芒究</w:t>
      </w:r>
      <w:r>
        <w:rPr>
          <w:rFonts w:hint="eastAsia" w:ascii="宋体" w:hAnsi="宋体" w:eastAsia="方正仿宋_GBK" w:cs="方正仿宋_GBK"/>
          <w:sz w:val="32"/>
          <w:szCs w:val="32"/>
        </w:rPr>
        <w:t>水库不仅靠近芒市国际机场，同时也靠近高铁货运站，对水库开发营运来说也是一个很好的基础条件。</w:t>
      </w:r>
    </w:p>
    <w:p w14:paraId="0A8D83E5">
      <w:pPr>
        <w:keepNext w:val="0"/>
        <w:keepLines w:val="0"/>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val="0"/>
          <w:sz w:val="32"/>
          <w:szCs w:val="32"/>
        </w:rPr>
      </w:pPr>
      <w:bookmarkStart w:id="167" w:name="_Toc21687"/>
      <w:bookmarkStart w:id="168" w:name="_Toc9980"/>
      <w:bookmarkStart w:id="169" w:name="_Toc7248"/>
      <w:bookmarkStart w:id="170" w:name="_Toc28682"/>
      <w:r>
        <w:rPr>
          <w:rFonts w:hint="eastAsia" w:ascii="宋体" w:hAnsi="宋体" w:eastAsia="方正仿宋_GBK" w:cs="方正仿宋_GBK"/>
          <w:b/>
          <w:bCs w:val="0"/>
          <w:sz w:val="32"/>
          <w:szCs w:val="32"/>
          <w:lang w:val="en-US" w:eastAsia="zh-CN"/>
        </w:rPr>
        <w:t>7</w:t>
      </w:r>
      <w:r>
        <w:rPr>
          <w:rFonts w:hint="eastAsia" w:ascii="宋体" w:hAnsi="宋体" w:eastAsia="方正仿宋_GBK" w:cs="方正仿宋_GBK"/>
          <w:b/>
          <w:bCs w:val="0"/>
          <w:sz w:val="32"/>
          <w:szCs w:val="32"/>
        </w:rPr>
        <w:t>.2</w:t>
      </w:r>
      <w:r>
        <w:rPr>
          <w:rFonts w:hint="eastAsia" w:ascii="宋体" w:hAnsi="宋体" w:eastAsia="方正仿宋_GBK" w:cs="方正仿宋_GBK"/>
          <w:b/>
          <w:bCs w:val="0"/>
          <w:sz w:val="32"/>
          <w:szCs w:val="32"/>
          <w:lang w:eastAsia="zh-CN"/>
        </w:rPr>
        <w:t>水面开发利用</w:t>
      </w:r>
      <w:r>
        <w:rPr>
          <w:rFonts w:hint="eastAsia" w:ascii="宋体" w:hAnsi="宋体" w:eastAsia="方正仿宋_GBK" w:cs="方正仿宋_GBK"/>
          <w:b/>
          <w:bCs w:val="0"/>
          <w:sz w:val="32"/>
          <w:szCs w:val="32"/>
        </w:rPr>
        <w:t>风险评估</w:t>
      </w:r>
      <w:bookmarkEnd w:id="167"/>
      <w:bookmarkEnd w:id="168"/>
      <w:bookmarkEnd w:id="169"/>
      <w:bookmarkEnd w:id="170"/>
    </w:p>
    <w:p w14:paraId="024A676D">
      <w:pPr>
        <w:keepNext w:val="0"/>
        <w:keepLines w:val="0"/>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lang w:val="en-US" w:eastAsia="zh-CN"/>
        </w:rPr>
      </w:pPr>
      <w:r>
        <w:rPr>
          <w:rFonts w:hint="eastAsia" w:ascii="宋体" w:hAnsi="宋体" w:eastAsia="方正仿宋_GBK" w:cs="方正仿宋_GBK"/>
          <w:b/>
          <w:sz w:val="32"/>
          <w:szCs w:val="32"/>
          <w:lang w:val="en-US" w:eastAsia="zh-CN"/>
        </w:rPr>
        <w:t>7.2.1主要风险类型</w:t>
      </w:r>
    </w:p>
    <w:p w14:paraId="22B8D566">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1.</w:t>
      </w:r>
      <w:r>
        <w:rPr>
          <w:rFonts w:hint="eastAsia" w:ascii="宋体" w:hAnsi="宋体" w:eastAsia="方正仿宋_GBK" w:cs="方正仿宋_GBK"/>
          <w:sz w:val="32"/>
          <w:szCs w:val="32"/>
          <w:lang w:eastAsia="zh-CN"/>
        </w:rPr>
        <w:t>‌生态破坏风险‌</w:t>
      </w:r>
    </w:p>
    <w:p w14:paraId="0CBA6FC4">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过度开发易导致水生生物多样性下降、湿地萎缩及生态系统失衡，需关注生态基流保障（保证率90%）及生物栖息地保护。</w:t>
      </w:r>
    </w:p>
    <w:p w14:paraId="2ED5A477">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2.</w:t>
      </w:r>
      <w:r>
        <w:rPr>
          <w:rFonts w:hint="eastAsia" w:ascii="宋体" w:hAnsi="宋体" w:eastAsia="方正仿宋_GBK" w:cs="方正仿宋_GBK"/>
          <w:sz w:val="32"/>
          <w:szCs w:val="32"/>
          <w:lang w:eastAsia="zh-CN"/>
        </w:rPr>
        <w:t>‌水质污染风险‌</w:t>
      </w:r>
    </w:p>
    <w:p w14:paraId="073B8D61">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农业面源污染及生活污水排放可能引发富营养化，需建立动态监测体系并评估污染源扩散路径。</w:t>
      </w:r>
    </w:p>
    <w:p w14:paraId="7720B7CF">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3.</w:t>
      </w:r>
      <w:r>
        <w:rPr>
          <w:rFonts w:hint="eastAsia" w:ascii="宋体" w:hAnsi="宋体" w:eastAsia="方正仿宋_GBK" w:cs="方正仿宋_GBK"/>
          <w:sz w:val="32"/>
          <w:szCs w:val="32"/>
          <w:lang w:eastAsia="zh-CN"/>
        </w:rPr>
        <w:t>‌水资源短缺风险‌</w:t>
      </w:r>
    </w:p>
    <w:p w14:paraId="727F154F">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时空分布不均与过度开采可能导致用水矛盾，需平衡生活（保证率95%）、工业（90%）和农业（85-90%）用水需求，分析供需缺口。</w:t>
      </w:r>
    </w:p>
    <w:p w14:paraId="23958993">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4.</w:t>
      </w:r>
      <w:r>
        <w:rPr>
          <w:rFonts w:hint="eastAsia" w:ascii="宋体" w:hAnsi="宋体" w:eastAsia="方正仿宋_GBK" w:cs="方正仿宋_GBK"/>
          <w:sz w:val="32"/>
          <w:szCs w:val="32"/>
          <w:lang w:eastAsia="zh-CN"/>
        </w:rPr>
        <w:t>‌工程安全风险‌</w:t>
      </w:r>
    </w:p>
    <w:p w14:paraId="4DF6868C">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水利设施老化、极端天气（如洪水、溃坝）及施工质量问题可能引发安全事故，需排查工程隐患并评估抗灾能力。</w:t>
      </w:r>
    </w:p>
    <w:p w14:paraId="68464C5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5.</w:t>
      </w:r>
      <w:r>
        <w:rPr>
          <w:rFonts w:hint="eastAsia" w:ascii="宋体" w:hAnsi="宋体" w:eastAsia="方正仿宋_GBK" w:cs="方正仿宋_GBK"/>
          <w:sz w:val="32"/>
          <w:szCs w:val="32"/>
          <w:lang w:eastAsia="zh-CN"/>
        </w:rPr>
        <w:t>‌社会稳定风险‌</w:t>
      </w:r>
    </w:p>
    <w:p w14:paraId="398437AC">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开发可能涉及利益分配不均等问题，需通过公众意见征集和补偿机制降低群体性事件风险。</w:t>
      </w:r>
    </w:p>
    <w:p w14:paraId="0E618FF2">
      <w:pPr>
        <w:keepNext w:val="0"/>
        <w:keepLines w:val="0"/>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lang w:val="en-US" w:eastAsia="zh-CN"/>
        </w:rPr>
      </w:pPr>
      <w:r>
        <w:rPr>
          <w:rFonts w:hint="eastAsia" w:ascii="宋体" w:hAnsi="宋体" w:eastAsia="方正仿宋_GBK" w:cs="方正仿宋_GBK"/>
          <w:b/>
          <w:sz w:val="32"/>
          <w:szCs w:val="32"/>
          <w:lang w:val="en-US" w:eastAsia="zh-CN"/>
        </w:rPr>
        <w:t>7.2.2风险评估流程</w:t>
      </w:r>
    </w:p>
    <w:p w14:paraId="68CA90B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1.</w:t>
      </w:r>
      <w:r>
        <w:rPr>
          <w:rFonts w:hint="eastAsia" w:ascii="宋体" w:hAnsi="宋体" w:eastAsia="方正仿宋_GBK" w:cs="方正仿宋_GBK"/>
          <w:sz w:val="32"/>
          <w:szCs w:val="32"/>
          <w:lang w:eastAsia="zh-CN"/>
        </w:rPr>
        <w:t>‌基础数据采集‌</w:t>
      </w:r>
    </w:p>
    <w:p w14:paraId="2F2C7C2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建立水文、水质、生态及社会经济数据库，明确现状水平年（如2020年）与规划期（2025</w:t>
      </w:r>
      <w:r>
        <w:rPr>
          <w:rFonts w:hint="eastAsia" w:ascii="宋体" w:hAnsi="宋体" w:eastAsia="方正仿宋_GBK" w:cs="方正仿宋_GBK"/>
          <w:sz w:val="32"/>
          <w:szCs w:val="32"/>
          <w:lang w:val="en-US" w:eastAsia="zh-CN"/>
        </w:rPr>
        <w:t>-</w:t>
      </w:r>
      <w:r>
        <w:rPr>
          <w:rFonts w:hint="eastAsia" w:ascii="宋体" w:hAnsi="宋体" w:eastAsia="方正仿宋_GBK" w:cs="方正仿宋_GBK"/>
          <w:sz w:val="32"/>
          <w:szCs w:val="32"/>
          <w:lang w:eastAsia="zh-CN"/>
        </w:rPr>
        <w:t>20</w:t>
      </w:r>
      <w:r>
        <w:rPr>
          <w:rFonts w:hint="eastAsia" w:ascii="宋体" w:hAnsi="宋体" w:eastAsia="方正仿宋_GBK" w:cs="方正仿宋_GBK"/>
          <w:sz w:val="32"/>
          <w:szCs w:val="32"/>
          <w:lang w:val="en-US" w:eastAsia="zh-CN"/>
        </w:rPr>
        <w:t>4</w:t>
      </w:r>
      <w:r>
        <w:rPr>
          <w:rFonts w:hint="eastAsia" w:ascii="宋体" w:hAnsi="宋体" w:eastAsia="方正仿宋_GBK" w:cs="方正仿宋_GBK"/>
          <w:sz w:val="32"/>
          <w:szCs w:val="32"/>
          <w:lang w:eastAsia="zh-CN"/>
        </w:rPr>
        <w:t>5年）目标。</w:t>
      </w:r>
    </w:p>
    <w:p w14:paraId="2699B0C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2.</w:t>
      </w:r>
      <w:r>
        <w:rPr>
          <w:rFonts w:hint="eastAsia" w:ascii="宋体" w:hAnsi="宋体" w:eastAsia="方正仿宋_GBK" w:cs="方正仿宋_GBK"/>
          <w:sz w:val="32"/>
          <w:szCs w:val="32"/>
          <w:lang w:eastAsia="zh-CN"/>
        </w:rPr>
        <w:t>‌风险识别与分级‌</w:t>
      </w:r>
    </w:p>
    <w:p w14:paraId="4AC3A2A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采用定量（概率模型）与定性（专家评分）结合方法，划分低、中、高风险等级，重点识别污染源、生态敏感区及工程脆弱点。</w:t>
      </w:r>
    </w:p>
    <w:p w14:paraId="1B95FC2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3.</w:t>
      </w:r>
      <w:r>
        <w:rPr>
          <w:rFonts w:hint="eastAsia" w:ascii="宋体" w:hAnsi="宋体" w:eastAsia="方正仿宋_GBK" w:cs="方正仿宋_GBK"/>
          <w:sz w:val="32"/>
          <w:szCs w:val="32"/>
          <w:lang w:eastAsia="zh-CN"/>
        </w:rPr>
        <w:t>‌影响后果量化‌</w:t>
      </w:r>
    </w:p>
    <w:p w14:paraId="375CEE2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评估风险事件对经济、环境及公众健康的潜在损失，例如污染治理成本或生态修复周期。</w:t>
      </w:r>
    </w:p>
    <w:p w14:paraId="6465233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4.</w:t>
      </w:r>
      <w:r>
        <w:rPr>
          <w:rFonts w:hint="eastAsia" w:ascii="宋体" w:hAnsi="宋体" w:eastAsia="方正仿宋_GBK" w:cs="方正仿宋_GBK"/>
          <w:sz w:val="32"/>
          <w:szCs w:val="32"/>
          <w:lang w:eastAsia="zh-CN"/>
        </w:rPr>
        <w:t>‌综合风险判定‌</w:t>
      </w:r>
    </w:p>
    <w:p w14:paraId="545DAA5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通过风险矩阵或权重叠加法确定优先管控领域，例如水质恶化区域或高密度开发区。</w:t>
      </w:r>
    </w:p>
    <w:p w14:paraId="1FA8593E">
      <w:pPr>
        <w:keepNext w:val="0"/>
        <w:keepLines w:val="0"/>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lang w:val="en-US" w:eastAsia="zh-CN"/>
        </w:rPr>
      </w:pPr>
      <w:r>
        <w:rPr>
          <w:rFonts w:hint="eastAsia" w:ascii="宋体" w:hAnsi="宋体" w:eastAsia="方正仿宋_GBK" w:cs="方正仿宋_GBK"/>
          <w:b/>
          <w:sz w:val="32"/>
          <w:szCs w:val="32"/>
          <w:lang w:val="en-US" w:eastAsia="zh-CN"/>
        </w:rPr>
        <w:t>7.2.3风险防范与管控策略</w:t>
      </w:r>
    </w:p>
    <w:p w14:paraId="0128BFD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1.</w:t>
      </w:r>
      <w:r>
        <w:rPr>
          <w:rFonts w:hint="eastAsia" w:ascii="宋体" w:hAnsi="宋体" w:eastAsia="方正仿宋_GBK" w:cs="方正仿宋_GBK"/>
          <w:sz w:val="32"/>
          <w:szCs w:val="32"/>
          <w:lang w:eastAsia="zh-CN"/>
        </w:rPr>
        <w:t>‌预防性措施‌</w:t>
      </w:r>
    </w:p>
    <w:p w14:paraId="006BA0E3">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推行节水技术（如分质供水、再生水利用）降低资源压力；</w:t>
      </w:r>
    </w:p>
    <w:p w14:paraId="65A58BAC">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根据</w:t>
      </w:r>
      <w:r>
        <w:rPr>
          <w:rFonts w:hint="eastAsia" w:ascii="宋体" w:hAnsi="宋体" w:eastAsia="方正仿宋_GBK" w:cs="方正仿宋_GBK"/>
          <w:sz w:val="32"/>
          <w:szCs w:val="32"/>
          <w:lang w:eastAsia="zh-CN"/>
        </w:rPr>
        <w:t>划定生态红线</w:t>
      </w:r>
      <w:r>
        <w:rPr>
          <w:rFonts w:hint="eastAsia" w:ascii="宋体" w:hAnsi="宋体" w:eastAsia="方正仿宋_GBK" w:cs="方正仿宋_GBK"/>
          <w:sz w:val="32"/>
          <w:szCs w:val="32"/>
          <w:lang w:val="en-US" w:eastAsia="zh-CN"/>
        </w:rPr>
        <w:t>进行</w:t>
      </w:r>
      <w:r>
        <w:rPr>
          <w:rFonts w:hint="eastAsia" w:ascii="宋体" w:hAnsi="宋体" w:eastAsia="方正仿宋_GBK" w:cs="方正仿宋_GBK"/>
          <w:sz w:val="32"/>
          <w:szCs w:val="32"/>
          <w:lang w:eastAsia="zh-CN"/>
        </w:rPr>
        <w:t>限制敏感区开发强度。</w:t>
      </w:r>
    </w:p>
    <w:p w14:paraId="07A842E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2.</w:t>
      </w:r>
      <w:r>
        <w:rPr>
          <w:rFonts w:hint="eastAsia" w:ascii="宋体" w:hAnsi="宋体" w:eastAsia="方正仿宋_GBK" w:cs="方正仿宋_GBK"/>
          <w:sz w:val="32"/>
          <w:szCs w:val="32"/>
          <w:lang w:eastAsia="zh-CN"/>
        </w:rPr>
        <w:t>‌工程性治理‌</w:t>
      </w:r>
    </w:p>
    <w:p w14:paraId="394BD9D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建设污水处理设施、生态护岸及防洪工程，提升基础设施韧性。</w:t>
      </w:r>
    </w:p>
    <w:p w14:paraId="506AAFF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3.</w:t>
      </w:r>
      <w:r>
        <w:rPr>
          <w:rFonts w:hint="eastAsia" w:ascii="宋体" w:hAnsi="宋体" w:eastAsia="方正仿宋_GBK" w:cs="方正仿宋_GBK"/>
          <w:sz w:val="32"/>
          <w:szCs w:val="32"/>
          <w:lang w:eastAsia="zh-CN"/>
        </w:rPr>
        <w:t>‌动态监测与预警‌</w:t>
      </w:r>
    </w:p>
    <w:p w14:paraId="0C5A1DC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eastAsia="zh-CN"/>
        </w:rPr>
        <w:t>利用物联网技术构建智慧水务平台，实时监控水质、水量及工程运行状态。</w:t>
      </w:r>
    </w:p>
    <w:p w14:paraId="1812994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lang w:val="en-US" w:eastAsia="zh-CN"/>
        </w:rPr>
        <w:t>4.</w:t>
      </w:r>
      <w:r>
        <w:rPr>
          <w:rFonts w:hint="eastAsia" w:ascii="宋体" w:hAnsi="宋体" w:eastAsia="方正仿宋_GBK" w:cs="方正仿宋_GBK"/>
          <w:sz w:val="32"/>
          <w:szCs w:val="32"/>
          <w:lang w:eastAsia="zh-CN"/>
        </w:rPr>
        <w:t>‌社会协同机制‌</w:t>
      </w:r>
    </w:p>
    <w:p w14:paraId="60719A2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lang w:eastAsia="zh-CN"/>
        </w:rPr>
        <w:t>通过听证会、问卷调查等方式吸纳公众意见，制定补偿方案并纳入社会稳定风险评估报告。</w:t>
      </w:r>
    </w:p>
    <w:p w14:paraId="306B30AF">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方正小标宋_GBK" w:cs="方正小标宋_GBK"/>
          <w:b w:val="0"/>
          <w:bCs w:val="0"/>
          <w:sz w:val="44"/>
          <w:szCs w:val="44"/>
        </w:rPr>
      </w:pPr>
      <w:bookmarkStart w:id="171" w:name="_Toc22202"/>
      <w:bookmarkStart w:id="172" w:name="_Toc7442"/>
      <w:bookmarkStart w:id="173" w:name="_Toc7093"/>
    </w:p>
    <w:p w14:paraId="7850EDA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方正楷体_GBK" w:cs="方正楷体_GBK"/>
          <w:b w:val="0"/>
          <w:bCs w:val="0"/>
          <w:sz w:val="32"/>
          <w:szCs w:val="32"/>
        </w:rPr>
      </w:pPr>
      <w:bookmarkStart w:id="174" w:name="_Toc30869"/>
      <w:r>
        <w:rPr>
          <w:rFonts w:hint="eastAsia" w:ascii="宋体" w:hAnsi="宋体" w:eastAsia="方正小标宋_GBK" w:cs="方正小标宋_GBK"/>
          <w:b w:val="0"/>
          <w:bCs w:val="0"/>
          <w:sz w:val="44"/>
          <w:szCs w:val="44"/>
        </w:rPr>
        <w:t>第</w:t>
      </w:r>
      <w:r>
        <w:rPr>
          <w:rFonts w:hint="eastAsia" w:ascii="宋体" w:hAnsi="宋体" w:eastAsia="方正小标宋_GBK" w:cs="方正小标宋_GBK"/>
          <w:b w:val="0"/>
          <w:bCs w:val="0"/>
          <w:sz w:val="44"/>
          <w:szCs w:val="44"/>
          <w:lang w:val="en-US" w:eastAsia="zh-CN"/>
        </w:rPr>
        <w:t>八</w:t>
      </w:r>
      <w:r>
        <w:rPr>
          <w:rFonts w:hint="eastAsia" w:ascii="宋体" w:hAnsi="宋体" w:eastAsia="方正小标宋_GBK" w:cs="方正小标宋_GBK"/>
          <w:b w:val="0"/>
          <w:bCs w:val="0"/>
          <w:sz w:val="44"/>
          <w:szCs w:val="44"/>
        </w:rPr>
        <w:t xml:space="preserve">章 </w:t>
      </w:r>
      <w:r>
        <w:rPr>
          <w:rFonts w:hint="eastAsia" w:ascii="宋体" w:hAnsi="宋体" w:eastAsia="方正小标宋_GBK" w:cs="方正小标宋_GBK"/>
          <w:b w:val="0"/>
          <w:bCs w:val="0"/>
          <w:sz w:val="44"/>
          <w:szCs w:val="44"/>
          <w:lang w:eastAsia="zh-CN"/>
        </w:rPr>
        <w:t>水面开发利用</w:t>
      </w:r>
      <w:r>
        <w:rPr>
          <w:rFonts w:hint="eastAsia" w:ascii="宋体" w:hAnsi="宋体" w:eastAsia="方正小标宋_GBK" w:cs="方正小标宋_GBK"/>
          <w:b w:val="0"/>
          <w:bCs w:val="0"/>
          <w:sz w:val="44"/>
          <w:szCs w:val="44"/>
        </w:rPr>
        <w:t>对水库水质的影响分析及保障措施</w:t>
      </w:r>
      <w:bookmarkEnd w:id="171"/>
      <w:bookmarkEnd w:id="172"/>
      <w:bookmarkEnd w:id="173"/>
      <w:bookmarkEnd w:id="174"/>
    </w:p>
    <w:p w14:paraId="535742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宋体" w:hAnsi="宋体" w:eastAsia="方正仿宋_GBK" w:cs="方正仿宋_GBK"/>
          <w:b w:val="0"/>
          <w:bCs w:val="0"/>
          <w:sz w:val="32"/>
          <w:szCs w:val="32"/>
          <w:highlight w:val="none"/>
          <w:lang w:val="en-US" w:eastAsia="zh-CN"/>
        </w:rPr>
      </w:pPr>
      <w:bookmarkStart w:id="175" w:name="_Toc9355"/>
      <w:bookmarkStart w:id="176" w:name="_Toc13742"/>
      <w:bookmarkStart w:id="177" w:name="_Toc27745"/>
      <w:bookmarkStart w:id="178" w:name="_Toc5779"/>
    </w:p>
    <w:p w14:paraId="52EF4284">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方正仿宋_GBK" w:cs="方正仿宋_GBK"/>
          <w:b/>
          <w:bCs/>
          <w:sz w:val="32"/>
          <w:szCs w:val="32"/>
          <w:highlight w:val="none"/>
        </w:rPr>
      </w:pPr>
      <w:bookmarkStart w:id="179" w:name="_Toc13838"/>
      <w:r>
        <w:rPr>
          <w:rFonts w:hint="eastAsia" w:ascii="宋体" w:hAnsi="宋体" w:eastAsia="方正仿宋_GBK" w:cs="方正仿宋_GBK"/>
          <w:b/>
          <w:bCs/>
          <w:sz w:val="32"/>
          <w:szCs w:val="32"/>
          <w:highlight w:val="none"/>
          <w:lang w:val="en-US" w:eastAsia="zh-CN"/>
        </w:rPr>
        <w:t>8</w:t>
      </w:r>
      <w:r>
        <w:rPr>
          <w:rFonts w:hint="eastAsia" w:ascii="宋体" w:hAnsi="宋体" w:eastAsia="方正仿宋_GBK" w:cs="方正仿宋_GBK"/>
          <w:b/>
          <w:bCs/>
          <w:sz w:val="32"/>
          <w:szCs w:val="32"/>
          <w:highlight w:val="none"/>
        </w:rPr>
        <w:t>.1</w:t>
      </w:r>
      <w:bookmarkEnd w:id="175"/>
      <w:bookmarkEnd w:id="176"/>
      <w:r>
        <w:rPr>
          <w:rFonts w:hint="eastAsia" w:ascii="宋体" w:hAnsi="宋体" w:eastAsia="方正仿宋_GBK" w:cs="方正仿宋_GBK"/>
          <w:b/>
          <w:bCs/>
          <w:sz w:val="32"/>
          <w:szCs w:val="32"/>
          <w:highlight w:val="none"/>
        </w:rPr>
        <w:t>库区外源污染防控措施</w:t>
      </w:r>
      <w:bookmarkEnd w:id="177"/>
      <w:bookmarkEnd w:id="178"/>
      <w:bookmarkEnd w:id="179"/>
    </w:p>
    <w:p w14:paraId="2E702C81">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宋体" w:hAnsi="宋体" w:eastAsia="方正仿宋_GBK" w:cs="方正仿宋_GBK"/>
          <w:b/>
          <w:bCs/>
          <w:sz w:val="32"/>
          <w:szCs w:val="32"/>
          <w:highlight w:val="none"/>
        </w:rPr>
      </w:pPr>
      <w:bookmarkStart w:id="180" w:name="_Toc11358"/>
      <w:bookmarkStart w:id="181" w:name="_Toc22785"/>
      <w:r>
        <w:rPr>
          <w:rFonts w:hint="eastAsia" w:ascii="宋体" w:hAnsi="宋体" w:eastAsia="方正仿宋_GBK" w:cs="方正仿宋_GBK"/>
          <w:b/>
          <w:bCs/>
          <w:sz w:val="32"/>
          <w:szCs w:val="32"/>
          <w:highlight w:val="none"/>
          <w:lang w:val="en-US" w:eastAsia="zh-CN"/>
        </w:rPr>
        <w:t>8</w:t>
      </w:r>
      <w:r>
        <w:rPr>
          <w:rFonts w:hint="eastAsia" w:ascii="宋体" w:hAnsi="宋体" w:eastAsia="方正仿宋_GBK" w:cs="方正仿宋_GBK"/>
          <w:b/>
          <w:bCs/>
          <w:sz w:val="32"/>
          <w:szCs w:val="32"/>
          <w:highlight w:val="none"/>
        </w:rPr>
        <w:t>.1.1严控水库径流区的污染源</w:t>
      </w:r>
      <w:bookmarkEnd w:id="180"/>
      <w:bookmarkEnd w:id="181"/>
    </w:p>
    <w:p w14:paraId="6C49CD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方正仿宋_GBK" w:cs="方正仿宋_GBK"/>
          <w:b/>
          <w:bCs/>
          <w:sz w:val="32"/>
          <w:szCs w:val="32"/>
          <w:highlight w:val="none"/>
        </w:rPr>
      </w:pPr>
      <w:r>
        <w:rPr>
          <w:rFonts w:hint="eastAsia" w:ascii="宋体" w:hAnsi="宋体" w:eastAsia="方正仿宋_GBK" w:cs="方正仿宋_GBK"/>
          <w:b/>
          <w:sz w:val="32"/>
          <w:szCs w:val="32"/>
          <w:highlight w:val="none"/>
          <w:lang w:val="en-US" w:eastAsia="zh-CN"/>
        </w:rPr>
        <w:t>8</w:t>
      </w:r>
      <w:r>
        <w:rPr>
          <w:rFonts w:hint="eastAsia" w:ascii="宋体" w:hAnsi="宋体" w:eastAsia="方正仿宋_GBK" w:cs="方正仿宋_GBK"/>
          <w:b/>
          <w:sz w:val="32"/>
          <w:szCs w:val="32"/>
          <w:highlight w:val="none"/>
        </w:rPr>
        <w:t>.1.1.1</w:t>
      </w:r>
      <w:r>
        <w:rPr>
          <w:rFonts w:hint="eastAsia" w:ascii="宋体" w:hAnsi="宋体" w:eastAsia="方正仿宋_GBK" w:cs="方正仿宋_GBK"/>
          <w:b/>
          <w:bCs/>
          <w:sz w:val="32"/>
          <w:szCs w:val="32"/>
          <w:highlight w:val="none"/>
        </w:rPr>
        <w:t xml:space="preserve">生活污染防控 </w:t>
      </w:r>
    </w:p>
    <w:p w14:paraId="47BACE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highlight w:val="none"/>
        </w:rPr>
        <w:t>尽管通过近几年的大力宣传，新农村建设也在快速推进，但各族群众对环境保护意识还是淡薄，人们依旧习惯将垃圾随意丢弃在村寨周边的山沟、河道或荒地，生活垃圾在雨水的冲刷下，随地表径流进入河道最后冲入水库，对库区水质形成局部污染。因此，应</w:t>
      </w:r>
      <w:r>
        <w:rPr>
          <w:rFonts w:hint="eastAsia" w:ascii="宋体" w:hAnsi="宋体" w:eastAsia="方正仿宋_GBK" w:cs="方正仿宋_GBK"/>
          <w:bCs/>
          <w:kern w:val="0"/>
          <w:sz w:val="32"/>
          <w:szCs w:val="32"/>
          <w:highlight w:val="none"/>
        </w:rPr>
        <w:t>严格控制径流区经营活动及生活污染</w:t>
      </w:r>
      <w:r>
        <w:rPr>
          <w:rFonts w:hint="eastAsia" w:ascii="宋体" w:hAnsi="宋体" w:eastAsia="方正仿宋_GBK" w:cs="方正仿宋_GBK"/>
          <w:b/>
          <w:bCs/>
          <w:kern w:val="0"/>
          <w:sz w:val="32"/>
          <w:szCs w:val="32"/>
          <w:highlight w:val="none"/>
        </w:rPr>
        <w:t>，</w:t>
      </w:r>
      <w:r>
        <w:rPr>
          <w:rFonts w:hint="eastAsia" w:ascii="宋体" w:hAnsi="宋体" w:eastAsia="方正仿宋_GBK" w:cs="方正仿宋_GBK"/>
          <w:kern w:val="0"/>
          <w:sz w:val="32"/>
          <w:szCs w:val="32"/>
          <w:highlight w:val="none"/>
        </w:rPr>
        <w:t>污染防控的重心还是在水库径流本区周边居民生产生活造成的直接、或间接污染</w:t>
      </w:r>
      <w:r>
        <w:rPr>
          <w:rFonts w:hint="eastAsia" w:ascii="宋体" w:hAnsi="宋体" w:eastAsia="方正仿宋_GBK" w:cs="方正仿宋_GBK"/>
          <w:kern w:val="0"/>
          <w:sz w:val="32"/>
          <w:szCs w:val="32"/>
          <w:highlight w:val="none"/>
          <w:lang w:eastAsia="zh-CN"/>
        </w:rPr>
        <w:t>，</w:t>
      </w:r>
      <w:r>
        <w:rPr>
          <w:rFonts w:hint="eastAsia" w:ascii="宋体" w:hAnsi="宋体" w:eastAsia="方正仿宋_GBK" w:cs="方正仿宋_GBK"/>
          <w:kern w:val="0"/>
          <w:sz w:val="32"/>
          <w:szCs w:val="32"/>
        </w:rPr>
        <w:t>这当中最为关键的是落实、执行水库的保护区域范围划定。</w:t>
      </w:r>
    </w:p>
    <w:p w14:paraId="03DFAE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方正仿宋_GBK" w:cs="方正仿宋_GBK"/>
          <w:b/>
          <w:bCs/>
          <w:sz w:val="32"/>
          <w:szCs w:val="32"/>
        </w:rPr>
      </w:pPr>
      <w:r>
        <w:rPr>
          <w:rFonts w:hint="eastAsia" w:ascii="宋体" w:hAnsi="宋体" w:eastAsia="方正仿宋_GBK" w:cs="方正仿宋_GBK"/>
          <w:b/>
          <w:sz w:val="32"/>
          <w:szCs w:val="32"/>
          <w:lang w:val="en-US" w:eastAsia="zh-CN"/>
        </w:rPr>
        <w:t>8</w:t>
      </w:r>
      <w:r>
        <w:rPr>
          <w:rFonts w:hint="eastAsia" w:ascii="宋体" w:hAnsi="宋体" w:eastAsia="方正仿宋_GBK" w:cs="方正仿宋_GBK"/>
          <w:b/>
          <w:sz w:val="32"/>
          <w:szCs w:val="32"/>
        </w:rPr>
        <w:t>.1.1.2</w:t>
      </w:r>
      <w:r>
        <w:rPr>
          <w:rFonts w:hint="eastAsia" w:ascii="宋体" w:hAnsi="宋体" w:eastAsia="方正仿宋_GBK" w:cs="方正仿宋_GBK"/>
          <w:b/>
          <w:bCs/>
          <w:sz w:val="32"/>
          <w:szCs w:val="32"/>
        </w:rPr>
        <w:t xml:space="preserve">农业污染防控 </w:t>
      </w:r>
    </w:p>
    <w:p w14:paraId="3769AD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rPr>
        <w:t>水库周边、上游土壤类型以壤土为主，种植模式为传统的粗放型农业生产，主要种植旱地作物，如包谷、茶叶、坚果、香蕉、甘蔗、蔬菜等作物，种植过程中主要有氮肥、磷肥及农药残留及废弃物。由于大部分旱地和径流区间的缓冲区小，水库径流区内居民生活、农业生产活动产生的氮、磷、重金属等其他有机或无机残留物通过地表径流和耕地渗漏进入水库，污染水库水质。</w:t>
      </w:r>
    </w:p>
    <w:p w14:paraId="2E351C76">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宋体" w:hAnsi="宋体" w:eastAsia="方正仿宋_GBK" w:cs="方正仿宋_GBK"/>
          <w:b/>
          <w:bCs/>
          <w:sz w:val="32"/>
          <w:szCs w:val="32"/>
          <w:lang w:val="en-US" w:eastAsia="zh-CN"/>
        </w:rPr>
      </w:pPr>
      <w:r>
        <w:rPr>
          <w:rFonts w:hint="eastAsia" w:ascii="宋体" w:hAnsi="宋体" w:eastAsia="方正仿宋_GBK" w:cs="方正仿宋_GBK"/>
          <w:kern w:val="0"/>
          <w:sz w:val="32"/>
          <w:szCs w:val="32"/>
        </w:rPr>
        <w:t>有效的措施，可以由社区、水库经营开发商通过再就业方式，使其退耕、恢复植被，从源头杜绝污染。</w:t>
      </w:r>
    </w:p>
    <w:p w14:paraId="0D5BF201">
      <w:pPr>
        <w:pStyle w:val="2"/>
        <w:keepNext w:val="0"/>
        <w:keepLines w:val="0"/>
        <w:pageBreakBefore w:val="0"/>
        <w:widowControl w:val="0"/>
        <w:kinsoku/>
        <w:wordWrap/>
        <w:overflowPunct/>
        <w:topLinePunct w:val="0"/>
        <w:bidi w:val="0"/>
        <w:snapToGrid/>
        <w:spacing w:line="560" w:lineRule="exact"/>
        <w:ind w:left="0" w:leftChars="0" w:firstLine="0" w:firstLineChars="0"/>
        <w:textAlignment w:val="auto"/>
        <w:rPr>
          <w:rFonts w:hint="eastAsia" w:ascii="宋体" w:hAnsi="宋体" w:eastAsia="方正仿宋_GBK" w:cs="方正仿宋_GBK"/>
          <w:b/>
          <w:bCs/>
          <w:kern w:val="0"/>
          <w:sz w:val="32"/>
          <w:szCs w:val="32"/>
        </w:rPr>
      </w:pPr>
      <w:r>
        <w:rPr>
          <w:rFonts w:hint="eastAsia" w:ascii="宋体" w:hAnsi="宋体" w:eastAsia="方正仿宋_GBK" w:cs="方正仿宋_GBK"/>
          <w:b/>
          <w:bCs/>
          <w:sz w:val="32"/>
          <w:szCs w:val="32"/>
          <w:lang w:val="en-US" w:eastAsia="zh-CN"/>
        </w:rPr>
        <w:t>8</w:t>
      </w:r>
      <w:r>
        <w:rPr>
          <w:rFonts w:hint="eastAsia" w:ascii="宋体" w:hAnsi="宋体" w:eastAsia="方正仿宋_GBK" w:cs="方正仿宋_GBK"/>
          <w:b/>
          <w:bCs/>
          <w:kern w:val="0"/>
          <w:sz w:val="32"/>
          <w:szCs w:val="32"/>
        </w:rPr>
        <w:t xml:space="preserve">.1.1.3旅游活动污染防控 </w:t>
      </w:r>
    </w:p>
    <w:p w14:paraId="765D5879">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w:t>
      </w:r>
      <w:r>
        <w:rPr>
          <w:rFonts w:hint="eastAsia" w:ascii="宋体" w:hAnsi="宋体" w:eastAsia="方正仿宋_GBK" w:cs="方正仿宋_GBK"/>
          <w:kern w:val="0"/>
          <w:sz w:val="32"/>
          <w:szCs w:val="32"/>
          <w:lang w:val="en-US" w:eastAsia="zh-CN"/>
        </w:rPr>
        <w:t>位于芒市城区附近</w:t>
      </w:r>
      <w:r>
        <w:rPr>
          <w:rFonts w:hint="eastAsia" w:ascii="宋体" w:hAnsi="宋体" w:eastAsia="方正仿宋_GBK" w:cs="方正仿宋_GBK"/>
          <w:kern w:val="0"/>
          <w:sz w:val="32"/>
          <w:szCs w:val="32"/>
        </w:rPr>
        <w:t>，交通十分便利，水库水域风光、野生鱼类及四周树木、草坪构成独特游玩、休闲场所，加之本地少数民族群众节日很多，到此游玩、烧烤的群众也较为频繁，但因受教育程度较低，到此游玩的人们游玩过后都随地将垃圾丢弃在水里、库区周边，水库水域及其周边生活垃圾污染成为主要潜在污染源。</w:t>
      </w:r>
    </w:p>
    <w:p w14:paraId="37FF7A1C">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对此，结合河长制的宣传或落实，加大宣传力度，通过自媒体“抖音”、“小视频”等制作宣传品进行广泛宣传，对不听劝阻、污染行为严重者实施处罚措施（如对其罚款或责令清除污染的现场）。</w:t>
      </w:r>
    </w:p>
    <w:p w14:paraId="68592E2D">
      <w:pPr>
        <w:pageBreakBefore w:val="0"/>
        <w:widowControl w:val="0"/>
        <w:kinsoku/>
        <w:wordWrap/>
        <w:overflowPunct/>
        <w:topLinePunct w:val="0"/>
        <w:bidi w:val="0"/>
        <w:snapToGrid/>
        <w:spacing w:line="560" w:lineRule="exact"/>
        <w:textAlignment w:val="auto"/>
        <w:outlineLvl w:val="2"/>
        <w:rPr>
          <w:rFonts w:hint="eastAsia" w:ascii="宋体" w:hAnsi="宋体" w:eastAsia="方正仿宋_GBK" w:cs="方正仿宋_GBK"/>
          <w:b/>
          <w:sz w:val="32"/>
          <w:szCs w:val="32"/>
        </w:rPr>
      </w:pPr>
      <w:bookmarkStart w:id="182" w:name="_Toc32312"/>
      <w:bookmarkStart w:id="183" w:name="_Toc21048"/>
      <w:r>
        <w:rPr>
          <w:rFonts w:hint="eastAsia" w:ascii="宋体" w:hAnsi="宋体" w:eastAsia="方正仿宋_GBK" w:cs="方正仿宋_GBK"/>
          <w:b/>
          <w:sz w:val="32"/>
          <w:szCs w:val="32"/>
          <w:lang w:val="en-US" w:eastAsia="zh-CN"/>
        </w:rPr>
        <w:t>8</w:t>
      </w:r>
      <w:r>
        <w:rPr>
          <w:rFonts w:hint="eastAsia" w:ascii="宋体" w:hAnsi="宋体" w:eastAsia="方正仿宋_GBK" w:cs="方正仿宋_GBK"/>
          <w:b/>
          <w:sz w:val="32"/>
          <w:szCs w:val="32"/>
        </w:rPr>
        <w:t>.1.2杜绝生态旅游活动的污染</w:t>
      </w:r>
      <w:bookmarkEnd w:id="182"/>
      <w:bookmarkEnd w:id="183"/>
    </w:p>
    <w:p w14:paraId="6F284CBB">
      <w:pPr>
        <w:pageBreakBefore w:val="0"/>
        <w:widowControl w:val="0"/>
        <w:kinsoku/>
        <w:wordWrap/>
        <w:overflowPunct/>
        <w:topLinePunct w:val="0"/>
        <w:bidi w:val="0"/>
        <w:snapToGrid/>
        <w:spacing w:line="560" w:lineRule="exact"/>
        <w:textAlignment w:val="auto"/>
        <w:rPr>
          <w:rFonts w:hint="eastAsia" w:ascii="宋体" w:hAnsi="宋体" w:eastAsia="方正仿宋_GBK" w:cs="方正仿宋_GBK"/>
          <w:b/>
          <w:sz w:val="32"/>
          <w:szCs w:val="32"/>
          <w:highlight w:val="none"/>
        </w:rPr>
      </w:pPr>
      <w:r>
        <w:rPr>
          <w:rFonts w:hint="eastAsia" w:ascii="宋体" w:hAnsi="宋体" w:eastAsia="方正仿宋_GBK" w:cs="方正仿宋_GBK"/>
          <w:b/>
          <w:sz w:val="32"/>
          <w:szCs w:val="32"/>
          <w:lang w:val="en-US" w:eastAsia="zh-CN"/>
        </w:rPr>
        <w:t>8</w:t>
      </w:r>
      <w:r>
        <w:rPr>
          <w:rFonts w:hint="eastAsia" w:ascii="宋体" w:hAnsi="宋体" w:eastAsia="方正仿宋_GBK" w:cs="方正仿宋_GBK"/>
          <w:b/>
          <w:sz w:val="32"/>
          <w:szCs w:val="32"/>
        </w:rPr>
        <w:t xml:space="preserve">.1.2.1水上娱乐区 </w:t>
      </w:r>
    </w:p>
    <w:p w14:paraId="1D3FE13F">
      <w:pPr>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lang w:eastAsia="zh-CN"/>
        </w:rPr>
      </w:pPr>
      <w:r>
        <w:rPr>
          <w:rFonts w:hint="eastAsia" w:ascii="宋体" w:hAnsi="宋体" w:eastAsia="方正仿宋_GBK" w:cs="方正仿宋_GBK"/>
          <w:sz w:val="32"/>
          <w:szCs w:val="32"/>
          <w:highlight w:val="none"/>
        </w:rPr>
        <w:t>水上娱乐产生的污染源有两个方面，一是开展营运</w:t>
      </w:r>
      <w:r>
        <w:rPr>
          <w:rFonts w:hint="eastAsia" w:ascii="宋体" w:hAnsi="宋体" w:eastAsia="方正仿宋_GBK" w:cs="方正仿宋_GBK"/>
          <w:sz w:val="32"/>
          <w:szCs w:val="32"/>
          <w:highlight w:val="none"/>
          <w:lang w:val="en-US" w:eastAsia="zh-CN"/>
        </w:rPr>
        <w:t>时亲水项目中游客湿身后汗液、衣物燃料褪色等造成水质污染</w:t>
      </w:r>
      <w:r>
        <w:rPr>
          <w:rFonts w:hint="eastAsia" w:ascii="宋体" w:hAnsi="宋体" w:eastAsia="方正仿宋_GBK" w:cs="方正仿宋_GBK"/>
          <w:sz w:val="32"/>
          <w:szCs w:val="32"/>
          <w:highlight w:val="none"/>
        </w:rPr>
        <w:t>；其次是脚踏游船、小型游船会有少数人不讲究卫生和遵守公德，偶尔也会将随身携带的食物、包装废弃物丢进水库水域造成局部污染。对应的管理措施一是加强宣传和监督，配合一定的惩戒措施，其次选购营运船只等设备时，</w:t>
      </w:r>
      <w:r>
        <w:rPr>
          <w:rFonts w:hint="eastAsia" w:ascii="宋体" w:hAnsi="宋体" w:eastAsia="方正仿宋_GBK" w:cs="方正仿宋_GBK"/>
          <w:sz w:val="32"/>
          <w:szCs w:val="32"/>
          <w:highlight w:val="none"/>
          <w:lang w:val="en-US" w:eastAsia="zh-CN"/>
        </w:rPr>
        <w:t>须</w:t>
      </w:r>
      <w:r>
        <w:rPr>
          <w:rFonts w:hint="eastAsia" w:ascii="宋体" w:hAnsi="宋体" w:eastAsia="方正仿宋_GBK" w:cs="方正仿宋_GBK"/>
          <w:sz w:val="32"/>
          <w:szCs w:val="32"/>
          <w:highlight w:val="none"/>
        </w:rPr>
        <w:t>选用纯电</w:t>
      </w:r>
      <w:r>
        <w:rPr>
          <w:rFonts w:hint="eastAsia" w:ascii="宋体" w:hAnsi="宋体" w:eastAsia="方正仿宋_GBK" w:cs="方正仿宋_GBK"/>
          <w:sz w:val="32"/>
          <w:szCs w:val="32"/>
          <w:highlight w:val="none"/>
          <w:lang w:val="en-US" w:eastAsia="zh-CN"/>
        </w:rPr>
        <w:t>动</w:t>
      </w:r>
      <w:r>
        <w:rPr>
          <w:rFonts w:hint="eastAsia" w:ascii="宋体" w:hAnsi="宋体" w:eastAsia="方正仿宋_GBK" w:cs="方正仿宋_GBK"/>
          <w:sz w:val="32"/>
          <w:szCs w:val="32"/>
          <w:highlight w:val="none"/>
        </w:rPr>
        <w:t>或其他环保设备</w:t>
      </w:r>
      <w:r>
        <w:rPr>
          <w:rFonts w:hint="eastAsia" w:ascii="宋体" w:hAnsi="宋体" w:eastAsia="方正仿宋_GBK" w:cs="方正仿宋_GBK"/>
          <w:sz w:val="32"/>
          <w:szCs w:val="32"/>
          <w:highlight w:val="none"/>
          <w:lang w:eastAsia="zh-CN"/>
        </w:rPr>
        <w:t>，</w:t>
      </w:r>
      <w:r>
        <w:rPr>
          <w:rFonts w:hint="eastAsia" w:ascii="宋体" w:hAnsi="宋体" w:eastAsia="方正仿宋_GBK" w:cs="方正仿宋_GBK"/>
          <w:sz w:val="32"/>
          <w:szCs w:val="32"/>
          <w:highlight w:val="none"/>
          <w:lang w:val="en-US" w:eastAsia="zh-CN"/>
        </w:rPr>
        <w:t>禁止燃油设备进入库区营业</w:t>
      </w:r>
      <w:r>
        <w:rPr>
          <w:rFonts w:hint="eastAsia" w:ascii="宋体" w:hAnsi="宋体" w:eastAsia="方正仿宋_GBK" w:cs="方正仿宋_GBK"/>
          <w:sz w:val="32"/>
          <w:szCs w:val="32"/>
          <w:highlight w:val="none"/>
        </w:rPr>
        <w:t>。</w:t>
      </w:r>
    </w:p>
    <w:p w14:paraId="458DB13B">
      <w:pPr>
        <w:pageBreakBefore w:val="0"/>
        <w:widowControl w:val="0"/>
        <w:kinsoku/>
        <w:wordWrap/>
        <w:overflowPunct/>
        <w:topLinePunct w:val="0"/>
        <w:bidi w:val="0"/>
        <w:snapToGrid/>
        <w:spacing w:line="560" w:lineRule="exact"/>
        <w:textAlignment w:val="auto"/>
        <w:outlineLvl w:val="2"/>
        <w:rPr>
          <w:rStyle w:val="52"/>
          <w:rFonts w:hint="eastAsia" w:ascii="宋体" w:hAnsi="宋体" w:eastAsia="方正仿宋_GBK" w:cs="方正仿宋_GBK"/>
          <w:sz w:val="32"/>
          <w:szCs w:val="32"/>
        </w:rPr>
      </w:pPr>
      <w:bookmarkStart w:id="184" w:name="_Toc12732"/>
      <w:bookmarkStart w:id="185" w:name="_Toc9767"/>
      <w:r>
        <w:rPr>
          <w:rFonts w:hint="eastAsia" w:ascii="宋体" w:hAnsi="宋体" w:eastAsia="方正仿宋_GBK" w:cs="方正仿宋_GBK"/>
          <w:b/>
          <w:sz w:val="32"/>
          <w:szCs w:val="32"/>
          <w:lang w:val="en-US" w:eastAsia="zh-CN"/>
        </w:rPr>
        <w:t>8</w:t>
      </w:r>
      <w:r>
        <w:rPr>
          <w:rFonts w:hint="eastAsia" w:ascii="宋体" w:hAnsi="宋体" w:eastAsia="方正仿宋_GBK" w:cs="方正仿宋_GBK"/>
          <w:b/>
          <w:sz w:val="32"/>
          <w:szCs w:val="32"/>
        </w:rPr>
        <w:t>.1.3</w:t>
      </w:r>
      <w:r>
        <w:rPr>
          <w:rStyle w:val="52"/>
          <w:rFonts w:hint="eastAsia" w:ascii="宋体" w:hAnsi="宋体" w:eastAsia="方正仿宋_GBK" w:cs="方正仿宋_GBK"/>
          <w:sz w:val="32"/>
          <w:szCs w:val="32"/>
        </w:rPr>
        <w:t>积极推进“七个”爱国卫生专项行动</w:t>
      </w:r>
      <w:bookmarkEnd w:id="184"/>
      <w:bookmarkEnd w:id="185"/>
    </w:p>
    <w:p w14:paraId="4A9C54BA">
      <w:pPr>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eastAsia" w:ascii="宋体" w:hAnsi="宋体" w:eastAsia="方正仿宋_GBK" w:cs="方正仿宋_GBK"/>
          <w:spacing w:val="-2"/>
          <w:sz w:val="32"/>
          <w:szCs w:val="32"/>
        </w:rPr>
      </w:pPr>
      <w:r>
        <w:rPr>
          <w:rFonts w:hint="eastAsia" w:ascii="宋体" w:hAnsi="宋体" w:eastAsia="方正仿宋_GBK" w:cs="方正仿宋_GBK"/>
          <w:spacing w:val="-2"/>
          <w:sz w:val="32"/>
          <w:szCs w:val="32"/>
        </w:rPr>
        <w:t>深入开展“清垃圾、扫厕所、勤洗手、净餐馆、常消毒、管集市、众参与”的爱国卫生运动，通过各方面、每个人、全方位的参与努力，结合</w:t>
      </w:r>
      <w:r>
        <w:rPr>
          <w:rFonts w:hint="eastAsia" w:ascii="宋体" w:hAnsi="宋体" w:eastAsia="方正仿宋_GBK" w:cs="方正仿宋_GBK"/>
          <w:spacing w:val="-2"/>
          <w:sz w:val="32"/>
          <w:szCs w:val="32"/>
          <w:lang w:val="en-US" w:eastAsia="zh-CN"/>
        </w:rPr>
        <w:t>志愿</w:t>
      </w:r>
      <w:r>
        <w:rPr>
          <w:rFonts w:hint="eastAsia" w:ascii="宋体" w:hAnsi="宋体" w:eastAsia="方正仿宋_GBK" w:cs="方正仿宋_GBK"/>
          <w:spacing w:val="-2"/>
          <w:sz w:val="32"/>
          <w:szCs w:val="32"/>
        </w:rPr>
        <w:t>清扫水库</w:t>
      </w:r>
      <w:r>
        <w:rPr>
          <w:rFonts w:hint="eastAsia" w:ascii="宋体" w:hAnsi="宋体" w:eastAsia="方正仿宋_GBK" w:cs="方正仿宋_GBK"/>
          <w:spacing w:val="-2"/>
          <w:sz w:val="32"/>
          <w:szCs w:val="32"/>
          <w:lang w:eastAsia="zh-CN"/>
        </w:rPr>
        <w:t>、</w:t>
      </w:r>
      <w:r>
        <w:rPr>
          <w:rFonts w:hint="eastAsia" w:ascii="宋体" w:hAnsi="宋体" w:eastAsia="方正仿宋_GBK" w:cs="方正仿宋_GBK"/>
          <w:spacing w:val="-2"/>
          <w:sz w:val="32"/>
          <w:szCs w:val="32"/>
        </w:rPr>
        <w:t>径流区的各种人为活动产生的污染源，改善水库水质，将起到事半功倍的作用。近年来，“绿水青山”和“蓝天白云”已成为德宏芒市的“标配”，所以说，开展爱国卫生运动是贯彻落实习近平总书记重要指示的具体实践，也是做好常态化疫情防控的重要途径，更是改善提升水库上游径流区水质的迫切需要。</w:t>
      </w:r>
    </w:p>
    <w:p w14:paraId="61E73CD7">
      <w:pPr>
        <w:pageBreakBefore w:val="0"/>
        <w:widowControl w:val="0"/>
        <w:kinsoku/>
        <w:wordWrap/>
        <w:overflowPunct/>
        <w:topLinePunct w:val="0"/>
        <w:autoSpaceDE w:val="0"/>
        <w:autoSpaceDN w:val="0"/>
        <w:bidi w:val="0"/>
        <w:adjustRightInd w:val="0"/>
        <w:snapToGrid/>
        <w:spacing w:line="560" w:lineRule="exact"/>
        <w:ind w:firstLine="632" w:firstLineChars="200"/>
        <w:textAlignment w:val="auto"/>
        <w:rPr>
          <w:rFonts w:hint="eastAsia" w:ascii="宋体" w:hAnsi="宋体" w:eastAsia="方正仿宋_GBK" w:cs="方正仿宋_GBK"/>
          <w:spacing w:val="-2"/>
          <w:sz w:val="32"/>
          <w:szCs w:val="32"/>
        </w:rPr>
      </w:pPr>
      <w:r>
        <w:rPr>
          <w:rFonts w:hint="eastAsia" w:ascii="宋体" w:hAnsi="宋体" w:eastAsia="方正仿宋_GBK" w:cs="方正仿宋_GBK"/>
          <w:spacing w:val="-2"/>
          <w:sz w:val="32"/>
          <w:szCs w:val="32"/>
        </w:rPr>
        <w:t>爱国卫生运动不是简单的“大扫除”，需要长期坚持才能显现其效果，并非一时一日的象征性行为，要从思想上去规范、影响、提升农村居民的生活习惯，从根本上消除不讲卫生的陋习。</w:t>
      </w:r>
    </w:p>
    <w:p w14:paraId="015A0F01">
      <w:pPr>
        <w:pStyle w:val="4"/>
        <w:pageBreakBefore w:val="0"/>
        <w:widowControl w:val="0"/>
        <w:kinsoku/>
        <w:wordWrap/>
        <w:overflowPunct/>
        <w:topLinePunct w:val="0"/>
        <w:bidi w:val="0"/>
        <w:snapToGrid/>
        <w:spacing w:before="0" w:after="0" w:line="560" w:lineRule="exact"/>
        <w:textAlignment w:val="auto"/>
        <w:rPr>
          <w:rFonts w:hint="eastAsia" w:ascii="宋体" w:hAnsi="宋体" w:eastAsia="方正仿宋_GBK" w:cs="方正仿宋_GBK"/>
          <w:b w:val="0"/>
          <w:bCs w:val="0"/>
          <w:kern w:val="0"/>
          <w:sz w:val="32"/>
          <w:szCs w:val="32"/>
          <w:lang w:val="zh-CN"/>
        </w:rPr>
      </w:pPr>
      <w:bookmarkStart w:id="186" w:name="_Toc20237_WPSOffice_Level2"/>
      <w:bookmarkStart w:id="187" w:name="_Toc13222"/>
      <w:bookmarkStart w:id="188" w:name="_Toc135775190"/>
      <w:bookmarkStart w:id="189" w:name="_Toc6363"/>
      <w:bookmarkStart w:id="190" w:name="_Toc13589"/>
      <w:r>
        <w:rPr>
          <w:rFonts w:hint="eastAsia" w:ascii="宋体" w:hAnsi="宋体" w:eastAsia="方正仿宋_GBK" w:cs="方正仿宋_GBK"/>
          <w:b/>
          <w:bCs/>
          <w:kern w:val="0"/>
          <w:sz w:val="32"/>
          <w:szCs w:val="32"/>
          <w:lang w:val="en-US" w:eastAsia="zh-CN"/>
        </w:rPr>
        <w:t>8</w:t>
      </w:r>
      <w:r>
        <w:rPr>
          <w:rFonts w:hint="eastAsia" w:ascii="宋体" w:hAnsi="宋体" w:eastAsia="方正仿宋_GBK" w:cs="方正仿宋_GBK"/>
          <w:b/>
          <w:bCs/>
          <w:kern w:val="0"/>
          <w:sz w:val="32"/>
          <w:szCs w:val="32"/>
          <w:lang w:val="zh-CN"/>
        </w:rPr>
        <w:t>.2 库区内源污染防控</w:t>
      </w:r>
      <w:bookmarkEnd w:id="186"/>
      <w:r>
        <w:rPr>
          <w:rFonts w:hint="eastAsia" w:ascii="宋体" w:hAnsi="宋体" w:eastAsia="方正仿宋_GBK" w:cs="方正仿宋_GBK"/>
          <w:b/>
          <w:bCs/>
          <w:kern w:val="0"/>
          <w:sz w:val="32"/>
          <w:szCs w:val="32"/>
          <w:lang w:val="zh-CN"/>
        </w:rPr>
        <w:t>措施</w:t>
      </w:r>
      <w:bookmarkEnd w:id="187"/>
      <w:bookmarkEnd w:id="188"/>
      <w:bookmarkEnd w:id="189"/>
      <w:bookmarkEnd w:id="190"/>
    </w:p>
    <w:p w14:paraId="2339C865">
      <w:pPr>
        <w:pageBreakBefore w:val="0"/>
        <w:widowControl w:val="0"/>
        <w:kinsoku/>
        <w:wordWrap/>
        <w:overflowPunct/>
        <w:topLinePunct w:val="0"/>
        <w:bidi w:val="0"/>
        <w:snapToGrid/>
        <w:spacing w:line="560" w:lineRule="exact"/>
        <w:ind w:firstLine="640" w:firstLineChars="200"/>
        <w:textAlignment w:val="auto"/>
        <w:rPr>
          <w:rFonts w:hint="eastAsia" w:ascii="宋体" w:hAnsi="宋体" w:eastAsia="方正黑体_GBK" w:cs="方正黑体_GBK"/>
          <w:b w:val="0"/>
          <w:bCs/>
          <w:kern w:val="0"/>
          <w:sz w:val="32"/>
          <w:szCs w:val="32"/>
          <w:lang w:val="en-US" w:eastAsia="zh-CN"/>
        </w:rPr>
      </w:pPr>
      <w:r>
        <w:rPr>
          <w:rFonts w:hint="eastAsia" w:ascii="宋体" w:hAnsi="宋体" w:eastAsia="方正仿宋_GBK" w:cs="方正仿宋_GBK"/>
          <w:kern w:val="0"/>
          <w:sz w:val="32"/>
          <w:szCs w:val="32"/>
          <w:lang w:eastAsia="zh-CN"/>
        </w:rPr>
        <w:t>芒究</w:t>
      </w:r>
      <w:r>
        <w:rPr>
          <w:rFonts w:hint="eastAsia" w:ascii="宋体" w:hAnsi="宋体" w:eastAsia="方正仿宋_GBK" w:cs="方正仿宋_GBK"/>
          <w:kern w:val="0"/>
          <w:sz w:val="32"/>
          <w:szCs w:val="32"/>
        </w:rPr>
        <w:t>水库内源污染源主要有一下几个方面：一是水库周边径流区农民的农业生产，生产扰动地表土壤，雨季形成水土流失，泥土、化肥、农药残留物随降雨汇入水库形成污染；其次是水库库底沉积多年的污物，这些水体中的污物不断沉积下来变成一层黑泥，这部分黑泥会向水体释放污染，对水体加速形成富营养化，成为水库水质恶化的潜在污染源；三是</w:t>
      </w:r>
      <w:r>
        <w:rPr>
          <w:rFonts w:hint="eastAsia" w:ascii="宋体" w:hAnsi="宋体" w:eastAsia="方正仿宋_GBK" w:cs="方正仿宋_GBK"/>
          <w:sz w:val="32"/>
          <w:szCs w:val="32"/>
        </w:rPr>
        <w:t>水上娱乐活动</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lang w:val="en-US" w:eastAsia="zh-CN"/>
        </w:rPr>
        <w:t>如游船</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lang w:val="en-US" w:eastAsia="zh-CN"/>
        </w:rPr>
        <w:t>上的客人行为</w:t>
      </w:r>
      <w:r>
        <w:rPr>
          <w:rFonts w:hint="eastAsia" w:ascii="宋体" w:hAnsi="宋体" w:eastAsia="方正仿宋_GBK" w:cs="方正仿宋_GBK"/>
          <w:sz w:val="32"/>
          <w:szCs w:val="32"/>
        </w:rPr>
        <w:t>造成</w:t>
      </w:r>
      <w:r>
        <w:rPr>
          <w:rFonts w:hint="eastAsia" w:ascii="宋体" w:hAnsi="宋体" w:eastAsia="方正仿宋_GBK" w:cs="方正仿宋_GBK"/>
          <w:sz w:val="32"/>
          <w:szCs w:val="32"/>
          <w:lang w:val="en-US" w:eastAsia="zh-CN"/>
        </w:rPr>
        <w:t>的</w:t>
      </w:r>
      <w:r>
        <w:rPr>
          <w:rFonts w:hint="eastAsia" w:ascii="宋体" w:hAnsi="宋体" w:eastAsia="方正仿宋_GBK" w:cs="方正仿宋_GBK"/>
          <w:sz w:val="32"/>
          <w:szCs w:val="32"/>
        </w:rPr>
        <w:t>局部污染。</w:t>
      </w:r>
      <w:bookmarkStart w:id="191" w:name="_Toc6175_WPSOffice_Level2"/>
      <w:bookmarkStart w:id="192" w:name="_Toc31911_WPSOffice_Level2"/>
    </w:p>
    <w:bookmarkEnd w:id="191"/>
    <w:bookmarkEnd w:id="192"/>
    <w:p w14:paraId="5B63AB61">
      <w:pPr>
        <w:keepNext w:val="0"/>
        <w:keepLines w:val="0"/>
        <w:pageBreakBefore w:val="0"/>
        <w:widowControl w:val="0"/>
        <w:kinsoku/>
        <w:wordWrap/>
        <w:overflowPunct/>
        <w:topLinePunct w:val="0"/>
        <w:bidi w:val="0"/>
        <w:snapToGrid/>
        <w:spacing w:line="560" w:lineRule="exact"/>
        <w:textAlignment w:val="auto"/>
        <w:outlineLvl w:val="2"/>
        <w:rPr>
          <w:rFonts w:hint="eastAsia" w:ascii="宋体" w:hAnsi="宋体" w:eastAsia="方正仿宋_GBK" w:cs="方正仿宋_GBK"/>
          <w:b/>
          <w:sz w:val="32"/>
          <w:szCs w:val="32"/>
          <w:lang w:val="zh-CN"/>
        </w:rPr>
      </w:pPr>
      <w:bookmarkStart w:id="193" w:name="_Toc5776"/>
      <w:bookmarkStart w:id="194" w:name="_Toc1720"/>
      <w:r>
        <w:rPr>
          <w:rFonts w:hint="eastAsia" w:ascii="宋体" w:hAnsi="宋体" w:eastAsia="方正仿宋_GBK" w:cs="方正仿宋_GBK"/>
          <w:b/>
          <w:sz w:val="32"/>
          <w:szCs w:val="32"/>
          <w:lang w:val="en-US" w:eastAsia="zh-CN"/>
        </w:rPr>
        <w:t>8</w:t>
      </w:r>
      <w:r>
        <w:rPr>
          <w:rFonts w:hint="eastAsia" w:ascii="宋体" w:hAnsi="宋体" w:eastAsia="方正仿宋_GBK" w:cs="方正仿宋_GBK"/>
          <w:b/>
          <w:sz w:val="32"/>
          <w:szCs w:val="32"/>
          <w:lang w:val="zh-CN"/>
        </w:rPr>
        <w:t>.2.1水质控管保障措施</w:t>
      </w:r>
      <w:bookmarkEnd w:id="193"/>
      <w:bookmarkEnd w:id="194"/>
    </w:p>
    <w:p w14:paraId="47ED9A02">
      <w:pPr>
        <w:keepNext w:val="0"/>
        <w:keepLines w:val="0"/>
        <w:pageBreakBefore w:val="0"/>
        <w:widowControl w:val="0"/>
        <w:kinsoku/>
        <w:wordWrap/>
        <w:overflowPunct/>
        <w:topLinePunct w:val="0"/>
        <w:bidi w:val="0"/>
        <w:snapToGrid/>
        <w:spacing w:line="560" w:lineRule="exact"/>
        <w:textAlignment w:val="auto"/>
        <w:rPr>
          <w:rFonts w:hint="eastAsia" w:ascii="宋体" w:hAnsi="宋体" w:eastAsia="方正仿宋_GBK" w:cs="方正仿宋_GBK"/>
          <w:b/>
          <w:bCs/>
          <w:sz w:val="32"/>
          <w:szCs w:val="32"/>
        </w:rPr>
      </w:pPr>
      <w:r>
        <w:rPr>
          <w:rFonts w:hint="eastAsia" w:ascii="宋体" w:hAnsi="宋体" w:eastAsia="方正仿宋_GBK" w:cs="方正仿宋_GBK"/>
          <w:b/>
          <w:kern w:val="0"/>
          <w:sz w:val="32"/>
          <w:szCs w:val="32"/>
          <w:lang w:val="en-US" w:eastAsia="zh-CN"/>
        </w:rPr>
        <w:t>8</w:t>
      </w:r>
      <w:r>
        <w:rPr>
          <w:rFonts w:hint="eastAsia" w:ascii="宋体" w:hAnsi="宋体" w:eastAsia="方正仿宋_GBK" w:cs="方正仿宋_GBK"/>
          <w:b/>
          <w:kern w:val="0"/>
          <w:sz w:val="32"/>
          <w:szCs w:val="32"/>
        </w:rPr>
        <w:t xml:space="preserve">.2.1.1汛期的水质控管措施 </w:t>
      </w:r>
      <w:r>
        <w:rPr>
          <w:rFonts w:hint="eastAsia" w:ascii="宋体" w:hAnsi="宋体" w:eastAsia="方正仿宋_GBK" w:cs="方正仿宋_GBK"/>
          <w:sz w:val="32"/>
          <w:szCs w:val="32"/>
        </w:rPr>
        <w:t>进入汛期之后，即每年的6至10月，降雨量丰沛（近几年最大蓄水库容量仅能达到670万m</w:t>
      </w:r>
      <w:r>
        <w:rPr>
          <w:rFonts w:hint="eastAsia" w:ascii="宋体" w:hAnsi="宋体" w:eastAsia="方正仿宋_GBK" w:cs="方正仿宋_GBK"/>
          <w:sz w:val="32"/>
          <w:szCs w:val="32"/>
          <w:vertAlign w:val="superscript"/>
        </w:rPr>
        <w:t>3</w:t>
      </w:r>
      <w:r>
        <w:rPr>
          <w:rFonts w:hint="eastAsia" w:ascii="宋体" w:hAnsi="宋体" w:eastAsia="方正仿宋_GBK" w:cs="方正仿宋_GBK"/>
          <w:sz w:val="32"/>
          <w:szCs w:val="32"/>
        </w:rPr>
        <w:t>），引水渠入库流量加大，水库的水质会出现局部时段的物理性浑浊，但整体水域水质富营养化风险降低，各种藻类、浮游生物繁殖加快，鱼类生长较快，也是鱼类觅食的活跃期。这个时期要做好三个方面的管控：一是要控管水库库区周边居民区、种植的旱地上的可见垃圾进入水库水域，对库区边缘人流过往较多的入口设置相应的障碍，减少人为活动产生的污染；二是通过工程措施拦截</w:t>
      </w:r>
      <w:r>
        <w:rPr>
          <w:rFonts w:hint="eastAsia" w:ascii="宋体" w:hAnsi="宋体" w:eastAsia="方正仿宋_GBK" w:cs="方正仿宋_GBK"/>
          <w:sz w:val="32"/>
          <w:szCs w:val="32"/>
          <w:lang w:val="en-US" w:eastAsia="zh-CN"/>
        </w:rPr>
        <w:t>上游</w:t>
      </w:r>
      <w:r>
        <w:rPr>
          <w:rFonts w:hint="eastAsia" w:ascii="宋体" w:hAnsi="宋体" w:eastAsia="方正仿宋_GBK" w:cs="方正仿宋_GBK"/>
          <w:sz w:val="32"/>
          <w:szCs w:val="32"/>
        </w:rPr>
        <w:t>居民区的生活污水；三是加强对两个监测断面的水质监测。</w:t>
      </w:r>
    </w:p>
    <w:p w14:paraId="2AAADB27">
      <w:pPr>
        <w:keepNext w:val="0"/>
        <w:keepLines w:val="0"/>
        <w:pageBreakBefore w:val="0"/>
        <w:widowControl w:val="0"/>
        <w:shd w:val="clear" w:color="auto" w:fill="FFFFFF"/>
        <w:kinsoku/>
        <w:wordWrap/>
        <w:overflowPunct/>
        <w:topLinePunct w:val="0"/>
        <w:bidi w:val="0"/>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sz w:val="32"/>
          <w:szCs w:val="32"/>
        </w:rPr>
        <w:t>开展</w:t>
      </w:r>
      <w:r>
        <w:rPr>
          <w:rFonts w:hint="eastAsia" w:ascii="宋体" w:hAnsi="宋体" w:eastAsia="方正仿宋_GBK" w:cs="方正仿宋_GBK"/>
          <w:sz w:val="32"/>
          <w:szCs w:val="32"/>
          <w:lang w:eastAsia="zh-CN"/>
        </w:rPr>
        <w:t>芒究</w:t>
      </w:r>
      <w:r>
        <w:rPr>
          <w:rFonts w:hint="eastAsia" w:ascii="宋体" w:hAnsi="宋体" w:eastAsia="方正仿宋_GBK" w:cs="方正仿宋_GBK"/>
          <w:sz w:val="32"/>
          <w:szCs w:val="32"/>
        </w:rPr>
        <w:t>水库“清河行动”，清理、整治水库存在的乱占乱建、乱围乱堵、乱采乱挖、乱倒乱排、乱捕滥捞等突出问题。</w:t>
      </w:r>
      <w:r>
        <w:rPr>
          <w:rFonts w:hint="eastAsia" w:ascii="宋体" w:hAnsi="宋体" w:eastAsia="方正仿宋_GBK" w:cs="方正仿宋_GBK"/>
          <w:kern w:val="0"/>
          <w:sz w:val="32"/>
          <w:szCs w:val="32"/>
        </w:rPr>
        <w:t xml:space="preserve"> </w:t>
      </w:r>
      <w:r>
        <w:rPr>
          <w:rFonts w:hint="eastAsia" w:ascii="宋体" w:hAnsi="宋体" w:eastAsia="方正仿宋_GBK" w:cs="方正仿宋_GBK"/>
          <w:sz w:val="32"/>
          <w:szCs w:val="32"/>
        </w:rPr>
        <w:t>逐步完善行政执法与刑事司法衔接机制，严厉打击涉河湖库渠违法犯罪行为，将行政处罚案件及时移送到行政执法与司法衔接平台，坚决清理整治非法排污、捕捞、养殖、采矿、围垦、侵占水域岸线、倾倒废弃物以及电、毒、炸鱼等破坏水库生态环境的违法犯罪行为。</w:t>
      </w:r>
    </w:p>
    <w:p w14:paraId="6FFDF4C4">
      <w:pPr>
        <w:keepNext w:val="0"/>
        <w:keepLines w:val="0"/>
        <w:pageBreakBefore w:val="0"/>
        <w:widowControl w:val="0"/>
        <w:shd w:val="clear" w:color="auto" w:fill="FFFFFF"/>
        <w:kinsoku/>
        <w:wordWrap/>
        <w:overflowPunct/>
        <w:topLinePunct w:val="0"/>
        <w:bidi w:val="0"/>
        <w:snapToGrid/>
        <w:spacing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结合深化行政执法体制改革，加强环保、水利、林业、国土、农业等行政执法队伍建设，建立</w:t>
      </w:r>
      <w:r>
        <w:rPr>
          <w:rFonts w:hint="eastAsia" w:ascii="宋体" w:hAnsi="宋体" w:eastAsia="方正仿宋_GBK" w:cs="方正仿宋_GBK"/>
          <w:sz w:val="32"/>
          <w:szCs w:val="32"/>
          <w:lang w:val="en-US" w:eastAsia="zh-CN"/>
        </w:rPr>
        <w:t>资源环境</w:t>
      </w:r>
      <w:r>
        <w:rPr>
          <w:rFonts w:hint="eastAsia" w:ascii="宋体" w:hAnsi="宋体" w:eastAsia="方正仿宋_GBK" w:cs="方正仿宋_GBK"/>
          <w:sz w:val="32"/>
          <w:szCs w:val="32"/>
        </w:rPr>
        <w:t>、水政、林业、国土、渔政等部门联合执法制度及案件移送有关规定。探索和完善综合执法相关程序，统筹水利、</w:t>
      </w:r>
      <w:r>
        <w:rPr>
          <w:rFonts w:hint="eastAsia" w:ascii="宋体" w:hAnsi="宋体" w:eastAsia="方正仿宋_GBK" w:cs="方正仿宋_GBK"/>
          <w:sz w:val="32"/>
          <w:szCs w:val="32"/>
          <w:lang w:val="en-US" w:eastAsia="zh-CN"/>
        </w:rPr>
        <w:t>生态</w:t>
      </w:r>
      <w:r>
        <w:rPr>
          <w:rFonts w:hint="eastAsia" w:ascii="宋体" w:hAnsi="宋体" w:eastAsia="方正仿宋_GBK" w:cs="方正仿宋_GBK"/>
          <w:sz w:val="32"/>
          <w:szCs w:val="32"/>
        </w:rPr>
        <w:t>环境、农业、林业、国土资源、交通运输、住房城乡建设等部门涉及河湖库渠保护管理行政执法职能，组成综合执法队伍，对水环境问题较突出的河湖库渠，开展专项执法行动。</w:t>
      </w:r>
    </w:p>
    <w:p w14:paraId="1A523642">
      <w:pPr>
        <w:keepNext w:val="0"/>
        <w:keepLines w:val="0"/>
        <w:pageBreakBefore w:val="0"/>
        <w:widowControl w:val="0"/>
        <w:kinsoku/>
        <w:wordWrap/>
        <w:overflowPunct/>
        <w:topLinePunct w:val="0"/>
        <w:bidi w:val="0"/>
        <w:snapToGrid/>
        <w:spacing w:line="560" w:lineRule="exact"/>
        <w:textAlignment w:val="auto"/>
        <w:rPr>
          <w:rFonts w:hint="eastAsia" w:ascii="宋体" w:hAnsi="宋体" w:eastAsia="方正仿宋_GBK" w:cs="方正仿宋_GBK"/>
          <w:b/>
          <w:bCs/>
          <w:sz w:val="32"/>
          <w:szCs w:val="32"/>
        </w:rPr>
      </w:pPr>
      <w:r>
        <w:rPr>
          <w:rFonts w:hint="eastAsia" w:ascii="宋体" w:hAnsi="宋体" w:eastAsia="方正仿宋_GBK" w:cs="方正仿宋_GBK"/>
          <w:b/>
          <w:bCs/>
          <w:sz w:val="32"/>
          <w:szCs w:val="32"/>
          <w:lang w:val="en-US" w:eastAsia="zh-CN"/>
        </w:rPr>
        <w:t>8</w:t>
      </w:r>
      <w:r>
        <w:rPr>
          <w:rFonts w:hint="eastAsia" w:ascii="宋体" w:hAnsi="宋体" w:eastAsia="方正仿宋_GBK" w:cs="方正仿宋_GBK"/>
          <w:b/>
          <w:bCs/>
          <w:sz w:val="32"/>
          <w:szCs w:val="32"/>
        </w:rPr>
        <w:t xml:space="preserve">.2.1.2枯水季节的水质控管措施 </w:t>
      </w:r>
      <w:r>
        <w:rPr>
          <w:rFonts w:hint="eastAsia" w:ascii="宋体" w:hAnsi="宋体" w:eastAsia="方正仿宋_GBK" w:cs="方正仿宋_GBK"/>
          <w:sz w:val="32"/>
          <w:szCs w:val="32"/>
          <w:lang w:eastAsia="zh-CN"/>
        </w:rPr>
        <w:t>水面开发利用</w:t>
      </w:r>
      <w:r>
        <w:rPr>
          <w:rFonts w:hint="eastAsia" w:ascii="宋体" w:hAnsi="宋体" w:eastAsia="方正仿宋_GBK" w:cs="方正仿宋_GBK"/>
          <w:sz w:val="32"/>
          <w:szCs w:val="32"/>
        </w:rPr>
        <w:t>的前提条件是水质要干净</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水库在3月中旬至5月底，这个时段一般年份降雨少或没有降雨，水库蓄水困难</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还不能影响大春播种时的灌溉（水库大春灌溉放水于每年4月中旬开始，一直要持续到6月底、7月初），枯水季节条件下水质管控有一定的难度。</w:t>
      </w:r>
    </w:p>
    <w:p w14:paraId="21073DDD">
      <w:pPr>
        <w:pStyle w:val="28"/>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按照水库水功能区划，优先保障农业供水、兼顾</w:t>
      </w:r>
      <w:r>
        <w:rPr>
          <w:rFonts w:hint="eastAsia" w:ascii="宋体" w:hAnsi="宋体" w:eastAsia="方正仿宋_GBK" w:cs="方正仿宋_GBK"/>
          <w:sz w:val="32"/>
          <w:szCs w:val="32"/>
          <w:lang w:eastAsia="zh-CN"/>
        </w:rPr>
        <w:t>水面开发利用</w:t>
      </w:r>
      <w:r>
        <w:rPr>
          <w:rFonts w:hint="eastAsia" w:ascii="宋体" w:hAnsi="宋体" w:eastAsia="方正仿宋_GBK" w:cs="方正仿宋_GBK"/>
          <w:sz w:val="32"/>
          <w:szCs w:val="32"/>
        </w:rPr>
        <w:t>的情况下，每月对库区2个监控断面（</w:t>
      </w:r>
      <w:r>
        <w:rPr>
          <w:rFonts w:hint="eastAsia" w:ascii="宋体" w:hAnsi="宋体" w:eastAsia="方正仿宋_GBK" w:cs="方正仿宋_GBK"/>
          <w:sz w:val="32"/>
          <w:szCs w:val="32"/>
          <w:lang w:val="en-US" w:eastAsia="zh-CN"/>
        </w:rPr>
        <w:t>南木黑河</w:t>
      </w:r>
      <w:r>
        <w:rPr>
          <w:rFonts w:hint="eastAsia" w:ascii="宋体" w:hAnsi="宋体" w:eastAsia="方正仿宋_GBK" w:cs="方正仿宋_GBK"/>
          <w:sz w:val="32"/>
          <w:szCs w:val="32"/>
        </w:rPr>
        <w:t>入库位置和坝前位置）进行至少一到两次水质监测，适时掌握库区不同断面水域水温、水质的变化，依据《芒市水功能区划复核和调整报告》的要求，着力保障水库水质目标达到Ⅱ类。如经水质监测，水体水质稍有下降趋势，应</w:t>
      </w:r>
      <w:r>
        <w:rPr>
          <w:rFonts w:hint="eastAsia" w:ascii="宋体" w:hAnsi="宋体" w:eastAsia="方正仿宋_GBK" w:cs="方正仿宋_GBK"/>
          <w:sz w:val="32"/>
          <w:szCs w:val="32"/>
          <w:lang w:val="en-US" w:eastAsia="zh-CN"/>
        </w:rPr>
        <w:t>暂停项目运营，进行水生态修复</w:t>
      </w:r>
      <w:r>
        <w:rPr>
          <w:rFonts w:hint="eastAsia" w:ascii="宋体" w:hAnsi="宋体" w:eastAsia="方正仿宋_GBK" w:cs="方正仿宋_GBK"/>
          <w:sz w:val="32"/>
          <w:szCs w:val="32"/>
        </w:rPr>
        <w:t>减缓水库水体富营养化。</w:t>
      </w:r>
    </w:p>
    <w:p w14:paraId="3B27367F">
      <w:pPr>
        <w:keepNext w:val="0"/>
        <w:keepLines w:val="0"/>
        <w:pageBreakBefore w:val="0"/>
        <w:widowControl w:val="0"/>
        <w:kinsoku/>
        <w:wordWrap/>
        <w:overflowPunct/>
        <w:topLinePunct w:val="0"/>
        <w:bidi w:val="0"/>
        <w:snapToGrid/>
        <w:spacing w:line="560" w:lineRule="exact"/>
        <w:textAlignment w:val="auto"/>
        <w:rPr>
          <w:rFonts w:hint="eastAsia" w:ascii="宋体" w:hAnsi="宋体" w:eastAsia="方正仿宋_GBK" w:cs="方正仿宋_GBK"/>
          <w:sz w:val="32"/>
          <w:szCs w:val="32"/>
        </w:rPr>
      </w:pPr>
      <w:bookmarkStart w:id="195" w:name="_Toc4216"/>
      <w:r>
        <w:rPr>
          <w:rFonts w:hint="eastAsia" w:ascii="宋体" w:hAnsi="宋体" w:eastAsia="方正仿宋_GBK" w:cs="方正仿宋_GBK"/>
          <w:b/>
          <w:bCs/>
          <w:sz w:val="32"/>
          <w:szCs w:val="32"/>
          <w:lang w:val="en-US" w:eastAsia="zh-CN"/>
        </w:rPr>
        <w:t>8</w:t>
      </w:r>
      <w:r>
        <w:rPr>
          <w:rFonts w:hint="eastAsia" w:ascii="宋体" w:hAnsi="宋体" w:eastAsia="方正仿宋_GBK" w:cs="方正仿宋_GBK"/>
          <w:b/>
          <w:bCs/>
          <w:sz w:val="32"/>
          <w:szCs w:val="32"/>
        </w:rPr>
        <w:t>.2.1.3干旱年份的水质控管措施</w:t>
      </w:r>
      <w:bookmarkEnd w:id="195"/>
      <w:r>
        <w:rPr>
          <w:rFonts w:hint="eastAsia" w:ascii="宋体" w:hAnsi="宋体" w:eastAsia="方正仿宋_GBK" w:cs="方正仿宋_GBK"/>
          <w:b/>
          <w:bCs/>
          <w:sz w:val="32"/>
          <w:szCs w:val="32"/>
        </w:rPr>
        <w:t xml:space="preserve"> </w:t>
      </w:r>
      <w:r>
        <w:rPr>
          <w:rFonts w:hint="eastAsia" w:ascii="宋体" w:hAnsi="宋体" w:eastAsia="方正仿宋_GBK" w:cs="方正仿宋_GBK"/>
          <w:sz w:val="32"/>
          <w:szCs w:val="32"/>
        </w:rPr>
        <w:t>遇到干旱年份，水库的蓄水量一方面达不到水库的正常蓄水库容，同时要保证春耕农业灌溉供水因此，在特殊干旱年份，只能提出在春耕保苗的基础上尽量减少水库蓄水量。</w:t>
      </w:r>
    </w:p>
    <w:p w14:paraId="46D32258">
      <w:pPr>
        <w:keepNext w:val="0"/>
        <w:keepLines w:val="0"/>
        <w:pageBreakBefore w:val="0"/>
        <w:widowControl w:val="0"/>
        <w:kinsoku/>
        <w:wordWrap/>
        <w:overflowPunct/>
        <w:topLinePunct w:val="0"/>
        <w:autoSpaceDE w:val="0"/>
        <w:autoSpaceDN w:val="0"/>
        <w:bidi w:val="0"/>
        <w:adjustRightInd w:val="0"/>
        <w:snapToGrid/>
        <w:spacing w:line="560" w:lineRule="exact"/>
        <w:textAlignment w:val="auto"/>
        <w:outlineLvl w:val="2"/>
        <w:rPr>
          <w:rFonts w:hint="eastAsia" w:ascii="宋体" w:hAnsi="宋体" w:eastAsia="方正仿宋_GBK" w:cs="方正仿宋_GBK"/>
          <w:b/>
          <w:sz w:val="32"/>
          <w:szCs w:val="32"/>
        </w:rPr>
      </w:pPr>
      <w:bookmarkStart w:id="196" w:name="_Toc31742"/>
      <w:bookmarkStart w:id="197" w:name="_Toc14468"/>
      <w:r>
        <w:rPr>
          <w:rFonts w:hint="eastAsia" w:ascii="宋体" w:hAnsi="宋体" w:eastAsia="方正仿宋_GBK" w:cs="方正仿宋_GBK"/>
          <w:b/>
          <w:sz w:val="32"/>
          <w:szCs w:val="32"/>
          <w:lang w:val="en-US" w:eastAsia="zh-CN"/>
        </w:rPr>
        <w:t>8</w:t>
      </w:r>
      <w:r>
        <w:rPr>
          <w:rFonts w:hint="eastAsia" w:ascii="宋体" w:hAnsi="宋体" w:eastAsia="方正仿宋_GBK" w:cs="方正仿宋_GBK"/>
          <w:b/>
          <w:sz w:val="32"/>
          <w:szCs w:val="32"/>
        </w:rPr>
        <w:t>.2.2库区内采用植物措施拦渣降污</w:t>
      </w:r>
      <w:bookmarkEnd w:id="196"/>
      <w:bookmarkEnd w:id="197"/>
    </w:p>
    <w:p w14:paraId="4D5E9DB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宋体" w:cs="宋体"/>
          <w:kern w:val="0"/>
          <w:sz w:val="28"/>
          <w:szCs w:val="28"/>
        </w:rPr>
      </w:pPr>
      <w:r>
        <w:rPr>
          <w:rFonts w:hint="eastAsia" w:ascii="宋体" w:hAnsi="宋体" w:eastAsia="方正仿宋_GBK" w:cs="方正仿宋_GBK"/>
          <w:kern w:val="0"/>
          <w:sz w:val="32"/>
          <w:szCs w:val="32"/>
        </w:rPr>
        <w:t>为改善、控制水库水质富营养化，除了控制周边区域环境的污染源外，可以结合建设水生态廊道，沿水库边缘消落区培植水生植物，水生植物既能吸附水体里的污物、重金属，净化水质、改善水环境，还可以美化水库周边的生态环境；也可以可以用当地丰富竹木资源，将绳索与竹子捆绑连接在一起，把水生植物分段固定、拦截在水库沿岸区域，从而达到搭建生态浮岛净化水体之目的，净化、减轻水体污染。</w:t>
      </w:r>
    </w:p>
    <w:p w14:paraId="2D421C43">
      <w:pPr>
        <w:pStyle w:val="2"/>
        <w:pageBreakBefore w:val="0"/>
        <w:kinsoku/>
        <w:wordWrap/>
        <w:overflowPunct/>
        <w:topLinePunct w:val="0"/>
        <w:bidi w:val="0"/>
        <w:ind w:firstLine="640"/>
        <w:jc w:val="center"/>
        <w:rPr>
          <w:rFonts w:hint="eastAsia" w:ascii="宋体" w:hAnsi="宋体" w:eastAsia="宋体" w:cs="宋体"/>
          <w:b/>
          <w:sz w:val="28"/>
          <w:szCs w:val="28"/>
          <w:lang w:val="en-US" w:eastAsia="zh-CN"/>
        </w:rPr>
      </w:pPr>
      <w:r>
        <w:rPr>
          <w:rFonts w:hint="eastAsia" w:ascii="宋体" w:hAnsi="宋体" w:eastAsia="宋体" w:cs="宋体"/>
          <w:sz w:val="32"/>
          <w:szCs w:val="28"/>
        </w:rPr>
        <w:drawing>
          <wp:inline distT="0" distB="0" distL="0" distR="0">
            <wp:extent cx="5219065" cy="2926080"/>
            <wp:effectExtent l="0" t="0" r="63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19065" cy="2926080"/>
                    </a:xfrm>
                    <a:prstGeom prst="rect">
                      <a:avLst/>
                    </a:prstGeom>
                    <a:noFill/>
                    <a:ln>
                      <a:noFill/>
                    </a:ln>
                  </pic:spPr>
                </pic:pic>
              </a:graphicData>
            </a:graphic>
          </wp:inline>
        </w:drawing>
      </w:r>
    </w:p>
    <w:p w14:paraId="45CF4822">
      <w:pPr>
        <w:pageBreakBefore w:val="0"/>
        <w:kinsoku/>
        <w:wordWrap/>
        <w:overflowPunct/>
        <w:topLinePunct w:val="0"/>
        <w:bidi w:val="0"/>
        <w:spacing w:line="360" w:lineRule="auto"/>
        <w:ind w:firstLine="420" w:firstLineChars="150"/>
        <w:jc w:val="center"/>
        <w:rPr>
          <w:rFonts w:hint="eastAsia" w:ascii="宋体" w:hAnsi="宋体" w:eastAsia="方正黑体_GBK" w:cs="方正黑体_GBK"/>
          <w:b w:val="0"/>
          <w:bCs/>
          <w:sz w:val="28"/>
          <w:szCs w:val="28"/>
          <w:lang w:val="en-US" w:eastAsia="zh-CN"/>
        </w:rPr>
      </w:pPr>
      <w:r>
        <w:rPr>
          <w:rFonts w:hint="eastAsia" w:ascii="宋体" w:hAnsi="宋体" w:eastAsia="方正黑体_GBK" w:cs="方正黑体_GBK"/>
          <w:b w:val="0"/>
          <w:bCs/>
          <w:sz w:val="28"/>
          <w:szCs w:val="28"/>
          <w:lang w:val="en-US" w:eastAsia="zh-CN"/>
        </w:rPr>
        <w:t>8.2.2-1生态浮岛模拟效果图</w:t>
      </w:r>
    </w:p>
    <w:p w14:paraId="587409B3">
      <w:pPr>
        <w:pStyle w:val="2"/>
        <w:pageBreakBefore w:val="0"/>
        <w:kinsoku/>
        <w:wordWrap/>
        <w:overflowPunct/>
        <w:topLinePunct w:val="0"/>
        <w:bidi w:val="0"/>
        <w:ind w:firstLine="0" w:firstLineChars="0"/>
        <w:jc w:val="center"/>
        <w:rPr>
          <w:rFonts w:hint="eastAsia" w:ascii="宋体" w:hAnsi="宋体" w:eastAsia="宋体" w:cs="宋体"/>
          <w:sz w:val="32"/>
          <w:szCs w:val="28"/>
        </w:rPr>
      </w:pPr>
      <w:r>
        <w:rPr>
          <w:rFonts w:hint="eastAsia" w:ascii="宋体" w:hAnsi="宋体" w:eastAsia="宋体" w:cs="宋体"/>
          <w:sz w:val="32"/>
          <w:szCs w:val="28"/>
        </w:rPr>
        <w:drawing>
          <wp:inline distT="0" distB="0" distL="0" distR="0">
            <wp:extent cx="4436745" cy="2254250"/>
            <wp:effectExtent l="0" t="0" r="1905" b="1270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36745" cy="2254250"/>
                    </a:xfrm>
                    <a:prstGeom prst="rect">
                      <a:avLst/>
                    </a:prstGeom>
                    <a:noFill/>
                    <a:ln>
                      <a:noFill/>
                    </a:ln>
                  </pic:spPr>
                </pic:pic>
              </a:graphicData>
            </a:graphic>
          </wp:inline>
        </w:drawing>
      </w:r>
    </w:p>
    <w:p w14:paraId="19770E5E">
      <w:pPr>
        <w:pStyle w:val="2"/>
        <w:pageBreakBefore w:val="0"/>
        <w:kinsoku/>
        <w:wordWrap/>
        <w:overflowPunct/>
        <w:topLinePunct w:val="0"/>
        <w:bidi w:val="0"/>
        <w:ind w:firstLine="0" w:firstLineChars="0"/>
        <w:jc w:val="center"/>
        <w:rPr>
          <w:rFonts w:hint="eastAsia" w:ascii="宋体" w:hAnsi="宋体" w:eastAsia="宋体" w:cs="宋体"/>
        </w:rPr>
      </w:pPr>
      <w:r>
        <w:rPr>
          <w:rFonts w:hint="eastAsia" w:ascii="宋体" w:hAnsi="宋体" w:eastAsia="宋体" w:cs="宋体"/>
        </w:rPr>
        <w:t>8.2.2-2浮岛生态作用模拟效果图</w:t>
      </w:r>
    </w:p>
    <w:p w14:paraId="2CAD68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方正仿宋_GBK"/>
          <w:kern w:val="0"/>
          <w:sz w:val="32"/>
          <w:szCs w:val="32"/>
        </w:rPr>
      </w:pPr>
      <w:r>
        <w:rPr>
          <w:rFonts w:hint="eastAsia" w:ascii="宋体" w:hAnsi="宋体" w:eastAsia="方正仿宋_GBK" w:cs="方正仿宋_GBK"/>
          <w:bCs/>
          <w:kern w:val="0"/>
          <w:sz w:val="32"/>
          <w:szCs w:val="32"/>
        </w:rPr>
        <w:t>其次，沿水库岸边水位消落区栽培水生植物，</w:t>
      </w:r>
      <w:r>
        <w:rPr>
          <w:rFonts w:hint="eastAsia" w:ascii="宋体" w:hAnsi="宋体" w:eastAsia="方正仿宋_GBK" w:cs="方正仿宋_GBK"/>
          <w:kern w:val="0"/>
          <w:sz w:val="32"/>
          <w:szCs w:val="32"/>
        </w:rPr>
        <w:t>可以改变或减缓水体的富营养化，减小对水体的污染，一方面要设立人工增氧设备，其次在水库沿岸消落区、局部区域栽培水生植物，也是搭建生态浮岛的一种形式，同样可以降低水体浑浊度，水生植物还可以吸附一部分水体中的重金属等污物，这对环库栈道或林中小径的修建也是一种美好的衬托。如芒市板过河湿地公园（见下图）的利用水生植物降解污水就是很好的范例。</w:t>
      </w:r>
    </w:p>
    <w:p w14:paraId="3A334F12">
      <w:pPr>
        <w:pStyle w:val="2"/>
        <w:pageBreakBefore w:val="0"/>
        <w:kinsoku/>
        <w:wordWrap/>
        <w:overflowPunct/>
        <w:topLinePunct w:val="0"/>
        <w:bidi w:val="0"/>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2684780" cy="3609975"/>
            <wp:effectExtent l="0" t="0" r="9525" b="1270"/>
            <wp:docPr id="43" name="图片 43" descr="C:\Users\llw\Desktop\f756db8823066936869fef4f972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llw\Desktop\f756db8823066936869fef4f97253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rot="5400000">
                      <a:off x="0" y="0"/>
                      <a:ext cx="2684780" cy="3609975"/>
                    </a:xfrm>
                    <a:prstGeom prst="rect">
                      <a:avLst/>
                    </a:prstGeom>
                    <a:noFill/>
                    <a:ln>
                      <a:noFill/>
                    </a:ln>
                  </pic:spPr>
                </pic:pic>
              </a:graphicData>
            </a:graphic>
          </wp:inline>
        </w:drawing>
      </w:r>
    </w:p>
    <w:p w14:paraId="18C05571">
      <w:pPr>
        <w:pStyle w:val="2"/>
        <w:pageBreakBefore w:val="0"/>
        <w:kinsoku/>
        <w:wordWrap/>
        <w:overflowPunct/>
        <w:topLinePunct w:val="0"/>
        <w:bidi w:val="0"/>
        <w:ind w:firstLine="0" w:firstLineChars="0"/>
        <w:jc w:val="center"/>
        <w:rPr>
          <w:rFonts w:hint="eastAsia" w:ascii="宋体" w:hAnsi="宋体" w:eastAsia="宋体" w:cs="宋体"/>
        </w:rPr>
      </w:pPr>
      <w:r>
        <w:rPr>
          <w:rFonts w:hint="eastAsia" w:ascii="宋体" w:hAnsi="宋体" w:eastAsia="宋体" w:cs="宋体"/>
        </w:rPr>
        <w:t>8.2.2-3芒市板过河湿地公园水景观</w:t>
      </w:r>
    </w:p>
    <w:p w14:paraId="61A5F6C8">
      <w:pPr>
        <w:pStyle w:val="4"/>
        <w:pageBreakBefore w:val="0"/>
        <w:widowControl w:val="0"/>
        <w:kinsoku/>
        <w:wordWrap/>
        <w:overflowPunct/>
        <w:topLinePunct w:val="0"/>
        <w:bidi w:val="0"/>
        <w:snapToGrid/>
        <w:spacing w:before="0" w:after="0" w:line="560" w:lineRule="exact"/>
        <w:textAlignment w:val="auto"/>
        <w:rPr>
          <w:rFonts w:hint="eastAsia" w:ascii="宋体" w:hAnsi="宋体" w:eastAsia="方正仿宋_GBK" w:cs="方正仿宋_GBK"/>
          <w:b w:val="0"/>
          <w:bCs w:val="0"/>
          <w:kern w:val="0"/>
          <w:sz w:val="32"/>
          <w:szCs w:val="32"/>
          <w:lang w:val="zh-CN"/>
        </w:rPr>
      </w:pPr>
      <w:bookmarkStart w:id="198" w:name="_Toc15212"/>
      <w:bookmarkStart w:id="199" w:name="_Toc135775194"/>
      <w:bookmarkStart w:id="200" w:name="_Toc7036"/>
      <w:bookmarkStart w:id="201" w:name="_Toc12482"/>
      <w:r>
        <w:rPr>
          <w:rFonts w:hint="eastAsia" w:ascii="宋体" w:hAnsi="宋体" w:eastAsia="方正仿宋_GBK" w:cs="方正仿宋_GBK"/>
          <w:b/>
          <w:bCs/>
          <w:sz w:val="32"/>
          <w:szCs w:val="32"/>
          <w:lang w:val="en-US" w:eastAsia="zh-CN"/>
        </w:rPr>
        <w:t>8</w:t>
      </w:r>
      <w:r>
        <w:rPr>
          <w:rFonts w:hint="eastAsia" w:ascii="宋体" w:hAnsi="宋体" w:eastAsia="方正仿宋_GBK" w:cs="方正仿宋_GBK"/>
          <w:b/>
          <w:bCs/>
          <w:sz w:val="32"/>
          <w:szCs w:val="32"/>
        </w:rPr>
        <w:t>.3</w:t>
      </w:r>
      <w:r>
        <w:rPr>
          <w:rFonts w:hint="eastAsia" w:ascii="宋体" w:hAnsi="宋体" w:eastAsia="方正仿宋_GBK" w:cs="方正仿宋_GBK"/>
          <w:b/>
          <w:bCs/>
          <w:kern w:val="0"/>
          <w:sz w:val="32"/>
          <w:szCs w:val="32"/>
          <w:lang w:val="zh-CN"/>
        </w:rPr>
        <w:t>行政监督保障措施</w:t>
      </w:r>
      <w:bookmarkEnd w:id="198"/>
      <w:bookmarkEnd w:id="199"/>
      <w:bookmarkEnd w:id="200"/>
      <w:bookmarkEnd w:id="201"/>
    </w:p>
    <w:p w14:paraId="46C8C93E">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rPr>
      </w:pPr>
      <w:r>
        <w:rPr>
          <w:rFonts w:hint="eastAsia" w:ascii="宋体" w:hAnsi="宋体" w:eastAsia="方正仿宋_GBK" w:cs="方正仿宋_GBK"/>
          <w:spacing w:val="-2"/>
          <w:sz w:val="32"/>
          <w:szCs w:val="32"/>
        </w:rPr>
        <w:t>水库库区的水质优劣除了外源污染，重点还是库区周边及库内管养措施执行是否到位</w:t>
      </w:r>
      <w:r>
        <w:rPr>
          <w:rFonts w:hint="eastAsia" w:ascii="宋体" w:hAnsi="宋体" w:eastAsia="方正仿宋_GBK" w:cs="方正仿宋_GBK"/>
          <w:spacing w:val="-2"/>
          <w:sz w:val="32"/>
          <w:szCs w:val="32"/>
          <w:highlight w:val="none"/>
        </w:rPr>
        <w:t>。由</w:t>
      </w:r>
      <w:r>
        <w:rPr>
          <w:rFonts w:hint="eastAsia" w:ascii="宋体" w:hAnsi="宋体" w:eastAsia="方正仿宋_GBK" w:cs="方正仿宋_GBK"/>
          <w:spacing w:val="-2"/>
          <w:sz w:val="32"/>
          <w:szCs w:val="32"/>
          <w:highlight w:val="none"/>
          <w:lang w:val="en-US" w:eastAsia="zh-CN"/>
        </w:rPr>
        <w:t>于芒究水库是环保省级监控断面，</w:t>
      </w:r>
      <w:r>
        <w:rPr>
          <w:rFonts w:hint="eastAsia" w:ascii="宋体" w:hAnsi="宋体" w:eastAsia="方正仿宋_GBK" w:cs="方正仿宋_GBK"/>
          <w:spacing w:val="-2"/>
          <w:sz w:val="32"/>
          <w:szCs w:val="32"/>
          <w:highlight w:val="none"/>
        </w:rPr>
        <w:t>水库承包方</w:t>
      </w:r>
      <w:r>
        <w:rPr>
          <w:rFonts w:hint="eastAsia" w:ascii="宋体" w:hAnsi="宋体" w:eastAsia="方正仿宋_GBK" w:cs="方正仿宋_GBK"/>
          <w:spacing w:val="-2"/>
          <w:sz w:val="32"/>
          <w:szCs w:val="32"/>
          <w:highlight w:val="none"/>
          <w:lang w:val="en-US" w:eastAsia="zh-CN"/>
        </w:rPr>
        <w:t>配合环保部门每月检测</w:t>
      </w:r>
      <w:r>
        <w:rPr>
          <w:rFonts w:hint="eastAsia" w:ascii="宋体" w:hAnsi="宋体" w:eastAsia="方正仿宋_GBK" w:cs="方正仿宋_GBK"/>
          <w:spacing w:val="-2"/>
          <w:sz w:val="32"/>
          <w:szCs w:val="32"/>
          <w:highlight w:val="none"/>
        </w:rPr>
        <w:t>一次水质，若</w:t>
      </w:r>
      <w:r>
        <w:rPr>
          <w:rFonts w:hint="eastAsia" w:ascii="宋体" w:hAnsi="宋体" w:eastAsia="方正仿宋_GBK" w:cs="方正仿宋_GBK"/>
          <w:spacing w:val="-2"/>
          <w:sz w:val="32"/>
          <w:szCs w:val="32"/>
        </w:rPr>
        <w:t>水库水质的各项目指标有恶化的趋势，有权责令承包方进行整改，并迅速对水库水质进行治理。</w:t>
      </w:r>
    </w:p>
    <w:p w14:paraId="3BE91FBF">
      <w:pPr>
        <w:pStyle w:val="4"/>
        <w:keepNext/>
        <w:keepLines/>
        <w:pageBreakBefore w:val="0"/>
        <w:widowControl w:val="0"/>
        <w:kinsoku/>
        <w:wordWrap/>
        <w:overflowPunct/>
        <w:topLinePunct w:val="0"/>
        <w:autoSpaceDE/>
        <w:autoSpaceDN/>
        <w:bidi w:val="0"/>
        <w:adjustRightInd/>
        <w:snapToGrid/>
        <w:spacing w:before="0" w:after="0" w:line="560" w:lineRule="exact"/>
        <w:textAlignment w:val="auto"/>
        <w:rPr>
          <w:rFonts w:hint="eastAsia" w:ascii="宋体" w:hAnsi="宋体" w:eastAsia="方正仿宋_GBK" w:cs="方正仿宋_GBK"/>
          <w:b w:val="0"/>
          <w:bCs w:val="0"/>
          <w:kern w:val="0"/>
          <w:sz w:val="32"/>
          <w:szCs w:val="32"/>
          <w:lang w:val="zh-CN"/>
        </w:rPr>
      </w:pPr>
      <w:bookmarkStart w:id="202" w:name="_Toc7488"/>
      <w:bookmarkStart w:id="203" w:name="_Toc32200"/>
      <w:bookmarkStart w:id="204" w:name="_Toc23658"/>
      <w:r>
        <w:rPr>
          <w:rFonts w:hint="eastAsia" w:ascii="宋体" w:hAnsi="宋体" w:eastAsia="方正仿宋_GBK" w:cs="方正仿宋_GBK"/>
          <w:b/>
          <w:bCs/>
          <w:kern w:val="0"/>
          <w:sz w:val="32"/>
          <w:szCs w:val="32"/>
          <w:lang w:val="en-US" w:eastAsia="zh-CN"/>
        </w:rPr>
        <w:t>8</w:t>
      </w:r>
      <w:r>
        <w:rPr>
          <w:rFonts w:hint="eastAsia" w:ascii="宋体" w:hAnsi="宋体" w:eastAsia="方正仿宋_GBK" w:cs="方正仿宋_GBK"/>
          <w:b/>
          <w:bCs/>
          <w:kern w:val="0"/>
          <w:sz w:val="32"/>
          <w:szCs w:val="32"/>
          <w:lang w:val="zh-CN"/>
        </w:rPr>
        <w:t>.4 水域生态修复应急措施</w:t>
      </w:r>
      <w:bookmarkEnd w:id="202"/>
      <w:bookmarkEnd w:id="203"/>
      <w:bookmarkEnd w:id="204"/>
    </w:p>
    <w:p w14:paraId="221092E8">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rPr>
      </w:pPr>
      <w:r>
        <w:rPr>
          <w:rFonts w:hint="eastAsia" w:ascii="宋体" w:hAnsi="宋体" w:eastAsia="方正仿宋_GBK" w:cs="方正仿宋_GBK"/>
          <w:spacing w:val="-2"/>
          <w:sz w:val="32"/>
          <w:szCs w:val="32"/>
        </w:rPr>
        <w:t>若水库水质检测结果不达标，应采取以下措施对水域进行应急修复：</w:t>
      </w:r>
      <w:r>
        <w:rPr>
          <w:rFonts w:hint="eastAsia" w:ascii="宋体" w:hAnsi="宋体" w:eastAsia="方正仿宋_GBK" w:cs="方正仿宋_GBK"/>
          <w:b/>
          <w:bCs/>
          <w:spacing w:val="-2"/>
          <w:sz w:val="32"/>
          <w:szCs w:val="32"/>
        </w:rPr>
        <w:t>一是</w:t>
      </w:r>
      <w:r>
        <w:rPr>
          <w:rFonts w:hint="eastAsia" w:ascii="宋体" w:hAnsi="宋体" w:eastAsia="方正仿宋_GBK" w:cs="方正仿宋_GBK"/>
          <w:spacing w:val="-2"/>
          <w:sz w:val="32"/>
          <w:szCs w:val="32"/>
        </w:rPr>
        <w:t>打捞水库水域内漂浮的水生植物</w:t>
      </w:r>
      <w:r>
        <w:rPr>
          <w:rFonts w:hint="eastAsia" w:ascii="宋体" w:hAnsi="宋体" w:eastAsia="方正仿宋_GBK" w:cs="方正仿宋_GBK"/>
          <w:spacing w:val="-2"/>
          <w:sz w:val="32"/>
          <w:szCs w:val="32"/>
          <w:lang w:val="en-US" w:eastAsia="zh-CN"/>
        </w:rPr>
        <w:t>残体</w:t>
      </w:r>
      <w:r>
        <w:rPr>
          <w:rFonts w:hint="eastAsia" w:ascii="宋体" w:hAnsi="宋体" w:eastAsia="方正仿宋_GBK" w:cs="方正仿宋_GBK"/>
          <w:spacing w:val="-2"/>
          <w:sz w:val="32"/>
          <w:szCs w:val="32"/>
        </w:rPr>
        <w:t>；</w:t>
      </w:r>
      <w:r>
        <w:rPr>
          <w:rFonts w:hint="eastAsia" w:ascii="宋体" w:hAnsi="宋体" w:eastAsia="方正仿宋_GBK" w:cs="方正仿宋_GBK"/>
          <w:b/>
          <w:bCs/>
          <w:spacing w:val="-2"/>
          <w:sz w:val="32"/>
          <w:szCs w:val="32"/>
        </w:rPr>
        <w:t>二是</w:t>
      </w:r>
      <w:r>
        <w:rPr>
          <w:rFonts w:hint="eastAsia" w:ascii="宋体" w:hAnsi="宋体" w:eastAsia="方正仿宋_GBK" w:cs="方正仿宋_GBK"/>
          <w:spacing w:val="-2"/>
          <w:sz w:val="32"/>
          <w:szCs w:val="32"/>
        </w:rPr>
        <w:t>根据水库库容大小，投入适量复合硅酸吕水处理剂，吸附悬浮颗粒，消除氮、磷富营养物质，激活水体多种酶，快速提高水质；</w:t>
      </w:r>
      <w:r>
        <w:rPr>
          <w:rFonts w:hint="eastAsia" w:ascii="宋体" w:hAnsi="宋体" w:eastAsia="方正仿宋_GBK" w:cs="方正仿宋_GBK"/>
          <w:b/>
          <w:bCs/>
          <w:spacing w:val="-2"/>
          <w:sz w:val="32"/>
          <w:szCs w:val="32"/>
          <w:lang w:val="en-US" w:eastAsia="zh-CN"/>
        </w:rPr>
        <w:t>三</w:t>
      </w:r>
      <w:r>
        <w:rPr>
          <w:rFonts w:hint="eastAsia" w:ascii="宋体" w:hAnsi="宋体" w:eastAsia="方正仿宋_GBK" w:cs="方正仿宋_GBK"/>
          <w:b/>
          <w:bCs/>
          <w:spacing w:val="-2"/>
          <w:sz w:val="32"/>
          <w:szCs w:val="32"/>
        </w:rPr>
        <w:t>是</w:t>
      </w:r>
      <w:r>
        <w:rPr>
          <w:rFonts w:hint="eastAsia" w:ascii="宋体" w:hAnsi="宋体" w:eastAsia="方正仿宋_GBK" w:cs="方正仿宋_GBK"/>
          <w:spacing w:val="-2"/>
          <w:sz w:val="32"/>
          <w:szCs w:val="32"/>
        </w:rPr>
        <w:t>发现水库水质有恶化倾向时，在采取修复治理的同时，还要加大引水流量稀释、降解污染浓度；</w:t>
      </w:r>
      <w:r>
        <w:rPr>
          <w:rFonts w:hint="eastAsia" w:ascii="宋体" w:hAnsi="宋体" w:eastAsia="方正仿宋_GBK" w:cs="方正仿宋_GBK"/>
          <w:spacing w:val="-2"/>
          <w:sz w:val="32"/>
          <w:szCs w:val="32"/>
          <w:lang w:val="en-US" w:eastAsia="zh-CN"/>
        </w:rPr>
        <w:t>四</w:t>
      </w:r>
      <w:r>
        <w:rPr>
          <w:rFonts w:hint="eastAsia" w:ascii="宋体" w:hAnsi="宋体" w:eastAsia="方正仿宋_GBK" w:cs="方正仿宋_GBK"/>
          <w:spacing w:val="-2"/>
          <w:sz w:val="32"/>
          <w:szCs w:val="32"/>
        </w:rPr>
        <w:t>是确保水质达标，</w:t>
      </w:r>
      <w:r>
        <w:rPr>
          <w:rFonts w:hint="eastAsia" w:ascii="宋体" w:hAnsi="宋体" w:eastAsia="方正仿宋_GBK" w:cs="方正仿宋_GBK"/>
          <w:spacing w:val="-2"/>
          <w:sz w:val="32"/>
          <w:szCs w:val="32"/>
          <w:lang w:val="en-US" w:eastAsia="zh-CN"/>
        </w:rPr>
        <w:t>由承包方委托有水质检测资质的第三方适时</w:t>
      </w:r>
      <w:r>
        <w:rPr>
          <w:rFonts w:hint="eastAsia" w:ascii="宋体" w:hAnsi="宋体" w:eastAsia="方正仿宋_GBK" w:cs="方正仿宋_GBK"/>
          <w:spacing w:val="-2"/>
          <w:sz w:val="32"/>
          <w:szCs w:val="32"/>
        </w:rPr>
        <w:t>启动水质监测，</w:t>
      </w:r>
      <w:r>
        <w:rPr>
          <w:rFonts w:hint="eastAsia" w:ascii="宋体" w:hAnsi="宋体" w:eastAsia="方正仿宋_GBK" w:cs="方正仿宋_GBK"/>
          <w:spacing w:val="-2"/>
          <w:sz w:val="32"/>
          <w:szCs w:val="32"/>
          <w:lang w:val="en-US" w:eastAsia="zh-CN"/>
        </w:rPr>
        <w:t>并及时将检测结果上报市水利局、生态环境局，</w:t>
      </w:r>
      <w:r>
        <w:rPr>
          <w:rFonts w:hint="eastAsia" w:ascii="宋体" w:hAnsi="宋体" w:eastAsia="方正仿宋_GBK" w:cs="方正仿宋_GBK"/>
          <w:spacing w:val="-2"/>
          <w:sz w:val="32"/>
          <w:szCs w:val="32"/>
        </w:rPr>
        <w:t>准确掌控水质稳中向好，保障水生态常态安全。</w:t>
      </w:r>
    </w:p>
    <w:p w14:paraId="226C2D7B">
      <w:pPr>
        <w:pStyle w:val="2"/>
        <w:pageBreakBefore w:val="0"/>
        <w:kinsoku/>
        <w:wordWrap/>
        <w:overflowPunct/>
        <w:topLinePunct w:val="0"/>
        <w:bidi w:val="0"/>
        <w:rPr>
          <w:rFonts w:hint="eastAsia" w:ascii="宋体" w:hAnsi="宋体" w:eastAsia="宋体" w:cs="宋体"/>
        </w:rPr>
      </w:pPr>
    </w:p>
    <w:bookmarkEnd w:id="64"/>
    <w:bookmarkEnd w:id="65"/>
    <w:bookmarkEnd w:id="66"/>
    <w:bookmarkEnd w:id="67"/>
    <w:bookmarkEnd w:id="68"/>
    <w:bookmarkEnd w:id="69"/>
    <w:bookmarkEnd w:id="70"/>
    <w:bookmarkEnd w:id="71"/>
    <w:bookmarkEnd w:id="72"/>
    <w:bookmarkEnd w:id="73"/>
    <w:bookmarkEnd w:id="74"/>
    <w:bookmarkEnd w:id="75"/>
    <w:p w14:paraId="26EE59ED">
      <w:pPr>
        <w:pageBreakBefore w:val="0"/>
        <w:widowControl w:val="0"/>
        <w:kinsoku/>
        <w:wordWrap/>
        <w:overflowPunct/>
        <w:topLinePunct w:val="0"/>
        <w:bidi w:val="0"/>
        <w:snapToGrid/>
        <w:spacing w:line="560" w:lineRule="exact"/>
        <w:jc w:val="center"/>
        <w:textAlignment w:val="auto"/>
        <w:outlineLvl w:val="0"/>
        <w:rPr>
          <w:rFonts w:hint="eastAsia" w:ascii="宋体" w:hAnsi="宋体" w:eastAsia="方正小标宋_GBK" w:cs="方正小标宋_GBK"/>
          <w:b w:val="0"/>
          <w:bCs/>
          <w:sz w:val="44"/>
          <w:szCs w:val="44"/>
        </w:rPr>
      </w:pPr>
      <w:bookmarkStart w:id="205" w:name="_Toc24686"/>
      <w:bookmarkStart w:id="206" w:name="_Toc27698"/>
      <w:bookmarkStart w:id="207" w:name="_Toc10224"/>
    </w:p>
    <w:p w14:paraId="6B26D808">
      <w:pPr>
        <w:pageBreakBefore w:val="0"/>
        <w:widowControl w:val="0"/>
        <w:kinsoku/>
        <w:wordWrap/>
        <w:overflowPunct/>
        <w:topLinePunct w:val="0"/>
        <w:bidi w:val="0"/>
        <w:snapToGrid/>
        <w:spacing w:line="560" w:lineRule="exact"/>
        <w:jc w:val="center"/>
        <w:textAlignment w:val="auto"/>
        <w:outlineLvl w:val="0"/>
        <w:rPr>
          <w:rFonts w:hint="eastAsia" w:ascii="宋体" w:hAnsi="宋体" w:eastAsia="方正小标宋_GBK" w:cs="方正小标宋_GBK"/>
          <w:b w:val="0"/>
          <w:bCs/>
          <w:sz w:val="44"/>
          <w:szCs w:val="44"/>
        </w:rPr>
      </w:pPr>
      <w:bookmarkStart w:id="208" w:name="_Toc8536"/>
      <w:r>
        <w:rPr>
          <w:rFonts w:hint="eastAsia" w:ascii="宋体" w:hAnsi="宋体" w:eastAsia="方正小标宋_GBK" w:cs="方正小标宋_GBK"/>
          <w:b w:val="0"/>
          <w:bCs/>
          <w:sz w:val="44"/>
          <w:szCs w:val="44"/>
        </w:rPr>
        <w:t>第</w:t>
      </w:r>
      <w:r>
        <w:rPr>
          <w:rFonts w:hint="eastAsia" w:ascii="宋体" w:hAnsi="宋体" w:eastAsia="方正小标宋_GBK" w:cs="方正小标宋_GBK"/>
          <w:b w:val="0"/>
          <w:bCs/>
          <w:sz w:val="44"/>
          <w:szCs w:val="44"/>
          <w:lang w:val="en-US" w:eastAsia="zh-CN"/>
        </w:rPr>
        <w:t>九</w:t>
      </w:r>
      <w:r>
        <w:rPr>
          <w:rFonts w:hint="eastAsia" w:ascii="宋体" w:hAnsi="宋体" w:eastAsia="方正小标宋_GBK" w:cs="方正小标宋_GBK"/>
          <w:b w:val="0"/>
          <w:bCs/>
          <w:sz w:val="44"/>
          <w:szCs w:val="44"/>
        </w:rPr>
        <w:t xml:space="preserve">章 </w:t>
      </w:r>
      <w:r>
        <w:rPr>
          <w:rFonts w:hint="eastAsia" w:ascii="宋体" w:hAnsi="宋体" w:eastAsia="方正小标宋_GBK" w:cs="方正小标宋_GBK"/>
          <w:b w:val="0"/>
          <w:bCs/>
          <w:sz w:val="44"/>
          <w:szCs w:val="44"/>
          <w:lang w:eastAsia="zh-CN"/>
        </w:rPr>
        <w:t>保障</w:t>
      </w:r>
      <w:r>
        <w:rPr>
          <w:rFonts w:hint="eastAsia" w:ascii="宋体" w:hAnsi="宋体" w:eastAsia="方正小标宋_GBK" w:cs="方正小标宋_GBK"/>
          <w:b w:val="0"/>
          <w:bCs/>
          <w:sz w:val="44"/>
          <w:szCs w:val="44"/>
        </w:rPr>
        <w:t>措施</w:t>
      </w:r>
      <w:bookmarkEnd w:id="205"/>
      <w:bookmarkEnd w:id="206"/>
      <w:bookmarkEnd w:id="207"/>
      <w:bookmarkEnd w:id="208"/>
    </w:p>
    <w:p w14:paraId="41C5FA8B">
      <w:pPr>
        <w:pageBreakBefore w:val="0"/>
        <w:widowControl w:val="0"/>
        <w:kinsoku/>
        <w:wordWrap/>
        <w:overflowPunct/>
        <w:topLinePunct w:val="0"/>
        <w:autoSpaceDE w:val="0"/>
        <w:autoSpaceDN w:val="0"/>
        <w:bidi w:val="0"/>
        <w:adjustRightInd w:val="0"/>
        <w:snapToGrid/>
        <w:spacing w:line="560" w:lineRule="exact"/>
        <w:jc w:val="left"/>
        <w:textAlignment w:val="auto"/>
        <w:outlineLvl w:val="1"/>
        <w:rPr>
          <w:rFonts w:hint="eastAsia" w:ascii="宋体" w:hAnsi="宋体" w:eastAsia="方正仿宋_GBK" w:cs="方正仿宋_GBK"/>
          <w:b w:val="0"/>
          <w:bCs/>
          <w:kern w:val="0"/>
          <w:sz w:val="32"/>
          <w:szCs w:val="32"/>
          <w:lang w:val="en-US" w:eastAsia="zh-CN"/>
        </w:rPr>
      </w:pPr>
      <w:bookmarkStart w:id="209" w:name="_Toc26703"/>
      <w:bookmarkStart w:id="210" w:name="_Toc16750"/>
      <w:bookmarkStart w:id="211" w:name="_Toc26960"/>
      <w:bookmarkStart w:id="212" w:name="_Toc26883"/>
      <w:bookmarkStart w:id="213" w:name="_Toc19498"/>
    </w:p>
    <w:p w14:paraId="7C461A48">
      <w:pPr>
        <w:pageBreakBefore w:val="0"/>
        <w:widowControl w:val="0"/>
        <w:kinsoku/>
        <w:wordWrap/>
        <w:overflowPunct/>
        <w:topLinePunct w:val="0"/>
        <w:autoSpaceDE w:val="0"/>
        <w:autoSpaceDN w:val="0"/>
        <w:bidi w:val="0"/>
        <w:adjustRightInd w:val="0"/>
        <w:snapToGrid/>
        <w:spacing w:line="560" w:lineRule="exact"/>
        <w:jc w:val="left"/>
        <w:textAlignment w:val="auto"/>
        <w:outlineLvl w:val="1"/>
        <w:rPr>
          <w:rFonts w:hint="eastAsia" w:ascii="宋体" w:hAnsi="宋体" w:eastAsia="方正仿宋_GBK" w:cs="方正仿宋_GBK"/>
          <w:b/>
          <w:bCs w:val="0"/>
          <w:kern w:val="0"/>
          <w:sz w:val="32"/>
          <w:szCs w:val="32"/>
        </w:rPr>
      </w:pPr>
      <w:bookmarkStart w:id="214" w:name="_Toc21720"/>
      <w:r>
        <w:rPr>
          <w:rFonts w:hint="eastAsia" w:ascii="宋体" w:hAnsi="宋体" w:eastAsia="方正仿宋_GBK" w:cs="方正仿宋_GBK"/>
          <w:b/>
          <w:bCs w:val="0"/>
          <w:kern w:val="0"/>
          <w:sz w:val="32"/>
          <w:szCs w:val="32"/>
          <w:lang w:val="en-US" w:eastAsia="zh-CN"/>
        </w:rPr>
        <w:t>9</w:t>
      </w:r>
      <w:r>
        <w:rPr>
          <w:rFonts w:hint="eastAsia" w:ascii="宋体" w:hAnsi="宋体" w:eastAsia="方正仿宋_GBK" w:cs="方正仿宋_GBK"/>
          <w:b/>
          <w:bCs w:val="0"/>
          <w:kern w:val="0"/>
          <w:sz w:val="32"/>
          <w:szCs w:val="32"/>
        </w:rPr>
        <w:t>.1 组织领导</w:t>
      </w:r>
      <w:bookmarkEnd w:id="209"/>
      <w:bookmarkEnd w:id="210"/>
      <w:bookmarkEnd w:id="214"/>
    </w:p>
    <w:p w14:paraId="3928F2F8">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b/>
          <w:kern w:val="0"/>
          <w:sz w:val="32"/>
          <w:szCs w:val="32"/>
        </w:rPr>
      </w:pPr>
      <w:r>
        <w:rPr>
          <w:rFonts w:hint="eastAsia" w:ascii="宋体" w:hAnsi="宋体" w:eastAsia="方正仿宋_GBK" w:cs="方正仿宋_GBK"/>
          <w:spacing w:val="-2"/>
          <w:sz w:val="32"/>
          <w:szCs w:val="32"/>
        </w:rPr>
        <w:t>推动地方各级政府将水库</w:t>
      </w:r>
      <w:r>
        <w:rPr>
          <w:rFonts w:hint="eastAsia" w:ascii="宋体" w:hAnsi="宋体" w:eastAsia="方正仿宋_GBK" w:cs="方正仿宋_GBK"/>
          <w:spacing w:val="-2"/>
          <w:sz w:val="32"/>
          <w:szCs w:val="32"/>
          <w:lang w:eastAsia="zh-CN"/>
        </w:rPr>
        <w:t>水面开发利用</w:t>
      </w:r>
      <w:r>
        <w:rPr>
          <w:rFonts w:hint="eastAsia" w:ascii="宋体" w:hAnsi="宋体" w:eastAsia="方正仿宋_GBK" w:cs="方正仿宋_GBK"/>
          <w:spacing w:val="-2"/>
          <w:sz w:val="32"/>
          <w:szCs w:val="32"/>
        </w:rPr>
        <w:t>利用方案的实施纳入议事日程，将其作为政府相关工作绩效管理目标和履行工作职责评价体系中的一环。由市人民政府抓总，市财政局、市水利局</w:t>
      </w:r>
      <w:r>
        <w:rPr>
          <w:rFonts w:hint="eastAsia" w:ascii="宋体" w:hAnsi="宋体" w:eastAsia="方正仿宋_GBK" w:cs="方正仿宋_GBK"/>
          <w:spacing w:val="-2"/>
          <w:sz w:val="32"/>
          <w:szCs w:val="32"/>
          <w:lang w:eastAsia="zh-CN"/>
        </w:rPr>
        <w:t>、</w:t>
      </w:r>
      <w:r>
        <w:rPr>
          <w:rFonts w:hint="eastAsia" w:ascii="宋体" w:hAnsi="宋体" w:eastAsia="方正仿宋_GBK" w:cs="方正仿宋_GBK"/>
          <w:spacing w:val="-2"/>
          <w:sz w:val="32"/>
          <w:szCs w:val="32"/>
          <w:lang w:val="en-US" w:eastAsia="zh-CN"/>
        </w:rPr>
        <w:t>市文旅部门</w:t>
      </w:r>
      <w:r>
        <w:rPr>
          <w:rFonts w:hint="eastAsia" w:ascii="宋体" w:hAnsi="宋体" w:eastAsia="方正仿宋_GBK" w:cs="方正仿宋_GBK"/>
          <w:spacing w:val="-2"/>
          <w:sz w:val="32"/>
          <w:szCs w:val="32"/>
        </w:rPr>
        <w:t>牵头，相关职能部门各负其责，加强本项工作督促指导。</w:t>
      </w:r>
    </w:p>
    <w:p w14:paraId="32190761">
      <w:pPr>
        <w:pageBreakBefore w:val="0"/>
        <w:widowControl w:val="0"/>
        <w:kinsoku/>
        <w:wordWrap/>
        <w:overflowPunct/>
        <w:topLinePunct w:val="0"/>
        <w:autoSpaceDE w:val="0"/>
        <w:autoSpaceDN w:val="0"/>
        <w:bidi w:val="0"/>
        <w:adjustRightInd w:val="0"/>
        <w:snapToGrid/>
        <w:spacing w:line="560" w:lineRule="exact"/>
        <w:jc w:val="left"/>
        <w:textAlignment w:val="auto"/>
        <w:outlineLvl w:val="1"/>
        <w:rPr>
          <w:rFonts w:hint="eastAsia" w:ascii="宋体" w:hAnsi="宋体" w:eastAsia="方正仿宋_GBK" w:cs="方正仿宋_GBK"/>
          <w:b w:val="0"/>
          <w:bCs/>
          <w:kern w:val="0"/>
          <w:sz w:val="32"/>
          <w:szCs w:val="32"/>
        </w:rPr>
      </w:pPr>
      <w:bookmarkStart w:id="215" w:name="_Toc15915"/>
      <w:bookmarkStart w:id="216" w:name="_Toc10029"/>
      <w:bookmarkStart w:id="217" w:name="_Toc31257"/>
      <w:r>
        <w:rPr>
          <w:rFonts w:hint="eastAsia" w:ascii="宋体" w:hAnsi="宋体" w:eastAsia="方正仿宋_GBK" w:cs="方正仿宋_GBK"/>
          <w:b/>
          <w:bCs w:val="0"/>
          <w:kern w:val="0"/>
          <w:sz w:val="32"/>
          <w:szCs w:val="32"/>
          <w:lang w:val="en-US" w:eastAsia="zh-CN"/>
        </w:rPr>
        <w:t>9</w:t>
      </w:r>
      <w:r>
        <w:rPr>
          <w:rFonts w:hint="eastAsia" w:ascii="宋体" w:hAnsi="宋体" w:eastAsia="方正仿宋_GBK" w:cs="方正仿宋_GBK"/>
          <w:b/>
          <w:bCs w:val="0"/>
          <w:kern w:val="0"/>
          <w:sz w:val="32"/>
          <w:szCs w:val="32"/>
        </w:rPr>
        <w:t>.2 强化管理责任制，经营与工程管理分开</w:t>
      </w:r>
      <w:bookmarkEnd w:id="211"/>
      <w:bookmarkEnd w:id="212"/>
      <w:bookmarkEnd w:id="213"/>
      <w:bookmarkEnd w:id="215"/>
      <w:bookmarkEnd w:id="216"/>
      <w:bookmarkEnd w:id="217"/>
    </w:p>
    <w:p w14:paraId="66EE0874">
      <w:pPr>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宋体" w:hAnsi="宋体" w:eastAsia="方正仿宋_GBK" w:cs="方正仿宋_GBK"/>
          <w:kern w:val="0"/>
          <w:sz w:val="32"/>
          <w:szCs w:val="32"/>
        </w:rPr>
      </w:pPr>
      <w:bookmarkStart w:id="218" w:name="_Toc19586"/>
      <w:bookmarkStart w:id="219" w:name="_Toc10445"/>
      <w:bookmarkStart w:id="220" w:name="_Toc14689"/>
      <w:bookmarkStart w:id="221" w:name="_Toc2806"/>
      <w:r>
        <w:rPr>
          <w:rFonts w:hint="eastAsia" w:ascii="宋体" w:hAnsi="宋体" w:eastAsia="方正仿宋_GBK" w:cs="方正仿宋_GBK"/>
          <w:kern w:val="0"/>
          <w:sz w:val="32"/>
          <w:szCs w:val="32"/>
        </w:rPr>
        <w:t>切实落实好经营与管理分开，二者相互协调，又互不干扰，信息共享。切实落实管理责任制，依法确立水库经营承包开发权限，划定工程保护、运转“红线”。在管理过程中，工程管理与经营管理相互沟通、交流</w:t>
      </w:r>
      <w:r>
        <w:rPr>
          <w:rFonts w:hint="eastAsia" w:ascii="宋体" w:hAnsi="宋体" w:eastAsia="方正仿宋_GBK" w:cs="方正仿宋_GBK"/>
          <w:kern w:val="0"/>
          <w:sz w:val="32"/>
          <w:szCs w:val="32"/>
          <w:lang w:eastAsia="zh-CN"/>
        </w:rPr>
        <w:t>，</w:t>
      </w:r>
      <w:r>
        <w:rPr>
          <w:rFonts w:hint="eastAsia" w:ascii="宋体" w:hAnsi="宋体" w:eastAsia="方正仿宋_GBK" w:cs="方正仿宋_GBK"/>
          <w:kern w:val="0"/>
          <w:sz w:val="32"/>
          <w:szCs w:val="32"/>
        </w:rPr>
        <w:t>工程管理有关降雨信息、山洪信息、冰雹气象信息应与经营管理相互共享；同时，水位过低也会危及水生植物的存活，加大水体富营养化的风险。简言之“有分有合，共同促进，以求共赢”，避免开发经营与工程管理过程中出现责任交叉“真空”。</w:t>
      </w:r>
      <w:r>
        <w:rPr>
          <w:rFonts w:hint="eastAsia" w:ascii="宋体" w:hAnsi="宋体" w:eastAsia="方正仿宋_GBK" w:cs="方正仿宋_GBK"/>
          <w:b/>
          <w:kern w:val="0"/>
          <w:sz w:val="32"/>
          <w:szCs w:val="32"/>
        </w:rPr>
        <w:t xml:space="preserve"> </w:t>
      </w:r>
    </w:p>
    <w:p w14:paraId="73D309F4">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kern w:val="0"/>
          <w:sz w:val="32"/>
          <w:szCs w:val="32"/>
          <w:lang w:val="zh-CN"/>
        </w:rPr>
      </w:pPr>
      <w:bookmarkStart w:id="222" w:name="_Toc12133"/>
      <w:bookmarkStart w:id="223" w:name="_Toc20129"/>
      <w:r>
        <w:rPr>
          <w:rFonts w:hint="eastAsia" w:ascii="宋体" w:hAnsi="宋体" w:eastAsia="方正仿宋_GBK" w:cs="方正仿宋_GBK"/>
          <w:b/>
          <w:bCs/>
          <w:kern w:val="0"/>
          <w:sz w:val="32"/>
          <w:szCs w:val="32"/>
          <w:lang w:val="en-US" w:eastAsia="zh-CN"/>
        </w:rPr>
        <w:t>9</w:t>
      </w:r>
      <w:r>
        <w:rPr>
          <w:rFonts w:hint="eastAsia" w:ascii="宋体" w:hAnsi="宋体" w:eastAsia="方正仿宋_GBK" w:cs="方正仿宋_GBK"/>
          <w:b/>
          <w:bCs/>
          <w:kern w:val="0"/>
          <w:sz w:val="32"/>
          <w:szCs w:val="32"/>
        </w:rPr>
        <w:t xml:space="preserve">.3 </w:t>
      </w:r>
      <w:bookmarkEnd w:id="218"/>
      <w:bookmarkEnd w:id="219"/>
      <w:bookmarkEnd w:id="220"/>
      <w:r>
        <w:rPr>
          <w:rFonts w:hint="eastAsia" w:ascii="宋体" w:hAnsi="宋体" w:eastAsia="方正仿宋_GBK" w:cs="方正仿宋_GBK"/>
          <w:b/>
          <w:bCs/>
          <w:kern w:val="0"/>
          <w:sz w:val="32"/>
          <w:szCs w:val="32"/>
          <w:lang w:val="zh-CN"/>
        </w:rPr>
        <w:t>安全保障措施</w:t>
      </w:r>
      <w:bookmarkEnd w:id="221"/>
      <w:bookmarkEnd w:id="222"/>
      <w:bookmarkEnd w:id="223"/>
    </w:p>
    <w:p w14:paraId="347F2994">
      <w:pPr>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宋体" w:hAnsi="宋体" w:eastAsia="方正仿宋_GBK" w:cs="方正仿宋_GBK"/>
          <w:sz w:val="32"/>
          <w:szCs w:val="32"/>
          <w:highlight w:val="none"/>
          <w:lang w:val="en-US" w:eastAsia="zh-CN"/>
        </w:rPr>
      </w:pPr>
      <w:r>
        <w:rPr>
          <w:rFonts w:hint="eastAsia" w:ascii="宋体" w:hAnsi="宋体" w:eastAsia="方正仿宋_GBK" w:cs="方正仿宋_GBK"/>
          <w:sz w:val="32"/>
          <w:szCs w:val="32"/>
          <w:highlight w:val="none"/>
          <w:lang w:val="en-US" w:eastAsia="zh-CN"/>
        </w:rPr>
        <w:t>承包经营商对水面运行项目安全工作负全责，做好组织领导工作，需成立防溺水、消防、安全应急指挥部，由景区主要负责人任组长，联合安保、医疗、救援等部门成立专项小组，实行24小时值班制度。同时划定水域网格化管理区域，明确各区域安全责任人及救援队伍配置。建立安全管理体系、制度，对水库防溺水、消防、安全运营进行有效管理。</w:t>
      </w:r>
    </w:p>
    <w:p w14:paraId="40689DAD">
      <w:pPr>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sz w:val="32"/>
          <w:szCs w:val="32"/>
          <w:highlight w:val="none"/>
        </w:rPr>
      </w:pPr>
      <w:r>
        <w:rPr>
          <w:rFonts w:hint="eastAsia" w:ascii="宋体" w:hAnsi="宋体" w:eastAsia="方正仿宋_GBK" w:cs="方正仿宋_GBK"/>
          <w:b/>
          <w:bCs/>
          <w:sz w:val="32"/>
          <w:szCs w:val="32"/>
          <w:highlight w:val="none"/>
          <w:lang w:val="en-US" w:eastAsia="zh-CN"/>
        </w:rPr>
        <w:t>做好防溺水安全管理。</w:t>
      </w:r>
      <w:r>
        <w:rPr>
          <w:rFonts w:hint="eastAsia" w:ascii="宋体" w:hAnsi="宋体" w:eastAsia="方正仿宋_GBK" w:cs="方正仿宋_GBK"/>
          <w:sz w:val="32"/>
          <w:szCs w:val="32"/>
          <w:highlight w:val="none"/>
          <w:lang w:val="en-US" w:eastAsia="zh-CN"/>
        </w:rPr>
        <w:t>①</w:t>
      </w:r>
      <w:r>
        <w:rPr>
          <w:rFonts w:hint="eastAsia" w:ascii="宋体" w:hAnsi="宋体" w:eastAsia="方正仿宋_GBK" w:cs="方正仿宋_GBK"/>
          <w:sz w:val="32"/>
          <w:szCs w:val="32"/>
          <w:highlight w:val="none"/>
        </w:rPr>
        <w:t>应急处置：救援流程：发现险情→启动警报→同步实施</w:t>
      </w:r>
      <w:r>
        <w:rPr>
          <w:rFonts w:hint="eastAsia" w:ascii="宋体" w:hAnsi="宋体" w:eastAsia="方正仿宋_GBK" w:cs="方正仿宋_GBK"/>
          <w:sz w:val="32"/>
          <w:szCs w:val="32"/>
          <w:highlight w:val="none"/>
          <w:lang w:eastAsia="zh-CN"/>
        </w:rPr>
        <w:t>“”</w:t>
      </w:r>
      <w:r>
        <w:rPr>
          <w:rFonts w:hint="eastAsia" w:ascii="宋体" w:hAnsi="宋体" w:eastAsia="方正仿宋_GBK" w:cs="方正仿宋_GBK"/>
          <w:sz w:val="32"/>
          <w:szCs w:val="32"/>
          <w:highlight w:val="none"/>
        </w:rPr>
        <w:t>抛（救生圈）、拉（绳索）、游（专业救生）”三级救援；医疗联动：与最近医院建立绿色通道，景区医务室配备自动体外除颤仪（AED）及溺水急救包。②宣传教育：游客告知：门票背面印制防溺水</w:t>
      </w:r>
      <w:r>
        <w:rPr>
          <w:rFonts w:hint="eastAsia" w:ascii="宋体" w:hAnsi="宋体" w:eastAsia="方正仿宋_GBK" w:cs="方正仿宋_GBK"/>
          <w:sz w:val="32"/>
          <w:szCs w:val="32"/>
          <w:highlight w:val="none"/>
          <w:lang w:eastAsia="zh-CN"/>
        </w:rPr>
        <w:t>“</w:t>
      </w:r>
      <w:r>
        <w:rPr>
          <w:rFonts w:hint="eastAsia" w:ascii="宋体" w:hAnsi="宋体" w:eastAsia="方正仿宋_GBK" w:cs="方正仿宋_GBK"/>
          <w:sz w:val="32"/>
          <w:szCs w:val="32"/>
          <w:highlight w:val="none"/>
        </w:rPr>
        <w:t>六不准”，入园时播放30秒安全提示短片。③员工培训：每月开展1次心肺复苏+水域救援演练，确保救生员持证上岗率100%。④安全救生设备及警示牌设置：承包经营商需在危险水域设置隔离栏、警示牌（每50米1块），岸上配备救生圈、绳索、竹竿</w:t>
      </w:r>
      <w:r>
        <w:rPr>
          <w:rFonts w:hint="eastAsia" w:ascii="宋体" w:hAnsi="宋体" w:eastAsia="方正仿宋_GBK" w:cs="方正仿宋_GBK"/>
          <w:sz w:val="32"/>
          <w:szCs w:val="32"/>
          <w:highlight w:val="none"/>
          <w:lang w:eastAsia="zh-CN"/>
        </w:rPr>
        <w:t>“</w:t>
      </w:r>
      <w:r>
        <w:rPr>
          <w:rFonts w:hint="eastAsia" w:ascii="宋体" w:hAnsi="宋体" w:eastAsia="方正仿宋_GBK" w:cs="方正仿宋_GBK"/>
          <w:sz w:val="32"/>
          <w:szCs w:val="32"/>
          <w:highlight w:val="none"/>
        </w:rPr>
        <w:t>三件套”应急设备，船只配置救生圈、救生衣、救生绳、口哨、急救箱等安全救生用品</w:t>
      </w:r>
    </w:p>
    <w:p w14:paraId="20CEE82E">
      <w:pPr>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宋体" w:hAnsi="宋体" w:eastAsia="方正仿宋_GBK" w:cs="方正仿宋_GBK"/>
          <w:spacing w:val="-2"/>
          <w:sz w:val="32"/>
          <w:szCs w:val="32"/>
          <w:highlight w:val="none"/>
        </w:rPr>
      </w:pPr>
      <w:r>
        <w:rPr>
          <w:rFonts w:hint="eastAsia" w:ascii="宋体" w:hAnsi="宋体" w:eastAsia="方正仿宋_GBK" w:cs="方正仿宋_GBK"/>
          <w:b/>
          <w:bCs/>
          <w:sz w:val="32"/>
          <w:szCs w:val="32"/>
          <w:highlight w:val="none"/>
          <w:lang w:val="en-US" w:eastAsia="zh-CN"/>
        </w:rPr>
        <w:t>做好用电、明火等消防安全管理。①</w:t>
      </w:r>
      <w:r>
        <w:rPr>
          <w:rFonts w:hint="eastAsia" w:ascii="宋体" w:hAnsi="宋体" w:eastAsia="方正仿宋_GBK" w:cs="方正仿宋_GBK"/>
          <w:sz w:val="32"/>
          <w:szCs w:val="32"/>
          <w:highlight w:val="none"/>
        </w:rPr>
        <w:t>对变压器及高、低压配电设备等电器设备，要采取较妥当的防雷措施，以免因雷击造成火灾及其他事故的发生。②库区的生活及管理设施中，要尽量避免以明火作为餐饮热源，以免因不慎引起火灾。在游人较多处，应设置必要的消防器材和消防水池，以防因香烟火引起火灾时能及时使用。禁止在库区内大面积烧柴、烧煤或焚烧其他物品。③</w:t>
      </w:r>
      <w:r>
        <w:rPr>
          <w:rFonts w:hint="eastAsia" w:ascii="宋体" w:hAnsi="宋体" w:eastAsia="方正仿宋_GBK" w:cs="方正仿宋_GBK"/>
          <w:spacing w:val="-2"/>
          <w:sz w:val="32"/>
          <w:szCs w:val="32"/>
          <w:highlight w:val="none"/>
        </w:rPr>
        <w:t>水库承包方在方案实施时，要及时办理相关消防安全审批手续。</w:t>
      </w:r>
    </w:p>
    <w:p w14:paraId="7E9CE865">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kern w:val="0"/>
          <w:sz w:val="32"/>
          <w:szCs w:val="32"/>
          <w:lang w:val="zh-CN"/>
        </w:rPr>
      </w:pPr>
      <w:bookmarkStart w:id="224" w:name="_Toc21415"/>
      <w:bookmarkStart w:id="225" w:name="_Toc29867"/>
      <w:bookmarkStart w:id="226" w:name="_Toc16476"/>
      <w:bookmarkStart w:id="227" w:name="_Toc3614"/>
      <w:bookmarkStart w:id="228" w:name="_Toc20101"/>
      <w:bookmarkStart w:id="229" w:name="_Toc23222"/>
      <w:r>
        <w:rPr>
          <w:rFonts w:hint="eastAsia" w:ascii="宋体" w:hAnsi="宋体" w:eastAsia="方正仿宋_GBK" w:cs="方正仿宋_GBK"/>
          <w:b/>
          <w:bCs/>
          <w:sz w:val="32"/>
          <w:szCs w:val="32"/>
          <w:lang w:val="en-US" w:eastAsia="zh-CN"/>
        </w:rPr>
        <w:t>9</w:t>
      </w:r>
      <w:r>
        <w:rPr>
          <w:rFonts w:hint="eastAsia" w:ascii="宋体" w:hAnsi="宋体" w:eastAsia="方正仿宋_GBK" w:cs="方正仿宋_GBK"/>
          <w:b/>
          <w:bCs/>
          <w:sz w:val="32"/>
          <w:szCs w:val="32"/>
        </w:rPr>
        <w:t>.4</w:t>
      </w:r>
      <w:bookmarkEnd w:id="224"/>
      <w:bookmarkEnd w:id="225"/>
      <w:bookmarkEnd w:id="226"/>
      <w:r>
        <w:rPr>
          <w:rFonts w:hint="eastAsia" w:ascii="宋体" w:hAnsi="宋体" w:eastAsia="方正仿宋_GBK" w:cs="方正仿宋_GBK"/>
          <w:b/>
          <w:bCs/>
          <w:kern w:val="0"/>
          <w:sz w:val="32"/>
          <w:szCs w:val="32"/>
          <w:lang w:val="zh-CN"/>
        </w:rPr>
        <w:t>职能部门服务保障措施</w:t>
      </w:r>
      <w:bookmarkEnd w:id="227"/>
      <w:bookmarkEnd w:id="228"/>
      <w:bookmarkEnd w:id="229"/>
    </w:p>
    <w:p w14:paraId="5CE6EBF3">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rPr>
      </w:pPr>
      <w:r>
        <w:rPr>
          <w:rFonts w:hint="eastAsia" w:ascii="宋体" w:hAnsi="宋体" w:eastAsia="方正仿宋_GBK" w:cs="方正仿宋_GBK"/>
          <w:spacing w:val="-2"/>
          <w:sz w:val="32"/>
          <w:szCs w:val="32"/>
        </w:rPr>
        <w:t>承包经营方通过政府公开招、挂、拍方式获取水库</w:t>
      </w:r>
      <w:r>
        <w:rPr>
          <w:rFonts w:hint="eastAsia" w:ascii="宋体" w:hAnsi="宋体" w:eastAsia="方正仿宋_GBK" w:cs="方正仿宋_GBK"/>
          <w:spacing w:val="-2"/>
          <w:sz w:val="32"/>
          <w:szCs w:val="32"/>
          <w:lang w:eastAsia="zh-CN"/>
        </w:rPr>
        <w:t>水面开发利用</w:t>
      </w:r>
      <w:r>
        <w:rPr>
          <w:rFonts w:hint="eastAsia" w:ascii="宋体" w:hAnsi="宋体" w:eastAsia="方正仿宋_GBK" w:cs="方正仿宋_GBK"/>
          <w:spacing w:val="-2"/>
          <w:sz w:val="32"/>
          <w:szCs w:val="32"/>
        </w:rPr>
        <w:t>利用承包经营权后，根据项目推进实际情况及时办理林业、土地、水利等相关行政审批手续，全市各单位、各部门要高度重视水库</w:t>
      </w:r>
      <w:r>
        <w:rPr>
          <w:rFonts w:hint="eastAsia" w:ascii="宋体" w:hAnsi="宋体" w:eastAsia="方正仿宋_GBK" w:cs="方正仿宋_GBK"/>
          <w:spacing w:val="-2"/>
          <w:sz w:val="32"/>
          <w:szCs w:val="32"/>
          <w:lang w:eastAsia="zh-CN"/>
        </w:rPr>
        <w:t>水面开发利用</w:t>
      </w:r>
      <w:r>
        <w:rPr>
          <w:rFonts w:hint="eastAsia" w:ascii="宋体" w:hAnsi="宋体" w:eastAsia="方正仿宋_GBK" w:cs="方正仿宋_GBK"/>
          <w:spacing w:val="-2"/>
          <w:sz w:val="32"/>
          <w:szCs w:val="32"/>
        </w:rPr>
        <w:t>利用工作的必要性和重要性，做好部门联动，多措并举，形成联动，确保目标任务圆满完成。具体做法如下：</w:t>
      </w:r>
    </w:p>
    <w:p w14:paraId="52857044">
      <w:pPr>
        <w:pageBreakBefore w:val="0"/>
        <w:widowControl w:val="0"/>
        <w:numPr>
          <w:ilvl w:val="0"/>
          <w:numId w:val="0"/>
        </w:numPr>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highlight w:val="none"/>
          <w:lang w:val="en-US" w:eastAsia="zh-CN"/>
        </w:rPr>
      </w:pPr>
      <w:bookmarkStart w:id="230" w:name="_Toc27958"/>
      <w:bookmarkStart w:id="231" w:name="_Toc14988"/>
      <w:bookmarkStart w:id="232" w:name="_Toc5526"/>
      <w:r>
        <w:rPr>
          <w:rFonts w:hint="eastAsia" w:ascii="宋体" w:hAnsi="宋体" w:eastAsia="方正仿宋_GBK" w:cs="方正仿宋_GBK"/>
          <w:spacing w:val="-2"/>
          <w:sz w:val="32"/>
          <w:szCs w:val="32"/>
          <w:highlight w:val="none"/>
          <w:lang w:val="en-US" w:eastAsia="zh-CN"/>
        </w:rPr>
        <w:t>1.市水利部门在合同中明确承包方的第三方水质保障责任，同时定期不定期对水库进行巡查，履行好部门监管责任。</w:t>
      </w:r>
    </w:p>
    <w:p w14:paraId="005F6692">
      <w:pPr>
        <w:pageBreakBefore w:val="0"/>
        <w:widowControl w:val="0"/>
        <w:numPr>
          <w:ilvl w:val="0"/>
          <w:numId w:val="0"/>
        </w:numPr>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highlight w:val="none"/>
        </w:rPr>
      </w:pPr>
      <w:r>
        <w:rPr>
          <w:rFonts w:hint="eastAsia" w:ascii="宋体" w:hAnsi="宋体" w:eastAsia="方正仿宋_GBK" w:cs="方正仿宋_GBK"/>
          <w:spacing w:val="-2"/>
          <w:sz w:val="32"/>
          <w:szCs w:val="32"/>
          <w:highlight w:val="none"/>
          <w:lang w:val="en-US" w:eastAsia="zh-CN"/>
        </w:rPr>
        <w:t>2.</w:t>
      </w:r>
      <w:r>
        <w:rPr>
          <w:rFonts w:hint="eastAsia" w:ascii="宋体" w:hAnsi="宋体" w:eastAsia="方正仿宋_GBK" w:cs="方正仿宋_GBK"/>
          <w:spacing w:val="-2"/>
          <w:sz w:val="32"/>
          <w:szCs w:val="32"/>
          <w:highlight w:val="none"/>
        </w:rPr>
        <w:t>市农业农村部门严格监管水库周边区域农田耕地的使用及土壤污染情况，保证其运作合法合规。</w:t>
      </w:r>
    </w:p>
    <w:p w14:paraId="396DDA6A">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highlight w:val="none"/>
          <w:lang w:eastAsia="zh-CN"/>
        </w:rPr>
      </w:pPr>
      <w:r>
        <w:rPr>
          <w:rFonts w:hint="eastAsia" w:ascii="宋体" w:hAnsi="宋体" w:eastAsiaTheme="minorEastAsia" w:cstheme="minorEastAsia"/>
          <w:spacing w:val="-2"/>
          <w:sz w:val="32"/>
          <w:szCs w:val="32"/>
          <w:highlight w:val="none"/>
          <w:lang w:val="en-US" w:eastAsia="zh-CN"/>
        </w:rPr>
        <w:t>3</w:t>
      </w:r>
      <w:r>
        <w:rPr>
          <w:rFonts w:hint="eastAsia" w:ascii="宋体" w:hAnsi="宋体" w:eastAsia="方正仿宋_GBK" w:cs="方正仿宋_GBK"/>
          <w:spacing w:val="-2"/>
          <w:sz w:val="32"/>
          <w:szCs w:val="32"/>
          <w:highlight w:val="none"/>
          <w:lang w:val="en-US" w:eastAsia="zh-CN"/>
        </w:rPr>
        <w:t>.生态环境</w:t>
      </w:r>
      <w:r>
        <w:rPr>
          <w:rFonts w:hint="eastAsia" w:ascii="宋体" w:hAnsi="宋体" w:eastAsia="方正仿宋_GBK" w:cs="方正仿宋_GBK"/>
          <w:spacing w:val="-2"/>
          <w:sz w:val="32"/>
          <w:szCs w:val="32"/>
          <w:highlight w:val="none"/>
        </w:rPr>
        <w:t>部门</w:t>
      </w:r>
      <w:r>
        <w:rPr>
          <w:rFonts w:hint="eastAsia" w:ascii="宋体" w:hAnsi="宋体" w:eastAsia="方正仿宋_GBK" w:cs="方正仿宋_GBK"/>
          <w:spacing w:val="-2"/>
          <w:sz w:val="32"/>
          <w:szCs w:val="32"/>
          <w:highlight w:val="none"/>
          <w:lang w:val="en-US" w:eastAsia="zh-CN"/>
        </w:rPr>
        <w:t>加强日常监管巡查，水质检测结果</w:t>
      </w:r>
      <w:r>
        <w:rPr>
          <w:rFonts w:hint="eastAsia" w:ascii="宋体" w:hAnsi="宋体" w:eastAsia="方正仿宋_GBK" w:cs="方正仿宋_GBK"/>
          <w:spacing w:val="-11"/>
          <w:sz w:val="32"/>
          <w:szCs w:val="32"/>
          <w:highlight w:val="none"/>
          <w:lang w:eastAsia="zh-CN"/>
        </w:rPr>
        <w:t>发现异常及时通知承包方采取相应对策进行治理。</w:t>
      </w:r>
    </w:p>
    <w:p w14:paraId="026A0BE7">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rPr>
      </w:pPr>
      <w:r>
        <w:rPr>
          <w:rFonts w:hint="eastAsia" w:ascii="宋体" w:hAnsi="宋体" w:eastAsiaTheme="minorEastAsia" w:cstheme="minorEastAsia"/>
          <w:spacing w:val="-2"/>
          <w:sz w:val="32"/>
          <w:szCs w:val="32"/>
          <w:highlight w:val="none"/>
          <w:lang w:val="en-US" w:eastAsia="zh-CN"/>
        </w:rPr>
        <w:t>4</w:t>
      </w:r>
      <w:r>
        <w:rPr>
          <w:rFonts w:hint="eastAsia" w:ascii="宋体" w:hAnsi="宋体" w:eastAsia="方正仿宋_GBK" w:cs="方正仿宋_GBK"/>
          <w:spacing w:val="-2"/>
          <w:sz w:val="32"/>
          <w:szCs w:val="32"/>
          <w:highlight w:val="none"/>
          <w:lang w:val="en-US" w:eastAsia="zh-CN"/>
        </w:rPr>
        <w:t>.</w:t>
      </w:r>
      <w:r>
        <w:rPr>
          <w:rFonts w:hint="eastAsia" w:ascii="宋体" w:hAnsi="宋体" w:eastAsia="方正仿宋_GBK" w:cs="方正仿宋_GBK"/>
          <w:spacing w:val="-2"/>
          <w:sz w:val="32"/>
          <w:szCs w:val="32"/>
          <w:highlight w:val="none"/>
        </w:rPr>
        <w:t>自然资源部门对承包方的用地提</w:t>
      </w:r>
      <w:r>
        <w:rPr>
          <w:rFonts w:hint="eastAsia" w:ascii="宋体" w:hAnsi="宋体" w:eastAsia="方正仿宋_GBK" w:cs="方正仿宋_GBK"/>
          <w:spacing w:val="-2"/>
          <w:sz w:val="32"/>
          <w:szCs w:val="32"/>
        </w:rPr>
        <w:t>供政策指导，避免占用基本农田和生态保护红线。</w:t>
      </w:r>
    </w:p>
    <w:p w14:paraId="2A704161">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rPr>
      </w:pPr>
      <w:r>
        <w:rPr>
          <w:rFonts w:hint="eastAsia" w:ascii="宋体" w:hAnsi="宋体" w:eastAsiaTheme="minorEastAsia" w:cstheme="minorEastAsia"/>
          <w:spacing w:val="-2"/>
          <w:sz w:val="32"/>
          <w:szCs w:val="32"/>
          <w:lang w:val="en-US" w:eastAsia="zh-CN"/>
        </w:rPr>
        <w:t>5</w:t>
      </w:r>
      <w:r>
        <w:rPr>
          <w:rFonts w:hint="eastAsia" w:ascii="宋体" w:hAnsi="宋体" w:eastAsia="方正仿宋_GBK" w:cs="方正仿宋_GBK"/>
          <w:spacing w:val="-2"/>
          <w:sz w:val="32"/>
          <w:szCs w:val="32"/>
          <w:lang w:val="en-US" w:eastAsia="zh-CN"/>
        </w:rPr>
        <w:t>.</w:t>
      </w:r>
      <w:r>
        <w:rPr>
          <w:rFonts w:hint="eastAsia" w:ascii="宋体" w:hAnsi="宋体" w:eastAsia="方正仿宋_GBK" w:cs="方正仿宋_GBK"/>
          <w:spacing w:val="-2"/>
          <w:sz w:val="32"/>
          <w:szCs w:val="32"/>
        </w:rPr>
        <w:t>林草部门对承包方用地涉及占用林地提供政策指导意见，将林、水有机的结合起来。</w:t>
      </w:r>
    </w:p>
    <w:p w14:paraId="349F4391">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spacing w:val="-2"/>
          <w:sz w:val="32"/>
          <w:szCs w:val="32"/>
        </w:rPr>
      </w:pPr>
      <w:r>
        <w:rPr>
          <w:rFonts w:hint="eastAsia" w:ascii="宋体" w:hAnsi="宋体" w:eastAsiaTheme="minorEastAsia" w:cstheme="minorEastAsia"/>
          <w:spacing w:val="-2"/>
          <w:sz w:val="32"/>
          <w:szCs w:val="32"/>
          <w:lang w:val="en-US" w:eastAsia="zh-CN"/>
        </w:rPr>
        <w:t>6</w:t>
      </w:r>
      <w:r>
        <w:rPr>
          <w:rFonts w:hint="eastAsia" w:ascii="宋体" w:hAnsi="宋体" w:eastAsia="方正仿宋_GBK" w:cs="方正仿宋_GBK"/>
          <w:spacing w:val="-2"/>
          <w:sz w:val="32"/>
          <w:szCs w:val="32"/>
          <w:lang w:val="en-US" w:eastAsia="zh-CN"/>
        </w:rPr>
        <w:t>.</w:t>
      </w:r>
      <w:r>
        <w:rPr>
          <w:rFonts w:hint="eastAsia" w:ascii="宋体" w:hAnsi="宋体" w:eastAsia="方正仿宋_GBK" w:cs="方正仿宋_GBK"/>
          <w:spacing w:val="-2"/>
          <w:sz w:val="32"/>
          <w:szCs w:val="32"/>
        </w:rPr>
        <w:t>管护人员除了日常工程的蓄水、灌溉供水、工程设施养护、安全度汛以外，还需监督管理水库周边的环境卫生情况，督促旅游观光、过往的群众不要随意丢垃圾，水库水质下降时密切配合环保部门、承包方做好水质优化处理工作。</w:t>
      </w:r>
    </w:p>
    <w:p w14:paraId="7506DBFD">
      <w:pPr>
        <w:keepNext/>
        <w:keepLines/>
        <w:pageBreakBefore w:val="0"/>
        <w:widowControl w:val="0"/>
        <w:kinsoku/>
        <w:wordWrap/>
        <w:overflowPunct/>
        <w:topLinePunct w:val="0"/>
        <w:bidi w:val="0"/>
        <w:snapToGrid/>
        <w:spacing w:line="560" w:lineRule="exact"/>
        <w:ind w:firstLine="632" w:firstLineChars="200"/>
        <w:textAlignment w:val="auto"/>
        <w:outlineLvl w:val="1"/>
        <w:rPr>
          <w:rFonts w:hint="eastAsia" w:ascii="宋体" w:hAnsi="宋体" w:eastAsia="方正仿宋_GBK" w:cs="方正仿宋_GBK"/>
          <w:spacing w:val="-11"/>
          <w:sz w:val="32"/>
          <w:szCs w:val="32"/>
        </w:rPr>
      </w:pPr>
      <w:r>
        <w:rPr>
          <w:rFonts w:hint="eastAsia" w:ascii="宋体" w:hAnsi="宋体" w:eastAsiaTheme="minorEastAsia" w:cstheme="minorEastAsia"/>
          <w:spacing w:val="-2"/>
          <w:sz w:val="32"/>
          <w:szCs w:val="32"/>
          <w:lang w:val="en-US" w:eastAsia="zh-CN"/>
        </w:rPr>
        <w:t>7</w:t>
      </w:r>
      <w:r>
        <w:rPr>
          <w:rFonts w:hint="eastAsia" w:ascii="宋体" w:hAnsi="宋体" w:eastAsia="方正仿宋_GBK" w:cs="方正仿宋_GBK"/>
          <w:spacing w:val="-2"/>
          <w:sz w:val="32"/>
          <w:szCs w:val="32"/>
          <w:lang w:val="en-US" w:eastAsia="zh-CN"/>
        </w:rPr>
        <w:t>.</w:t>
      </w:r>
      <w:r>
        <w:rPr>
          <w:rFonts w:hint="eastAsia" w:ascii="宋体" w:hAnsi="宋体" w:eastAsia="方正仿宋_GBK" w:cs="方正仿宋_GBK"/>
          <w:spacing w:val="-11"/>
          <w:sz w:val="32"/>
          <w:szCs w:val="32"/>
        </w:rPr>
        <w:t>公安部门着重抓好库区周边治安联防，维护良好社会秩序。</w:t>
      </w:r>
    </w:p>
    <w:p w14:paraId="4B536FD2">
      <w:pPr>
        <w:keepNext/>
        <w:keepLines/>
        <w:pageBreakBefore w:val="0"/>
        <w:widowControl w:val="0"/>
        <w:kinsoku/>
        <w:wordWrap/>
        <w:overflowPunct/>
        <w:topLinePunct w:val="0"/>
        <w:bidi w:val="0"/>
        <w:snapToGrid/>
        <w:spacing w:line="560" w:lineRule="exact"/>
        <w:textAlignment w:val="auto"/>
        <w:outlineLvl w:val="1"/>
        <w:rPr>
          <w:rFonts w:hint="eastAsia" w:ascii="宋体" w:hAnsi="宋体" w:eastAsia="方正仿宋_GBK" w:cs="方正仿宋_GBK"/>
          <w:b/>
          <w:bCs/>
          <w:kern w:val="0"/>
          <w:sz w:val="32"/>
          <w:szCs w:val="32"/>
          <w:lang w:val="zh-CN"/>
        </w:rPr>
      </w:pPr>
      <w:r>
        <w:rPr>
          <w:rFonts w:hint="eastAsia" w:ascii="宋体" w:hAnsi="宋体" w:eastAsia="方正仿宋_GBK" w:cs="方正仿宋_GBK"/>
          <w:b/>
          <w:bCs/>
          <w:sz w:val="32"/>
          <w:szCs w:val="32"/>
          <w:lang w:val="en-US" w:eastAsia="zh-CN"/>
        </w:rPr>
        <w:t>9</w:t>
      </w:r>
      <w:r>
        <w:rPr>
          <w:rFonts w:hint="eastAsia" w:ascii="宋体" w:hAnsi="宋体" w:eastAsia="方正仿宋_GBK" w:cs="方正仿宋_GBK"/>
          <w:b/>
          <w:bCs/>
          <w:sz w:val="32"/>
          <w:szCs w:val="32"/>
        </w:rPr>
        <w:t xml:space="preserve">.5 </w:t>
      </w:r>
      <w:r>
        <w:rPr>
          <w:rFonts w:hint="eastAsia" w:ascii="宋体" w:hAnsi="宋体" w:eastAsia="方正仿宋_GBK" w:cs="方正仿宋_GBK"/>
          <w:b/>
          <w:bCs/>
          <w:kern w:val="0"/>
          <w:sz w:val="32"/>
          <w:szCs w:val="32"/>
          <w:lang w:val="zh-CN"/>
        </w:rPr>
        <w:t>信息服务保障措施</w:t>
      </w:r>
      <w:bookmarkEnd w:id="230"/>
      <w:bookmarkEnd w:id="231"/>
      <w:bookmarkEnd w:id="232"/>
    </w:p>
    <w:p w14:paraId="4C951272">
      <w:pPr>
        <w:pageBreakBefore w:val="0"/>
        <w:widowControl w:val="0"/>
        <w:kinsoku/>
        <w:wordWrap/>
        <w:overflowPunct/>
        <w:topLinePunct w:val="0"/>
        <w:autoSpaceDE w:val="0"/>
        <w:autoSpaceDN w:val="0"/>
        <w:bidi w:val="0"/>
        <w:adjustRightInd w:val="0"/>
        <w:snapToGrid/>
        <w:spacing w:line="560" w:lineRule="exact"/>
        <w:ind w:firstLine="632" w:firstLineChars="200"/>
        <w:jc w:val="left"/>
        <w:textAlignment w:val="auto"/>
        <w:rPr>
          <w:rFonts w:hint="eastAsia" w:ascii="宋体" w:hAnsi="宋体" w:eastAsia="方正仿宋_GBK" w:cs="方正仿宋_GBK"/>
          <w:bCs/>
          <w:sz w:val="32"/>
          <w:szCs w:val="32"/>
        </w:rPr>
        <w:sectPr>
          <w:pgSz w:w="11906" w:h="16838"/>
          <w:pgMar w:top="1984" w:right="1474" w:bottom="1928" w:left="1587" w:header="851" w:footer="992" w:gutter="0"/>
          <w:pgNumType w:fmt="decimal"/>
          <w:cols w:space="720" w:num="1"/>
          <w:docGrid w:type="lines" w:linePitch="312" w:charSpace="0"/>
        </w:sectPr>
      </w:pPr>
      <w:r>
        <w:rPr>
          <w:rFonts w:hint="eastAsia" w:ascii="宋体" w:hAnsi="宋体" w:eastAsia="方正仿宋_GBK" w:cs="方正仿宋_GBK"/>
          <w:spacing w:val="-2"/>
          <w:sz w:val="32"/>
          <w:szCs w:val="32"/>
        </w:rPr>
        <w:t>利用已建立的河库管理地理信息系统平台和信息发布平台，加强河库水域环境动态监管，实现基础数据、涉河库工程、水质监测、水域岸线管理信息化、系统化。建立实时、公开、高效的河长即时通信平台，将日常巡查、问题督办、情况通报、责任落实等纳入信息化一体化管理，提升管理效率。通过信息共享和媒体向社会公布各级河长名单，在水库岸边显著位置竖立公示牌，明确各级河长姓名、职务、职责、联系方式、责任范围、管护目标、监督电话等内容。建立健全河库保护治理公众监督、举报、受理、公示的制度和平台，通过信息化方式，畅通公众参与渠道，接受群众监督和举报</w:t>
      </w:r>
      <w:r>
        <w:rPr>
          <w:rFonts w:hint="eastAsia" w:ascii="宋体" w:hAnsi="宋体" w:eastAsia="方正仿宋_GBK" w:cs="方正仿宋_GBK"/>
          <w:bCs/>
          <w:sz w:val="32"/>
          <w:szCs w:val="32"/>
        </w:rPr>
        <w:t>。</w:t>
      </w:r>
    </w:p>
    <w:p w14:paraId="4A37C721">
      <w:pPr>
        <w:keepNext/>
        <w:keepLines/>
        <w:pageBreakBefore w:val="0"/>
        <w:kinsoku/>
        <w:wordWrap/>
        <w:overflowPunct/>
        <w:topLinePunct w:val="0"/>
        <w:bidi w:val="0"/>
        <w:spacing w:line="413" w:lineRule="auto"/>
        <w:outlineLvl w:val="1"/>
        <w:rPr>
          <w:rFonts w:hint="eastAsia" w:ascii="宋体" w:hAnsi="宋体" w:eastAsia="方正仿宋_GBK" w:cs="方正仿宋_GBK"/>
          <w:b w:val="0"/>
          <w:bCs/>
          <w:sz w:val="32"/>
          <w:szCs w:val="32"/>
        </w:rPr>
      </w:pPr>
      <w:bookmarkStart w:id="233" w:name="_Toc3903"/>
      <w:bookmarkStart w:id="234" w:name="_Toc4912"/>
      <w:bookmarkStart w:id="235" w:name="_Toc31021"/>
      <w:bookmarkStart w:id="236" w:name="_Toc24436"/>
      <w:r>
        <w:rPr>
          <w:rFonts w:hint="eastAsia" w:ascii="方正黑体_GBK" w:hAnsi="方正黑体_GBK" w:eastAsia="方正黑体_GBK" w:cs="方正黑体_GBK"/>
          <w:b w:val="0"/>
          <w:bCs/>
          <w:sz w:val="32"/>
          <w:szCs w:val="32"/>
        </w:rPr>
        <w:t>结论</w:t>
      </w:r>
      <w:bookmarkEnd w:id="233"/>
      <w:bookmarkEnd w:id="234"/>
      <w:bookmarkEnd w:id="235"/>
      <w:bookmarkEnd w:id="236"/>
    </w:p>
    <w:p w14:paraId="6E8F8911">
      <w:pPr>
        <w:pageBreakBefore w:val="0"/>
        <w:kinsoku/>
        <w:wordWrap/>
        <w:overflowPunct/>
        <w:topLinePunct w:val="0"/>
        <w:autoSpaceDE w:val="0"/>
        <w:autoSpaceDN w:val="0"/>
        <w:bidi w:val="0"/>
        <w:adjustRightInd w:val="0"/>
        <w:spacing w:line="360" w:lineRule="auto"/>
        <w:rPr>
          <w:rFonts w:hint="eastAsia" w:ascii="宋体" w:hAnsi="宋体" w:eastAsia="方正仿宋_GBK" w:cs="方正仿宋_GBK"/>
          <w:kern w:val="0"/>
          <w:sz w:val="32"/>
          <w:szCs w:val="32"/>
        </w:rPr>
      </w:pPr>
      <w:r>
        <w:rPr>
          <w:rFonts w:hint="eastAsia" w:ascii="宋体" w:hAnsi="宋体" w:eastAsia="方正仿宋_GBK" w:cs="方正仿宋_GBK"/>
          <w:b/>
          <w:kern w:val="0"/>
          <w:sz w:val="32"/>
          <w:szCs w:val="32"/>
        </w:rPr>
        <w:t xml:space="preserve">   </w:t>
      </w:r>
      <w:r>
        <w:rPr>
          <w:rFonts w:hint="eastAsia" w:ascii="宋体" w:hAnsi="宋体" w:eastAsia="方正仿宋_GBK" w:cs="方正仿宋_GBK"/>
          <w:kern w:val="0"/>
          <w:sz w:val="32"/>
          <w:szCs w:val="32"/>
        </w:rPr>
        <w:t xml:space="preserve"> 水库经营承包者在取得水库</w:t>
      </w:r>
      <w:r>
        <w:rPr>
          <w:rFonts w:hint="eastAsia" w:ascii="宋体" w:hAnsi="宋体" w:eastAsia="方正仿宋_GBK" w:cs="方正仿宋_GBK"/>
          <w:kern w:val="0"/>
          <w:sz w:val="32"/>
          <w:szCs w:val="32"/>
          <w:lang w:eastAsia="zh-CN"/>
        </w:rPr>
        <w:t>水面开发利用</w:t>
      </w:r>
      <w:r>
        <w:rPr>
          <w:rFonts w:hint="eastAsia" w:ascii="宋体" w:hAnsi="宋体" w:eastAsia="方正仿宋_GBK" w:cs="方正仿宋_GBK"/>
          <w:kern w:val="0"/>
          <w:sz w:val="32"/>
          <w:szCs w:val="32"/>
        </w:rPr>
        <w:t>权限后，应先对照水生态修复方案完成水库径流区及周边环境整治与水生态修复，且环境整治和水生态修复成果需经市水行政主管部门组织评估、验收合格后，方可以进行</w:t>
      </w:r>
      <w:r>
        <w:rPr>
          <w:rFonts w:hint="eastAsia" w:ascii="宋体" w:hAnsi="宋体" w:eastAsia="方正仿宋_GBK" w:cs="方正仿宋_GBK"/>
          <w:kern w:val="0"/>
          <w:sz w:val="32"/>
          <w:szCs w:val="32"/>
          <w:lang w:eastAsia="zh-CN"/>
        </w:rPr>
        <w:t>水面开发利用</w:t>
      </w:r>
      <w:r>
        <w:rPr>
          <w:rFonts w:hint="eastAsia" w:ascii="宋体" w:hAnsi="宋体" w:eastAsia="方正仿宋_GBK" w:cs="方正仿宋_GBK"/>
          <w:kern w:val="0"/>
          <w:sz w:val="32"/>
          <w:szCs w:val="32"/>
        </w:rPr>
        <w:t>，确保水库水质达标、稳中向好，让水生态保持可持续利用和安全。</w:t>
      </w:r>
    </w:p>
    <w:p w14:paraId="388191E6">
      <w:pPr>
        <w:pageBreakBefore w:val="0"/>
        <w:kinsoku/>
        <w:wordWrap/>
        <w:overflowPunct/>
        <w:topLinePunct w:val="0"/>
        <w:autoSpaceDE w:val="0"/>
        <w:autoSpaceDN w:val="0"/>
        <w:bidi w:val="0"/>
        <w:adjustRightInd w:val="0"/>
        <w:spacing w:line="360" w:lineRule="auto"/>
        <w:ind w:firstLine="640" w:firstLineChars="200"/>
        <w:rPr>
          <w:rFonts w:hint="eastAsia" w:ascii="宋体" w:hAnsi="宋体" w:eastAsia="方正仿宋_GBK" w:cs="方正仿宋_GBK"/>
          <w:kern w:val="0"/>
          <w:sz w:val="32"/>
          <w:szCs w:val="32"/>
        </w:rPr>
      </w:pPr>
      <w:r>
        <w:rPr>
          <w:rFonts w:hint="eastAsia" w:ascii="宋体" w:hAnsi="宋体" w:eastAsia="方正仿宋_GBK" w:cs="方正仿宋_GBK"/>
          <w:kern w:val="0"/>
          <w:sz w:val="32"/>
          <w:szCs w:val="32"/>
        </w:rPr>
        <w:t>综上所述，本方案的实施是可行的。</w:t>
      </w:r>
    </w:p>
    <w:p w14:paraId="4F63B226">
      <w:pPr>
        <w:pStyle w:val="2"/>
        <w:rPr>
          <w:rFonts w:hint="eastAsia" w:ascii="宋体" w:hAnsi="宋体" w:eastAsia="方正仿宋_GBK" w:cs="方正仿宋_GBK"/>
          <w:kern w:val="0"/>
          <w:sz w:val="32"/>
          <w:szCs w:val="32"/>
        </w:rPr>
      </w:pPr>
    </w:p>
    <w:p w14:paraId="53135698">
      <w:pPr>
        <w:pStyle w:val="2"/>
        <w:rPr>
          <w:rFonts w:hint="eastAsia" w:ascii="宋体" w:hAnsi="宋体" w:eastAsia="方正仿宋_GBK" w:cs="方正仿宋_GBK"/>
          <w:kern w:val="0"/>
          <w:sz w:val="32"/>
          <w:szCs w:val="32"/>
        </w:rPr>
      </w:pPr>
    </w:p>
    <w:p w14:paraId="3103D3A7">
      <w:pPr>
        <w:pStyle w:val="2"/>
        <w:keepNext w:val="0"/>
        <w:keepLines w:val="0"/>
        <w:pageBreakBefore w:val="0"/>
        <w:widowControl w:val="0"/>
        <w:kinsoku/>
        <w:wordWrap/>
        <w:overflowPunct/>
        <w:topLinePunct w:val="0"/>
        <w:autoSpaceDE/>
        <w:autoSpaceDN/>
        <w:bidi w:val="0"/>
        <w:adjustRightInd/>
        <w:snapToGrid/>
        <w:ind w:left="1598" w:leftChars="304" w:hanging="960" w:hangingChars="30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附件：1.云南省生态环境厅关于德宏州芒市城区备用水源地调整事宜的函</w:t>
      </w:r>
    </w:p>
    <w:p w14:paraId="10B918D5">
      <w:pPr>
        <w:pStyle w:val="2"/>
        <w:keepNext w:val="0"/>
        <w:keepLines w:val="0"/>
        <w:pageBreakBefore w:val="0"/>
        <w:widowControl w:val="0"/>
        <w:kinsoku/>
        <w:wordWrap/>
        <w:overflowPunct/>
        <w:topLinePunct w:val="0"/>
        <w:autoSpaceDE/>
        <w:autoSpaceDN/>
        <w:bidi w:val="0"/>
        <w:adjustRightInd/>
        <w:snapToGrid/>
        <w:ind w:left="1596" w:leftChars="760" w:firstLine="0" w:firstLineChars="0"/>
        <w:textAlignment w:val="auto"/>
        <w:rPr>
          <w:rFonts w:hint="eastAsia"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2.芒究水库2025年湖库水质类别明细表</w:t>
      </w:r>
    </w:p>
    <w:p w14:paraId="136A44AF">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方正仿宋_GBK" w:cs="方正仿宋_GBK"/>
          <w:kern w:val="0"/>
          <w:sz w:val="32"/>
          <w:szCs w:val="32"/>
          <w:lang w:val="en-US" w:eastAsia="zh-CN"/>
        </w:rPr>
      </w:pPr>
      <w:r>
        <w:rPr>
          <w:rFonts w:hint="eastAsia" w:ascii="宋体" w:hAnsi="宋体" w:eastAsia="方正仿宋_GBK" w:cs="方正仿宋_GBK"/>
          <w:kern w:val="0"/>
          <w:sz w:val="32"/>
          <w:szCs w:val="32"/>
          <w:lang w:val="en-US" w:eastAsia="zh-CN"/>
        </w:rPr>
        <w:t xml:space="preserve">    附图： 项目分区示意图</w:t>
      </w:r>
    </w:p>
    <w:p w14:paraId="3BD5A571">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宋体" w:hAnsi="宋体" w:eastAsia="方正仿宋_GBK" w:cs="方正仿宋_GBK"/>
          <w:kern w:val="0"/>
          <w:sz w:val="32"/>
          <w:szCs w:val="32"/>
          <w:lang w:val="en-US" w:eastAsia="zh-CN"/>
        </w:rPr>
      </w:pPr>
    </w:p>
    <w:p w14:paraId="7DD29D99">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宋体" w:hAnsi="宋体" w:eastAsia="方正仿宋_GBK" w:cs="方正仿宋_GBK"/>
          <w:kern w:val="0"/>
          <w:sz w:val="32"/>
          <w:szCs w:val="32"/>
          <w:lang w:val="en-US" w:eastAsia="zh-CN"/>
        </w:rPr>
      </w:pPr>
    </w:p>
    <w:p w14:paraId="7CEF8ED0">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宋体" w:hAnsi="宋体" w:eastAsia="方正仿宋_GBK" w:cs="方正仿宋_GBK"/>
          <w:kern w:val="0"/>
          <w:sz w:val="32"/>
          <w:szCs w:val="32"/>
          <w:lang w:val="en-US" w:eastAsia="zh-CN"/>
        </w:rPr>
      </w:pPr>
    </w:p>
    <w:p w14:paraId="474A43B9">
      <w:pPr>
        <w:pStyle w:val="2"/>
        <w:ind w:left="0" w:leftChars="0" w:firstLine="0" w:firstLineChars="0"/>
        <w:rPr>
          <w:rFonts w:hint="eastAsia" w:ascii="宋体" w:hAnsi="宋体" w:eastAsia="方正仿宋_GBK" w:cs="方正仿宋_GBK"/>
          <w:kern w:val="0"/>
          <w:sz w:val="32"/>
          <w:szCs w:val="32"/>
          <w:lang w:val="en-US" w:eastAsia="zh-CN"/>
        </w:rPr>
      </w:pPr>
    </w:p>
    <w:p w14:paraId="708459BE">
      <w:pPr>
        <w:pStyle w:val="2"/>
        <w:ind w:left="0" w:leftChars="0" w:firstLine="0" w:firstLineChars="0"/>
        <w:rPr>
          <w:rFonts w:hint="eastAsia" w:ascii="宋体" w:hAnsi="宋体" w:eastAsia="方正仿宋_GBK" w:cs="方正仿宋_GBK"/>
          <w:kern w:val="0"/>
          <w:sz w:val="32"/>
          <w:szCs w:val="32"/>
          <w:lang w:val="en-US" w:eastAsia="zh-CN"/>
        </w:rPr>
      </w:pPr>
    </w:p>
    <w:p w14:paraId="278EEC4E">
      <w:pPr>
        <w:pStyle w:val="2"/>
        <w:ind w:left="0" w:leftChars="0" w:firstLine="0" w:firstLineChars="0"/>
        <w:rPr>
          <w:rFonts w:hint="eastAsia" w:ascii="宋体" w:hAnsi="宋体" w:eastAsia="方正仿宋_GBK" w:cs="方正仿宋_GBK"/>
          <w:kern w:val="0"/>
          <w:sz w:val="32"/>
          <w:szCs w:val="32"/>
          <w:lang w:val="en-US" w:eastAsia="zh-CN"/>
        </w:rPr>
      </w:pPr>
    </w:p>
    <w:p w14:paraId="150165BD">
      <w:pPr>
        <w:pStyle w:val="2"/>
        <w:ind w:left="0" w:leftChars="0" w:firstLine="0" w:firstLineChars="0"/>
        <w:rPr>
          <w:rFonts w:hint="eastAsia" w:ascii="宋体" w:hAnsi="宋体" w:eastAsia="方正仿宋_GBK" w:cs="方正仿宋_GBK"/>
          <w:sz w:val="32"/>
          <w:szCs w:val="32"/>
        </w:rPr>
      </w:pPr>
    </w:p>
    <w:sectPr>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34338">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FB68A">
                          <w:pPr>
                            <w:pStyle w:val="20"/>
                          </w:pP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D8FB68A">
                    <w:pPr>
                      <w:pStyle w:val="20"/>
                    </w:pP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6EC5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57AF6">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D9EDA">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DF0D5">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45879">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953A4F">
                          <w:pPr>
                            <w:pStyle w:val="20"/>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65953A4F">
                    <w:pPr>
                      <w:pStyle w:val="2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E61D3">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CB8883">
                          <w:pPr>
                            <w:pStyle w:val="20"/>
                          </w:pPr>
                          <w:r>
                            <w:t xml:space="preserve">— </w:t>
                          </w:r>
                          <w:r>
                            <w:fldChar w:fldCharType="begin"/>
                          </w:r>
                          <w:r>
                            <w:instrText xml:space="preserve"> PAGE  \* MERGEFORMAT </w:instrText>
                          </w:r>
                          <w:r>
                            <w:fldChar w:fldCharType="separate"/>
                          </w:r>
                          <w:r>
                            <w:t>33</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4FCB8883">
                    <w:pPr>
                      <w:pStyle w:val="20"/>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722CD"/>
    <w:multiLevelType w:val="multilevel"/>
    <w:tmpl w:val="032722CD"/>
    <w:lvl w:ilvl="0" w:tentative="0">
      <w:start w:val="1"/>
      <w:numFmt w:val="decimal"/>
      <w:isLgl/>
      <w:suff w:val="space"/>
      <w:lvlText w:val="%1"/>
      <w:lvlJc w:val="left"/>
      <w:pPr>
        <w:ind w:left="0" w:firstLine="0"/>
      </w:pPr>
    </w:lvl>
    <w:lvl w:ilvl="1" w:tentative="0">
      <w:start w:val="1"/>
      <w:numFmt w:val="decimal"/>
      <w:suff w:val="space"/>
      <w:lvlText w:val="%1.%2"/>
      <w:lvlJc w:val="left"/>
      <w:pPr>
        <w:ind w:left="567" w:firstLine="0"/>
      </w:pPr>
    </w:lvl>
    <w:lvl w:ilvl="2" w:tentative="0">
      <w:start w:val="1"/>
      <w:numFmt w:val="decimal"/>
      <w:pStyle w:val="61"/>
      <w:suff w:val="space"/>
      <w:lvlText w:val="%1.%2.%3"/>
      <w:lvlJc w:val="left"/>
      <w:pPr>
        <w:ind w:left="0" w:firstLine="0"/>
      </w:pPr>
    </w:lvl>
    <w:lvl w:ilvl="3" w:tentative="0">
      <w:start w:val="1"/>
      <w:numFmt w:val="decimal"/>
      <w:pStyle w:val="64"/>
      <w:isLgl/>
      <w:suff w:val="nothing"/>
      <w:lvlText w:val="%1.%2.%3.%4"/>
      <w:lvlJc w:val="left"/>
      <w:pPr>
        <w:ind w:left="0" w:firstLine="0"/>
      </w:pPr>
    </w:lvl>
    <w:lvl w:ilvl="4" w:tentative="0">
      <w:start w:val="1"/>
      <w:numFmt w:val="none"/>
      <w:suff w:val="nothing"/>
      <w:lvlText w:val=""/>
      <w:lvlJc w:val="left"/>
      <w:pPr>
        <w:ind w:left="-1260" w:firstLine="0"/>
      </w:pPr>
      <w:rPr>
        <w:rFonts w:hint="eastAsia"/>
      </w:rPr>
    </w:lvl>
    <w:lvl w:ilvl="5" w:tentative="0">
      <w:start w:val="1"/>
      <w:numFmt w:val="none"/>
      <w:suff w:val="nothing"/>
      <w:lvlText w:val=""/>
      <w:lvlJc w:val="left"/>
      <w:pPr>
        <w:ind w:left="-1260" w:firstLine="0"/>
      </w:pPr>
      <w:rPr>
        <w:rFonts w:hint="eastAsia"/>
      </w:rPr>
    </w:lvl>
    <w:lvl w:ilvl="6" w:tentative="0">
      <w:start w:val="1"/>
      <w:numFmt w:val="none"/>
      <w:suff w:val="nothing"/>
      <w:lvlText w:val=""/>
      <w:lvlJc w:val="left"/>
      <w:pPr>
        <w:ind w:left="-1260" w:firstLine="0"/>
      </w:pPr>
      <w:rPr>
        <w:rFonts w:hint="eastAsia"/>
      </w:rPr>
    </w:lvl>
    <w:lvl w:ilvl="7" w:tentative="0">
      <w:start w:val="1"/>
      <w:numFmt w:val="none"/>
      <w:suff w:val="nothing"/>
      <w:lvlText w:val=""/>
      <w:lvlJc w:val="left"/>
      <w:pPr>
        <w:ind w:left="-1260" w:firstLine="0"/>
      </w:pPr>
      <w:rPr>
        <w:rFonts w:hint="eastAsia"/>
      </w:rPr>
    </w:lvl>
    <w:lvl w:ilvl="8" w:tentative="0">
      <w:start w:val="1"/>
      <w:numFmt w:val="none"/>
      <w:suff w:val="nothing"/>
      <w:lvlText w:val=""/>
      <w:lvlJc w:val="left"/>
      <w:pPr>
        <w:ind w:left="-126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yYjhhZDEyMTdmMDlhZDBmODZjMDc0Y2Y2Zjc3YjcifQ=="/>
  </w:docVars>
  <w:rsids>
    <w:rsidRoot w:val="00172A27"/>
    <w:rsid w:val="00002B69"/>
    <w:rsid w:val="00005214"/>
    <w:rsid w:val="00007E34"/>
    <w:rsid w:val="00012193"/>
    <w:rsid w:val="00012FCF"/>
    <w:rsid w:val="00013F30"/>
    <w:rsid w:val="00015A70"/>
    <w:rsid w:val="00015B1C"/>
    <w:rsid w:val="00015C51"/>
    <w:rsid w:val="00017B83"/>
    <w:rsid w:val="000203AF"/>
    <w:rsid w:val="00021279"/>
    <w:rsid w:val="00025446"/>
    <w:rsid w:val="000269FA"/>
    <w:rsid w:val="00030123"/>
    <w:rsid w:val="00032F15"/>
    <w:rsid w:val="00033FD5"/>
    <w:rsid w:val="00034ADA"/>
    <w:rsid w:val="00035DD0"/>
    <w:rsid w:val="00040173"/>
    <w:rsid w:val="00042F0C"/>
    <w:rsid w:val="00043285"/>
    <w:rsid w:val="000447D9"/>
    <w:rsid w:val="00045F2B"/>
    <w:rsid w:val="000475E3"/>
    <w:rsid w:val="00047BA8"/>
    <w:rsid w:val="00052331"/>
    <w:rsid w:val="00052E46"/>
    <w:rsid w:val="00053D62"/>
    <w:rsid w:val="00055353"/>
    <w:rsid w:val="00056477"/>
    <w:rsid w:val="000569FA"/>
    <w:rsid w:val="00056D72"/>
    <w:rsid w:val="00064438"/>
    <w:rsid w:val="0007029D"/>
    <w:rsid w:val="00072734"/>
    <w:rsid w:val="00074104"/>
    <w:rsid w:val="00076FB3"/>
    <w:rsid w:val="00077A69"/>
    <w:rsid w:val="0008301E"/>
    <w:rsid w:val="00090FD8"/>
    <w:rsid w:val="000925FD"/>
    <w:rsid w:val="000972C8"/>
    <w:rsid w:val="00097E0E"/>
    <w:rsid w:val="000A0ADA"/>
    <w:rsid w:val="000A6068"/>
    <w:rsid w:val="000B3EEC"/>
    <w:rsid w:val="000B4F88"/>
    <w:rsid w:val="000B61D3"/>
    <w:rsid w:val="000B6618"/>
    <w:rsid w:val="000B6F68"/>
    <w:rsid w:val="000C21D3"/>
    <w:rsid w:val="000C3432"/>
    <w:rsid w:val="000C3D35"/>
    <w:rsid w:val="000C53C8"/>
    <w:rsid w:val="000C5AEC"/>
    <w:rsid w:val="000C7905"/>
    <w:rsid w:val="000D159A"/>
    <w:rsid w:val="000D3994"/>
    <w:rsid w:val="000D3D5D"/>
    <w:rsid w:val="000D7902"/>
    <w:rsid w:val="000E1151"/>
    <w:rsid w:val="000E5AF1"/>
    <w:rsid w:val="000F1120"/>
    <w:rsid w:val="000F1A59"/>
    <w:rsid w:val="000F1E07"/>
    <w:rsid w:val="000F2EEC"/>
    <w:rsid w:val="000F35BF"/>
    <w:rsid w:val="000F591A"/>
    <w:rsid w:val="000F6CCA"/>
    <w:rsid w:val="001000E0"/>
    <w:rsid w:val="001007FA"/>
    <w:rsid w:val="001053F5"/>
    <w:rsid w:val="0010669F"/>
    <w:rsid w:val="00107120"/>
    <w:rsid w:val="00111D5C"/>
    <w:rsid w:val="001123A7"/>
    <w:rsid w:val="00113898"/>
    <w:rsid w:val="00113F12"/>
    <w:rsid w:val="00114481"/>
    <w:rsid w:val="00127123"/>
    <w:rsid w:val="00132C9E"/>
    <w:rsid w:val="0013781A"/>
    <w:rsid w:val="00143D95"/>
    <w:rsid w:val="00146026"/>
    <w:rsid w:val="001477A2"/>
    <w:rsid w:val="00147A65"/>
    <w:rsid w:val="00150BFE"/>
    <w:rsid w:val="00150E22"/>
    <w:rsid w:val="00153426"/>
    <w:rsid w:val="00155471"/>
    <w:rsid w:val="00156590"/>
    <w:rsid w:val="0015719C"/>
    <w:rsid w:val="00157CD4"/>
    <w:rsid w:val="00161CCC"/>
    <w:rsid w:val="00161CF6"/>
    <w:rsid w:val="0017023B"/>
    <w:rsid w:val="0017041A"/>
    <w:rsid w:val="001765BE"/>
    <w:rsid w:val="0018055D"/>
    <w:rsid w:val="0018298B"/>
    <w:rsid w:val="001906CB"/>
    <w:rsid w:val="00192688"/>
    <w:rsid w:val="00193257"/>
    <w:rsid w:val="00194B74"/>
    <w:rsid w:val="00197AB7"/>
    <w:rsid w:val="001A23FA"/>
    <w:rsid w:val="001A39D5"/>
    <w:rsid w:val="001A7636"/>
    <w:rsid w:val="001A7A9F"/>
    <w:rsid w:val="001B3B8F"/>
    <w:rsid w:val="001B4751"/>
    <w:rsid w:val="001B7250"/>
    <w:rsid w:val="001B76CC"/>
    <w:rsid w:val="001C0EA9"/>
    <w:rsid w:val="001C103E"/>
    <w:rsid w:val="001C2B28"/>
    <w:rsid w:val="001C42D1"/>
    <w:rsid w:val="001C4577"/>
    <w:rsid w:val="001C495C"/>
    <w:rsid w:val="001C4C34"/>
    <w:rsid w:val="001C68BB"/>
    <w:rsid w:val="001C77A9"/>
    <w:rsid w:val="001D1157"/>
    <w:rsid w:val="001D21EE"/>
    <w:rsid w:val="001D27C8"/>
    <w:rsid w:val="001D33AF"/>
    <w:rsid w:val="001D3FCB"/>
    <w:rsid w:val="001E0A32"/>
    <w:rsid w:val="001E340E"/>
    <w:rsid w:val="001E3451"/>
    <w:rsid w:val="001E390D"/>
    <w:rsid w:val="001E6FBD"/>
    <w:rsid w:val="001F5EB1"/>
    <w:rsid w:val="00200A00"/>
    <w:rsid w:val="002021C5"/>
    <w:rsid w:val="002071E4"/>
    <w:rsid w:val="0020783A"/>
    <w:rsid w:val="00210F09"/>
    <w:rsid w:val="00212B30"/>
    <w:rsid w:val="00213304"/>
    <w:rsid w:val="00213A6D"/>
    <w:rsid w:val="0021642A"/>
    <w:rsid w:val="0022129D"/>
    <w:rsid w:val="00221331"/>
    <w:rsid w:val="00221505"/>
    <w:rsid w:val="00222740"/>
    <w:rsid w:val="0022751C"/>
    <w:rsid w:val="002316E9"/>
    <w:rsid w:val="00231DDD"/>
    <w:rsid w:val="0023446A"/>
    <w:rsid w:val="002378EA"/>
    <w:rsid w:val="0024072C"/>
    <w:rsid w:val="002414A3"/>
    <w:rsid w:val="0024289A"/>
    <w:rsid w:val="002438AF"/>
    <w:rsid w:val="00245B34"/>
    <w:rsid w:val="002478EA"/>
    <w:rsid w:val="0025489D"/>
    <w:rsid w:val="002573D6"/>
    <w:rsid w:val="0026320E"/>
    <w:rsid w:val="0026345F"/>
    <w:rsid w:val="00265696"/>
    <w:rsid w:val="0027044C"/>
    <w:rsid w:val="0027464C"/>
    <w:rsid w:val="00275C38"/>
    <w:rsid w:val="002761DC"/>
    <w:rsid w:val="00277659"/>
    <w:rsid w:val="00281781"/>
    <w:rsid w:val="00283F49"/>
    <w:rsid w:val="00287FD1"/>
    <w:rsid w:val="00291E16"/>
    <w:rsid w:val="002925B6"/>
    <w:rsid w:val="002929C4"/>
    <w:rsid w:val="0029527F"/>
    <w:rsid w:val="00296C32"/>
    <w:rsid w:val="0029724C"/>
    <w:rsid w:val="002A0281"/>
    <w:rsid w:val="002A3FD1"/>
    <w:rsid w:val="002A6EED"/>
    <w:rsid w:val="002A7DA1"/>
    <w:rsid w:val="002B3749"/>
    <w:rsid w:val="002B5A14"/>
    <w:rsid w:val="002B60A8"/>
    <w:rsid w:val="002B77C9"/>
    <w:rsid w:val="002C0D3E"/>
    <w:rsid w:val="002C5134"/>
    <w:rsid w:val="002C74A3"/>
    <w:rsid w:val="002C750C"/>
    <w:rsid w:val="002C7A23"/>
    <w:rsid w:val="002D27B4"/>
    <w:rsid w:val="002D50F2"/>
    <w:rsid w:val="002D695E"/>
    <w:rsid w:val="002E1B20"/>
    <w:rsid w:val="002E7C05"/>
    <w:rsid w:val="002F0879"/>
    <w:rsid w:val="002F0A23"/>
    <w:rsid w:val="002F2E0F"/>
    <w:rsid w:val="002F55FA"/>
    <w:rsid w:val="002F6FBA"/>
    <w:rsid w:val="0030643A"/>
    <w:rsid w:val="003117CF"/>
    <w:rsid w:val="0031445A"/>
    <w:rsid w:val="003172D5"/>
    <w:rsid w:val="00321F92"/>
    <w:rsid w:val="00323E07"/>
    <w:rsid w:val="00324484"/>
    <w:rsid w:val="0032448B"/>
    <w:rsid w:val="00325727"/>
    <w:rsid w:val="00325DE6"/>
    <w:rsid w:val="0033037F"/>
    <w:rsid w:val="00337517"/>
    <w:rsid w:val="0034027C"/>
    <w:rsid w:val="00340452"/>
    <w:rsid w:val="00345339"/>
    <w:rsid w:val="003475BD"/>
    <w:rsid w:val="0035020F"/>
    <w:rsid w:val="00352C10"/>
    <w:rsid w:val="00352C5C"/>
    <w:rsid w:val="00353439"/>
    <w:rsid w:val="00354966"/>
    <w:rsid w:val="003572D0"/>
    <w:rsid w:val="003572DB"/>
    <w:rsid w:val="00357F3E"/>
    <w:rsid w:val="00361B3C"/>
    <w:rsid w:val="0036242E"/>
    <w:rsid w:val="00362982"/>
    <w:rsid w:val="00364C28"/>
    <w:rsid w:val="003657FD"/>
    <w:rsid w:val="003700B8"/>
    <w:rsid w:val="003705F8"/>
    <w:rsid w:val="00370675"/>
    <w:rsid w:val="00371F00"/>
    <w:rsid w:val="00374561"/>
    <w:rsid w:val="00374B0F"/>
    <w:rsid w:val="0037623A"/>
    <w:rsid w:val="00380BCA"/>
    <w:rsid w:val="0039142D"/>
    <w:rsid w:val="00394F49"/>
    <w:rsid w:val="003956F0"/>
    <w:rsid w:val="00395C2A"/>
    <w:rsid w:val="00397210"/>
    <w:rsid w:val="003A04C5"/>
    <w:rsid w:val="003A0AE0"/>
    <w:rsid w:val="003A1EB1"/>
    <w:rsid w:val="003A7D12"/>
    <w:rsid w:val="003B048B"/>
    <w:rsid w:val="003B1F24"/>
    <w:rsid w:val="003B2C18"/>
    <w:rsid w:val="003B7B92"/>
    <w:rsid w:val="003C4BEC"/>
    <w:rsid w:val="003C529C"/>
    <w:rsid w:val="003C5AB6"/>
    <w:rsid w:val="003C768F"/>
    <w:rsid w:val="003C7F5C"/>
    <w:rsid w:val="003D061A"/>
    <w:rsid w:val="003D0697"/>
    <w:rsid w:val="003D1366"/>
    <w:rsid w:val="003D2FE2"/>
    <w:rsid w:val="003D30FA"/>
    <w:rsid w:val="003D3437"/>
    <w:rsid w:val="003D653C"/>
    <w:rsid w:val="003D6ABF"/>
    <w:rsid w:val="003E2216"/>
    <w:rsid w:val="003E3894"/>
    <w:rsid w:val="003E595F"/>
    <w:rsid w:val="003E66E0"/>
    <w:rsid w:val="003F2700"/>
    <w:rsid w:val="003F684E"/>
    <w:rsid w:val="003F74ED"/>
    <w:rsid w:val="00400A28"/>
    <w:rsid w:val="00400D56"/>
    <w:rsid w:val="00400DDE"/>
    <w:rsid w:val="004028F4"/>
    <w:rsid w:val="0040411D"/>
    <w:rsid w:val="004051F2"/>
    <w:rsid w:val="00405D51"/>
    <w:rsid w:val="00406871"/>
    <w:rsid w:val="00406E35"/>
    <w:rsid w:val="00411E8C"/>
    <w:rsid w:val="00412B9F"/>
    <w:rsid w:val="0041434C"/>
    <w:rsid w:val="00414BFD"/>
    <w:rsid w:val="00416C24"/>
    <w:rsid w:val="00417003"/>
    <w:rsid w:val="00417BC8"/>
    <w:rsid w:val="00425B7A"/>
    <w:rsid w:val="0042742B"/>
    <w:rsid w:val="0043093A"/>
    <w:rsid w:val="00431313"/>
    <w:rsid w:val="0043284A"/>
    <w:rsid w:val="00435644"/>
    <w:rsid w:val="00440855"/>
    <w:rsid w:val="00440CCD"/>
    <w:rsid w:val="0044255B"/>
    <w:rsid w:val="00446ACE"/>
    <w:rsid w:val="00446CA3"/>
    <w:rsid w:val="004503D7"/>
    <w:rsid w:val="00451315"/>
    <w:rsid w:val="00452907"/>
    <w:rsid w:val="004535A8"/>
    <w:rsid w:val="00470384"/>
    <w:rsid w:val="00471564"/>
    <w:rsid w:val="00475E53"/>
    <w:rsid w:val="004808E3"/>
    <w:rsid w:val="00481ECA"/>
    <w:rsid w:val="0049040A"/>
    <w:rsid w:val="00490B7F"/>
    <w:rsid w:val="00491C49"/>
    <w:rsid w:val="00492EFF"/>
    <w:rsid w:val="00493ABE"/>
    <w:rsid w:val="0049482A"/>
    <w:rsid w:val="004A0B01"/>
    <w:rsid w:val="004A362F"/>
    <w:rsid w:val="004A5058"/>
    <w:rsid w:val="004A68EA"/>
    <w:rsid w:val="004A7B0B"/>
    <w:rsid w:val="004A7D12"/>
    <w:rsid w:val="004B1D1E"/>
    <w:rsid w:val="004B24C6"/>
    <w:rsid w:val="004B3030"/>
    <w:rsid w:val="004B5B40"/>
    <w:rsid w:val="004B7E42"/>
    <w:rsid w:val="004C332A"/>
    <w:rsid w:val="004C44D6"/>
    <w:rsid w:val="004C4951"/>
    <w:rsid w:val="004C4DF8"/>
    <w:rsid w:val="004C5DF9"/>
    <w:rsid w:val="004C6394"/>
    <w:rsid w:val="004D2A94"/>
    <w:rsid w:val="004D61B6"/>
    <w:rsid w:val="004D6695"/>
    <w:rsid w:val="004D7324"/>
    <w:rsid w:val="004D7671"/>
    <w:rsid w:val="004E1252"/>
    <w:rsid w:val="004E4625"/>
    <w:rsid w:val="004F0A71"/>
    <w:rsid w:val="004F2DBA"/>
    <w:rsid w:val="004F41BD"/>
    <w:rsid w:val="004F4F0C"/>
    <w:rsid w:val="004F59EA"/>
    <w:rsid w:val="004F638A"/>
    <w:rsid w:val="004F63A4"/>
    <w:rsid w:val="00501843"/>
    <w:rsid w:val="00503F90"/>
    <w:rsid w:val="00512AF6"/>
    <w:rsid w:val="00516CC7"/>
    <w:rsid w:val="005174A7"/>
    <w:rsid w:val="0052386A"/>
    <w:rsid w:val="0052390D"/>
    <w:rsid w:val="005261FB"/>
    <w:rsid w:val="00531814"/>
    <w:rsid w:val="005321A6"/>
    <w:rsid w:val="005365AC"/>
    <w:rsid w:val="005369A8"/>
    <w:rsid w:val="0054031A"/>
    <w:rsid w:val="00541296"/>
    <w:rsid w:val="00541EC1"/>
    <w:rsid w:val="005425F6"/>
    <w:rsid w:val="00544551"/>
    <w:rsid w:val="005447F1"/>
    <w:rsid w:val="00546009"/>
    <w:rsid w:val="005526FE"/>
    <w:rsid w:val="00557600"/>
    <w:rsid w:val="00560883"/>
    <w:rsid w:val="005646F0"/>
    <w:rsid w:val="00566102"/>
    <w:rsid w:val="0056775D"/>
    <w:rsid w:val="0057109B"/>
    <w:rsid w:val="00571C98"/>
    <w:rsid w:val="00572977"/>
    <w:rsid w:val="005806B1"/>
    <w:rsid w:val="005807D1"/>
    <w:rsid w:val="0058209F"/>
    <w:rsid w:val="005920B7"/>
    <w:rsid w:val="00592B92"/>
    <w:rsid w:val="0059433C"/>
    <w:rsid w:val="00594455"/>
    <w:rsid w:val="0059484D"/>
    <w:rsid w:val="00594E1D"/>
    <w:rsid w:val="00594F00"/>
    <w:rsid w:val="00595777"/>
    <w:rsid w:val="00596554"/>
    <w:rsid w:val="005A228E"/>
    <w:rsid w:val="005A52BF"/>
    <w:rsid w:val="005A7118"/>
    <w:rsid w:val="005B0865"/>
    <w:rsid w:val="005B28E3"/>
    <w:rsid w:val="005B2F5E"/>
    <w:rsid w:val="005B35A7"/>
    <w:rsid w:val="005B44B8"/>
    <w:rsid w:val="005B5D4F"/>
    <w:rsid w:val="005C04FF"/>
    <w:rsid w:val="005C0CDD"/>
    <w:rsid w:val="005C1FE7"/>
    <w:rsid w:val="005C483B"/>
    <w:rsid w:val="005C5452"/>
    <w:rsid w:val="005C7038"/>
    <w:rsid w:val="005D58B0"/>
    <w:rsid w:val="005D628E"/>
    <w:rsid w:val="005D7943"/>
    <w:rsid w:val="005E3F25"/>
    <w:rsid w:val="005E5EE5"/>
    <w:rsid w:val="005E68D5"/>
    <w:rsid w:val="005E6DC7"/>
    <w:rsid w:val="005F0831"/>
    <w:rsid w:val="005F0CF4"/>
    <w:rsid w:val="005F1057"/>
    <w:rsid w:val="005F109F"/>
    <w:rsid w:val="005F12FB"/>
    <w:rsid w:val="005F32EA"/>
    <w:rsid w:val="005F534F"/>
    <w:rsid w:val="00600093"/>
    <w:rsid w:val="00601906"/>
    <w:rsid w:val="006019E0"/>
    <w:rsid w:val="0061072B"/>
    <w:rsid w:val="00610ED7"/>
    <w:rsid w:val="00613382"/>
    <w:rsid w:val="00615328"/>
    <w:rsid w:val="00615832"/>
    <w:rsid w:val="006163A6"/>
    <w:rsid w:val="00621B67"/>
    <w:rsid w:val="00625880"/>
    <w:rsid w:val="0063181B"/>
    <w:rsid w:val="00632574"/>
    <w:rsid w:val="00633E65"/>
    <w:rsid w:val="00647660"/>
    <w:rsid w:val="006476BD"/>
    <w:rsid w:val="00650F12"/>
    <w:rsid w:val="0065111C"/>
    <w:rsid w:val="00651A22"/>
    <w:rsid w:val="00653961"/>
    <w:rsid w:val="006569B8"/>
    <w:rsid w:val="006577A8"/>
    <w:rsid w:val="006601D0"/>
    <w:rsid w:val="00660232"/>
    <w:rsid w:val="00660D9E"/>
    <w:rsid w:val="00662963"/>
    <w:rsid w:val="006631B1"/>
    <w:rsid w:val="00664AEF"/>
    <w:rsid w:val="0066786B"/>
    <w:rsid w:val="006740E5"/>
    <w:rsid w:val="006750BE"/>
    <w:rsid w:val="00677A46"/>
    <w:rsid w:val="0068031B"/>
    <w:rsid w:val="0068372C"/>
    <w:rsid w:val="00683EB8"/>
    <w:rsid w:val="006842A6"/>
    <w:rsid w:val="006849E2"/>
    <w:rsid w:val="00685EB2"/>
    <w:rsid w:val="00687C2A"/>
    <w:rsid w:val="0069033A"/>
    <w:rsid w:val="00690BD0"/>
    <w:rsid w:val="0069254C"/>
    <w:rsid w:val="006925CA"/>
    <w:rsid w:val="00692ED0"/>
    <w:rsid w:val="00693EEC"/>
    <w:rsid w:val="006942F0"/>
    <w:rsid w:val="006A264A"/>
    <w:rsid w:val="006A3FDD"/>
    <w:rsid w:val="006A4EDB"/>
    <w:rsid w:val="006A4EDF"/>
    <w:rsid w:val="006A5B0A"/>
    <w:rsid w:val="006A6633"/>
    <w:rsid w:val="006A67A2"/>
    <w:rsid w:val="006A7DEA"/>
    <w:rsid w:val="006B24AB"/>
    <w:rsid w:val="006C07B4"/>
    <w:rsid w:val="006C1323"/>
    <w:rsid w:val="006C1E18"/>
    <w:rsid w:val="006C450E"/>
    <w:rsid w:val="006C662D"/>
    <w:rsid w:val="006D6078"/>
    <w:rsid w:val="006D7D1B"/>
    <w:rsid w:val="006E086F"/>
    <w:rsid w:val="006E0FF0"/>
    <w:rsid w:val="006E2910"/>
    <w:rsid w:val="006E31D8"/>
    <w:rsid w:val="006E3A00"/>
    <w:rsid w:val="006E554F"/>
    <w:rsid w:val="006F13D9"/>
    <w:rsid w:val="006F3243"/>
    <w:rsid w:val="006F4ACE"/>
    <w:rsid w:val="006F5B7F"/>
    <w:rsid w:val="006F7D29"/>
    <w:rsid w:val="00702199"/>
    <w:rsid w:val="0070245E"/>
    <w:rsid w:val="00703EAB"/>
    <w:rsid w:val="00706A9E"/>
    <w:rsid w:val="0071040C"/>
    <w:rsid w:val="0071140B"/>
    <w:rsid w:val="00715162"/>
    <w:rsid w:val="00717818"/>
    <w:rsid w:val="007204AD"/>
    <w:rsid w:val="00723342"/>
    <w:rsid w:val="007247DA"/>
    <w:rsid w:val="007324E2"/>
    <w:rsid w:val="00735CE7"/>
    <w:rsid w:val="00737EE6"/>
    <w:rsid w:val="00742DD0"/>
    <w:rsid w:val="00743792"/>
    <w:rsid w:val="00745E3C"/>
    <w:rsid w:val="00746B65"/>
    <w:rsid w:val="00747315"/>
    <w:rsid w:val="00754559"/>
    <w:rsid w:val="0075703A"/>
    <w:rsid w:val="00757635"/>
    <w:rsid w:val="00757E2C"/>
    <w:rsid w:val="00762E9E"/>
    <w:rsid w:val="00765A97"/>
    <w:rsid w:val="0077239B"/>
    <w:rsid w:val="007726E9"/>
    <w:rsid w:val="00776E04"/>
    <w:rsid w:val="00777492"/>
    <w:rsid w:val="00780153"/>
    <w:rsid w:val="00780A24"/>
    <w:rsid w:val="00780E5A"/>
    <w:rsid w:val="007810F6"/>
    <w:rsid w:val="007834EA"/>
    <w:rsid w:val="0078372F"/>
    <w:rsid w:val="00784FF1"/>
    <w:rsid w:val="00791F59"/>
    <w:rsid w:val="0079226C"/>
    <w:rsid w:val="00792BE9"/>
    <w:rsid w:val="00792C1E"/>
    <w:rsid w:val="00794D0C"/>
    <w:rsid w:val="007956B4"/>
    <w:rsid w:val="007A1975"/>
    <w:rsid w:val="007A417B"/>
    <w:rsid w:val="007A5D38"/>
    <w:rsid w:val="007A6368"/>
    <w:rsid w:val="007A64DB"/>
    <w:rsid w:val="007B31C3"/>
    <w:rsid w:val="007B3423"/>
    <w:rsid w:val="007B3D23"/>
    <w:rsid w:val="007D43D5"/>
    <w:rsid w:val="007D43F6"/>
    <w:rsid w:val="007D5651"/>
    <w:rsid w:val="007D6163"/>
    <w:rsid w:val="007D6D09"/>
    <w:rsid w:val="007D6E77"/>
    <w:rsid w:val="007D77D0"/>
    <w:rsid w:val="007E1E92"/>
    <w:rsid w:val="007E5484"/>
    <w:rsid w:val="007F249B"/>
    <w:rsid w:val="007F3766"/>
    <w:rsid w:val="007F4FB0"/>
    <w:rsid w:val="007F6FA0"/>
    <w:rsid w:val="008001E4"/>
    <w:rsid w:val="008017D5"/>
    <w:rsid w:val="008030A9"/>
    <w:rsid w:val="00806940"/>
    <w:rsid w:val="008142B0"/>
    <w:rsid w:val="008179C8"/>
    <w:rsid w:val="008206ED"/>
    <w:rsid w:val="00821027"/>
    <w:rsid w:val="00824A4F"/>
    <w:rsid w:val="0082509F"/>
    <w:rsid w:val="00826076"/>
    <w:rsid w:val="00826B95"/>
    <w:rsid w:val="0082769B"/>
    <w:rsid w:val="00827803"/>
    <w:rsid w:val="00827CAD"/>
    <w:rsid w:val="00831333"/>
    <w:rsid w:val="0083723A"/>
    <w:rsid w:val="008424BA"/>
    <w:rsid w:val="00842899"/>
    <w:rsid w:val="00843277"/>
    <w:rsid w:val="008445E7"/>
    <w:rsid w:val="0084549B"/>
    <w:rsid w:val="008479EA"/>
    <w:rsid w:val="00851572"/>
    <w:rsid w:val="00853064"/>
    <w:rsid w:val="00854C20"/>
    <w:rsid w:val="00855F83"/>
    <w:rsid w:val="00856BBD"/>
    <w:rsid w:val="008576B0"/>
    <w:rsid w:val="00857AE3"/>
    <w:rsid w:val="00857D53"/>
    <w:rsid w:val="00861DBB"/>
    <w:rsid w:val="00863D41"/>
    <w:rsid w:val="00866176"/>
    <w:rsid w:val="00872226"/>
    <w:rsid w:val="00876655"/>
    <w:rsid w:val="00883AF4"/>
    <w:rsid w:val="008847C7"/>
    <w:rsid w:val="00884DC3"/>
    <w:rsid w:val="008851C1"/>
    <w:rsid w:val="00897CC8"/>
    <w:rsid w:val="00897D9E"/>
    <w:rsid w:val="008A0BEC"/>
    <w:rsid w:val="008A4BE3"/>
    <w:rsid w:val="008A6F5C"/>
    <w:rsid w:val="008A785D"/>
    <w:rsid w:val="008B0C00"/>
    <w:rsid w:val="008B6155"/>
    <w:rsid w:val="008B72CB"/>
    <w:rsid w:val="008C089E"/>
    <w:rsid w:val="008C143C"/>
    <w:rsid w:val="008C394A"/>
    <w:rsid w:val="008C5F6C"/>
    <w:rsid w:val="008C6398"/>
    <w:rsid w:val="008D18ED"/>
    <w:rsid w:val="008D244E"/>
    <w:rsid w:val="008D24CB"/>
    <w:rsid w:val="008D3976"/>
    <w:rsid w:val="008D60B6"/>
    <w:rsid w:val="008E5C2A"/>
    <w:rsid w:val="008E69E5"/>
    <w:rsid w:val="008E6D9B"/>
    <w:rsid w:val="008E77C2"/>
    <w:rsid w:val="008E7B62"/>
    <w:rsid w:val="008F0ACB"/>
    <w:rsid w:val="008F4803"/>
    <w:rsid w:val="008F48FB"/>
    <w:rsid w:val="008F6906"/>
    <w:rsid w:val="00900E16"/>
    <w:rsid w:val="0090190C"/>
    <w:rsid w:val="009037A6"/>
    <w:rsid w:val="00906DC1"/>
    <w:rsid w:val="009112D0"/>
    <w:rsid w:val="00911D76"/>
    <w:rsid w:val="00914CB6"/>
    <w:rsid w:val="00915A44"/>
    <w:rsid w:val="009221C5"/>
    <w:rsid w:val="00922847"/>
    <w:rsid w:val="00923C3B"/>
    <w:rsid w:val="009240EE"/>
    <w:rsid w:val="009246E7"/>
    <w:rsid w:val="00924A4E"/>
    <w:rsid w:val="009333AD"/>
    <w:rsid w:val="00936AA6"/>
    <w:rsid w:val="00940D44"/>
    <w:rsid w:val="00942C2B"/>
    <w:rsid w:val="00944F4C"/>
    <w:rsid w:val="0094540C"/>
    <w:rsid w:val="0095015B"/>
    <w:rsid w:val="0095282C"/>
    <w:rsid w:val="00952990"/>
    <w:rsid w:val="00952C93"/>
    <w:rsid w:val="00953FFA"/>
    <w:rsid w:val="009550C8"/>
    <w:rsid w:val="0095669B"/>
    <w:rsid w:val="00957BDB"/>
    <w:rsid w:val="0096107F"/>
    <w:rsid w:val="009610F6"/>
    <w:rsid w:val="00963E4D"/>
    <w:rsid w:val="00967C86"/>
    <w:rsid w:val="00967F62"/>
    <w:rsid w:val="009701BC"/>
    <w:rsid w:val="009711BF"/>
    <w:rsid w:val="009748CF"/>
    <w:rsid w:val="009756B2"/>
    <w:rsid w:val="00976BF5"/>
    <w:rsid w:val="00980E4B"/>
    <w:rsid w:val="00981181"/>
    <w:rsid w:val="00985AA8"/>
    <w:rsid w:val="00987B17"/>
    <w:rsid w:val="00987BD6"/>
    <w:rsid w:val="00991100"/>
    <w:rsid w:val="00992ABE"/>
    <w:rsid w:val="00994A65"/>
    <w:rsid w:val="00995146"/>
    <w:rsid w:val="009A3968"/>
    <w:rsid w:val="009A441A"/>
    <w:rsid w:val="009A79FC"/>
    <w:rsid w:val="009B0A62"/>
    <w:rsid w:val="009B6AD5"/>
    <w:rsid w:val="009B7301"/>
    <w:rsid w:val="009C1EF7"/>
    <w:rsid w:val="009C326C"/>
    <w:rsid w:val="009C399B"/>
    <w:rsid w:val="009C4EC9"/>
    <w:rsid w:val="009C5DF9"/>
    <w:rsid w:val="009D620A"/>
    <w:rsid w:val="009E212D"/>
    <w:rsid w:val="009E2794"/>
    <w:rsid w:val="009E288A"/>
    <w:rsid w:val="009E4197"/>
    <w:rsid w:val="009E5771"/>
    <w:rsid w:val="009E65B9"/>
    <w:rsid w:val="009E77E9"/>
    <w:rsid w:val="009E7967"/>
    <w:rsid w:val="009F3169"/>
    <w:rsid w:val="009F676D"/>
    <w:rsid w:val="009F7848"/>
    <w:rsid w:val="00A011D6"/>
    <w:rsid w:val="00A01820"/>
    <w:rsid w:val="00A01AFC"/>
    <w:rsid w:val="00A02A06"/>
    <w:rsid w:val="00A02BE4"/>
    <w:rsid w:val="00A03849"/>
    <w:rsid w:val="00A04E4C"/>
    <w:rsid w:val="00A06BEC"/>
    <w:rsid w:val="00A11497"/>
    <w:rsid w:val="00A12E5B"/>
    <w:rsid w:val="00A138EB"/>
    <w:rsid w:val="00A1401E"/>
    <w:rsid w:val="00A16313"/>
    <w:rsid w:val="00A229AC"/>
    <w:rsid w:val="00A31DE6"/>
    <w:rsid w:val="00A3539D"/>
    <w:rsid w:val="00A3612E"/>
    <w:rsid w:val="00A4041C"/>
    <w:rsid w:val="00A41017"/>
    <w:rsid w:val="00A51AFE"/>
    <w:rsid w:val="00A533E4"/>
    <w:rsid w:val="00A549E6"/>
    <w:rsid w:val="00A5580A"/>
    <w:rsid w:val="00A56F18"/>
    <w:rsid w:val="00A602FA"/>
    <w:rsid w:val="00A6191D"/>
    <w:rsid w:val="00A61F77"/>
    <w:rsid w:val="00A62D28"/>
    <w:rsid w:val="00A64F38"/>
    <w:rsid w:val="00A678A8"/>
    <w:rsid w:val="00A70DE3"/>
    <w:rsid w:val="00A71C70"/>
    <w:rsid w:val="00A72585"/>
    <w:rsid w:val="00A7625D"/>
    <w:rsid w:val="00A80B8F"/>
    <w:rsid w:val="00A81EAD"/>
    <w:rsid w:val="00A90053"/>
    <w:rsid w:val="00A900DF"/>
    <w:rsid w:val="00A9757D"/>
    <w:rsid w:val="00AA163D"/>
    <w:rsid w:val="00AA3EF0"/>
    <w:rsid w:val="00AA5918"/>
    <w:rsid w:val="00AA61E0"/>
    <w:rsid w:val="00AB0504"/>
    <w:rsid w:val="00AB3505"/>
    <w:rsid w:val="00AB3FC5"/>
    <w:rsid w:val="00AB64EA"/>
    <w:rsid w:val="00AB7474"/>
    <w:rsid w:val="00AC0199"/>
    <w:rsid w:val="00AC0278"/>
    <w:rsid w:val="00AC3A82"/>
    <w:rsid w:val="00AC3A84"/>
    <w:rsid w:val="00AC6276"/>
    <w:rsid w:val="00AC71A4"/>
    <w:rsid w:val="00AD07FF"/>
    <w:rsid w:val="00AD0970"/>
    <w:rsid w:val="00AD213D"/>
    <w:rsid w:val="00AD2A8A"/>
    <w:rsid w:val="00AD3A12"/>
    <w:rsid w:val="00AD435E"/>
    <w:rsid w:val="00AD7B8C"/>
    <w:rsid w:val="00AE1D8C"/>
    <w:rsid w:val="00AE2821"/>
    <w:rsid w:val="00AE2EBF"/>
    <w:rsid w:val="00AE3E3E"/>
    <w:rsid w:val="00AE602A"/>
    <w:rsid w:val="00AF31FA"/>
    <w:rsid w:val="00AF447F"/>
    <w:rsid w:val="00AF4FE1"/>
    <w:rsid w:val="00AF5381"/>
    <w:rsid w:val="00AF5419"/>
    <w:rsid w:val="00AF7836"/>
    <w:rsid w:val="00B0598F"/>
    <w:rsid w:val="00B06B06"/>
    <w:rsid w:val="00B07A18"/>
    <w:rsid w:val="00B117DE"/>
    <w:rsid w:val="00B15197"/>
    <w:rsid w:val="00B22788"/>
    <w:rsid w:val="00B229FF"/>
    <w:rsid w:val="00B2394D"/>
    <w:rsid w:val="00B23DF7"/>
    <w:rsid w:val="00B24D33"/>
    <w:rsid w:val="00B25F83"/>
    <w:rsid w:val="00B27E7B"/>
    <w:rsid w:val="00B30830"/>
    <w:rsid w:val="00B35CDF"/>
    <w:rsid w:val="00B3688A"/>
    <w:rsid w:val="00B406D8"/>
    <w:rsid w:val="00B418EA"/>
    <w:rsid w:val="00B443B6"/>
    <w:rsid w:val="00B4482C"/>
    <w:rsid w:val="00B463DB"/>
    <w:rsid w:val="00B47276"/>
    <w:rsid w:val="00B47EFC"/>
    <w:rsid w:val="00B51EB5"/>
    <w:rsid w:val="00B53FB5"/>
    <w:rsid w:val="00B60E27"/>
    <w:rsid w:val="00B62FFC"/>
    <w:rsid w:val="00B65F94"/>
    <w:rsid w:val="00B71435"/>
    <w:rsid w:val="00B71542"/>
    <w:rsid w:val="00B7494F"/>
    <w:rsid w:val="00B753AE"/>
    <w:rsid w:val="00B7584F"/>
    <w:rsid w:val="00B77667"/>
    <w:rsid w:val="00B808FA"/>
    <w:rsid w:val="00B80DD9"/>
    <w:rsid w:val="00B85AD7"/>
    <w:rsid w:val="00B916D0"/>
    <w:rsid w:val="00B956AC"/>
    <w:rsid w:val="00BA05DD"/>
    <w:rsid w:val="00BA0783"/>
    <w:rsid w:val="00BA0C01"/>
    <w:rsid w:val="00BA5124"/>
    <w:rsid w:val="00BA57E1"/>
    <w:rsid w:val="00BB01DA"/>
    <w:rsid w:val="00BB30F3"/>
    <w:rsid w:val="00BB3334"/>
    <w:rsid w:val="00BB4F0F"/>
    <w:rsid w:val="00BB51BA"/>
    <w:rsid w:val="00BB546E"/>
    <w:rsid w:val="00BB777F"/>
    <w:rsid w:val="00BC1079"/>
    <w:rsid w:val="00BC10FE"/>
    <w:rsid w:val="00BC29D9"/>
    <w:rsid w:val="00BC42E8"/>
    <w:rsid w:val="00BC5029"/>
    <w:rsid w:val="00BD419A"/>
    <w:rsid w:val="00BD4824"/>
    <w:rsid w:val="00BD5920"/>
    <w:rsid w:val="00BD6CBB"/>
    <w:rsid w:val="00BD72B8"/>
    <w:rsid w:val="00BD7EA4"/>
    <w:rsid w:val="00BD7EC1"/>
    <w:rsid w:val="00BE4BB3"/>
    <w:rsid w:val="00BE50BE"/>
    <w:rsid w:val="00BE55AD"/>
    <w:rsid w:val="00BE773E"/>
    <w:rsid w:val="00BE7C47"/>
    <w:rsid w:val="00BF07BF"/>
    <w:rsid w:val="00BF5DA8"/>
    <w:rsid w:val="00BF7AD0"/>
    <w:rsid w:val="00C03857"/>
    <w:rsid w:val="00C116B9"/>
    <w:rsid w:val="00C12328"/>
    <w:rsid w:val="00C12D6C"/>
    <w:rsid w:val="00C217C0"/>
    <w:rsid w:val="00C272E3"/>
    <w:rsid w:val="00C31E05"/>
    <w:rsid w:val="00C32504"/>
    <w:rsid w:val="00C332BB"/>
    <w:rsid w:val="00C360C7"/>
    <w:rsid w:val="00C41183"/>
    <w:rsid w:val="00C425C6"/>
    <w:rsid w:val="00C441C8"/>
    <w:rsid w:val="00C44304"/>
    <w:rsid w:val="00C45F5E"/>
    <w:rsid w:val="00C46583"/>
    <w:rsid w:val="00C46B9E"/>
    <w:rsid w:val="00C51A0D"/>
    <w:rsid w:val="00C53493"/>
    <w:rsid w:val="00C55153"/>
    <w:rsid w:val="00C5749A"/>
    <w:rsid w:val="00C57632"/>
    <w:rsid w:val="00C60EBB"/>
    <w:rsid w:val="00C63BAF"/>
    <w:rsid w:val="00C64F6C"/>
    <w:rsid w:val="00C66D05"/>
    <w:rsid w:val="00C6726C"/>
    <w:rsid w:val="00C7037A"/>
    <w:rsid w:val="00C72740"/>
    <w:rsid w:val="00C72ADB"/>
    <w:rsid w:val="00C737E5"/>
    <w:rsid w:val="00C73EE1"/>
    <w:rsid w:val="00C749DB"/>
    <w:rsid w:val="00C76595"/>
    <w:rsid w:val="00C7697C"/>
    <w:rsid w:val="00C80054"/>
    <w:rsid w:val="00C821B2"/>
    <w:rsid w:val="00C83D82"/>
    <w:rsid w:val="00C86875"/>
    <w:rsid w:val="00C86A9D"/>
    <w:rsid w:val="00C90C99"/>
    <w:rsid w:val="00C90CEF"/>
    <w:rsid w:val="00C92EF4"/>
    <w:rsid w:val="00C93BE3"/>
    <w:rsid w:val="00C94151"/>
    <w:rsid w:val="00C94EFB"/>
    <w:rsid w:val="00C96DA1"/>
    <w:rsid w:val="00C977D1"/>
    <w:rsid w:val="00CA5806"/>
    <w:rsid w:val="00CA73D8"/>
    <w:rsid w:val="00CB4798"/>
    <w:rsid w:val="00CB5BA0"/>
    <w:rsid w:val="00CC0A86"/>
    <w:rsid w:val="00CC0BCC"/>
    <w:rsid w:val="00CC2A9C"/>
    <w:rsid w:val="00CC7F2F"/>
    <w:rsid w:val="00CD32E1"/>
    <w:rsid w:val="00CD3720"/>
    <w:rsid w:val="00CD583E"/>
    <w:rsid w:val="00CD5C8B"/>
    <w:rsid w:val="00CD6164"/>
    <w:rsid w:val="00CD7B48"/>
    <w:rsid w:val="00CE30CB"/>
    <w:rsid w:val="00CF1C54"/>
    <w:rsid w:val="00CF3B75"/>
    <w:rsid w:val="00CF4882"/>
    <w:rsid w:val="00D00154"/>
    <w:rsid w:val="00D01A5A"/>
    <w:rsid w:val="00D01E61"/>
    <w:rsid w:val="00D0437A"/>
    <w:rsid w:val="00D04E98"/>
    <w:rsid w:val="00D05412"/>
    <w:rsid w:val="00D0672E"/>
    <w:rsid w:val="00D104FB"/>
    <w:rsid w:val="00D12AD1"/>
    <w:rsid w:val="00D14387"/>
    <w:rsid w:val="00D164C1"/>
    <w:rsid w:val="00D239AE"/>
    <w:rsid w:val="00D278B0"/>
    <w:rsid w:val="00D30D4B"/>
    <w:rsid w:val="00D321D6"/>
    <w:rsid w:val="00D34833"/>
    <w:rsid w:val="00D45BEC"/>
    <w:rsid w:val="00D51DC0"/>
    <w:rsid w:val="00D56EAE"/>
    <w:rsid w:val="00D56FBE"/>
    <w:rsid w:val="00D61678"/>
    <w:rsid w:val="00D65C26"/>
    <w:rsid w:val="00D71B45"/>
    <w:rsid w:val="00D75727"/>
    <w:rsid w:val="00D810BC"/>
    <w:rsid w:val="00D85C72"/>
    <w:rsid w:val="00D86F8E"/>
    <w:rsid w:val="00D92FAD"/>
    <w:rsid w:val="00D944AE"/>
    <w:rsid w:val="00D953B5"/>
    <w:rsid w:val="00D95CF9"/>
    <w:rsid w:val="00D97726"/>
    <w:rsid w:val="00DA1123"/>
    <w:rsid w:val="00DA3677"/>
    <w:rsid w:val="00DA467B"/>
    <w:rsid w:val="00DA4C21"/>
    <w:rsid w:val="00DA57CF"/>
    <w:rsid w:val="00DA6B5F"/>
    <w:rsid w:val="00DA74AD"/>
    <w:rsid w:val="00DB48B3"/>
    <w:rsid w:val="00DB6054"/>
    <w:rsid w:val="00DB650C"/>
    <w:rsid w:val="00DC0054"/>
    <w:rsid w:val="00DC2995"/>
    <w:rsid w:val="00DC3C1A"/>
    <w:rsid w:val="00DC5BB3"/>
    <w:rsid w:val="00DD0E3B"/>
    <w:rsid w:val="00DD1E10"/>
    <w:rsid w:val="00DD392E"/>
    <w:rsid w:val="00DD53F3"/>
    <w:rsid w:val="00DD5B3C"/>
    <w:rsid w:val="00DD6C9E"/>
    <w:rsid w:val="00DD6CEF"/>
    <w:rsid w:val="00DE0246"/>
    <w:rsid w:val="00DE172F"/>
    <w:rsid w:val="00DE3C19"/>
    <w:rsid w:val="00DE50C8"/>
    <w:rsid w:val="00DE7AF4"/>
    <w:rsid w:val="00DF110D"/>
    <w:rsid w:val="00DF16D6"/>
    <w:rsid w:val="00E02DC5"/>
    <w:rsid w:val="00E0373E"/>
    <w:rsid w:val="00E03F07"/>
    <w:rsid w:val="00E04CCA"/>
    <w:rsid w:val="00E059A0"/>
    <w:rsid w:val="00E06433"/>
    <w:rsid w:val="00E07B09"/>
    <w:rsid w:val="00E10B5C"/>
    <w:rsid w:val="00E170B9"/>
    <w:rsid w:val="00E20CA6"/>
    <w:rsid w:val="00E23A66"/>
    <w:rsid w:val="00E25090"/>
    <w:rsid w:val="00E269B5"/>
    <w:rsid w:val="00E32890"/>
    <w:rsid w:val="00E34829"/>
    <w:rsid w:val="00E372B6"/>
    <w:rsid w:val="00E37CA5"/>
    <w:rsid w:val="00E42E32"/>
    <w:rsid w:val="00E45A10"/>
    <w:rsid w:val="00E5218E"/>
    <w:rsid w:val="00E52593"/>
    <w:rsid w:val="00E52952"/>
    <w:rsid w:val="00E53C28"/>
    <w:rsid w:val="00E5604C"/>
    <w:rsid w:val="00E57410"/>
    <w:rsid w:val="00E60868"/>
    <w:rsid w:val="00E60EF8"/>
    <w:rsid w:val="00E613BE"/>
    <w:rsid w:val="00E616D3"/>
    <w:rsid w:val="00E64095"/>
    <w:rsid w:val="00E64243"/>
    <w:rsid w:val="00E643CA"/>
    <w:rsid w:val="00E67F3F"/>
    <w:rsid w:val="00E706DE"/>
    <w:rsid w:val="00E713B2"/>
    <w:rsid w:val="00E73BCA"/>
    <w:rsid w:val="00E73C18"/>
    <w:rsid w:val="00E73F2B"/>
    <w:rsid w:val="00E74460"/>
    <w:rsid w:val="00E7742A"/>
    <w:rsid w:val="00E82E8A"/>
    <w:rsid w:val="00E8486A"/>
    <w:rsid w:val="00E926CD"/>
    <w:rsid w:val="00E9278B"/>
    <w:rsid w:val="00E92937"/>
    <w:rsid w:val="00E95778"/>
    <w:rsid w:val="00EA11FC"/>
    <w:rsid w:val="00EA27BA"/>
    <w:rsid w:val="00EA2E7D"/>
    <w:rsid w:val="00EA3714"/>
    <w:rsid w:val="00EA3BAA"/>
    <w:rsid w:val="00EA563A"/>
    <w:rsid w:val="00EB22AA"/>
    <w:rsid w:val="00EB240B"/>
    <w:rsid w:val="00EB36C1"/>
    <w:rsid w:val="00EB40FB"/>
    <w:rsid w:val="00EB4D72"/>
    <w:rsid w:val="00EB4E44"/>
    <w:rsid w:val="00EB5BE8"/>
    <w:rsid w:val="00EC754A"/>
    <w:rsid w:val="00EC7F77"/>
    <w:rsid w:val="00ED2F2F"/>
    <w:rsid w:val="00ED5EB4"/>
    <w:rsid w:val="00ED64B4"/>
    <w:rsid w:val="00EE0A13"/>
    <w:rsid w:val="00EE1829"/>
    <w:rsid w:val="00EE4AF2"/>
    <w:rsid w:val="00EE559D"/>
    <w:rsid w:val="00EE7B68"/>
    <w:rsid w:val="00EF4860"/>
    <w:rsid w:val="00EF4AB5"/>
    <w:rsid w:val="00EF58B2"/>
    <w:rsid w:val="00EF6630"/>
    <w:rsid w:val="00EF7102"/>
    <w:rsid w:val="00F0276B"/>
    <w:rsid w:val="00F03367"/>
    <w:rsid w:val="00F037B3"/>
    <w:rsid w:val="00F06B99"/>
    <w:rsid w:val="00F07569"/>
    <w:rsid w:val="00F07C5E"/>
    <w:rsid w:val="00F12A7F"/>
    <w:rsid w:val="00F1424C"/>
    <w:rsid w:val="00F143AF"/>
    <w:rsid w:val="00F14BD6"/>
    <w:rsid w:val="00F162C9"/>
    <w:rsid w:val="00F22A64"/>
    <w:rsid w:val="00F24A41"/>
    <w:rsid w:val="00F26405"/>
    <w:rsid w:val="00F30EB1"/>
    <w:rsid w:val="00F31F71"/>
    <w:rsid w:val="00F33C9E"/>
    <w:rsid w:val="00F34B55"/>
    <w:rsid w:val="00F353D5"/>
    <w:rsid w:val="00F35C60"/>
    <w:rsid w:val="00F3749E"/>
    <w:rsid w:val="00F37ADA"/>
    <w:rsid w:val="00F4746C"/>
    <w:rsid w:val="00F4747C"/>
    <w:rsid w:val="00F53B06"/>
    <w:rsid w:val="00F57AEF"/>
    <w:rsid w:val="00F60209"/>
    <w:rsid w:val="00F616F8"/>
    <w:rsid w:val="00F6361B"/>
    <w:rsid w:val="00F64FC6"/>
    <w:rsid w:val="00F66477"/>
    <w:rsid w:val="00F66BBF"/>
    <w:rsid w:val="00F748F8"/>
    <w:rsid w:val="00F7610B"/>
    <w:rsid w:val="00F765C0"/>
    <w:rsid w:val="00F7683B"/>
    <w:rsid w:val="00F80626"/>
    <w:rsid w:val="00F82E38"/>
    <w:rsid w:val="00F82FB2"/>
    <w:rsid w:val="00F83131"/>
    <w:rsid w:val="00F840D8"/>
    <w:rsid w:val="00F84360"/>
    <w:rsid w:val="00F90913"/>
    <w:rsid w:val="00F91163"/>
    <w:rsid w:val="00F93D6F"/>
    <w:rsid w:val="00F944A6"/>
    <w:rsid w:val="00F9478C"/>
    <w:rsid w:val="00FA227E"/>
    <w:rsid w:val="00FA22EC"/>
    <w:rsid w:val="00FA3073"/>
    <w:rsid w:val="00FA382B"/>
    <w:rsid w:val="00FA3834"/>
    <w:rsid w:val="00FA38DC"/>
    <w:rsid w:val="00FA4A59"/>
    <w:rsid w:val="00FB0B44"/>
    <w:rsid w:val="00FB1669"/>
    <w:rsid w:val="00FB1C03"/>
    <w:rsid w:val="00FB3C38"/>
    <w:rsid w:val="00FB4067"/>
    <w:rsid w:val="00FB6331"/>
    <w:rsid w:val="00FB66CA"/>
    <w:rsid w:val="00FC0B15"/>
    <w:rsid w:val="00FC309E"/>
    <w:rsid w:val="00FC47BC"/>
    <w:rsid w:val="00FC6DB8"/>
    <w:rsid w:val="00FC7E9A"/>
    <w:rsid w:val="00FD056E"/>
    <w:rsid w:val="00FD2E74"/>
    <w:rsid w:val="00FD3BB3"/>
    <w:rsid w:val="00FE3180"/>
    <w:rsid w:val="00FE3E49"/>
    <w:rsid w:val="00FF196E"/>
    <w:rsid w:val="00FF27DC"/>
    <w:rsid w:val="00FF3533"/>
    <w:rsid w:val="00FF4114"/>
    <w:rsid w:val="00FF4312"/>
    <w:rsid w:val="00FF4FE5"/>
    <w:rsid w:val="00FF5ACB"/>
    <w:rsid w:val="00FF6B85"/>
    <w:rsid w:val="00FF6BC3"/>
    <w:rsid w:val="00FF6C5D"/>
    <w:rsid w:val="013A4DD8"/>
    <w:rsid w:val="0150737E"/>
    <w:rsid w:val="0172746A"/>
    <w:rsid w:val="02643220"/>
    <w:rsid w:val="02F63F0C"/>
    <w:rsid w:val="035F0CCB"/>
    <w:rsid w:val="03A40E40"/>
    <w:rsid w:val="03EB46C9"/>
    <w:rsid w:val="0401214F"/>
    <w:rsid w:val="046568B9"/>
    <w:rsid w:val="047D071B"/>
    <w:rsid w:val="048C3708"/>
    <w:rsid w:val="04DD60F6"/>
    <w:rsid w:val="057723FE"/>
    <w:rsid w:val="05993510"/>
    <w:rsid w:val="05A14725"/>
    <w:rsid w:val="05E636D7"/>
    <w:rsid w:val="062B108A"/>
    <w:rsid w:val="06595FEB"/>
    <w:rsid w:val="067B176A"/>
    <w:rsid w:val="07D510B6"/>
    <w:rsid w:val="07DE4CEC"/>
    <w:rsid w:val="07E94F5B"/>
    <w:rsid w:val="0811352D"/>
    <w:rsid w:val="086329D2"/>
    <w:rsid w:val="086C3AD7"/>
    <w:rsid w:val="08AE7889"/>
    <w:rsid w:val="08D9277A"/>
    <w:rsid w:val="08EF1772"/>
    <w:rsid w:val="08F963CD"/>
    <w:rsid w:val="096E4C3B"/>
    <w:rsid w:val="097C0380"/>
    <w:rsid w:val="097F1193"/>
    <w:rsid w:val="09C74C27"/>
    <w:rsid w:val="0A42609C"/>
    <w:rsid w:val="0A807882"/>
    <w:rsid w:val="0ABD5EAA"/>
    <w:rsid w:val="0ADE0CD7"/>
    <w:rsid w:val="0B603134"/>
    <w:rsid w:val="0B986AFC"/>
    <w:rsid w:val="0BD861D2"/>
    <w:rsid w:val="0C314497"/>
    <w:rsid w:val="0C5004F3"/>
    <w:rsid w:val="0C8E603A"/>
    <w:rsid w:val="0CA37B05"/>
    <w:rsid w:val="0D415395"/>
    <w:rsid w:val="0D834073"/>
    <w:rsid w:val="0D9E5640"/>
    <w:rsid w:val="0DD93069"/>
    <w:rsid w:val="0DED16BC"/>
    <w:rsid w:val="0E2771D6"/>
    <w:rsid w:val="0EA06A38"/>
    <w:rsid w:val="0F692066"/>
    <w:rsid w:val="100738B6"/>
    <w:rsid w:val="107E4994"/>
    <w:rsid w:val="10BE479E"/>
    <w:rsid w:val="12210908"/>
    <w:rsid w:val="12A26BA1"/>
    <w:rsid w:val="12C31A6C"/>
    <w:rsid w:val="13124E4C"/>
    <w:rsid w:val="136C5545"/>
    <w:rsid w:val="13A8156F"/>
    <w:rsid w:val="13C31428"/>
    <w:rsid w:val="140B56AA"/>
    <w:rsid w:val="14136B11"/>
    <w:rsid w:val="14340576"/>
    <w:rsid w:val="14345C22"/>
    <w:rsid w:val="146C5920"/>
    <w:rsid w:val="14764415"/>
    <w:rsid w:val="15A857FA"/>
    <w:rsid w:val="15DB2B8F"/>
    <w:rsid w:val="16136933"/>
    <w:rsid w:val="162F64B9"/>
    <w:rsid w:val="16800A58"/>
    <w:rsid w:val="16BF16E6"/>
    <w:rsid w:val="16D24017"/>
    <w:rsid w:val="16D3616F"/>
    <w:rsid w:val="17076DAD"/>
    <w:rsid w:val="178F046A"/>
    <w:rsid w:val="184E2CE2"/>
    <w:rsid w:val="18A216B7"/>
    <w:rsid w:val="18E975B9"/>
    <w:rsid w:val="190549F9"/>
    <w:rsid w:val="19407D1F"/>
    <w:rsid w:val="19B307D6"/>
    <w:rsid w:val="19EE62BE"/>
    <w:rsid w:val="19FC5597"/>
    <w:rsid w:val="1A966FB9"/>
    <w:rsid w:val="1ADE122B"/>
    <w:rsid w:val="1B8463E5"/>
    <w:rsid w:val="1B97526A"/>
    <w:rsid w:val="1BBB3C9E"/>
    <w:rsid w:val="1C4D30AE"/>
    <w:rsid w:val="1CD166A6"/>
    <w:rsid w:val="1CD37CF1"/>
    <w:rsid w:val="1CD43C55"/>
    <w:rsid w:val="1CDD321D"/>
    <w:rsid w:val="1CE148A3"/>
    <w:rsid w:val="1D5270B2"/>
    <w:rsid w:val="1D8C6B3C"/>
    <w:rsid w:val="1DEB0F89"/>
    <w:rsid w:val="1E4A50E1"/>
    <w:rsid w:val="1E7A4E2D"/>
    <w:rsid w:val="1F5D4927"/>
    <w:rsid w:val="1F6318B0"/>
    <w:rsid w:val="1F72047E"/>
    <w:rsid w:val="1F73656B"/>
    <w:rsid w:val="1FBE7DED"/>
    <w:rsid w:val="20602CF7"/>
    <w:rsid w:val="20AF1A5B"/>
    <w:rsid w:val="219F128A"/>
    <w:rsid w:val="21B66935"/>
    <w:rsid w:val="21B87493"/>
    <w:rsid w:val="21BA05A5"/>
    <w:rsid w:val="222643FB"/>
    <w:rsid w:val="224A67F2"/>
    <w:rsid w:val="22931B20"/>
    <w:rsid w:val="2333646C"/>
    <w:rsid w:val="242C42B0"/>
    <w:rsid w:val="24494B2C"/>
    <w:rsid w:val="24495D82"/>
    <w:rsid w:val="246102B6"/>
    <w:rsid w:val="247278D6"/>
    <w:rsid w:val="24A200A3"/>
    <w:rsid w:val="25841769"/>
    <w:rsid w:val="263C2181"/>
    <w:rsid w:val="26E52ACD"/>
    <w:rsid w:val="27364872"/>
    <w:rsid w:val="27574A92"/>
    <w:rsid w:val="27A207C3"/>
    <w:rsid w:val="27D66C25"/>
    <w:rsid w:val="28112C39"/>
    <w:rsid w:val="2886146E"/>
    <w:rsid w:val="288F6399"/>
    <w:rsid w:val="289B25E9"/>
    <w:rsid w:val="28CE50FA"/>
    <w:rsid w:val="29C93902"/>
    <w:rsid w:val="29D80A7B"/>
    <w:rsid w:val="2A044FDD"/>
    <w:rsid w:val="2A1D7798"/>
    <w:rsid w:val="2A8D770F"/>
    <w:rsid w:val="2B9C6653"/>
    <w:rsid w:val="2C180440"/>
    <w:rsid w:val="2C213938"/>
    <w:rsid w:val="2C405B70"/>
    <w:rsid w:val="2CCD7AF3"/>
    <w:rsid w:val="2D144A70"/>
    <w:rsid w:val="2D324D3E"/>
    <w:rsid w:val="2D7D4DEB"/>
    <w:rsid w:val="2DEF28A5"/>
    <w:rsid w:val="2E486A25"/>
    <w:rsid w:val="2E6242A0"/>
    <w:rsid w:val="2EC67CB3"/>
    <w:rsid w:val="2F346A5A"/>
    <w:rsid w:val="3153602F"/>
    <w:rsid w:val="31A521DD"/>
    <w:rsid w:val="31C33D6B"/>
    <w:rsid w:val="31E929BB"/>
    <w:rsid w:val="3268248B"/>
    <w:rsid w:val="32C74FA2"/>
    <w:rsid w:val="32CE366D"/>
    <w:rsid w:val="32EF2F18"/>
    <w:rsid w:val="33411D32"/>
    <w:rsid w:val="33870996"/>
    <w:rsid w:val="338A4628"/>
    <w:rsid w:val="339D4ADC"/>
    <w:rsid w:val="33C04C52"/>
    <w:rsid w:val="33DA59E2"/>
    <w:rsid w:val="342D3E56"/>
    <w:rsid w:val="348E7105"/>
    <w:rsid w:val="34A20788"/>
    <w:rsid w:val="350F6B12"/>
    <w:rsid w:val="35582D36"/>
    <w:rsid w:val="35C478EF"/>
    <w:rsid w:val="361E1A23"/>
    <w:rsid w:val="362D219E"/>
    <w:rsid w:val="36414942"/>
    <w:rsid w:val="36E105A5"/>
    <w:rsid w:val="374F2336"/>
    <w:rsid w:val="376E20F1"/>
    <w:rsid w:val="37737C8C"/>
    <w:rsid w:val="37F01842"/>
    <w:rsid w:val="38CC737C"/>
    <w:rsid w:val="38DB6ABA"/>
    <w:rsid w:val="38F6079E"/>
    <w:rsid w:val="39513538"/>
    <w:rsid w:val="396A7D4C"/>
    <w:rsid w:val="39926563"/>
    <w:rsid w:val="3A0A3209"/>
    <w:rsid w:val="3A3802AB"/>
    <w:rsid w:val="3A47424F"/>
    <w:rsid w:val="3AA22710"/>
    <w:rsid w:val="3ADE52F6"/>
    <w:rsid w:val="3B0B230B"/>
    <w:rsid w:val="3B8258DE"/>
    <w:rsid w:val="3B837170"/>
    <w:rsid w:val="3BF41CB3"/>
    <w:rsid w:val="3C5E7544"/>
    <w:rsid w:val="3C8C55E8"/>
    <w:rsid w:val="3CB10399"/>
    <w:rsid w:val="3CCD4666"/>
    <w:rsid w:val="3D10749A"/>
    <w:rsid w:val="3D1A10BA"/>
    <w:rsid w:val="3D6835D8"/>
    <w:rsid w:val="3D7860C0"/>
    <w:rsid w:val="3DA061E7"/>
    <w:rsid w:val="3E0D4263"/>
    <w:rsid w:val="3E4A66E6"/>
    <w:rsid w:val="3E541694"/>
    <w:rsid w:val="3ED73576"/>
    <w:rsid w:val="3F477C73"/>
    <w:rsid w:val="3F837921"/>
    <w:rsid w:val="3FA82679"/>
    <w:rsid w:val="3FD93535"/>
    <w:rsid w:val="403F4595"/>
    <w:rsid w:val="40440E2B"/>
    <w:rsid w:val="40597982"/>
    <w:rsid w:val="41132A4D"/>
    <w:rsid w:val="411437E8"/>
    <w:rsid w:val="411A6D45"/>
    <w:rsid w:val="41362262"/>
    <w:rsid w:val="41424CDD"/>
    <w:rsid w:val="41907013"/>
    <w:rsid w:val="42077D9A"/>
    <w:rsid w:val="4223459A"/>
    <w:rsid w:val="422478F6"/>
    <w:rsid w:val="427201DC"/>
    <w:rsid w:val="433B4AAE"/>
    <w:rsid w:val="43500A00"/>
    <w:rsid w:val="43895A2D"/>
    <w:rsid w:val="439D07B1"/>
    <w:rsid w:val="43BE2B29"/>
    <w:rsid w:val="44222796"/>
    <w:rsid w:val="44B450C4"/>
    <w:rsid w:val="44B7514B"/>
    <w:rsid w:val="44DD53A4"/>
    <w:rsid w:val="45083CA9"/>
    <w:rsid w:val="45A05287"/>
    <w:rsid w:val="45AF27AA"/>
    <w:rsid w:val="45C1385C"/>
    <w:rsid w:val="466C7F4F"/>
    <w:rsid w:val="46856CAC"/>
    <w:rsid w:val="468E588C"/>
    <w:rsid w:val="46C91CCA"/>
    <w:rsid w:val="47414F34"/>
    <w:rsid w:val="47436974"/>
    <w:rsid w:val="480706A9"/>
    <w:rsid w:val="48920310"/>
    <w:rsid w:val="48D06A14"/>
    <w:rsid w:val="48DB4AA4"/>
    <w:rsid w:val="48DD7402"/>
    <w:rsid w:val="492846F5"/>
    <w:rsid w:val="494F188F"/>
    <w:rsid w:val="496B7101"/>
    <w:rsid w:val="49E8235E"/>
    <w:rsid w:val="4A325DC7"/>
    <w:rsid w:val="4A3F33AC"/>
    <w:rsid w:val="4A487826"/>
    <w:rsid w:val="4B5D2099"/>
    <w:rsid w:val="4B9D2E82"/>
    <w:rsid w:val="4BF245B9"/>
    <w:rsid w:val="4C385E27"/>
    <w:rsid w:val="4D4E0A54"/>
    <w:rsid w:val="4D9B2E98"/>
    <w:rsid w:val="4DBE05A1"/>
    <w:rsid w:val="4E221C90"/>
    <w:rsid w:val="4E325320"/>
    <w:rsid w:val="4E812F10"/>
    <w:rsid w:val="4F5166AD"/>
    <w:rsid w:val="4FDF7279"/>
    <w:rsid w:val="4FED6369"/>
    <w:rsid w:val="502C719B"/>
    <w:rsid w:val="516D2A4F"/>
    <w:rsid w:val="51980F1D"/>
    <w:rsid w:val="519E2953"/>
    <w:rsid w:val="51BC74C5"/>
    <w:rsid w:val="51DA7BC7"/>
    <w:rsid w:val="51F94227"/>
    <w:rsid w:val="53382ED1"/>
    <w:rsid w:val="53632107"/>
    <w:rsid w:val="53B95A31"/>
    <w:rsid w:val="540A2377"/>
    <w:rsid w:val="543E3046"/>
    <w:rsid w:val="546C4227"/>
    <w:rsid w:val="54EC5B1A"/>
    <w:rsid w:val="54F3492B"/>
    <w:rsid w:val="55766DC4"/>
    <w:rsid w:val="55776AAF"/>
    <w:rsid w:val="5595547A"/>
    <w:rsid w:val="55BC46CE"/>
    <w:rsid w:val="560D0150"/>
    <w:rsid w:val="561C5C67"/>
    <w:rsid w:val="564C1E6A"/>
    <w:rsid w:val="569C4F68"/>
    <w:rsid w:val="56A47B08"/>
    <w:rsid w:val="575574B0"/>
    <w:rsid w:val="582D56C1"/>
    <w:rsid w:val="58B10ADF"/>
    <w:rsid w:val="58E775FB"/>
    <w:rsid w:val="598B7A09"/>
    <w:rsid w:val="5A234F48"/>
    <w:rsid w:val="5AAB6E7F"/>
    <w:rsid w:val="5AF14B1E"/>
    <w:rsid w:val="5B4B17D8"/>
    <w:rsid w:val="5CC139E0"/>
    <w:rsid w:val="5D117790"/>
    <w:rsid w:val="5E42146C"/>
    <w:rsid w:val="5E895E64"/>
    <w:rsid w:val="5E993027"/>
    <w:rsid w:val="5EB634E9"/>
    <w:rsid w:val="5EED1A01"/>
    <w:rsid w:val="5F1E2FDF"/>
    <w:rsid w:val="5F362B22"/>
    <w:rsid w:val="5F372C76"/>
    <w:rsid w:val="5FB75CBA"/>
    <w:rsid w:val="5FE35516"/>
    <w:rsid w:val="60585475"/>
    <w:rsid w:val="608F7B56"/>
    <w:rsid w:val="611F38D6"/>
    <w:rsid w:val="61A42D75"/>
    <w:rsid w:val="6214555A"/>
    <w:rsid w:val="62796DE5"/>
    <w:rsid w:val="62AE2637"/>
    <w:rsid w:val="63FC1848"/>
    <w:rsid w:val="649C0D21"/>
    <w:rsid w:val="651D5558"/>
    <w:rsid w:val="653B305E"/>
    <w:rsid w:val="655F6F78"/>
    <w:rsid w:val="65AA0DF1"/>
    <w:rsid w:val="65D85D3E"/>
    <w:rsid w:val="65D86CD7"/>
    <w:rsid w:val="65F55D98"/>
    <w:rsid w:val="664E17B9"/>
    <w:rsid w:val="667F196A"/>
    <w:rsid w:val="66F739BE"/>
    <w:rsid w:val="66FB71D3"/>
    <w:rsid w:val="675160E9"/>
    <w:rsid w:val="675D5CC4"/>
    <w:rsid w:val="675E41F7"/>
    <w:rsid w:val="67C47418"/>
    <w:rsid w:val="67EA2087"/>
    <w:rsid w:val="682D6C0B"/>
    <w:rsid w:val="686E08F4"/>
    <w:rsid w:val="68A62FD7"/>
    <w:rsid w:val="68B424C5"/>
    <w:rsid w:val="68C70A76"/>
    <w:rsid w:val="692932AC"/>
    <w:rsid w:val="69372CD0"/>
    <w:rsid w:val="69790D1B"/>
    <w:rsid w:val="69B92EC7"/>
    <w:rsid w:val="69C83491"/>
    <w:rsid w:val="69D45783"/>
    <w:rsid w:val="6A86242D"/>
    <w:rsid w:val="6A8E5866"/>
    <w:rsid w:val="6ABC7361"/>
    <w:rsid w:val="6B8C1D0F"/>
    <w:rsid w:val="6BEC6094"/>
    <w:rsid w:val="6C0C434A"/>
    <w:rsid w:val="6C0E245D"/>
    <w:rsid w:val="6C864B18"/>
    <w:rsid w:val="6C9D3433"/>
    <w:rsid w:val="6D051228"/>
    <w:rsid w:val="6D5175C4"/>
    <w:rsid w:val="6D705F42"/>
    <w:rsid w:val="6D86419A"/>
    <w:rsid w:val="6E9C3C4B"/>
    <w:rsid w:val="6EBB5412"/>
    <w:rsid w:val="6F104A11"/>
    <w:rsid w:val="6F3C482C"/>
    <w:rsid w:val="6F4454E1"/>
    <w:rsid w:val="6F662769"/>
    <w:rsid w:val="6F8F7053"/>
    <w:rsid w:val="6FA10555"/>
    <w:rsid w:val="6FA47170"/>
    <w:rsid w:val="70027CD0"/>
    <w:rsid w:val="701D556D"/>
    <w:rsid w:val="70C82E45"/>
    <w:rsid w:val="70CA3275"/>
    <w:rsid w:val="7145257F"/>
    <w:rsid w:val="71835CB2"/>
    <w:rsid w:val="71A576B3"/>
    <w:rsid w:val="71AD431B"/>
    <w:rsid w:val="724824E7"/>
    <w:rsid w:val="72717068"/>
    <w:rsid w:val="72AA1DF9"/>
    <w:rsid w:val="72DF2E62"/>
    <w:rsid w:val="72F00B94"/>
    <w:rsid w:val="72FC4BFE"/>
    <w:rsid w:val="73B711D2"/>
    <w:rsid w:val="73E56215"/>
    <w:rsid w:val="74016BED"/>
    <w:rsid w:val="742E651D"/>
    <w:rsid w:val="74E47530"/>
    <w:rsid w:val="74F43FAC"/>
    <w:rsid w:val="74FB6FB4"/>
    <w:rsid w:val="75116F1F"/>
    <w:rsid w:val="757E1A0E"/>
    <w:rsid w:val="759C3C69"/>
    <w:rsid w:val="75E4513D"/>
    <w:rsid w:val="75FA1559"/>
    <w:rsid w:val="76140E40"/>
    <w:rsid w:val="762C7668"/>
    <w:rsid w:val="76323D0A"/>
    <w:rsid w:val="77527079"/>
    <w:rsid w:val="77796D99"/>
    <w:rsid w:val="77E740E3"/>
    <w:rsid w:val="782530EF"/>
    <w:rsid w:val="784F2223"/>
    <w:rsid w:val="78796B69"/>
    <w:rsid w:val="7887116A"/>
    <w:rsid w:val="78CF2AEA"/>
    <w:rsid w:val="78EE4E5C"/>
    <w:rsid w:val="79A731EA"/>
    <w:rsid w:val="79BC4813"/>
    <w:rsid w:val="79C868DC"/>
    <w:rsid w:val="79F67FBE"/>
    <w:rsid w:val="7A7815EA"/>
    <w:rsid w:val="7A9941C3"/>
    <w:rsid w:val="7B000D77"/>
    <w:rsid w:val="7B0703E4"/>
    <w:rsid w:val="7B294F3C"/>
    <w:rsid w:val="7B620F68"/>
    <w:rsid w:val="7B971AE9"/>
    <w:rsid w:val="7B9B60DF"/>
    <w:rsid w:val="7BE71511"/>
    <w:rsid w:val="7C110866"/>
    <w:rsid w:val="7C6B0D9B"/>
    <w:rsid w:val="7C9C70FA"/>
    <w:rsid w:val="7CE47221"/>
    <w:rsid w:val="7CE85E00"/>
    <w:rsid w:val="7D04197F"/>
    <w:rsid w:val="7E491462"/>
    <w:rsid w:val="7E6C7D62"/>
    <w:rsid w:val="7E7F771C"/>
    <w:rsid w:val="7E812823"/>
    <w:rsid w:val="7EBD495E"/>
    <w:rsid w:val="7F0B523C"/>
    <w:rsid w:val="7F125B73"/>
    <w:rsid w:val="7F465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2"/>
    <w:unhideWhenUsed/>
    <w:qFormat/>
    <w:uiPriority w:val="9"/>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7">
    <w:name w:val="toc 7"/>
    <w:basedOn w:val="1"/>
    <w:next w:val="1"/>
    <w:unhideWhenUsed/>
    <w:qFormat/>
    <w:uiPriority w:val="39"/>
    <w:pPr>
      <w:ind w:left="2520" w:leftChars="1200"/>
    </w:pPr>
  </w:style>
  <w:style w:type="paragraph" w:styleId="8">
    <w:name w:val="caption"/>
    <w:next w:val="9"/>
    <w:qFormat/>
    <w:uiPriority w:val="0"/>
    <w:pPr>
      <w:spacing w:before="120" w:after="60"/>
      <w:jc w:val="center"/>
    </w:pPr>
    <w:rPr>
      <w:rFonts w:ascii="Times New Roman" w:hAnsi="Times New Roman" w:eastAsia="黑体" w:cs="Arial"/>
      <w:sz w:val="24"/>
      <w:szCs w:val="28"/>
      <w:lang w:val="en-US" w:eastAsia="zh-CN" w:bidi="ar-SA"/>
    </w:rPr>
  </w:style>
  <w:style w:type="paragraph" w:customStyle="1" w:styleId="9">
    <w:name w:val="正文首行缩进 21"/>
    <w:basedOn w:val="10"/>
    <w:qFormat/>
    <w:uiPriority w:val="0"/>
    <w:pPr>
      <w:ind w:firstLine="420"/>
    </w:pPr>
  </w:style>
  <w:style w:type="paragraph" w:customStyle="1" w:styleId="10">
    <w:name w:val="正文文本缩进1"/>
    <w:basedOn w:val="1"/>
    <w:qFormat/>
    <w:uiPriority w:val="0"/>
    <w:pPr>
      <w:spacing w:after="120"/>
      <w:ind w:left="420" w:leftChars="200"/>
    </w:pPr>
    <w:rPr>
      <w:rFonts w:ascii="Times New Roman" w:hAnsi="Times New Roman"/>
      <w:sz w:val="24"/>
    </w:rPr>
  </w:style>
  <w:style w:type="paragraph" w:styleId="11">
    <w:name w:val="toa heading"/>
    <w:basedOn w:val="1"/>
    <w:next w:val="1"/>
    <w:qFormat/>
    <w:uiPriority w:val="0"/>
    <w:pPr>
      <w:spacing w:before="120"/>
    </w:pPr>
    <w:rPr>
      <w:rFonts w:ascii="Cambria" w:hAnsi="Cambria" w:eastAsia="宋体" w:cs="Times New Roman"/>
      <w:sz w:val="24"/>
      <w:szCs w:val="24"/>
    </w:rPr>
  </w:style>
  <w:style w:type="paragraph" w:styleId="12">
    <w:name w:val="annotation text"/>
    <w:basedOn w:val="1"/>
    <w:link w:val="43"/>
    <w:qFormat/>
    <w:uiPriority w:val="0"/>
    <w:pPr>
      <w:jc w:val="left"/>
    </w:pPr>
    <w:rPr>
      <w:rFonts w:ascii="Calibri" w:hAnsi="Calibri" w:eastAsia="宋体" w:cs="Times New Roman"/>
      <w:szCs w:val="24"/>
    </w:rPr>
  </w:style>
  <w:style w:type="paragraph" w:styleId="13">
    <w:name w:val="Body Text"/>
    <w:basedOn w:val="1"/>
    <w:link w:val="41"/>
    <w:unhideWhenUsed/>
    <w:qFormat/>
    <w:uiPriority w:val="99"/>
    <w:pPr>
      <w:spacing w:after="120"/>
    </w:pPr>
  </w:style>
  <w:style w:type="paragraph" w:styleId="14">
    <w:name w:val="toc 5"/>
    <w:basedOn w:val="1"/>
    <w:next w:val="1"/>
    <w:unhideWhenUsed/>
    <w:qFormat/>
    <w:uiPriority w:val="39"/>
    <w:pPr>
      <w:ind w:left="1680" w:leftChars="800"/>
    </w:pPr>
  </w:style>
  <w:style w:type="paragraph" w:styleId="15">
    <w:name w:val="toc 3"/>
    <w:basedOn w:val="1"/>
    <w:next w:val="1"/>
    <w:unhideWhenUsed/>
    <w:qFormat/>
    <w:uiPriority w:val="39"/>
    <w:pPr>
      <w:ind w:left="840" w:leftChars="400"/>
    </w:pPr>
  </w:style>
  <w:style w:type="paragraph" w:styleId="16">
    <w:name w:val="Plain Text"/>
    <w:basedOn w:val="1"/>
    <w:qFormat/>
    <w:uiPriority w:val="99"/>
    <w:rPr>
      <w:rFonts w:ascii="宋体" w:hAnsi="Courier New"/>
      <w:sz w:val="20"/>
      <w:szCs w:val="20"/>
    </w:rPr>
  </w:style>
  <w:style w:type="paragraph" w:styleId="17">
    <w:name w:val="toc 8"/>
    <w:basedOn w:val="1"/>
    <w:next w:val="1"/>
    <w:unhideWhenUsed/>
    <w:qFormat/>
    <w:uiPriority w:val="39"/>
    <w:pPr>
      <w:ind w:left="2940" w:leftChars="1400"/>
    </w:pPr>
  </w:style>
  <w:style w:type="paragraph" w:styleId="18">
    <w:name w:val="Date"/>
    <w:basedOn w:val="1"/>
    <w:next w:val="1"/>
    <w:link w:val="38"/>
    <w:unhideWhenUsed/>
    <w:qFormat/>
    <w:uiPriority w:val="99"/>
    <w:pPr>
      <w:ind w:left="100" w:leftChars="2500"/>
    </w:pPr>
  </w:style>
  <w:style w:type="paragraph" w:styleId="19">
    <w:name w:val="Body Text Indent 2"/>
    <w:basedOn w:val="1"/>
    <w:link w:val="51"/>
    <w:unhideWhenUsed/>
    <w:qFormat/>
    <w:uiPriority w:val="99"/>
    <w:pPr>
      <w:spacing w:after="120" w:line="480" w:lineRule="auto"/>
      <w:ind w:left="420" w:leftChars="200"/>
    </w:pPr>
  </w:style>
  <w:style w:type="paragraph" w:styleId="20">
    <w:name w:val="footer"/>
    <w:basedOn w:val="1"/>
    <w:link w:val="35"/>
    <w:unhideWhenUsed/>
    <w:qFormat/>
    <w:uiPriority w:val="99"/>
    <w:pPr>
      <w:tabs>
        <w:tab w:val="center" w:pos="4153"/>
        <w:tab w:val="right" w:pos="8306"/>
      </w:tabs>
      <w:snapToGrid w:val="0"/>
      <w:jc w:val="left"/>
    </w:pPr>
    <w:rPr>
      <w:sz w:val="18"/>
      <w:szCs w:val="18"/>
    </w:rPr>
  </w:style>
  <w:style w:type="paragraph" w:styleId="21">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style>
  <w:style w:type="paragraph" w:styleId="27">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28">
    <w:name w:val="Body Text First Indent"/>
    <w:basedOn w:val="13"/>
    <w:link w:val="42"/>
    <w:unhideWhenUsed/>
    <w:qFormat/>
    <w:uiPriority w:val="99"/>
    <w:pPr>
      <w:ind w:firstLine="420" w:firstLineChars="100"/>
    </w:pPr>
    <w:rPr>
      <w:rFonts w:ascii="Calibri" w:hAnsi="Calibri" w:eastAsia="宋体" w:cs="Times New Roman"/>
      <w:szCs w:val="24"/>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rPr>
  </w:style>
  <w:style w:type="character" w:customStyle="1" w:styleId="33">
    <w:name w:val="标题 1 字符"/>
    <w:basedOn w:val="31"/>
    <w:link w:val="3"/>
    <w:qFormat/>
    <w:uiPriority w:val="9"/>
    <w:rPr>
      <w:b/>
      <w:bCs/>
      <w:kern w:val="44"/>
      <w:sz w:val="44"/>
      <w:szCs w:val="44"/>
    </w:rPr>
  </w:style>
  <w:style w:type="character" w:customStyle="1" w:styleId="34">
    <w:name w:val="页眉 字符"/>
    <w:basedOn w:val="31"/>
    <w:link w:val="21"/>
    <w:qFormat/>
    <w:uiPriority w:val="99"/>
    <w:rPr>
      <w:sz w:val="18"/>
      <w:szCs w:val="18"/>
    </w:rPr>
  </w:style>
  <w:style w:type="character" w:customStyle="1" w:styleId="35">
    <w:name w:val="页脚 字符"/>
    <w:basedOn w:val="31"/>
    <w:link w:val="20"/>
    <w:qFormat/>
    <w:uiPriority w:val="99"/>
    <w:rPr>
      <w:sz w:val="18"/>
      <w:szCs w:val="18"/>
    </w:rPr>
  </w:style>
  <w:style w:type="character" w:customStyle="1" w:styleId="36">
    <w:name w:val="标题 2 字符"/>
    <w:basedOn w:val="31"/>
    <w:link w:val="4"/>
    <w:semiHidden/>
    <w:qFormat/>
    <w:uiPriority w:val="9"/>
    <w:rPr>
      <w:rFonts w:asciiTheme="majorHAnsi" w:hAnsiTheme="majorHAnsi" w:eastAsiaTheme="majorEastAsia" w:cstheme="majorBidi"/>
      <w:b/>
      <w:bCs/>
      <w:sz w:val="32"/>
      <w:szCs w:val="32"/>
    </w:rPr>
  </w:style>
  <w:style w:type="character" w:customStyle="1" w:styleId="37">
    <w:name w:val="标题 3 字符"/>
    <w:basedOn w:val="31"/>
    <w:link w:val="5"/>
    <w:semiHidden/>
    <w:qFormat/>
    <w:uiPriority w:val="9"/>
    <w:rPr>
      <w:b/>
      <w:bCs/>
      <w:sz w:val="32"/>
      <w:szCs w:val="32"/>
    </w:rPr>
  </w:style>
  <w:style w:type="character" w:customStyle="1" w:styleId="38">
    <w:name w:val="日期 字符"/>
    <w:basedOn w:val="31"/>
    <w:link w:val="18"/>
    <w:semiHidden/>
    <w:qFormat/>
    <w:uiPriority w:val="99"/>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41">
    <w:name w:val="正文文本 字符"/>
    <w:basedOn w:val="31"/>
    <w:link w:val="13"/>
    <w:semiHidden/>
    <w:qFormat/>
    <w:uiPriority w:val="99"/>
    <w:rPr>
      <w:kern w:val="2"/>
      <w:sz w:val="21"/>
      <w:szCs w:val="22"/>
    </w:rPr>
  </w:style>
  <w:style w:type="character" w:customStyle="1" w:styleId="42">
    <w:name w:val="正文首行缩进 字符"/>
    <w:basedOn w:val="41"/>
    <w:link w:val="28"/>
    <w:qFormat/>
    <w:uiPriority w:val="99"/>
    <w:rPr>
      <w:rFonts w:ascii="Calibri" w:hAnsi="Calibri" w:eastAsia="宋体" w:cs="Times New Roman"/>
      <w:kern w:val="2"/>
      <w:sz w:val="21"/>
      <w:szCs w:val="24"/>
    </w:rPr>
  </w:style>
  <w:style w:type="character" w:customStyle="1" w:styleId="43">
    <w:name w:val="批注文字 字符"/>
    <w:basedOn w:val="31"/>
    <w:link w:val="12"/>
    <w:qFormat/>
    <w:uiPriority w:val="0"/>
    <w:rPr>
      <w:rFonts w:ascii="Calibri" w:hAnsi="Calibri" w:eastAsia="宋体" w:cs="Times New Roman"/>
      <w:kern w:val="2"/>
      <w:sz w:val="21"/>
      <w:szCs w:val="24"/>
    </w:rPr>
  </w:style>
  <w:style w:type="paragraph" w:customStyle="1" w:styleId="44">
    <w:name w:val="列出段落1"/>
    <w:basedOn w:val="1"/>
    <w:qFormat/>
    <w:uiPriority w:val="99"/>
    <w:pPr>
      <w:ind w:firstLine="420" w:firstLineChars="200"/>
    </w:pPr>
  </w:style>
  <w:style w:type="paragraph" w:customStyle="1" w:styleId="45">
    <w:name w:val="正文样式"/>
    <w:basedOn w:val="1"/>
    <w:qFormat/>
    <w:uiPriority w:val="0"/>
    <w:pPr>
      <w:ind w:firstLine="480" w:firstLineChars="200"/>
    </w:pPr>
    <w:rPr>
      <w:rFonts w:ascii="Times New Roman" w:hAnsi="Times New Roman"/>
      <w:kern w:val="0"/>
      <w:sz w:val="24"/>
      <w:szCs w:val="20"/>
    </w:rPr>
  </w:style>
  <w:style w:type="paragraph" w:customStyle="1" w:styleId="46">
    <w:name w:val="表格"/>
    <w:basedOn w:val="13"/>
    <w:qFormat/>
    <w:uiPriority w:val="0"/>
    <w:pPr>
      <w:widowControl/>
      <w:spacing w:after="0"/>
      <w:jc w:val="center"/>
    </w:pPr>
    <w:rPr>
      <w:rFonts w:cs="宋体"/>
      <w:kern w:val="0"/>
      <w:szCs w:val="20"/>
    </w:rPr>
  </w:style>
  <w:style w:type="paragraph" w:customStyle="1" w:styleId="47">
    <w:name w:val="表格标题"/>
    <w:basedOn w:val="1"/>
    <w:qFormat/>
    <w:uiPriority w:val="0"/>
    <w:pPr>
      <w:spacing w:before="120"/>
      <w:jc w:val="center"/>
    </w:pPr>
    <w:rPr>
      <w:rFonts w:ascii="Times New Roman" w:hAnsi="Times New Roman" w:eastAsia="黑体"/>
      <w:snapToGrid w:val="0"/>
      <w:color w:val="000000"/>
      <w:spacing w:val="11"/>
      <w:kern w:val="0"/>
      <w:sz w:val="24"/>
    </w:rPr>
  </w:style>
  <w:style w:type="paragraph" w:customStyle="1" w:styleId="48">
    <w:name w:val="图名"/>
    <w:basedOn w:val="45"/>
    <w:qFormat/>
    <w:uiPriority w:val="0"/>
    <w:pPr>
      <w:ind w:firstLine="0" w:firstLineChars="0"/>
      <w:jc w:val="center"/>
    </w:pPr>
    <w:rPr>
      <w:rFonts w:eastAsia="宋体" w:cs="Times New Roman"/>
      <w:b/>
      <w:sz w:val="21"/>
    </w:rPr>
  </w:style>
  <w:style w:type="paragraph" w:customStyle="1" w:styleId="49">
    <w:name w:val="无间隔1"/>
    <w:basedOn w:val="50"/>
    <w:qFormat/>
    <w:uiPriority w:val="1"/>
    <w:pPr>
      <w:spacing w:afterLines="0"/>
    </w:pPr>
    <w:rPr>
      <w:b w:val="0"/>
      <w:snapToGrid w:val="0"/>
      <w:kern w:val="0"/>
      <w:sz w:val="18"/>
    </w:rPr>
  </w:style>
  <w:style w:type="paragraph" w:customStyle="1" w:styleId="50">
    <w:name w:val="表头"/>
    <w:basedOn w:val="1"/>
    <w:qFormat/>
    <w:uiPriority w:val="0"/>
    <w:pPr>
      <w:spacing w:afterLines="25"/>
      <w:jc w:val="center"/>
    </w:pPr>
    <w:rPr>
      <w:b/>
    </w:rPr>
  </w:style>
  <w:style w:type="character" w:customStyle="1" w:styleId="51">
    <w:name w:val="正文文本缩进 2 字符"/>
    <w:basedOn w:val="31"/>
    <w:link w:val="19"/>
    <w:semiHidden/>
    <w:qFormat/>
    <w:uiPriority w:val="99"/>
    <w:rPr>
      <w:kern w:val="2"/>
      <w:sz w:val="21"/>
      <w:szCs w:val="22"/>
    </w:rPr>
  </w:style>
  <w:style w:type="character" w:customStyle="1" w:styleId="52">
    <w:name w:val="标题 3 Char"/>
    <w:basedOn w:val="31"/>
    <w:link w:val="5"/>
    <w:qFormat/>
    <w:uiPriority w:val="9"/>
    <w:rPr>
      <w:b/>
      <w:bCs/>
      <w:sz w:val="32"/>
      <w:szCs w:val="32"/>
    </w:rPr>
  </w:style>
  <w:style w:type="character" w:customStyle="1" w:styleId="53">
    <w:name w:val="font21"/>
    <w:basedOn w:val="31"/>
    <w:qFormat/>
    <w:uiPriority w:val="0"/>
    <w:rPr>
      <w:rFonts w:hint="default" w:ascii="Times New Roman" w:hAnsi="Times New Roman" w:cs="Times New Roman"/>
      <w:color w:val="000000"/>
      <w:sz w:val="22"/>
      <w:szCs w:val="22"/>
      <w:u w:val="none"/>
    </w:rPr>
  </w:style>
  <w:style w:type="character" w:customStyle="1" w:styleId="54">
    <w:name w:val="font41"/>
    <w:basedOn w:val="31"/>
    <w:qFormat/>
    <w:uiPriority w:val="0"/>
    <w:rPr>
      <w:rFonts w:hint="eastAsia" w:ascii="仿宋_GB2312" w:eastAsia="仿宋_GB2312" w:cs="仿宋_GB2312"/>
      <w:color w:val="000000"/>
      <w:sz w:val="22"/>
      <w:szCs w:val="22"/>
      <w:u w:val="none"/>
    </w:rPr>
  </w:style>
  <w:style w:type="character" w:customStyle="1" w:styleId="55">
    <w:name w:val="font01"/>
    <w:basedOn w:val="31"/>
    <w:qFormat/>
    <w:uiPriority w:val="0"/>
    <w:rPr>
      <w:rFonts w:hint="eastAsia" w:ascii="宋体" w:hAnsi="宋体" w:eastAsia="宋体" w:cs="宋体"/>
      <w:color w:val="000000"/>
      <w:sz w:val="22"/>
      <w:szCs w:val="22"/>
      <w:u w:val="none"/>
    </w:rPr>
  </w:style>
  <w:style w:type="character" w:customStyle="1" w:styleId="56">
    <w:name w:val="font31"/>
    <w:basedOn w:val="31"/>
    <w:qFormat/>
    <w:uiPriority w:val="0"/>
    <w:rPr>
      <w:rFonts w:hint="default" w:ascii="Times New Roman" w:hAnsi="Times New Roman" w:cs="Times New Roman"/>
      <w:color w:val="000000"/>
      <w:sz w:val="22"/>
      <w:szCs w:val="22"/>
      <w:u w:val="none"/>
    </w:rPr>
  </w:style>
  <w:style w:type="character" w:customStyle="1" w:styleId="57">
    <w:name w:val="font51"/>
    <w:basedOn w:val="31"/>
    <w:qFormat/>
    <w:uiPriority w:val="0"/>
    <w:rPr>
      <w:rFonts w:hint="eastAsia" w:ascii="仿宋_GB2312" w:eastAsia="仿宋_GB2312" w:cs="仿宋_GB2312"/>
      <w:color w:val="000000"/>
      <w:sz w:val="22"/>
      <w:szCs w:val="22"/>
      <w:u w:val="none"/>
    </w:rPr>
  </w:style>
  <w:style w:type="character" w:customStyle="1" w:styleId="58">
    <w:name w:val="font11"/>
    <w:basedOn w:val="31"/>
    <w:qFormat/>
    <w:uiPriority w:val="0"/>
    <w:rPr>
      <w:rFonts w:hint="eastAsia" w:ascii="宋体" w:hAnsi="宋体" w:eastAsia="宋体" w:cs="宋体"/>
      <w:color w:val="000000"/>
      <w:sz w:val="22"/>
      <w:szCs w:val="22"/>
      <w:u w:val="none"/>
    </w:rPr>
  </w:style>
  <w:style w:type="paragraph" w:customStyle="1" w:styleId="59">
    <w:name w:val="AZH正文"/>
    <w:qFormat/>
    <w:uiPriority w:val="0"/>
    <w:pPr>
      <w:autoSpaceDE w:val="0"/>
      <w:autoSpaceDN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60">
    <w:name w:val="页脚1"/>
    <w:basedOn w:val="1"/>
    <w:qFormat/>
    <w:uiPriority w:val="0"/>
    <w:pPr>
      <w:tabs>
        <w:tab w:val="center" w:pos="4153"/>
        <w:tab w:val="right" w:pos="8306"/>
      </w:tabs>
      <w:snapToGrid w:val="0"/>
      <w:jc w:val="left"/>
    </w:pPr>
    <w:rPr>
      <w:sz w:val="18"/>
    </w:rPr>
  </w:style>
  <w:style w:type="paragraph" w:customStyle="1" w:styleId="61">
    <w:name w:val="AZH标题3"/>
    <w:next w:val="1"/>
    <w:qFormat/>
    <w:uiPriority w:val="0"/>
    <w:pPr>
      <w:numPr>
        <w:ilvl w:val="2"/>
        <w:numId w:val="1"/>
      </w:numPr>
      <w:adjustRightInd w:val="0"/>
      <w:snapToGrid w:val="0"/>
      <w:spacing w:line="360" w:lineRule="auto"/>
      <w:outlineLvl w:val="2"/>
    </w:pPr>
    <w:rPr>
      <w:rFonts w:ascii="Arial" w:hAnsi="Arial" w:eastAsia="黑体" w:cs="Times New Roman"/>
      <w:kern w:val="2"/>
      <w:sz w:val="28"/>
      <w:szCs w:val="22"/>
      <w:lang w:val="en-US" w:eastAsia="zh-CN" w:bidi="ar-SA"/>
    </w:rPr>
  </w:style>
  <w:style w:type="paragraph" w:customStyle="1" w:styleId="62">
    <w:name w:val="AZH表头"/>
    <w:qFormat/>
    <w:uiPriority w:val="0"/>
    <w:pPr>
      <w:widowControl w:val="0"/>
      <w:tabs>
        <w:tab w:val="left" w:pos="6570"/>
      </w:tabs>
      <w:adjustRightInd w:val="0"/>
      <w:snapToGrid w:val="0"/>
      <w:spacing w:before="50" w:beforeLines="50"/>
      <w:jc w:val="left"/>
    </w:pPr>
    <w:rPr>
      <w:rFonts w:ascii="Times New Roman" w:hAnsi="Times New Roman" w:eastAsia="宋体" w:cs="Times New Roman"/>
      <w:b/>
      <w:kern w:val="0"/>
      <w:sz w:val="24"/>
      <w:szCs w:val="28"/>
      <w:lang w:val="en-US" w:eastAsia="zh-CN" w:bidi="ar-SA"/>
    </w:rPr>
  </w:style>
  <w:style w:type="paragraph" w:customStyle="1" w:styleId="63">
    <w:name w:val="AZH表格文字"/>
    <w:qFormat/>
    <w:uiPriority w:val="0"/>
    <w:pPr>
      <w:adjustRightInd w:val="0"/>
      <w:snapToGrid w:val="0"/>
      <w:jc w:val="center"/>
    </w:pPr>
    <w:rPr>
      <w:rFonts w:ascii="Times New Roman" w:hAnsi="Times New Roman" w:eastAsia="宋体" w:cs="Times New Roman"/>
      <w:kern w:val="2"/>
      <w:sz w:val="21"/>
      <w:szCs w:val="22"/>
      <w:lang w:val="en-US" w:eastAsia="zh-CN" w:bidi="ar-SA"/>
    </w:rPr>
  </w:style>
  <w:style w:type="paragraph" w:customStyle="1" w:styleId="64">
    <w:name w:val="AZH标题4"/>
    <w:next w:val="1"/>
    <w:qFormat/>
    <w:uiPriority w:val="0"/>
    <w:pPr>
      <w:numPr>
        <w:ilvl w:val="3"/>
        <w:numId w:val="1"/>
      </w:numPr>
      <w:adjustRightInd w:val="0"/>
      <w:snapToGrid w:val="0"/>
      <w:spacing w:line="360" w:lineRule="auto"/>
      <w:outlineLvl w:val="3"/>
    </w:pPr>
    <w:rPr>
      <w:rFonts w:ascii="Times New Roman" w:hAnsi="Times New Roman" w:eastAsia="黑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4221</Words>
  <Characters>5076</Characters>
  <Lines>220</Lines>
  <Paragraphs>62</Paragraphs>
  <TotalTime>170</TotalTime>
  <ScaleCrop>false</ScaleCrop>
  <LinksUpToDate>false</LinksUpToDate>
  <CharactersWithSpaces>5269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2021-08-23T02:00:00Z</dcterms:created>
  <dc:creator>llw</dc:creator>
  <cp:lastModifiedBy>蔡建莉</cp:lastModifiedBy>
  <cp:lastPrinted>2025-05-22T07:56:00Z</cp:lastPrinted>
  <dcterms:modified xsi:type="dcterms:W3CDTF">2025-08-21T00:58:38Z</dcterms:modified>
  <dc:title>芒市芒别水库生态养殖实施方案</dc:title>
  <cp:revision>690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59F1F4306F2F490B910E3A0A5BD2BA34_13</vt:lpwstr>
  </property>
  <property fmtid="{D5CDD505-2E9C-101B-9397-08002B2CF9AE}" pid="4" name="KSOTemplateDocerSaveRecord">
    <vt:lpwstr>eyJoZGlkIjoiODBiNTIwNDEwZDViM2YwYWI4MmRjNDZjNDkwNjMzOTIiLCJ1c2VySWQiOiIxNjYyNTc4OTgwIn0=</vt:lpwstr>
  </property>
</Properties>
</file>