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ind w:firstLine="0" w:firstLineChars="0"/>
        <w:jc w:val="center"/>
        <w:rPr>
          <w:rFonts w:cs="Times New Roman"/>
          <w:b/>
          <w:color w:val="auto"/>
          <w:sz w:val="28"/>
          <w:szCs w:val="28"/>
        </w:rPr>
      </w:pPr>
    </w:p>
    <w:p>
      <w:pPr>
        <w:spacing w:line="300" w:lineRule="auto"/>
        <w:ind w:firstLine="0" w:firstLineChars="0"/>
        <w:jc w:val="center"/>
        <w:rPr>
          <w:rFonts w:cs="Times New Roman"/>
          <w:b/>
          <w:color w:val="auto"/>
          <w:sz w:val="52"/>
          <w:szCs w:val="52"/>
        </w:rPr>
      </w:pPr>
      <w:r>
        <w:rPr>
          <w:rFonts w:hint="eastAsia" w:cs="Times New Roman"/>
          <w:b/>
          <w:color w:val="auto"/>
          <w:sz w:val="52"/>
          <w:szCs w:val="52"/>
        </w:rPr>
        <w:t>德宏州芒市大河流域户拉断面</w:t>
      </w:r>
    </w:p>
    <w:p>
      <w:pPr>
        <w:spacing w:line="300" w:lineRule="auto"/>
        <w:ind w:firstLine="0" w:firstLineChars="0"/>
        <w:jc w:val="center"/>
        <w:rPr>
          <w:rFonts w:cs="Times New Roman"/>
          <w:b/>
          <w:color w:val="auto"/>
          <w:sz w:val="52"/>
          <w:szCs w:val="52"/>
        </w:rPr>
      </w:pPr>
      <w:r>
        <w:rPr>
          <w:rFonts w:hint="eastAsia" w:cs="Times New Roman"/>
          <w:b/>
          <w:color w:val="auto"/>
          <w:sz w:val="52"/>
          <w:szCs w:val="52"/>
        </w:rPr>
        <w:t>水质提升项目</w:t>
      </w:r>
    </w:p>
    <w:p>
      <w:pPr>
        <w:spacing w:line="300" w:lineRule="auto"/>
        <w:ind w:firstLine="0" w:firstLineChars="0"/>
        <w:jc w:val="center"/>
        <w:rPr>
          <w:rFonts w:cs="Times New Roman"/>
          <w:b/>
          <w:color w:val="auto"/>
          <w:sz w:val="44"/>
          <w:szCs w:val="44"/>
        </w:rPr>
      </w:pPr>
    </w:p>
    <w:p>
      <w:pPr>
        <w:spacing w:line="300" w:lineRule="auto"/>
        <w:ind w:firstLine="0" w:firstLineChars="0"/>
        <w:jc w:val="center"/>
        <w:rPr>
          <w:rFonts w:cs="Times New Roman"/>
          <w:b/>
          <w:color w:val="auto"/>
          <w:sz w:val="72"/>
          <w:szCs w:val="72"/>
        </w:rPr>
      </w:pPr>
      <w:r>
        <w:rPr>
          <w:rFonts w:cs="Times New Roman"/>
          <w:b/>
          <w:color w:val="auto"/>
          <w:sz w:val="72"/>
          <w:szCs w:val="72"/>
        </w:rPr>
        <w:t>可</w:t>
      </w:r>
    </w:p>
    <w:p>
      <w:pPr>
        <w:spacing w:line="300" w:lineRule="auto"/>
        <w:ind w:firstLine="0" w:firstLineChars="0"/>
        <w:jc w:val="center"/>
        <w:rPr>
          <w:rFonts w:cs="Times New Roman"/>
          <w:b/>
          <w:color w:val="auto"/>
          <w:sz w:val="72"/>
          <w:szCs w:val="72"/>
        </w:rPr>
      </w:pPr>
      <w:r>
        <w:rPr>
          <w:rFonts w:cs="Times New Roman"/>
          <w:b/>
          <w:color w:val="auto"/>
          <w:sz w:val="72"/>
          <w:szCs w:val="72"/>
        </w:rPr>
        <w:t>行</w:t>
      </w:r>
    </w:p>
    <w:p>
      <w:pPr>
        <w:spacing w:line="300" w:lineRule="auto"/>
        <w:ind w:firstLine="0" w:firstLineChars="0"/>
        <w:jc w:val="center"/>
        <w:rPr>
          <w:rFonts w:cs="Times New Roman"/>
          <w:b/>
          <w:color w:val="auto"/>
          <w:sz w:val="72"/>
          <w:szCs w:val="72"/>
        </w:rPr>
      </w:pPr>
      <w:r>
        <w:rPr>
          <w:rFonts w:cs="Times New Roman"/>
          <w:b/>
          <w:color w:val="auto"/>
          <w:sz w:val="72"/>
          <w:szCs w:val="72"/>
        </w:rPr>
        <w:t>性</w:t>
      </w:r>
    </w:p>
    <w:p>
      <w:pPr>
        <w:spacing w:line="300" w:lineRule="auto"/>
        <w:ind w:firstLine="0" w:firstLineChars="0"/>
        <w:jc w:val="center"/>
        <w:rPr>
          <w:rFonts w:cs="Times New Roman"/>
          <w:b/>
          <w:color w:val="auto"/>
          <w:sz w:val="72"/>
          <w:szCs w:val="72"/>
        </w:rPr>
      </w:pPr>
      <w:r>
        <w:rPr>
          <w:rFonts w:cs="Times New Roman"/>
          <w:b/>
          <w:color w:val="auto"/>
          <w:sz w:val="72"/>
          <w:szCs w:val="72"/>
        </w:rPr>
        <w:t>研</w:t>
      </w:r>
    </w:p>
    <w:p>
      <w:pPr>
        <w:spacing w:line="300" w:lineRule="auto"/>
        <w:ind w:firstLine="0" w:firstLineChars="0"/>
        <w:jc w:val="center"/>
        <w:rPr>
          <w:rFonts w:cs="Times New Roman"/>
          <w:b/>
          <w:color w:val="auto"/>
          <w:sz w:val="72"/>
          <w:szCs w:val="72"/>
        </w:rPr>
      </w:pPr>
      <w:r>
        <w:rPr>
          <w:rFonts w:cs="Times New Roman"/>
          <w:b/>
          <w:color w:val="auto"/>
          <w:sz w:val="72"/>
          <w:szCs w:val="72"/>
        </w:rPr>
        <w:t>究</w:t>
      </w:r>
    </w:p>
    <w:p>
      <w:pPr>
        <w:spacing w:line="300" w:lineRule="auto"/>
        <w:ind w:firstLine="0" w:firstLineChars="0"/>
        <w:jc w:val="center"/>
        <w:rPr>
          <w:rFonts w:cs="Times New Roman"/>
          <w:b/>
          <w:color w:val="auto"/>
          <w:sz w:val="72"/>
          <w:szCs w:val="72"/>
        </w:rPr>
      </w:pPr>
      <w:r>
        <w:rPr>
          <w:rFonts w:cs="Times New Roman"/>
          <w:b/>
          <w:color w:val="auto"/>
          <w:sz w:val="72"/>
          <w:szCs w:val="72"/>
        </w:rPr>
        <w:t>报</w:t>
      </w:r>
    </w:p>
    <w:p>
      <w:pPr>
        <w:spacing w:line="300" w:lineRule="auto"/>
        <w:ind w:firstLine="0" w:firstLineChars="0"/>
        <w:jc w:val="center"/>
        <w:rPr>
          <w:rFonts w:cs="Times New Roman"/>
          <w:b/>
          <w:color w:val="auto"/>
          <w:sz w:val="72"/>
          <w:szCs w:val="72"/>
        </w:rPr>
      </w:pPr>
      <w:r>
        <w:rPr>
          <w:rFonts w:cs="Times New Roman"/>
          <w:b/>
          <w:color w:val="auto"/>
          <w:sz w:val="72"/>
          <w:szCs w:val="72"/>
        </w:rPr>
        <w:t>告</w:t>
      </w:r>
    </w:p>
    <w:p>
      <w:pPr>
        <w:spacing w:line="300" w:lineRule="auto"/>
        <w:ind w:firstLine="0" w:firstLineChars="0"/>
        <w:jc w:val="center"/>
        <w:rPr>
          <w:rFonts w:cs="Times New Roman"/>
          <w:b/>
          <w:color w:val="auto"/>
          <w:sz w:val="52"/>
          <w:szCs w:val="52"/>
        </w:rPr>
      </w:pPr>
    </w:p>
    <w:p>
      <w:pPr>
        <w:spacing w:line="300" w:lineRule="auto"/>
        <w:ind w:firstLine="0" w:firstLineChars="0"/>
        <w:jc w:val="center"/>
        <w:rPr>
          <w:rFonts w:cs="Times New Roman"/>
          <w:b/>
          <w:color w:val="auto"/>
          <w:sz w:val="52"/>
          <w:szCs w:val="52"/>
        </w:rPr>
      </w:pPr>
    </w:p>
    <w:p>
      <w:pPr>
        <w:spacing w:line="300" w:lineRule="auto"/>
        <w:ind w:firstLine="0" w:firstLineChars="0"/>
        <w:jc w:val="center"/>
        <w:rPr>
          <w:rFonts w:cs="Times New Roman"/>
          <w:b/>
          <w:color w:val="auto"/>
          <w:sz w:val="52"/>
          <w:szCs w:val="52"/>
        </w:rPr>
      </w:pPr>
    </w:p>
    <w:p>
      <w:pPr>
        <w:ind w:firstLine="0" w:firstLineChars="0"/>
        <w:jc w:val="center"/>
        <w:rPr>
          <w:rFonts w:cs="Times New Roman"/>
          <w:b/>
          <w:color w:val="auto"/>
          <w:szCs w:val="24"/>
        </w:rPr>
      </w:pPr>
      <w:r>
        <w:rPr>
          <w:rFonts w:cs="Times New Roman"/>
          <w:b/>
          <w:color w:val="auto"/>
          <w:szCs w:val="24"/>
        </w:rPr>
        <w:t>德宏州生态环境局芒市分局</w:t>
      </w:r>
    </w:p>
    <w:p>
      <w:pPr>
        <w:ind w:firstLine="0" w:firstLineChars="0"/>
        <w:jc w:val="center"/>
        <w:rPr>
          <w:rFonts w:cs="Times New Roman"/>
          <w:b/>
          <w:color w:val="auto"/>
          <w:szCs w:val="24"/>
        </w:rPr>
      </w:pPr>
      <w:r>
        <w:rPr>
          <w:rFonts w:cs="Times New Roman"/>
          <w:b/>
          <w:color w:val="auto"/>
          <w:szCs w:val="24"/>
        </w:rPr>
        <w:t>云南利鲁环境建设有限公司</w:t>
      </w:r>
    </w:p>
    <w:p>
      <w:pPr>
        <w:ind w:firstLine="0" w:firstLineChars="0"/>
        <w:jc w:val="center"/>
        <w:rPr>
          <w:rFonts w:cs="Times New Roman"/>
          <w:b/>
          <w:color w:val="auto"/>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655" w:gutter="0"/>
          <w:pgNumType w:fmt="upperRoman"/>
          <w:cols w:space="425" w:num="1"/>
          <w:docGrid w:type="lines" w:linePitch="312" w:charSpace="0"/>
        </w:sectPr>
      </w:pPr>
      <w:r>
        <w:rPr>
          <w:rFonts w:cs="Times New Roman"/>
          <w:b/>
          <w:color w:val="auto"/>
          <w:szCs w:val="24"/>
        </w:rPr>
        <w:t>2020年</w:t>
      </w:r>
      <w:r>
        <w:rPr>
          <w:rFonts w:hint="eastAsia" w:cs="Times New Roman"/>
          <w:b/>
          <w:color w:val="auto"/>
          <w:szCs w:val="24"/>
        </w:rPr>
        <w:t>4</w:t>
      </w:r>
      <w:r>
        <w:rPr>
          <w:rFonts w:cs="Times New Roman"/>
          <w:b/>
          <w:color w:val="auto"/>
          <w:szCs w:val="24"/>
        </w:rPr>
        <w:t>月</w:t>
      </w:r>
    </w:p>
    <w:p>
      <w:pPr>
        <w:ind w:firstLine="0" w:firstLineChars="0"/>
        <w:rPr>
          <w:rFonts w:cs="Times New Roman"/>
          <w:b/>
          <w:color w:val="auto"/>
          <w:szCs w:val="24"/>
        </w:rPr>
      </w:pPr>
    </w:p>
    <w:p>
      <w:pPr>
        <w:ind w:firstLine="0" w:firstLineChars="0"/>
        <w:jc w:val="center"/>
        <w:rPr>
          <w:rFonts w:cs="Times New Roman"/>
          <w:b/>
          <w:color w:val="auto"/>
          <w:szCs w:val="24"/>
          <w:lang w:val="zh-CN"/>
        </w:rPr>
      </w:pPr>
      <w:r>
        <w:rPr>
          <w:rFonts w:cs="Times New Roman"/>
          <w:b/>
          <w:color w:val="auto"/>
          <w:sz w:val="28"/>
          <w:szCs w:val="28"/>
        </w:rPr>
        <w:drawing>
          <wp:inline distT="0" distB="0" distL="0" distR="0">
            <wp:extent cx="4991100" cy="7058025"/>
            <wp:effectExtent l="19050" t="0" r="0" b="0"/>
            <wp:docPr id="9" name="图片 15" descr="J:\2019   工作\01 负责项目\01 马关镇水源地\07 190930复审修改稿\05 省厅汇报PPT\最新资质正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J:\2019   工作\01 负责项目\01 马关镇水源地\07 190930复审修改稿\05 省厅汇报PPT\最新资质正本.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88560" cy="7058025"/>
                    </a:xfrm>
                    <a:prstGeom prst="rect">
                      <a:avLst/>
                    </a:prstGeom>
                    <a:noFill/>
                    <a:ln>
                      <a:noFill/>
                    </a:ln>
                  </pic:spPr>
                </pic:pic>
              </a:graphicData>
            </a:graphic>
          </wp:inline>
        </w:drawing>
      </w:r>
    </w:p>
    <w:p>
      <w:pPr>
        <w:ind w:firstLine="482"/>
        <w:rPr>
          <w:rFonts w:cs="Times New Roman"/>
          <w:b/>
          <w:color w:val="auto"/>
          <w:szCs w:val="24"/>
          <w:lang w:val="zh-CN"/>
        </w:rPr>
      </w:pPr>
      <w:r>
        <w:rPr>
          <w:rFonts w:cs="Times New Roman"/>
          <w:b/>
          <w:color w:val="auto"/>
          <w:szCs w:val="24"/>
          <w:lang w:val="zh-CN"/>
        </w:rPr>
        <w:t>编制单位：云南利鲁环境建设有限公司</w:t>
      </w:r>
    </w:p>
    <w:p>
      <w:pPr>
        <w:ind w:firstLine="482"/>
        <w:rPr>
          <w:rFonts w:cs="Times New Roman"/>
          <w:b/>
          <w:color w:val="auto"/>
          <w:szCs w:val="24"/>
          <w:lang w:val="zh-CN"/>
        </w:rPr>
      </w:pPr>
      <w:r>
        <w:rPr>
          <w:rFonts w:cs="Times New Roman"/>
          <w:b/>
          <w:color w:val="auto"/>
          <w:szCs w:val="24"/>
          <w:lang w:val="zh-CN"/>
        </w:rPr>
        <w:t>编制单位地址：昆明市汇都中心D座13层</w:t>
      </w:r>
    </w:p>
    <w:p>
      <w:pPr>
        <w:ind w:firstLine="482"/>
        <w:rPr>
          <w:rFonts w:cs="Times New Roman"/>
          <w:b/>
          <w:color w:val="auto"/>
          <w:szCs w:val="24"/>
          <w:lang w:val="zh-CN"/>
        </w:rPr>
      </w:pPr>
      <w:r>
        <w:rPr>
          <w:rFonts w:cs="Times New Roman"/>
          <w:b/>
          <w:color w:val="auto"/>
          <w:szCs w:val="24"/>
          <w:lang w:val="zh-CN"/>
        </w:rPr>
        <w:t>编制单位邮编：650041</w:t>
      </w:r>
    </w:p>
    <w:p>
      <w:pPr>
        <w:ind w:firstLine="482"/>
        <w:rPr>
          <w:rFonts w:cs="Times New Roman"/>
          <w:b/>
          <w:color w:val="auto"/>
          <w:szCs w:val="24"/>
          <w:lang w:val="zh-CN"/>
        </w:rPr>
      </w:pPr>
      <w:r>
        <w:rPr>
          <w:rFonts w:cs="Times New Roman"/>
          <w:b/>
          <w:color w:val="auto"/>
          <w:szCs w:val="24"/>
          <w:lang w:val="zh-CN"/>
        </w:rPr>
        <w:t>电话：0871-63133212</w:t>
      </w:r>
    </w:p>
    <w:p>
      <w:pPr>
        <w:ind w:left="708" w:leftChars="295" w:firstLine="0" w:firstLineChars="0"/>
        <w:rPr>
          <w:rFonts w:cs="Times New Roman"/>
          <w:b/>
          <w:color w:val="auto"/>
          <w:szCs w:val="24"/>
        </w:rPr>
      </w:pPr>
      <w:r>
        <w:rPr>
          <w:rFonts w:cs="Times New Roman"/>
          <w:b/>
          <w:color w:val="auto"/>
          <w:szCs w:val="24"/>
        </w:rPr>
        <w:t>项目名称：</w:t>
      </w:r>
      <w:r>
        <w:rPr>
          <w:rFonts w:hint="eastAsia" w:cs="Times New Roman"/>
          <w:color w:val="auto"/>
          <w:szCs w:val="24"/>
        </w:rPr>
        <w:t>德宏州芒市大河流域户拉断面水质提升项目</w:t>
      </w:r>
    </w:p>
    <w:p>
      <w:pPr>
        <w:ind w:left="708" w:leftChars="295" w:firstLine="0" w:firstLineChars="0"/>
        <w:rPr>
          <w:rFonts w:cs="Times New Roman"/>
          <w:b/>
          <w:color w:val="auto"/>
          <w:szCs w:val="24"/>
        </w:rPr>
      </w:pPr>
      <w:r>
        <w:rPr>
          <w:rFonts w:cs="Times New Roman"/>
          <w:b/>
          <w:color w:val="auto"/>
          <w:szCs w:val="24"/>
        </w:rPr>
        <w:t>委托单位：</w:t>
      </w:r>
      <w:r>
        <w:rPr>
          <w:rFonts w:cs="Times New Roman"/>
          <w:color w:val="auto"/>
          <w:szCs w:val="24"/>
        </w:rPr>
        <w:t>德宏州生态环境局芒市分局</w:t>
      </w:r>
    </w:p>
    <w:p>
      <w:pPr>
        <w:snapToGrid w:val="0"/>
        <w:ind w:left="708" w:leftChars="295" w:firstLine="0" w:firstLineChars="0"/>
        <w:jc w:val="left"/>
        <w:rPr>
          <w:rFonts w:cs="Times New Roman"/>
          <w:color w:val="auto"/>
          <w:szCs w:val="24"/>
        </w:rPr>
      </w:pPr>
      <w:r>
        <w:rPr>
          <w:rFonts w:cs="Times New Roman"/>
          <w:b/>
          <w:color w:val="auto"/>
          <w:szCs w:val="24"/>
        </w:rPr>
        <w:t>编制单位：</w:t>
      </w:r>
      <w:r>
        <w:rPr>
          <w:rFonts w:cs="Times New Roman"/>
          <w:color w:val="auto"/>
          <w:szCs w:val="24"/>
        </w:rPr>
        <w:t>云南利鲁环境建设有限公司</w:t>
      </w:r>
    </w:p>
    <w:p>
      <w:pPr>
        <w:ind w:firstLine="723" w:firstLineChars="300"/>
        <w:rPr>
          <w:b/>
          <w:color w:val="auto"/>
          <w:szCs w:val="24"/>
        </w:rPr>
      </w:pPr>
      <w:r>
        <w:rPr>
          <w:rFonts w:cs="Times New Roman"/>
          <w:b/>
          <w:color w:val="auto"/>
          <w:szCs w:val="24"/>
        </w:rPr>
        <w:t>资质证书：</w:t>
      </w:r>
      <w:r>
        <w:rPr>
          <w:color w:val="auto"/>
          <w:szCs w:val="24"/>
        </w:rPr>
        <w:t>生态建设和环境工程工程咨询乙级</w:t>
      </w:r>
    </w:p>
    <w:p>
      <w:pPr>
        <w:ind w:firstLine="0" w:firstLineChars="0"/>
        <w:rPr>
          <w:rFonts w:hint="eastAsia"/>
          <w:color w:val="auto"/>
          <w:szCs w:val="24"/>
        </w:rPr>
      </w:pPr>
      <w:r>
        <w:rPr>
          <w:b/>
          <w:color w:val="auto"/>
          <w:szCs w:val="24"/>
        </w:rPr>
        <w:t xml:space="preserve"> </w:t>
      </w:r>
      <w:r>
        <w:rPr>
          <w:rFonts w:hint="eastAsia"/>
          <w:b/>
          <w:color w:val="auto"/>
          <w:szCs w:val="24"/>
        </w:rPr>
        <w:t xml:space="preserve">                 </w:t>
      </w:r>
      <w:r>
        <w:rPr>
          <w:rFonts w:hint="eastAsia"/>
          <w:color w:val="auto"/>
          <w:szCs w:val="24"/>
        </w:rPr>
        <w:t>证书</w:t>
      </w:r>
      <w:r>
        <w:rPr>
          <w:color w:val="auto"/>
          <w:szCs w:val="24"/>
        </w:rPr>
        <w:t>编号</w:t>
      </w:r>
      <w:r>
        <w:rPr>
          <w:rFonts w:hint="eastAsia"/>
          <w:color w:val="auto"/>
          <w:szCs w:val="24"/>
        </w:rPr>
        <w:t>：</w:t>
      </w:r>
      <w:r>
        <w:rPr>
          <w:color w:val="auto"/>
          <w:szCs w:val="24"/>
        </w:rPr>
        <w:t>91530100731194232C-19ZYY19</w:t>
      </w:r>
    </w:p>
    <w:p>
      <w:pPr>
        <w:ind w:firstLine="0" w:firstLineChars="0"/>
        <w:rPr>
          <w:b/>
          <w:color w:val="auto"/>
          <w:szCs w:val="24"/>
        </w:rPr>
      </w:pPr>
    </w:p>
    <w:p>
      <w:pPr>
        <w:snapToGrid w:val="0"/>
        <w:ind w:left="708" w:leftChars="295" w:firstLine="0" w:firstLineChars="0"/>
        <w:jc w:val="left"/>
        <w:rPr>
          <w:rFonts w:hint="eastAsia" w:cs="Times New Roman"/>
          <w:color w:val="auto"/>
          <w:szCs w:val="24"/>
        </w:rPr>
      </w:pPr>
      <w:r>
        <w:rPr>
          <w:rFonts w:cs="Times New Roman"/>
          <w:b/>
          <w:color w:val="auto"/>
          <w:szCs w:val="24"/>
        </w:rPr>
        <w:t>总工程师：</w:t>
      </w:r>
      <w:r>
        <w:rPr>
          <w:rFonts w:cs="Times New Roman"/>
          <w:color w:val="auto"/>
          <w:szCs w:val="24"/>
        </w:rPr>
        <w:t>苏一江 （正高级工程师 注册策划师）</w:t>
      </w:r>
    </w:p>
    <w:p>
      <w:pPr>
        <w:snapToGrid w:val="0"/>
        <w:ind w:left="708" w:leftChars="295" w:firstLine="0" w:firstLineChars="0"/>
        <w:rPr>
          <w:rFonts w:cs="Times New Roman"/>
          <w:color w:val="auto"/>
          <w:szCs w:val="24"/>
        </w:rPr>
      </w:pPr>
      <w:r>
        <w:rPr>
          <w:rFonts w:hint="eastAsia" w:cs="Times New Roman"/>
          <w:b/>
          <w:color w:val="auto"/>
          <w:szCs w:val="24"/>
        </w:rPr>
        <w:t>技术负责人</w:t>
      </w:r>
      <w:r>
        <w:rPr>
          <w:rFonts w:cs="Times New Roman"/>
          <w:color w:val="auto"/>
          <w:szCs w:val="24"/>
        </w:rPr>
        <w:t>：殷小锋 （高级工程师、环境工程）</w:t>
      </w:r>
    </w:p>
    <w:p>
      <w:pPr>
        <w:ind w:left="708" w:leftChars="295" w:firstLine="0" w:firstLineChars="0"/>
        <w:outlineLvl w:val="0"/>
        <w:rPr>
          <w:rFonts w:cs="Times New Roman"/>
          <w:color w:val="auto"/>
          <w:szCs w:val="24"/>
        </w:rPr>
      </w:pPr>
    </w:p>
    <w:p>
      <w:pPr>
        <w:snapToGrid w:val="0"/>
        <w:ind w:left="708" w:leftChars="295" w:firstLine="0" w:firstLineChars="0"/>
        <w:rPr>
          <w:rFonts w:cs="Times New Roman"/>
          <w:b/>
          <w:color w:val="auto"/>
          <w:szCs w:val="24"/>
        </w:rPr>
      </w:pPr>
      <w:r>
        <w:rPr>
          <w:rFonts w:cs="Times New Roman"/>
          <w:b/>
          <w:color w:val="auto"/>
          <w:szCs w:val="24"/>
        </w:rPr>
        <w:t>环境保护设计研究所</w:t>
      </w:r>
    </w:p>
    <w:p>
      <w:pPr>
        <w:snapToGrid w:val="0"/>
        <w:ind w:left="708" w:leftChars="295" w:firstLine="0" w:firstLineChars="0"/>
        <w:rPr>
          <w:rFonts w:cs="Times New Roman"/>
          <w:color w:val="auto"/>
          <w:szCs w:val="24"/>
        </w:rPr>
      </w:pPr>
      <w:r>
        <w:rPr>
          <w:rFonts w:cs="Times New Roman"/>
          <w:b/>
          <w:color w:val="auto"/>
          <w:szCs w:val="24"/>
        </w:rPr>
        <w:t>所    长</w:t>
      </w:r>
      <w:r>
        <w:rPr>
          <w:rFonts w:cs="Times New Roman"/>
          <w:color w:val="auto"/>
          <w:szCs w:val="24"/>
        </w:rPr>
        <w:t>：张洪铭 （高级工程师、环境</w:t>
      </w:r>
      <w:r>
        <w:rPr>
          <w:rFonts w:hint="eastAsia" w:cs="Times New Roman"/>
          <w:color w:val="auto"/>
          <w:szCs w:val="24"/>
        </w:rPr>
        <w:t>生态</w:t>
      </w:r>
      <w:r>
        <w:rPr>
          <w:rFonts w:cs="Times New Roman"/>
          <w:color w:val="auto"/>
          <w:szCs w:val="24"/>
        </w:rPr>
        <w:t>）</w:t>
      </w:r>
    </w:p>
    <w:p>
      <w:pPr>
        <w:snapToGrid w:val="0"/>
        <w:ind w:left="708" w:leftChars="295" w:firstLine="0" w:firstLineChars="0"/>
        <w:rPr>
          <w:rFonts w:cs="Times New Roman"/>
          <w:color w:val="auto"/>
          <w:szCs w:val="24"/>
        </w:rPr>
      </w:pPr>
      <w:r>
        <w:rPr>
          <w:rFonts w:cs="Times New Roman"/>
          <w:b/>
          <w:color w:val="auto"/>
          <w:szCs w:val="24"/>
        </w:rPr>
        <w:t>总</w:t>
      </w:r>
      <w:r>
        <w:rPr>
          <w:rFonts w:hint="eastAsia" w:cs="Times New Roman"/>
          <w:b/>
          <w:color w:val="auto"/>
          <w:szCs w:val="24"/>
        </w:rPr>
        <w:t xml:space="preserve">    </w:t>
      </w:r>
      <w:r>
        <w:rPr>
          <w:rFonts w:cs="Times New Roman"/>
          <w:b/>
          <w:color w:val="auto"/>
          <w:szCs w:val="24"/>
        </w:rPr>
        <w:t>工：</w:t>
      </w:r>
      <w:r>
        <w:rPr>
          <w:rFonts w:cs="Times New Roman"/>
          <w:color w:val="auto"/>
          <w:szCs w:val="24"/>
        </w:rPr>
        <w:t>李文宾 （工程师、环境工程）</w:t>
      </w:r>
    </w:p>
    <w:p>
      <w:pPr>
        <w:ind w:left="708" w:leftChars="295" w:firstLine="0" w:firstLineChars="0"/>
        <w:rPr>
          <w:rFonts w:cs="Times New Roman"/>
          <w:color w:val="auto"/>
          <w:szCs w:val="24"/>
        </w:rPr>
      </w:pPr>
    </w:p>
    <w:p>
      <w:pPr>
        <w:snapToGrid w:val="0"/>
        <w:ind w:left="708" w:leftChars="295" w:firstLine="0" w:firstLineChars="0"/>
        <w:rPr>
          <w:rFonts w:cs="Times New Roman"/>
          <w:color w:val="auto"/>
          <w:szCs w:val="24"/>
        </w:rPr>
      </w:pPr>
      <w:r>
        <w:rPr>
          <w:rFonts w:cs="Times New Roman"/>
          <w:b/>
          <w:color w:val="auto"/>
          <w:szCs w:val="24"/>
        </w:rPr>
        <w:t>项目负责人：</w:t>
      </w:r>
      <w:r>
        <w:rPr>
          <w:rFonts w:cs="Times New Roman"/>
          <w:color w:val="auto"/>
          <w:szCs w:val="24"/>
        </w:rPr>
        <w:t xml:space="preserve">  </w:t>
      </w:r>
      <w:r>
        <w:rPr>
          <w:rFonts w:hint="eastAsia" w:cs="Times New Roman"/>
          <w:color w:val="auto"/>
          <w:szCs w:val="24"/>
        </w:rPr>
        <w:t>李文宾</w:t>
      </w:r>
      <w:r>
        <w:rPr>
          <w:rFonts w:cs="Times New Roman"/>
          <w:color w:val="auto"/>
          <w:szCs w:val="24"/>
        </w:rPr>
        <w:t>（工程师、环境工程）</w:t>
      </w:r>
    </w:p>
    <w:p>
      <w:pPr>
        <w:snapToGrid w:val="0"/>
        <w:ind w:left="708" w:leftChars="295" w:firstLine="0" w:firstLineChars="0"/>
        <w:jc w:val="left"/>
        <w:rPr>
          <w:rFonts w:cs="Times New Roman"/>
          <w:color w:val="auto"/>
          <w:szCs w:val="24"/>
        </w:rPr>
      </w:pPr>
      <w:r>
        <w:rPr>
          <w:rFonts w:cs="Times New Roman"/>
          <w:b/>
          <w:color w:val="auto"/>
          <w:szCs w:val="24"/>
        </w:rPr>
        <w:t>项目编制人员：</w:t>
      </w:r>
      <w:r>
        <w:rPr>
          <w:rFonts w:cs="Times New Roman"/>
          <w:color w:val="auto"/>
          <w:szCs w:val="24"/>
        </w:rPr>
        <w:t>尹继保（注册咨询工程师，咨登3020111200070）</w:t>
      </w:r>
    </w:p>
    <w:p>
      <w:pPr>
        <w:snapToGrid w:val="0"/>
        <w:ind w:left="2410" w:leftChars="1004" w:firstLine="0" w:firstLineChars="0"/>
        <w:jc w:val="left"/>
        <w:rPr>
          <w:rFonts w:cs="Times New Roman"/>
          <w:color w:val="auto"/>
          <w:szCs w:val="24"/>
        </w:rPr>
      </w:pPr>
      <w:r>
        <w:rPr>
          <w:rFonts w:cs="Times New Roman"/>
          <w:color w:val="auto"/>
          <w:szCs w:val="24"/>
        </w:rPr>
        <w:t>杨秀峰（注册咨询工程师，咨登3020081200045）</w:t>
      </w:r>
    </w:p>
    <w:p>
      <w:pPr>
        <w:snapToGrid w:val="0"/>
        <w:ind w:left="2410" w:leftChars="1004" w:firstLine="0" w:firstLineChars="0"/>
        <w:jc w:val="left"/>
        <w:rPr>
          <w:rFonts w:cs="Times New Roman"/>
          <w:color w:val="auto"/>
          <w:szCs w:val="24"/>
        </w:rPr>
      </w:pPr>
      <w:r>
        <w:rPr>
          <w:rFonts w:cs="Times New Roman"/>
          <w:color w:val="auto"/>
          <w:szCs w:val="24"/>
        </w:rPr>
        <w:t>张  雷（注册咨询工程师，咨登3020091200083）</w:t>
      </w:r>
    </w:p>
    <w:p>
      <w:pPr>
        <w:snapToGrid w:val="0"/>
        <w:ind w:left="2410" w:leftChars="1004" w:firstLine="0" w:firstLineChars="0"/>
        <w:jc w:val="left"/>
        <w:rPr>
          <w:rFonts w:cs="Times New Roman"/>
          <w:color w:val="auto"/>
          <w:szCs w:val="24"/>
        </w:rPr>
      </w:pPr>
      <w:r>
        <w:rPr>
          <w:rFonts w:cs="Times New Roman"/>
          <w:color w:val="auto"/>
          <w:szCs w:val="24"/>
        </w:rPr>
        <w:t>魏  星 (注册咨询工程师，咨登3020141200123)</w:t>
      </w:r>
    </w:p>
    <w:p>
      <w:pPr>
        <w:snapToGrid w:val="0"/>
        <w:ind w:left="2410" w:leftChars="1004" w:firstLine="0" w:firstLineChars="0"/>
        <w:jc w:val="left"/>
        <w:rPr>
          <w:rFonts w:cs="Times New Roman"/>
          <w:color w:val="auto"/>
          <w:szCs w:val="24"/>
        </w:rPr>
      </w:pPr>
      <w:r>
        <w:rPr>
          <w:rFonts w:cs="Times New Roman"/>
          <w:color w:val="auto"/>
          <w:szCs w:val="24"/>
        </w:rPr>
        <w:t>张健康 (注册咨询工程师，咨登3020141200122)</w:t>
      </w:r>
    </w:p>
    <w:p>
      <w:pPr>
        <w:snapToGrid w:val="0"/>
        <w:ind w:left="2410" w:leftChars="1004" w:firstLine="0" w:firstLineChars="0"/>
        <w:jc w:val="left"/>
        <w:rPr>
          <w:rFonts w:cs="Times New Roman"/>
          <w:color w:val="auto"/>
          <w:szCs w:val="24"/>
        </w:rPr>
      </w:pPr>
      <w:r>
        <w:rPr>
          <w:rFonts w:cs="Times New Roman"/>
          <w:color w:val="auto"/>
          <w:szCs w:val="24"/>
        </w:rPr>
        <w:t>李雪红 (注册咨询工程师，咨登3020051200255)</w:t>
      </w:r>
    </w:p>
    <w:p>
      <w:pPr>
        <w:snapToGrid w:val="0"/>
        <w:ind w:left="2410" w:leftChars="1004" w:firstLine="0" w:firstLineChars="0"/>
        <w:jc w:val="left"/>
        <w:rPr>
          <w:rFonts w:cs="Times New Roman"/>
          <w:color w:val="auto"/>
          <w:szCs w:val="24"/>
        </w:rPr>
      </w:pPr>
      <w:r>
        <w:rPr>
          <w:rFonts w:cs="Times New Roman"/>
          <w:color w:val="auto"/>
          <w:szCs w:val="24"/>
        </w:rPr>
        <w:t>苏一波（建筑工程高级工程师）</w:t>
      </w:r>
    </w:p>
    <w:p>
      <w:pPr>
        <w:snapToGrid w:val="0"/>
        <w:ind w:left="2410" w:leftChars="1004" w:firstLine="0" w:firstLineChars="0"/>
        <w:jc w:val="left"/>
        <w:rPr>
          <w:rFonts w:cs="Times New Roman"/>
          <w:color w:val="auto"/>
          <w:szCs w:val="24"/>
        </w:rPr>
      </w:pPr>
      <w:r>
        <w:rPr>
          <w:rFonts w:cs="Times New Roman"/>
          <w:color w:val="auto"/>
          <w:szCs w:val="24"/>
        </w:rPr>
        <w:t>苏月姑（高级工程师、环境工程）</w:t>
      </w:r>
    </w:p>
    <w:p>
      <w:pPr>
        <w:snapToGrid w:val="0"/>
        <w:ind w:left="2410" w:leftChars="1004" w:firstLine="0" w:firstLineChars="0"/>
        <w:jc w:val="left"/>
        <w:rPr>
          <w:rFonts w:cs="Times New Roman"/>
          <w:color w:val="auto"/>
          <w:szCs w:val="24"/>
        </w:rPr>
      </w:pPr>
      <w:r>
        <w:rPr>
          <w:rFonts w:cs="Times New Roman"/>
          <w:color w:val="auto"/>
          <w:szCs w:val="24"/>
        </w:rPr>
        <w:t>张  伟（工程师、环境工程）</w:t>
      </w:r>
    </w:p>
    <w:p>
      <w:pPr>
        <w:snapToGrid w:val="0"/>
        <w:ind w:left="2410" w:leftChars="1004" w:firstLine="0" w:firstLineChars="0"/>
        <w:jc w:val="left"/>
        <w:rPr>
          <w:rFonts w:cs="Times New Roman"/>
          <w:color w:val="auto"/>
          <w:szCs w:val="24"/>
        </w:rPr>
      </w:pPr>
      <w:r>
        <w:rPr>
          <w:rFonts w:hint="eastAsia" w:cs="Times New Roman"/>
          <w:color w:val="auto"/>
          <w:szCs w:val="24"/>
        </w:rPr>
        <w:t>董选锋</w:t>
      </w:r>
      <w:r>
        <w:rPr>
          <w:rFonts w:cs="Times New Roman"/>
          <w:color w:val="auto"/>
          <w:szCs w:val="24"/>
        </w:rPr>
        <w:t>（工程师、环境工程）</w:t>
      </w:r>
    </w:p>
    <w:p>
      <w:pPr>
        <w:ind w:left="708" w:leftChars="295" w:firstLine="0" w:firstLineChars="0"/>
        <w:rPr>
          <w:rFonts w:hint="eastAsia" w:cs="Times New Roman"/>
          <w:color w:val="auto"/>
          <w:szCs w:val="24"/>
        </w:rPr>
      </w:pPr>
    </w:p>
    <w:p>
      <w:pPr>
        <w:ind w:left="708" w:leftChars="295" w:firstLine="0" w:firstLineChars="0"/>
        <w:rPr>
          <w:rFonts w:hint="eastAsia" w:cs="Times New Roman"/>
          <w:color w:val="auto"/>
          <w:szCs w:val="24"/>
        </w:rPr>
      </w:pPr>
    </w:p>
    <w:p>
      <w:pPr>
        <w:ind w:left="708" w:leftChars="295" w:firstLine="0" w:firstLineChars="0"/>
        <w:rPr>
          <w:rFonts w:cs="Times New Roman"/>
          <w:color w:val="auto"/>
          <w:szCs w:val="24"/>
        </w:rPr>
      </w:pPr>
      <w:r>
        <w:rPr>
          <w:rFonts w:cs="Times New Roman"/>
          <w:color w:val="auto"/>
          <w:szCs w:val="24"/>
        </w:rPr>
        <w:t xml:space="preserve">       </w:t>
      </w:r>
    </w:p>
    <w:p>
      <w:pPr>
        <w:snapToGrid w:val="0"/>
        <w:ind w:left="708" w:leftChars="295" w:firstLine="0" w:firstLineChars="0"/>
        <w:jc w:val="left"/>
        <w:rPr>
          <w:rFonts w:cs="Times New Roman"/>
          <w:color w:val="auto"/>
          <w:szCs w:val="24"/>
        </w:rPr>
      </w:pPr>
      <w:r>
        <w:rPr>
          <w:rFonts w:cs="Times New Roman"/>
          <w:color w:val="auto"/>
          <w:szCs w:val="24"/>
        </w:rPr>
        <w:t>校   对： 苏月姑</w:t>
      </w:r>
    </w:p>
    <w:p>
      <w:pPr>
        <w:snapToGrid w:val="0"/>
        <w:ind w:left="708" w:leftChars="295" w:firstLine="0" w:firstLineChars="0"/>
        <w:jc w:val="left"/>
        <w:rPr>
          <w:rFonts w:cs="Times New Roman"/>
          <w:color w:val="auto"/>
          <w:szCs w:val="24"/>
        </w:rPr>
      </w:pPr>
      <w:r>
        <w:rPr>
          <w:rFonts w:cs="Times New Roman"/>
          <w:color w:val="auto"/>
          <w:szCs w:val="24"/>
        </w:rPr>
        <w:t>审   核： 殷小锋</w:t>
      </w:r>
    </w:p>
    <w:p>
      <w:pPr>
        <w:snapToGrid w:val="0"/>
        <w:ind w:left="708" w:leftChars="295" w:firstLine="0" w:firstLineChars="0"/>
        <w:jc w:val="left"/>
        <w:rPr>
          <w:rFonts w:cs="Times New Roman"/>
          <w:color w:val="auto"/>
          <w:szCs w:val="24"/>
        </w:rPr>
      </w:pPr>
      <w:r>
        <w:rPr>
          <w:rFonts w:cs="Times New Roman"/>
          <w:color w:val="auto"/>
          <w:szCs w:val="24"/>
        </w:rPr>
        <w:t>审   定： 甄晓云</w:t>
      </w:r>
    </w:p>
    <w:p>
      <w:pPr>
        <w:pStyle w:val="3"/>
        <w:rPr>
          <w:color w:val="auto"/>
        </w:rPr>
        <w:sectPr>
          <w:headerReference r:id="rId11" w:type="default"/>
          <w:footerReference r:id="rId12" w:type="default"/>
          <w:pgSz w:w="11906" w:h="16838"/>
          <w:pgMar w:top="1440" w:right="1800" w:bottom="1440" w:left="1800" w:header="851" w:footer="655" w:gutter="0"/>
          <w:pgNumType w:fmt="upperRoman" w:start="1"/>
          <w:cols w:space="425" w:num="1"/>
          <w:docGrid w:type="lines" w:linePitch="312" w:charSpace="0"/>
        </w:sectPr>
      </w:pPr>
    </w:p>
    <w:p>
      <w:pPr>
        <w:pStyle w:val="111"/>
        <w:rPr>
          <w:rStyle w:val="94"/>
          <w:rFonts w:ascii="Times New Roman" w:hAnsi="Times New Roman"/>
        </w:rPr>
      </w:pPr>
      <w:r>
        <w:rPr>
          <w:rStyle w:val="94"/>
          <w:rFonts w:ascii="Times New Roman" w:hAnsi="Times New Roman"/>
        </w:rPr>
        <w:t>目录</w:t>
      </w:r>
    </w:p>
    <w:p>
      <w:pPr>
        <w:pStyle w:val="59"/>
        <w:rPr>
          <w:b w:val="0"/>
          <w:bCs w:val="0"/>
          <w:caps w:val="0"/>
          <w:szCs w:val="22"/>
        </w:rPr>
      </w:pPr>
      <w:r>
        <w:rPr>
          <w:sz w:val="20"/>
          <w:szCs w:val="20"/>
        </w:rPr>
        <w:fldChar w:fldCharType="begin"/>
      </w:r>
      <w:r>
        <w:instrText xml:space="preserve"> TOC \o "1-3" \h \z \u </w:instrText>
      </w:r>
      <w:r>
        <w:rPr>
          <w:sz w:val="20"/>
          <w:szCs w:val="20"/>
        </w:rPr>
        <w:fldChar w:fldCharType="separate"/>
      </w:r>
      <w:r>
        <w:fldChar w:fldCharType="begin"/>
      </w:r>
      <w:r>
        <w:instrText xml:space="preserve"> HYPERLINK \l "_Toc48640700" </w:instrText>
      </w:r>
      <w:r>
        <w:fldChar w:fldCharType="separate"/>
      </w:r>
      <w:r>
        <w:rPr>
          <w:rStyle w:val="95"/>
        </w:rPr>
        <w:t>第一章</w:t>
      </w:r>
      <w:r>
        <w:rPr>
          <w:b w:val="0"/>
          <w:bCs w:val="0"/>
          <w:caps w:val="0"/>
          <w:szCs w:val="22"/>
        </w:rPr>
        <w:tab/>
      </w:r>
      <w:r>
        <w:rPr>
          <w:rStyle w:val="95"/>
        </w:rPr>
        <w:t>总论</w:t>
      </w:r>
      <w:r>
        <w:tab/>
      </w:r>
      <w:r>
        <w:fldChar w:fldCharType="begin"/>
      </w:r>
      <w:r>
        <w:instrText xml:space="preserve"> PAGEREF _Toc48640700 \h </w:instrText>
      </w:r>
      <w:r>
        <w:fldChar w:fldCharType="separate"/>
      </w:r>
      <w:r>
        <w:t>1</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"_Toc48640701" </w:instrText>
      </w:r>
      <w:r>
        <w:fldChar w:fldCharType="separate"/>
      </w:r>
      <w:r>
        <w:rPr>
          <w:rStyle w:val="95"/>
          <w:rFonts w:ascii="Times New Roman" w:eastAsia="仿宋_GB2312" w:cs="Times New Roman"/>
        </w:rPr>
        <w:t>1.1</w:t>
      </w:r>
      <w:r>
        <w:rPr>
          <w:rFonts w:ascii="Times New Roman" w:eastAsia="仿宋_GB2312" w:cs="Times New Roman"/>
          <w:smallCaps w:val="0"/>
          <w:color w:val="auto"/>
          <w:sz w:val="21"/>
          <w:szCs w:val="22"/>
        </w:rPr>
        <w:tab/>
      </w:r>
      <w:r>
        <w:rPr>
          <w:rStyle w:val="95"/>
          <w:rFonts w:ascii="Times New Roman" w:eastAsia="仿宋_GB2312" w:cs="Times New Roman"/>
        </w:rPr>
        <w:t>项目名称、主管部门、承办单位及项目地点</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_Toc48640701 \h </w:instrText>
      </w:r>
      <w:r>
        <w:rPr>
          <w:rFonts w:ascii="Times New Roman" w:eastAsia="仿宋_GB2312" w:cs="Times New Roman"/>
        </w:rPr>
        <w:fldChar w:fldCharType="separate"/>
      </w:r>
      <w:r>
        <w:rPr>
          <w:rFonts w:ascii="Times New Roman" w:eastAsia="仿宋_GB2312" w:cs="Times New Roman"/>
        </w:rPr>
        <w:t>1</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"_Toc48640702" </w:instrText>
      </w:r>
      <w:r>
        <w:fldChar w:fldCharType="separate"/>
      </w:r>
      <w:r>
        <w:rPr>
          <w:rStyle w:val="95"/>
          <w:rFonts w:ascii="Times New Roman" w:eastAsia="仿宋_GB2312" w:cs="Times New Roman"/>
        </w:rPr>
        <w:t>1.2</w:t>
      </w:r>
      <w:r>
        <w:rPr>
          <w:rFonts w:ascii="Times New Roman" w:eastAsia="仿宋_GB2312" w:cs="Times New Roman"/>
          <w:smallCaps w:val="0"/>
          <w:color w:val="auto"/>
          <w:sz w:val="21"/>
          <w:szCs w:val="22"/>
        </w:rPr>
        <w:tab/>
      </w:r>
      <w:r>
        <w:rPr>
          <w:rStyle w:val="95"/>
          <w:rFonts w:ascii="Times New Roman" w:eastAsia="仿宋_GB2312" w:cs="Times New Roman"/>
        </w:rPr>
        <w:t>项目建设的背景</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_Toc48640702 \h </w:instrText>
      </w:r>
      <w:r>
        <w:rPr>
          <w:rFonts w:ascii="Times New Roman" w:eastAsia="仿宋_GB2312" w:cs="Times New Roman"/>
        </w:rPr>
        <w:fldChar w:fldCharType="separate"/>
      </w:r>
      <w:r>
        <w:rPr>
          <w:rFonts w:ascii="Times New Roman" w:eastAsia="仿宋_GB2312" w:cs="Times New Roman"/>
        </w:rPr>
        <w:t>1</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"_Toc48640703" </w:instrText>
      </w:r>
      <w:r>
        <w:fldChar w:fldCharType="separate"/>
      </w:r>
      <w:r>
        <w:rPr>
          <w:rStyle w:val="95"/>
          <w:rFonts w:ascii="Times New Roman" w:eastAsia="仿宋_GB2312" w:cs="Times New Roman"/>
        </w:rPr>
        <w:t>1.3</w:t>
      </w:r>
      <w:r>
        <w:rPr>
          <w:rFonts w:ascii="Times New Roman" w:eastAsia="仿宋_GB2312" w:cs="Times New Roman"/>
          <w:smallCaps w:val="0"/>
          <w:color w:val="auto"/>
          <w:sz w:val="21"/>
          <w:szCs w:val="22"/>
        </w:rPr>
        <w:tab/>
      </w:r>
      <w:r>
        <w:rPr>
          <w:rStyle w:val="95"/>
          <w:rFonts w:ascii="Times New Roman" w:eastAsia="仿宋_GB2312" w:cs="Times New Roman"/>
        </w:rPr>
        <w:t>编制依据</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_Toc48640703 \h </w:instrText>
      </w:r>
      <w:r>
        <w:rPr>
          <w:rFonts w:ascii="Times New Roman" w:eastAsia="仿宋_GB2312" w:cs="Times New Roman"/>
        </w:rPr>
        <w:fldChar w:fldCharType="separate"/>
      </w:r>
      <w:r>
        <w:rPr>
          <w:rFonts w:ascii="Times New Roman" w:eastAsia="仿宋_GB2312" w:cs="Times New Roman"/>
        </w:rPr>
        <w:t>2</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"_Toc48640704" </w:instrText>
      </w:r>
      <w:r>
        <w:fldChar w:fldCharType="separate"/>
      </w:r>
      <w:r>
        <w:rPr>
          <w:rStyle w:val="95"/>
          <w:rFonts w:ascii="Times New Roman" w:eastAsia="仿宋_GB2312" w:cs="Times New Roman"/>
          <w:i w:val="0"/>
        </w:rPr>
        <w:t>1.3.1</w:t>
      </w:r>
      <w:r>
        <w:rPr>
          <w:rFonts w:ascii="Times New Roman" w:eastAsia="仿宋_GB2312" w:cs="Times New Roman"/>
          <w:i w:val="0"/>
          <w:iCs w:val="0"/>
          <w:color w:val="auto"/>
          <w:sz w:val="21"/>
          <w:szCs w:val="22"/>
        </w:rPr>
        <w:tab/>
      </w:r>
      <w:r>
        <w:rPr>
          <w:rStyle w:val="95"/>
          <w:rFonts w:ascii="Times New Roman" w:eastAsia="仿宋_GB2312" w:cs="Times New Roman"/>
          <w:i w:val="0"/>
        </w:rPr>
        <w:t>法律法规</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_Toc48640704 \h </w:instrText>
      </w:r>
      <w:r>
        <w:rPr>
          <w:rFonts w:ascii="Times New Roman" w:eastAsia="仿宋_GB2312" w:cs="Times New Roman"/>
          <w:i w:val="0"/>
        </w:rPr>
        <w:fldChar w:fldCharType="separate"/>
      </w:r>
      <w:r>
        <w:rPr>
          <w:rFonts w:ascii="Times New Roman" w:eastAsia="仿宋_GB2312" w:cs="Times New Roman"/>
          <w:i w:val="0"/>
        </w:rPr>
        <w:t>2</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"_Toc48640705" </w:instrText>
      </w:r>
      <w:r>
        <w:fldChar w:fldCharType="separate"/>
      </w:r>
      <w:r>
        <w:rPr>
          <w:rStyle w:val="95"/>
          <w:rFonts w:ascii="Times New Roman" w:eastAsia="仿宋_GB2312" w:cs="Times New Roman"/>
          <w:i w:val="0"/>
        </w:rPr>
        <w:t>1.3.2</w:t>
      </w:r>
      <w:r>
        <w:rPr>
          <w:rFonts w:ascii="Times New Roman" w:eastAsia="仿宋_GB2312" w:cs="Times New Roman"/>
          <w:i w:val="0"/>
          <w:iCs w:val="0"/>
          <w:color w:val="auto"/>
          <w:sz w:val="21"/>
          <w:szCs w:val="22"/>
        </w:rPr>
        <w:tab/>
      </w:r>
      <w:r>
        <w:rPr>
          <w:rStyle w:val="95"/>
          <w:rFonts w:ascii="Times New Roman" w:eastAsia="仿宋_GB2312" w:cs="Times New Roman"/>
          <w:i w:val="0"/>
        </w:rPr>
        <w:t>政策文件及规划</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_Toc48640705 \h </w:instrText>
      </w:r>
      <w:r>
        <w:rPr>
          <w:rFonts w:ascii="Times New Roman" w:eastAsia="仿宋_GB2312" w:cs="Times New Roman"/>
          <w:i w:val="0"/>
        </w:rPr>
        <w:fldChar w:fldCharType="separate"/>
      </w:r>
      <w:r>
        <w:rPr>
          <w:rFonts w:ascii="Times New Roman" w:eastAsia="仿宋_GB2312" w:cs="Times New Roman"/>
          <w:i w:val="0"/>
        </w:rPr>
        <w:t>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"_Toc48640706" </w:instrText>
      </w:r>
      <w:r>
        <w:fldChar w:fldCharType="separate"/>
      </w:r>
      <w:r>
        <w:rPr>
          <w:rStyle w:val="95"/>
          <w:rFonts w:ascii="Times New Roman" w:eastAsia="仿宋_GB2312" w:cs="Times New Roman"/>
          <w:i w:val="0"/>
        </w:rPr>
        <w:t>1.3.3</w:t>
      </w:r>
      <w:r>
        <w:rPr>
          <w:rFonts w:ascii="Times New Roman" w:eastAsia="仿宋_GB2312" w:cs="Times New Roman"/>
          <w:i w:val="0"/>
          <w:iCs w:val="0"/>
          <w:color w:val="auto"/>
          <w:sz w:val="21"/>
          <w:szCs w:val="22"/>
        </w:rPr>
        <w:tab/>
      </w:r>
      <w:r>
        <w:rPr>
          <w:rStyle w:val="95"/>
          <w:rFonts w:ascii="Times New Roman" w:eastAsia="仿宋_GB2312" w:cs="Times New Roman"/>
          <w:i w:val="0"/>
        </w:rPr>
        <w:t>标准规范</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_Toc48640706 \h </w:instrText>
      </w:r>
      <w:r>
        <w:rPr>
          <w:rFonts w:ascii="Times New Roman" w:eastAsia="仿宋_GB2312" w:cs="Times New Roman"/>
          <w:i w:val="0"/>
        </w:rPr>
        <w:fldChar w:fldCharType="separate"/>
      </w:r>
      <w:r>
        <w:rPr>
          <w:rFonts w:ascii="Times New Roman" w:eastAsia="仿宋_GB2312" w:cs="Times New Roman"/>
          <w:i w:val="0"/>
        </w:rPr>
        <w:t>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"_Toc48640707" </w:instrText>
      </w:r>
      <w:r>
        <w:fldChar w:fldCharType="separate"/>
      </w:r>
      <w:r>
        <w:rPr>
          <w:rStyle w:val="95"/>
          <w:rFonts w:ascii="Times New Roman" w:eastAsia="仿宋_GB2312" w:cs="Times New Roman"/>
          <w:i w:val="0"/>
        </w:rPr>
        <w:t>1.3.4</w:t>
      </w:r>
      <w:r>
        <w:rPr>
          <w:rFonts w:ascii="Times New Roman" w:eastAsia="仿宋_GB2312" w:cs="Times New Roman"/>
          <w:i w:val="0"/>
          <w:iCs w:val="0"/>
          <w:color w:val="auto"/>
          <w:sz w:val="21"/>
          <w:szCs w:val="22"/>
        </w:rPr>
        <w:tab/>
      </w:r>
      <w:r>
        <w:rPr>
          <w:rStyle w:val="95"/>
          <w:rFonts w:ascii="Times New Roman" w:eastAsia="仿宋_GB2312" w:cs="Times New Roman"/>
          <w:i w:val="0"/>
        </w:rPr>
        <w:t>相关支撑性文件依据</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_Toc48640707 \h </w:instrText>
      </w:r>
      <w:r>
        <w:rPr>
          <w:rFonts w:ascii="Times New Roman" w:eastAsia="仿宋_GB2312" w:cs="Times New Roman"/>
          <w:i w:val="0"/>
        </w:rPr>
        <w:fldChar w:fldCharType="separate"/>
      </w:r>
      <w:r>
        <w:rPr>
          <w:rFonts w:ascii="Times New Roman" w:eastAsia="仿宋_GB2312" w:cs="Times New Roman"/>
          <w:i w:val="0"/>
        </w:rPr>
        <w:t>4</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"_Toc48640708" </w:instrText>
      </w:r>
      <w:r>
        <w:fldChar w:fldCharType="separate"/>
      </w:r>
      <w:r>
        <w:rPr>
          <w:rStyle w:val="95"/>
          <w:rFonts w:ascii="Times New Roman" w:eastAsia="仿宋_GB2312" w:cs="Times New Roman"/>
        </w:rPr>
        <w:t>1.4</w:t>
      </w:r>
      <w:r>
        <w:rPr>
          <w:rFonts w:ascii="Times New Roman" w:eastAsia="仿宋_GB2312" w:cs="Times New Roman"/>
          <w:smallCaps w:val="0"/>
          <w:color w:val="auto"/>
          <w:sz w:val="21"/>
          <w:szCs w:val="22"/>
        </w:rPr>
        <w:tab/>
      </w:r>
      <w:r>
        <w:rPr>
          <w:rStyle w:val="95"/>
          <w:rFonts w:ascii="Times New Roman" w:eastAsia="仿宋_GB2312" w:cs="Times New Roman"/>
        </w:rPr>
        <w:t>编制原则</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_Toc48640708 \h </w:instrText>
      </w:r>
      <w:r>
        <w:rPr>
          <w:rFonts w:ascii="Times New Roman" w:eastAsia="仿宋_GB2312" w:cs="Times New Roman"/>
        </w:rPr>
        <w:fldChar w:fldCharType="separate"/>
      </w:r>
      <w:r>
        <w:rPr>
          <w:rFonts w:ascii="Times New Roman" w:eastAsia="仿宋_GB2312" w:cs="Times New Roman"/>
        </w:rPr>
        <w:t>4</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"_Toc48640709" </w:instrText>
      </w:r>
      <w:r>
        <w:fldChar w:fldCharType="separate"/>
      </w:r>
      <w:r>
        <w:rPr>
          <w:rStyle w:val="95"/>
          <w:rFonts w:ascii="Times New Roman" w:eastAsia="仿宋_GB2312" w:cs="Times New Roman"/>
        </w:rPr>
        <w:t>1.5</w:t>
      </w:r>
      <w:r>
        <w:rPr>
          <w:rFonts w:ascii="Times New Roman" w:eastAsia="仿宋_GB2312" w:cs="Times New Roman"/>
          <w:smallCaps w:val="0"/>
          <w:color w:val="auto"/>
          <w:sz w:val="21"/>
          <w:szCs w:val="22"/>
        </w:rPr>
        <w:tab/>
      </w:r>
      <w:r>
        <w:rPr>
          <w:rStyle w:val="95"/>
          <w:rFonts w:ascii="Times New Roman" w:eastAsia="仿宋_GB2312" w:cs="Times New Roman"/>
        </w:rPr>
        <w:t>编制范围</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_Toc48640709 \h </w:instrText>
      </w:r>
      <w:r>
        <w:rPr>
          <w:rFonts w:ascii="Times New Roman" w:eastAsia="仿宋_GB2312" w:cs="Times New Roman"/>
        </w:rPr>
        <w:fldChar w:fldCharType="separate"/>
      </w:r>
      <w:r>
        <w:rPr>
          <w:rFonts w:ascii="Times New Roman" w:eastAsia="仿宋_GB2312" w:cs="Times New Roman"/>
        </w:rPr>
        <w:t>5</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"_Toc48640710" </w:instrText>
      </w:r>
      <w:r>
        <w:fldChar w:fldCharType="separate"/>
      </w:r>
      <w:r>
        <w:rPr>
          <w:rStyle w:val="95"/>
          <w:rFonts w:ascii="Times New Roman" w:eastAsia="仿宋_GB2312" w:cs="Times New Roman"/>
        </w:rPr>
        <w:t>1.6</w:t>
      </w:r>
      <w:r>
        <w:rPr>
          <w:rFonts w:ascii="Times New Roman" w:eastAsia="仿宋_GB2312" w:cs="Times New Roman"/>
          <w:smallCaps w:val="0"/>
          <w:color w:val="auto"/>
          <w:sz w:val="21"/>
          <w:szCs w:val="22"/>
        </w:rPr>
        <w:tab/>
      </w:r>
      <w:r>
        <w:rPr>
          <w:rStyle w:val="95"/>
          <w:rFonts w:ascii="Times New Roman" w:eastAsia="仿宋_GB2312" w:cs="Times New Roman"/>
        </w:rPr>
        <w:t>主要结论</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_Toc48640710 \h </w:instrText>
      </w:r>
      <w:r>
        <w:rPr>
          <w:rFonts w:ascii="Times New Roman" w:eastAsia="仿宋_GB2312" w:cs="Times New Roman"/>
        </w:rPr>
        <w:fldChar w:fldCharType="separate"/>
      </w:r>
      <w:r>
        <w:rPr>
          <w:rFonts w:ascii="Times New Roman" w:eastAsia="仿宋_GB2312" w:cs="Times New Roman"/>
        </w:rPr>
        <w:t>5</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"_Toc48640711" </w:instrText>
      </w:r>
      <w:r>
        <w:fldChar w:fldCharType="separate"/>
      </w:r>
      <w:r>
        <w:rPr>
          <w:rStyle w:val="95"/>
          <w:rFonts w:ascii="Times New Roman" w:eastAsia="仿宋_GB2312" w:cs="Times New Roman"/>
          <w:i w:val="0"/>
        </w:rPr>
        <w:t>1.6.1</w:t>
      </w:r>
      <w:r>
        <w:rPr>
          <w:rFonts w:ascii="Times New Roman" w:eastAsia="仿宋_GB2312" w:cs="Times New Roman"/>
          <w:i w:val="0"/>
          <w:iCs w:val="0"/>
          <w:color w:val="auto"/>
          <w:sz w:val="21"/>
          <w:szCs w:val="22"/>
        </w:rPr>
        <w:tab/>
      </w:r>
      <w:r>
        <w:rPr>
          <w:rStyle w:val="95"/>
          <w:rFonts w:ascii="Times New Roman" w:eastAsia="仿宋_GB2312" w:cs="Times New Roman"/>
          <w:i w:val="0"/>
        </w:rPr>
        <w:t>工程内容及经济技术指标</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_Toc48640711 \h </w:instrText>
      </w:r>
      <w:r>
        <w:rPr>
          <w:rFonts w:ascii="Times New Roman" w:eastAsia="仿宋_GB2312" w:cs="Times New Roman"/>
          <w:i w:val="0"/>
        </w:rPr>
        <w:fldChar w:fldCharType="separate"/>
      </w:r>
      <w:r>
        <w:rPr>
          <w:rFonts w:ascii="Times New Roman" w:eastAsia="仿宋_GB2312" w:cs="Times New Roman"/>
          <w:i w:val="0"/>
        </w:rPr>
        <w:t>5</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"_Toc48640712" </w:instrText>
      </w:r>
      <w:r>
        <w:fldChar w:fldCharType="separate"/>
      </w:r>
      <w:r>
        <w:rPr>
          <w:rStyle w:val="95"/>
          <w:rFonts w:ascii="Times New Roman" w:eastAsia="仿宋_GB2312" w:cs="Times New Roman"/>
          <w:i w:val="0"/>
        </w:rPr>
        <w:t>1.6.2</w:t>
      </w:r>
      <w:r>
        <w:rPr>
          <w:rFonts w:ascii="Times New Roman" w:eastAsia="仿宋_GB2312" w:cs="Times New Roman"/>
          <w:i w:val="0"/>
          <w:iCs w:val="0"/>
          <w:color w:val="auto"/>
          <w:sz w:val="21"/>
          <w:szCs w:val="22"/>
        </w:rPr>
        <w:tab/>
      </w:r>
      <w:r>
        <w:rPr>
          <w:rStyle w:val="95"/>
          <w:rFonts w:ascii="Times New Roman" w:eastAsia="仿宋_GB2312" w:cs="Times New Roman"/>
          <w:i w:val="0"/>
        </w:rPr>
        <w:t>工程投资</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_Toc48640712 \h </w:instrText>
      </w:r>
      <w:r>
        <w:rPr>
          <w:rFonts w:ascii="Times New Roman" w:eastAsia="仿宋_GB2312" w:cs="Times New Roman"/>
          <w:i w:val="0"/>
        </w:rPr>
        <w:fldChar w:fldCharType="separate"/>
      </w:r>
      <w:r>
        <w:rPr>
          <w:rFonts w:ascii="Times New Roman" w:eastAsia="仿宋_GB2312" w:cs="Times New Roman"/>
          <w:i w:val="0"/>
        </w:rPr>
        <w:t>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"_Toc48640713" </w:instrText>
      </w:r>
      <w:r>
        <w:fldChar w:fldCharType="separate"/>
      </w:r>
      <w:r>
        <w:rPr>
          <w:rStyle w:val="95"/>
          <w:rFonts w:ascii="Times New Roman" w:eastAsia="仿宋_GB2312" w:cs="Times New Roman"/>
          <w:i w:val="0"/>
        </w:rPr>
        <w:t>1.6.3</w:t>
      </w:r>
      <w:r>
        <w:rPr>
          <w:rFonts w:ascii="Times New Roman" w:eastAsia="仿宋_GB2312" w:cs="Times New Roman"/>
          <w:i w:val="0"/>
          <w:iCs w:val="0"/>
          <w:color w:val="auto"/>
          <w:sz w:val="21"/>
          <w:szCs w:val="22"/>
        </w:rPr>
        <w:tab/>
      </w:r>
      <w:r>
        <w:rPr>
          <w:rStyle w:val="95"/>
          <w:rFonts w:ascii="Times New Roman" w:eastAsia="仿宋_GB2312" w:cs="Times New Roman"/>
          <w:i w:val="0"/>
        </w:rPr>
        <w:t>建设周期</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_Toc48640713 \h </w:instrText>
      </w:r>
      <w:r>
        <w:rPr>
          <w:rFonts w:ascii="Times New Roman" w:eastAsia="仿宋_GB2312" w:cs="Times New Roman"/>
          <w:i w:val="0"/>
        </w:rPr>
        <w:fldChar w:fldCharType="separate"/>
      </w:r>
      <w:r>
        <w:rPr>
          <w:rFonts w:ascii="Times New Roman" w:eastAsia="仿宋_GB2312" w:cs="Times New Roman"/>
          <w:i w:val="0"/>
        </w:rPr>
        <w:t>6</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"_Toc48640714" </w:instrText>
      </w:r>
      <w:r>
        <w:fldChar w:fldCharType="separate"/>
      </w:r>
      <w:r>
        <w:rPr>
          <w:rStyle w:val="95"/>
        </w:rPr>
        <w:t>第二章</w:t>
      </w:r>
      <w:r>
        <w:rPr>
          <w:b w:val="0"/>
          <w:bCs w:val="0"/>
          <w:caps w:val="0"/>
          <w:szCs w:val="22"/>
        </w:rPr>
        <w:tab/>
      </w:r>
      <w:r>
        <w:rPr>
          <w:rStyle w:val="95"/>
        </w:rPr>
        <w:t>区域概况</w:t>
      </w:r>
      <w:r>
        <w:tab/>
      </w:r>
      <w:r>
        <w:fldChar w:fldCharType="begin"/>
      </w:r>
      <w:r>
        <w:instrText xml:space="preserve"> PAGEREF _Toc48640714 \h </w:instrText>
      </w:r>
      <w:r>
        <w:fldChar w:fldCharType="separate"/>
      </w:r>
      <w:r>
        <w:t>7</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"_Toc48640715" </w:instrText>
      </w:r>
      <w:r>
        <w:fldChar w:fldCharType="separate"/>
      </w:r>
      <w:r>
        <w:rPr>
          <w:rStyle w:val="95"/>
          <w:rFonts w:ascii="Times New Roman" w:eastAsia="仿宋_GB2312" w:cs="Times New Roman"/>
        </w:rPr>
        <w:t>2.1</w:t>
      </w:r>
      <w:r>
        <w:rPr>
          <w:rFonts w:ascii="Times New Roman" w:eastAsia="仿宋_GB2312" w:cs="Times New Roman"/>
          <w:smallCaps w:val="0"/>
          <w:color w:val="auto"/>
          <w:sz w:val="21"/>
          <w:szCs w:val="22"/>
        </w:rPr>
        <w:tab/>
      </w:r>
      <w:r>
        <w:rPr>
          <w:rStyle w:val="95"/>
          <w:rFonts w:ascii="Times New Roman" w:eastAsia="仿宋_GB2312" w:cs="Times New Roman"/>
        </w:rPr>
        <w:t>区域自然环境及社会经济</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_Toc48640715 \h </w:instrText>
      </w:r>
      <w:r>
        <w:rPr>
          <w:rFonts w:ascii="Times New Roman" w:eastAsia="仿宋_GB2312" w:cs="Times New Roman"/>
        </w:rPr>
        <w:fldChar w:fldCharType="separate"/>
      </w:r>
      <w:r>
        <w:rPr>
          <w:rFonts w:ascii="Times New Roman" w:eastAsia="仿宋_GB2312" w:cs="Times New Roman"/>
        </w:rPr>
        <w:t>7</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"_Toc48640716" </w:instrText>
      </w:r>
      <w:r>
        <w:fldChar w:fldCharType="separate"/>
      </w:r>
      <w:r>
        <w:rPr>
          <w:rStyle w:val="95"/>
          <w:rFonts w:ascii="Times New Roman" w:eastAsia="仿宋_GB2312" w:cs="Times New Roman"/>
          <w:i w:val="0"/>
        </w:rPr>
        <w:t>2.1.1</w:t>
      </w:r>
      <w:r>
        <w:rPr>
          <w:rFonts w:ascii="Times New Roman" w:eastAsia="仿宋_GB2312" w:cs="Times New Roman"/>
          <w:i w:val="0"/>
          <w:iCs w:val="0"/>
          <w:color w:val="auto"/>
          <w:sz w:val="21"/>
          <w:szCs w:val="22"/>
        </w:rPr>
        <w:tab/>
      </w:r>
      <w:r>
        <w:rPr>
          <w:rStyle w:val="95"/>
          <w:rFonts w:ascii="Times New Roman" w:eastAsia="仿宋_GB2312" w:cs="Times New Roman"/>
          <w:i w:val="0"/>
        </w:rPr>
        <w:t>自然环境</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_Toc48640716 \h </w:instrText>
      </w:r>
      <w:r>
        <w:rPr>
          <w:rFonts w:ascii="Times New Roman" w:eastAsia="仿宋_GB2312" w:cs="Times New Roman"/>
          <w:i w:val="0"/>
        </w:rPr>
        <w:fldChar w:fldCharType="separate"/>
      </w:r>
      <w:r>
        <w:rPr>
          <w:rFonts w:ascii="Times New Roman" w:eastAsia="仿宋_GB2312" w:cs="Times New Roman"/>
          <w:i w:val="0"/>
        </w:rPr>
        <w:t>7</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"_Toc48640717" </w:instrText>
      </w:r>
      <w:r>
        <w:fldChar w:fldCharType="separate"/>
      </w:r>
      <w:r>
        <w:rPr>
          <w:rStyle w:val="95"/>
          <w:rFonts w:ascii="Times New Roman" w:eastAsia="仿宋_GB2312" w:cs="Times New Roman"/>
          <w:i w:val="0"/>
        </w:rPr>
        <w:t>2.1.2</w:t>
      </w:r>
      <w:r>
        <w:rPr>
          <w:rFonts w:ascii="Times New Roman" w:eastAsia="仿宋_GB2312" w:cs="Times New Roman"/>
          <w:i w:val="0"/>
          <w:iCs w:val="0"/>
          <w:color w:val="auto"/>
          <w:sz w:val="21"/>
          <w:szCs w:val="22"/>
        </w:rPr>
        <w:tab/>
      </w:r>
      <w:r>
        <w:rPr>
          <w:rStyle w:val="95"/>
          <w:rFonts w:ascii="Times New Roman" w:eastAsia="仿宋_GB2312" w:cs="Times New Roman"/>
          <w:i w:val="0"/>
        </w:rPr>
        <w:t>社会经济</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_Toc48640717 \h </w:instrText>
      </w:r>
      <w:r>
        <w:rPr>
          <w:rFonts w:ascii="Times New Roman" w:eastAsia="仿宋_GB2312" w:cs="Times New Roman"/>
          <w:i w:val="0"/>
        </w:rPr>
        <w:fldChar w:fldCharType="separate"/>
      </w:r>
      <w:r>
        <w:rPr>
          <w:rFonts w:ascii="Times New Roman" w:eastAsia="仿宋_GB2312" w:cs="Times New Roman"/>
          <w:i w:val="0"/>
        </w:rPr>
        <w:t>13</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"_Toc48640718" </w:instrText>
      </w:r>
      <w:r>
        <w:fldChar w:fldCharType="separate"/>
      </w:r>
      <w:r>
        <w:rPr>
          <w:rStyle w:val="95"/>
          <w:rFonts w:ascii="Times New Roman" w:eastAsia="仿宋_GB2312" w:cs="Times New Roman"/>
        </w:rPr>
        <w:t>2.2</w:t>
      </w:r>
      <w:r>
        <w:rPr>
          <w:rFonts w:ascii="Times New Roman" w:eastAsia="仿宋_GB2312" w:cs="Times New Roman"/>
          <w:smallCaps w:val="0"/>
          <w:color w:val="auto"/>
          <w:sz w:val="21"/>
          <w:szCs w:val="22"/>
        </w:rPr>
        <w:tab/>
      </w:r>
      <w:r>
        <w:rPr>
          <w:rStyle w:val="95"/>
          <w:rFonts w:ascii="Times New Roman" w:eastAsia="仿宋_GB2312" w:cs="Times New Roman"/>
        </w:rPr>
        <w:t>村庄环境现状</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_Toc48640718 \h </w:instrText>
      </w:r>
      <w:r>
        <w:rPr>
          <w:rFonts w:ascii="Times New Roman" w:eastAsia="仿宋_GB2312" w:cs="Times New Roman"/>
        </w:rPr>
        <w:fldChar w:fldCharType="separate"/>
      </w:r>
      <w:r>
        <w:rPr>
          <w:rFonts w:ascii="Times New Roman" w:eastAsia="仿宋_GB2312" w:cs="Times New Roman"/>
        </w:rPr>
        <w:t>15</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"_Toc48640719" </w:instrText>
      </w:r>
      <w:r>
        <w:fldChar w:fldCharType="separate"/>
      </w:r>
      <w:r>
        <w:rPr>
          <w:rStyle w:val="95"/>
          <w:rFonts w:ascii="Times New Roman" w:eastAsia="仿宋_GB2312" w:cs="Times New Roman"/>
          <w:i w:val="0"/>
          <w:lang w:val="zh-CN"/>
        </w:rPr>
        <w:t>2.2.1</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供水、排水现状</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_Toc48640719 \h </w:instrText>
      </w:r>
      <w:r>
        <w:rPr>
          <w:rFonts w:ascii="Times New Roman" w:eastAsia="仿宋_GB2312" w:cs="Times New Roman"/>
          <w:i w:val="0"/>
        </w:rPr>
        <w:fldChar w:fldCharType="separate"/>
      </w:r>
      <w:r>
        <w:rPr>
          <w:rFonts w:ascii="Times New Roman" w:eastAsia="仿宋_GB2312" w:cs="Times New Roman"/>
          <w:i w:val="0"/>
        </w:rPr>
        <w:t>15</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"_Toc48640720" </w:instrText>
      </w:r>
      <w:r>
        <w:fldChar w:fldCharType="separate"/>
      </w:r>
      <w:r>
        <w:rPr>
          <w:rStyle w:val="95"/>
          <w:rFonts w:ascii="Times New Roman" w:eastAsia="仿宋_GB2312" w:cs="Times New Roman"/>
          <w:i w:val="0"/>
          <w:lang w:val="zh-CN"/>
        </w:rPr>
        <w:t>2.2.2</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生活污水收集处理现状</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_Toc48640720 \h </w:instrText>
      </w:r>
      <w:r>
        <w:rPr>
          <w:rFonts w:ascii="Times New Roman" w:eastAsia="仿宋_GB2312" w:cs="Times New Roman"/>
          <w:i w:val="0"/>
        </w:rPr>
        <w:fldChar w:fldCharType="separate"/>
      </w:r>
      <w:r>
        <w:rPr>
          <w:rFonts w:ascii="Times New Roman" w:eastAsia="仿宋_GB2312" w:cs="Times New Roman"/>
          <w:i w:val="0"/>
        </w:rPr>
        <w:t>15</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"_Toc48640721" </w:instrText>
      </w:r>
      <w:r>
        <w:fldChar w:fldCharType="separate"/>
      </w:r>
      <w:r>
        <w:rPr>
          <w:rStyle w:val="95"/>
          <w:rFonts w:ascii="Times New Roman" w:eastAsia="仿宋_GB2312" w:cs="Times New Roman"/>
        </w:rPr>
        <w:t>2.3</w:t>
      </w:r>
      <w:r>
        <w:rPr>
          <w:rFonts w:ascii="Times New Roman" w:eastAsia="仿宋_GB2312" w:cs="Times New Roman"/>
          <w:smallCaps w:val="0"/>
          <w:color w:val="auto"/>
          <w:sz w:val="21"/>
          <w:szCs w:val="22"/>
        </w:rPr>
        <w:tab/>
      </w:r>
      <w:r>
        <w:rPr>
          <w:rStyle w:val="95"/>
          <w:rFonts w:ascii="Times New Roman" w:eastAsia="仿宋_GB2312" w:cs="Times New Roman"/>
        </w:rPr>
        <w:t>主要环境问题分析</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_Toc48640721 \h </w:instrText>
      </w:r>
      <w:r>
        <w:rPr>
          <w:rFonts w:ascii="Times New Roman" w:eastAsia="仿宋_GB2312" w:cs="Times New Roman"/>
        </w:rPr>
        <w:fldChar w:fldCharType="separate"/>
      </w:r>
      <w:r>
        <w:rPr>
          <w:rFonts w:ascii="Times New Roman" w:eastAsia="仿宋_GB2312" w:cs="Times New Roman"/>
        </w:rPr>
        <w:t>16</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"_Toc48640722" </w:instrText>
      </w:r>
      <w:r>
        <w:fldChar w:fldCharType="separate"/>
      </w:r>
      <w:r>
        <w:rPr>
          <w:rStyle w:val="95"/>
        </w:rPr>
        <w:t>第三章</w:t>
      </w:r>
      <w:r>
        <w:rPr>
          <w:b w:val="0"/>
          <w:bCs w:val="0"/>
          <w:caps w:val="0"/>
          <w:szCs w:val="22"/>
        </w:rPr>
        <w:tab/>
      </w:r>
      <w:r>
        <w:rPr>
          <w:rStyle w:val="95"/>
        </w:rPr>
        <w:t>项目的重要性及必要性</w:t>
      </w:r>
      <w:r>
        <w:tab/>
      </w:r>
      <w:r>
        <w:fldChar w:fldCharType="begin"/>
      </w:r>
      <w:r>
        <w:instrText xml:space="preserve"> PAGEREF _Toc48640722 \h </w:instrText>
      </w:r>
      <w:r>
        <w:fldChar w:fldCharType="separate"/>
      </w:r>
      <w:r>
        <w:t>18</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"_Toc48640723" </w:instrText>
      </w:r>
      <w:r>
        <w:fldChar w:fldCharType="separate"/>
      </w:r>
      <w:r>
        <w:rPr>
          <w:rStyle w:val="95"/>
          <w:rFonts w:ascii="Times New Roman" w:eastAsia="仿宋_GB2312" w:cs="Times New Roman"/>
        </w:rPr>
        <w:t>3.1</w:t>
      </w:r>
      <w:r>
        <w:rPr>
          <w:rFonts w:ascii="Times New Roman" w:eastAsia="仿宋_GB2312" w:cs="Times New Roman"/>
          <w:smallCaps w:val="0"/>
          <w:color w:val="auto"/>
          <w:sz w:val="21"/>
          <w:szCs w:val="22"/>
        </w:rPr>
        <w:tab/>
      </w:r>
      <w:r>
        <w:rPr>
          <w:rStyle w:val="95"/>
          <w:rFonts w:ascii="Times New Roman" w:eastAsia="仿宋_GB2312" w:cs="Times New Roman"/>
        </w:rPr>
        <w:t>贯彻水污染防治工作方案的需要</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_Toc48640723 \h </w:instrText>
      </w:r>
      <w:r>
        <w:rPr>
          <w:rFonts w:ascii="Times New Roman" w:eastAsia="仿宋_GB2312" w:cs="Times New Roman"/>
        </w:rPr>
        <w:fldChar w:fldCharType="separate"/>
      </w:r>
      <w:r>
        <w:rPr>
          <w:rFonts w:ascii="Times New Roman" w:eastAsia="仿宋_GB2312" w:cs="Times New Roman"/>
        </w:rPr>
        <w:t>18</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"_Toc48640724" </w:instrText>
      </w:r>
      <w:r>
        <w:fldChar w:fldCharType="separate"/>
      </w:r>
      <w:r>
        <w:rPr>
          <w:rStyle w:val="95"/>
          <w:rFonts w:ascii="Times New Roman" w:eastAsia="仿宋_GB2312" w:cs="Times New Roman"/>
        </w:rPr>
        <w:t>3.2</w:t>
      </w:r>
      <w:r>
        <w:rPr>
          <w:rFonts w:ascii="Times New Roman" w:eastAsia="仿宋_GB2312" w:cs="Times New Roman"/>
          <w:smallCaps w:val="0"/>
          <w:color w:val="auto"/>
          <w:sz w:val="21"/>
          <w:szCs w:val="22"/>
        </w:rPr>
        <w:tab/>
      </w:r>
      <w:r>
        <w:rPr>
          <w:rStyle w:val="95"/>
          <w:rFonts w:ascii="Times New Roman" w:eastAsia="仿宋_GB2312" w:cs="Times New Roman"/>
        </w:rPr>
        <w:t>经济与环境协调发展的需要</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_Toc48640724 \h </w:instrText>
      </w:r>
      <w:r>
        <w:rPr>
          <w:rFonts w:ascii="Times New Roman" w:eastAsia="仿宋_GB2312" w:cs="Times New Roman"/>
        </w:rPr>
        <w:fldChar w:fldCharType="separate"/>
      </w:r>
      <w:r>
        <w:rPr>
          <w:rFonts w:ascii="Times New Roman" w:eastAsia="仿宋_GB2312" w:cs="Times New Roman"/>
        </w:rPr>
        <w:t>18</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"_Toc48640725" </w:instrText>
      </w:r>
      <w:r>
        <w:fldChar w:fldCharType="separate"/>
      </w:r>
      <w:r>
        <w:rPr>
          <w:rStyle w:val="95"/>
          <w:rFonts w:ascii="Times New Roman" w:eastAsia="仿宋_GB2312" w:cs="Times New Roman"/>
        </w:rPr>
        <w:t>3.3</w:t>
      </w:r>
      <w:r>
        <w:rPr>
          <w:rFonts w:ascii="Times New Roman" w:eastAsia="仿宋_GB2312" w:cs="Times New Roman"/>
          <w:smallCaps w:val="0"/>
          <w:color w:val="auto"/>
          <w:sz w:val="21"/>
          <w:szCs w:val="22"/>
        </w:rPr>
        <w:tab/>
      </w:r>
      <w:r>
        <w:rPr>
          <w:rStyle w:val="95"/>
          <w:rFonts w:ascii="Times New Roman" w:eastAsia="仿宋_GB2312" w:cs="Times New Roman"/>
        </w:rPr>
        <w:t>改善人居环境的需要</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_Toc48640725 \h </w:instrText>
      </w:r>
      <w:r>
        <w:rPr>
          <w:rFonts w:ascii="Times New Roman" w:eastAsia="仿宋_GB2312" w:cs="Times New Roman"/>
        </w:rPr>
        <w:fldChar w:fldCharType="separate"/>
      </w:r>
      <w:r>
        <w:rPr>
          <w:rFonts w:ascii="Times New Roman" w:eastAsia="仿宋_GB2312" w:cs="Times New Roman"/>
        </w:rPr>
        <w:t>18</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"_Toc48640726" </w:instrText>
      </w:r>
      <w:r>
        <w:fldChar w:fldCharType="separate"/>
      </w:r>
      <w:r>
        <w:rPr>
          <w:rStyle w:val="95"/>
        </w:rPr>
        <w:t>第四章</w:t>
      </w:r>
      <w:r>
        <w:rPr>
          <w:b w:val="0"/>
          <w:bCs w:val="0"/>
          <w:caps w:val="0"/>
          <w:szCs w:val="22"/>
        </w:rPr>
        <w:tab/>
      </w:r>
      <w:r>
        <w:rPr>
          <w:rStyle w:val="95"/>
        </w:rPr>
        <w:t>工程总体设计思路</w:t>
      </w:r>
      <w:r>
        <w:tab/>
      </w:r>
      <w:r>
        <w:fldChar w:fldCharType="begin"/>
      </w:r>
      <w:r>
        <w:instrText xml:space="preserve"> PAGEREF _Toc48640726 \h </w:instrText>
      </w:r>
      <w:r>
        <w:fldChar w:fldCharType="separate"/>
      </w:r>
      <w:r>
        <w:t>20</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"_Toc48640727" </w:instrText>
      </w:r>
      <w:r>
        <w:fldChar w:fldCharType="separate"/>
      </w:r>
      <w:r>
        <w:rPr>
          <w:rStyle w:val="95"/>
          <w:rFonts w:ascii="Times New Roman" w:eastAsia="仿宋_GB2312" w:cs="Times New Roman"/>
        </w:rPr>
        <w:t>4.1</w:t>
      </w:r>
      <w:r>
        <w:rPr>
          <w:rFonts w:ascii="Times New Roman" w:eastAsia="仿宋_GB2312" w:cs="Times New Roman"/>
          <w:smallCaps w:val="0"/>
          <w:color w:val="auto"/>
          <w:sz w:val="21"/>
          <w:szCs w:val="22"/>
        </w:rPr>
        <w:tab/>
      </w:r>
      <w:r>
        <w:rPr>
          <w:rStyle w:val="95"/>
          <w:rFonts w:ascii="Times New Roman" w:eastAsia="仿宋_GB2312" w:cs="Times New Roman"/>
        </w:rPr>
        <w:t>指导思想</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_Toc48640727 \h </w:instrText>
      </w:r>
      <w:r>
        <w:rPr>
          <w:rFonts w:ascii="Times New Roman" w:eastAsia="仿宋_GB2312" w:cs="Times New Roman"/>
        </w:rPr>
        <w:fldChar w:fldCharType="separate"/>
      </w:r>
      <w:r>
        <w:rPr>
          <w:rFonts w:ascii="Times New Roman" w:eastAsia="仿宋_GB2312" w:cs="Times New Roman"/>
        </w:rPr>
        <w:t>20</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"_Toc48640728" </w:instrText>
      </w:r>
      <w:r>
        <w:fldChar w:fldCharType="separate"/>
      </w:r>
      <w:r>
        <w:rPr>
          <w:rStyle w:val="95"/>
          <w:rFonts w:ascii="Times New Roman" w:eastAsia="仿宋_GB2312" w:cs="Times New Roman"/>
        </w:rPr>
        <w:t>4.2</w:t>
      </w:r>
      <w:r>
        <w:rPr>
          <w:rFonts w:ascii="Times New Roman" w:eastAsia="仿宋_GB2312" w:cs="Times New Roman"/>
          <w:smallCaps w:val="0"/>
          <w:color w:val="auto"/>
          <w:sz w:val="21"/>
          <w:szCs w:val="22"/>
        </w:rPr>
        <w:tab/>
      </w:r>
      <w:r>
        <w:rPr>
          <w:rStyle w:val="95"/>
          <w:rFonts w:ascii="Times New Roman" w:eastAsia="仿宋_GB2312" w:cs="Times New Roman"/>
        </w:rPr>
        <w:t>项目目标</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_Toc48640728 \h </w:instrText>
      </w:r>
      <w:r>
        <w:rPr>
          <w:rFonts w:ascii="Times New Roman" w:eastAsia="仿宋_GB2312" w:cs="Times New Roman"/>
        </w:rPr>
        <w:fldChar w:fldCharType="separate"/>
      </w:r>
      <w:r>
        <w:rPr>
          <w:rFonts w:ascii="Times New Roman" w:eastAsia="仿宋_GB2312" w:cs="Times New Roman"/>
        </w:rPr>
        <w:t>20</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"_Toc48640729" </w:instrText>
      </w:r>
      <w:r>
        <w:fldChar w:fldCharType="separate"/>
      </w:r>
      <w:r>
        <w:rPr>
          <w:rStyle w:val="95"/>
          <w:rFonts w:ascii="Times New Roman" w:eastAsia="仿宋_GB2312" w:cs="Times New Roman"/>
        </w:rPr>
        <w:t>4.3</w:t>
      </w:r>
      <w:r>
        <w:rPr>
          <w:rFonts w:ascii="Times New Roman" w:eastAsia="仿宋_GB2312" w:cs="Times New Roman"/>
          <w:smallCaps w:val="0"/>
          <w:color w:val="auto"/>
          <w:sz w:val="21"/>
          <w:szCs w:val="22"/>
        </w:rPr>
        <w:tab/>
      </w:r>
      <w:r>
        <w:rPr>
          <w:rStyle w:val="95"/>
          <w:rFonts w:ascii="Times New Roman" w:eastAsia="仿宋_GB2312" w:cs="Times New Roman"/>
        </w:rPr>
        <w:t>总体技术方案</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_Toc48640729 \h </w:instrText>
      </w:r>
      <w:r>
        <w:rPr>
          <w:rFonts w:ascii="Times New Roman" w:eastAsia="仿宋_GB2312" w:cs="Times New Roman"/>
        </w:rPr>
        <w:fldChar w:fldCharType="separate"/>
      </w:r>
      <w:r>
        <w:rPr>
          <w:rFonts w:ascii="Times New Roman" w:eastAsia="仿宋_GB2312" w:cs="Times New Roman"/>
        </w:rPr>
        <w:t>21</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"_Toc48640730" </w:instrText>
      </w:r>
      <w:r>
        <w:fldChar w:fldCharType="separate"/>
      </w:r>
      <w:r>
        <w:rPr>
          <w:rStyle w:val="95"/>
          <w:kern w:val="0"/>
        </w:rPr>
        <w:t>第五章</w:t>
      </w:r>
      <w:r>
        <w:rPr>
          <w:b w:val="0"/>
          <w:bCs w:val="0"/>
          <w:caps w:val="0"/>
          <w:szCs w:val="22"/>
        </w:rPr>
        <w:tab/>
      </w:r>
      <w:r>
        <w:rPr>
          <w:rStyle w:val="95"/>
          <w:kern w:val="0"/>
        </w:rPr>
        <w:t>方案论证</w:t>
      </w:r>
      <w:r>
        <w:tab/>
      </w:r>
      <w:r>
        <w:fldChar w:fldCharType="begin"/>
      </w:r>
      <w:r>
        <w:instrText xml:space="preserve"> PAGEREF _Toc48640730 \h </w:instrText>
      </w:r>
      <w:r>
        <w:fldChar w:fldCharType="separate"/>
      </w:r>
      <w:r>
        <w:t>22</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"_Toc48640731" </w:instrText>
      </w:r>
      <w:r>
        <w:fldChar w:fldCharType="separate"/>
      </w:r>
      <w:r>
        <w:rPr>
          <w:rStyle w:val="95"/>
          <w:rFonts w:ascii="Times New Roman" w:eastAsia="仿宋_GB2312" w:cs="Times New Roman"/>
        </w:rPr>
        <w:t>5.1</w:t>
      </w:r>
      <w:r>
        <w:rPr>
          <w:rFonts w:ascii="Times New Roman" w:eastAsia="仿宋_GB2312" w:cs="Times New Roman"/>
          <w:smallCaps w:val="0"/>
          <w:color w:val="auto"/>
          <w:sz w:val="21"/>
          <w:szCs w:val="22"/>
        </w:rPr>
        <w:tab/>
      </w:r>
      <w:r>
        <w:rPr>
          <w:rStyle w:val="95"/>
          <w:rFonts w:ascii="Times New Roman" w:eastAsia="仿宋_GB2312" w:cs="Times New Roman"/>
        </w:rPr>
        <w:t>工程建设方案遵循原则</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_Toc48640731 \h </w:instrText>
      </w:r>
      <w:r>
        <w:rPr>
          <w:rFonts w:ascii="Times New Roman" w:eastAsia="仿宋_GB2312" w:cs="Times New Roman"/>
        </w:rPr>
        <w:fldChar w:fldCharType="separate"/>
      </w:r>
      <w:r>
        <w:rPr>
          <w:rFonts w:ascii="Times New Roman" w:eastAsia="仿宋_GB2312" w:cs="Times New Roman"/>
        </w:rPr>
        <w:t>22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"_Toc48640732" </w:instrText>
      </w:r>
      <w:r>
        <w:fldChar w:fldCharType="separate"/>
      </w:r>
      <w:r>
        <w:rPr>
          <w:rStyle w:val="95"/>
          <w:rFonts w:ascii="Times New Roman" w:eastAsia="仿宋_GB2312" w:cs="Times New Roman"/>
        </w:rPr>
        <w:t>5.2</w:t>
      </w:r>
      <w:r>
        <w:rPr>
          <w:rFonts w:ascii="Times New Roman" w:eastAsia="仿宋_GB2312" w:cs="Times New Roman"/>
          <w:smallCaps w:val="0"/>
          <w:color w:val="auto"/>
          <w:sz w:val="21"/>
          <w:szCs w:val="22"/>
        </w:rPr>
        <w:tab/>
      </w:r>
      <w:r>
        <w:rPr>
          <w:rStyle w:val="95"/>
          <w:rFonts w:ascii="Times New Roman" w:eastAsia="仿宋_GB2312" w:cs="Times New Roman"/>
        </w:rPr>
        <w:t>工程服务范围</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_Toc48640732 \h </w:instrText>
      </w:r>
      <w:r>
        <w:rPr>
          <w:rFonts w:ascii="Times New Roman" w:eastAsia="仿宋_GB2312" w:cs="Times New Roman"/>
        </w:rPr>
        <w:fldChar w:fldCharType="separate"/>
      </w:r>
      <w:r>
        <w:rPr>
          <w:rFonts w:ascii="Times New Roman" w:eastAsia="仿宋_GB2312" w:cs="Times New Roman"/>
        </w:rPr>
        <w:t>22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"_Toc48640733" </w:instrText>
      </w:r>
      <w:r>
        <w:fldChar w:fldCharType="separate"/>
      </w:r>
      <w:r>
        <w:rPr>
          <w:rStyle w:val="95"/>
          <w:rFonts w:ascii="Times New Roman" w:eastAsia="仿宋_GB2312" w:cs="Times New Roman"/>
        </w:rPr>
        <w:t>5.3</w:t>
      </w:r>
      <w:r>
        <w:rPr>
          <w:rFonts w:ascii="Times New Roman" w:eastAsia="仿宋_GB2312" w:cs="Times New Roman"/>
          <w:smallCaps w:val="0"/>
          <w:color w:val="auto"/>
          <w:sz w:val="21"/>
          <w:szCs w:val="22"/>
        </w:rPr>
        <w:tab/>
      </w:r>
      <w:r>
        <w:rPr>
          <w:rStyle w:val="95"/>
          <w:rFonts w:ascii="Times New Roman" w:eastAsia="仿宋_GB2312" w:cs="Times New Roman"/>
        </w:rPr>
        <w:t>设计年限</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_Toc48640733 \h </w:instrText>
      </w:r>
      <w:r>
        <w:rPr>
          <w:rFonts w:ascii="Times New Roman" w:eastAsia="仿宋_GB2312" w:cs="Times New Roman"/>
        </w:rPr>
        <w:fldChar w:fldCharType="separate"/>
      </w:r>
      <w:r>
        <w:rPr>
          <w:rFonts w:ascii="Times New Roman" w:eastAsia="仿宋_GB2312" w:cs="Times New Roman"/>
        </w:rPr>
        <w:t>22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"_Toc48640734" </w:instrText>
      </w:r>
      <w:r>
        <w:fldChar w:fldCharType="separate"/>
      </w:r>
      <w:r>
        <w:rPr>
          <w:rStyle w:val="95"/>
          <w:rFonts w:ascii="Times New Roman" w:eastAsia="仿宋_GB2312" w:cs="Times New Roman"/>
        </w:rPr>
        <w:t>5.4</w:t>
      </w:r>
      <w:r>
        <w:rPr>
          <w:rFonts w:ascii="Times New Roman" w:eastAsia="仿宋_GB2312" w:cs="Times New Roman"/>
          <w:smallCaps w:val="0"/>
          <w:color w:val="auto"/>
          <w:sz w:val="21"/>
          <w:szCs w:val="22"/>
        </w:rPr>
        <w:tab/>
      </w:r>
      <w:r>
        <w:rPr>
          <w:rStyle w:val="95"/>
          <w:rFonts w:ascii="Times New Roman" w:eastAsia="仿宋_GB2312" w:cs="Times New Roman"/>
        </w:rPr>
        <w:t>服务人口</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_Toc48640734 \h </w:instrText>
      </w:r>
      <w:r>
        <w:rPr>
          <w:rFonts w:ascii="Times New Roman" w:eastAsia="仿宋_GB2312" w:cs="Times New Roman"/>
        </w:rPr>
        <w:fldChar w:fldCharType="separate"/>
      </w:r>
      <w:r>
        <w:rPr>
          <w:rFonts w:ascii="Times New Roman" w:eastAsia="仿宋_GB2312" w:cs="Times New Roman"/>
        </w:rPr>
        <w:t>22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"_Toc48640735" </w:instrText>
      </w:r>
      <w:r>
        <w:fldChar w:fldCharType="separate"/>
      </w:r>
      <w:r>
        <w:rPr>
          <w:rStyle w:val="95"/>
          <w:rFonts w:ascii="Times New Roman" w:eastAsia="仿宋_GB2312" w:cs="Times New Roman"/>
        </w:rPr>
        <w:t>5.5</w:t>
      </w:r>
      <w:r>
        <w:rPr>
          <w:rFonts w:ascii="Times New Roman" w:eastAsia="仿宋_GB2312" w:cs="Times New Roman"/>
          <w:smallCaps w:val="0"/>
          <w:color w:val="auto"/>
          <w:sz w:val="21"/>
          <w:szCs w:val="22"/>
        </w:rPr>
        <w:tab/>
      </w:r>
      <w:r>
        <w:rPr>
          <w:rStyle w:val="95"/>
          <w:rFonts w:ascii="Times New Roman" w:eastAsia="仿宋_GB2312" w:cs="Times New Roman"/>
        </w:rPr>
        <w:t>村庄类型与模式选择</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_Toc48640735 \h </w:instrText>
      </w:r>
      <w:r>
        <w:rPr>
          <w:rFonts w:ascii="Times New Roman" w:eastAsia="仿宋_GB2312" w:cs="Times New Roman"/>
        </w:rPr>
        <w:fldChar w:fldCharType="separate"/>
      </w:r>
      <w:r>
        <w:rPr>
          <w:rFonts w:ascii="Times New Roman" w:eastAsia="仿宋_GB2312" w:cs="Times New Roman"/>
        </w:rPr>
        <w:t>23</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"_Toc48640736" </w:instrText>
      </w:r>
      <w:r>
        <w:fldChar w:fldCharType="separate"/>
      </w:r>
      <w:r>
        <w:rPr>
          <w:rStyle w:val="95"/>
          <w:rFonts w:ascii="Times New Roman" w:eastAsia="仿宋_GB2312" w:cs="Times New Roman"/>
        </w:rPr>
        <w:t>5.6</w:t>
      </w:r>
      <w:r>
        <w:rPr>
          <w:rFonts w:ascii="Times New Roman" w:eastAsia="仿宋_GB2312" w:cs="Times New Roman"/>
          <w:smallCaps w:val="0"/>
          <w:color w:val="auto"/>
          <w:sz w:val="21"/>
          <w:szCs w:val="22"/>
        </w:rPr>
        <w:tab/>
      </w:r>
      <w:r>
        <w:rPr>
          <w:rStyle w:val="95"/>
          <w:rFonts w:ascii="Times New Roman" w:eastAsia="仿宋_GB2312" w:cs="Times New Roman"/>
        </w:rPr>
        <w:t>排水体制</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_Toc48640736 \h </w:instrText>
      </w:r>
      <w:r>
        <w:rPr>
          <w:rFonts w:ascii="Times New Roman" w:eastAsia="仿宋_GB2312" w:cs="Times New Roman"/>
        </w:rPr>
        <w:fldChar w:fldCharType="separate"/>
      </w:r>
      <w:r>
        <w:rPr>
          <w:rFonts w:ascii="Times New Roman" w:eastAsia="仿宋_GB2312" w:cs="Times New Roman"/>
        </w:rPr>
        <w:t>23</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"_Toc48640737" </w:instrText>
      </w:r>
      <w:r>
        <w:fldChar w:fldCharType="separate"/>
      </w:r>
      <w:r>
        <w:rPr>
          <w:rStyle w:val="95"/>
          <w:rFonts w:ascii="Times New Roman" w:eastAsia="仿宋_GB2312" w:cs="Times New Roman"/>
          <w:i w:val="0"/>
        </w:rPr>
        <w:t>5.6.1</w:t>
      </w:r>
      <w:r>
        <w:rPr>
          <w:rFonts w:ascii="Times New Roman" w:eastAsia="仿宋_GB2312" w:cs="Times New Roman"/>
          <w:i w:val="0"/>
          <w:iCs w:val="0"/>
          <w:color w:val="auto"/>
          <w:sz w:val="21"/>
          <w:szCs w:val="22"/>
        </w:rPr>
        <w:tab/>
      </w:r>
      <w:r>
        <w:rPr>
          <w:rStyle w:val="95"/>
          <w:rFonts w:ascii="Times New Roman" w:eastAsia="仿宋_GB2312" w:cs="Times New Roman"/>
          <w:i w:val="0"/>
        </w:rPr>
        <w:t>排水体制分析</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_Toc48640737 \h </w:instrText>
      </w:r>
      <w:r>
        <w:rPr>
          <w:rFonts w:ascii="Times New Roman" w:eastAsia="仿宋_GB2312" w:cs="Times New Roman"/>
          <w:i w:val="0"/>
        </w:rPr>
        <w:fldChar w:fldCharType="separate"/>
      </w:r>
      <w:r>
        <w:rPr>
          <w:rFonts w:ascii="Times New Roman" w:eastAsia="仿宋_GB2312" w:cs="Times New Roman"/>
          <w:i w:val="0"/>
        </w:rPr>
        <w:t>23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"_Toc48640738" </w:instrText>
      </w:r>
      <w:r>
        <w:fldChar w:fldCharType="separate"/>
      </w:r>
      <w:r>
        <w:rPr>
          <w:rStyle w:val="95"/>
          <w:rFonts w:ascii="Times New Roman" w:eastAsia="仿宋_GB2312" w:cs="Times New Roman"/>
          <w:i w:val="0"/>
        </w:rPr>
        <w:t>5.6.2</w:t>
      </w:r>
      <w:r>
        <w:rPr>
          <w:rFonts w:ascii="Times New Roman" w:eastAsia="仿宋_GB2312" w:cs="Times New Roman"/>
          <w:i w:val="0"/>
          <w:iCs w:val="0"/>
          <w:color w:val="auto"/>
          <w:sz w:val="21"/>
          <w:szCs w:val="22"/>
        </w:rPr>
        <w:tab/>
      </w:r>
      <w:r>
        <w:rPr>
          <w:rStyle w:val="95"/>
          <w:rFonts w:ascii="Times New Roman" w:eastAsia="仿宋_GB2312" w:cs="Times New Roman"/>
          <w:i w:val="0"/>
        </w:rPr>
        <w:t>排水体制的确定</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_Toc48640738 \h </w:instrText>
      </w:r>
      <w:r>
        <w:rPr>
          <w:rFonts w:ascii="Times New Roman" w:eastAsia="仿宋_GB2312" w:cs="Times New Roman"/>
          <w:i w:val="0"/>
        </w:rPr>
        <w:fldChar w:fldCharType="separate"/>
      </w:r>
      <w:r>
        <w:rPr>
          <w:rFonts w:ascii="Times New Roman" w:eastAsia="仿宋_GB2312" w:cs="Times New Roman"/>
          <w:i w:val="0"/>
        </w:rPr>
        <w:t>24</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"_Toc48640739" </w:instrText>
      </w:r>
      <w:r>
        <w:fldChar w:fldCharType="separate"/>
      </w:r>
      <w:r>
        <w:rPr>
          <w:rStyle w:val="95"/>
          <w:rFonts w:ascii="Times New Roman" w:eastAsia="仿宋_GB2312" w:cs="Times New Roman"/>
        </w:rPr>
        <w:t>5.7</w:t>
      </w:r>
      <w:r>
        <w:rPr>
          <w:rFonts w:ascii="Times New Roman" w:eastAsia="仿宋_GB2312" w:cs="Times New Roman"/>
          <w:smallCaps w:val="0"/>
          <w:color w:val="auto"/>
          <w:sz w:val="21"/>
          <w:szCs w:val="22"/>
        </w:rPr>
        <w:tab/>
      </w:r>
      <w:r>
        <w:rPr>
          <w:rStyle w:val="95"/>
          <w:rFonts w:ascii="Times New Roman" w:eastAsia="仿宋_GB2312" w:cs="Times New Roman"/>
        </w:rPr>
        <w:t>庭院雨污分流方案</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_Toc48640739 \h </w:instrText>
      </w:r>
      <w:r>
        <w:rPr>
          <w:rFonts w:ascii="Times New Roman" w:eastAsia="仿宋_GB2312" w:cs="Times New Roman"/>
        </w:rPr>
        <w:fldChar w:fldCharType="separate"/>
      </w:r>
      <w:r>
        <w:rPr>
          <w:rFonts w:ascii="Times New Roman" w:eastAsia="仿宋_GB2312" w:cs="Times New Roman"/>
        </w:rPr>
        <w:t>25</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"_Toc48640740" </w:instrText>
      </w:r>
      <w:r>
        <w:fldChar w:fldCharType="separate"/>
      </w:r>
      <w:r>
        <w:rPr>
          <w:rStyle w:val="95"/>
          <w:rFonts w:ascii="Times New Roman" w:eastAsia="仿宋_GB2312" w:cs="Times New Roman"/>
        </w:rPr>
        <w:t>5.8</w:t>
      </w:r>
      <w:r>
        <w:rPr>
          <w:rFonts w:ascii="Times New Roman" w:eastAsia="仿宋_GB2312" w:cs="Times New Roman"/>
          <w:smallCaps w:val="0"/>
          <w:color w:val="auto"/>
          <w:sz w:val="21"/>
          <w:szCs w:val="22"/>
        </w:rPr>
        <w:tab/>
      </w:r>
      <w:r>
        <w:rPr>
          <w:rStyle w:val="95"/>
          <w:rFonts w:ascii="Times New Roman" w:eastAsia="仿宋_GB2312" w:cs="Times New Roman"/>
        </w:rPr>
        <w:t>收集系统总体布置方案</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_Toc48640740 \h </w:instrText>
      </w:r>
      <w:r>
        <w:rPr>
          <w:rFonts w:ascii="Times New Roman" w:eastAsia="仿宋_GB2312" w:cs="Times New Roman"/>
        </w:rPr>
        <w:fldChar w:fldCharType="separate"/>
      </w:r>
      <w:r>
        <w:rPr>
          <w:rFonts w:ascii="Times New Roman" w:eastAsia="仿宋_GB2312" w:cs="Times New Roman"/>
        </w:rPr>
        <w:t>26</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"_Toc48640741" </w:instrText>
      </w:r>
      <w:r>
        <w:fldChar w:fldCharType="separate"/>
      </w:r>
      <w:r>
        <w:rPr>
          <w:rStyle w:val="95"/>
          <w:rFonts w:ascii="Times New Roman" w:eastAsia="仿宋_GB2312" w:cs="Times New Roman"/>
        </w:rPr>
        <w:t>5.9</w:t>
      </w:r>
      <w:r>
        <w:rPr>
          <w:rFonts w:ascii="Times New Roman" w:eastAsia="仿宋_GB2312" w:cs="Times New Roman"/>
          <w:smallCaps w:val="0"/>
          <w:color w:val="auto"/>
          <w:sz w:val="21"/>
          <w:szCs w:val="22"/>
        </w:rPr>
        <w:tab/>
      </w:r>
      <w:r>
        <w:rPr>
          <w:rStyle w:val="95"/>
          <w:rFonts w:ascii="Times New Roman" w:eastAsia="仿宋_GB2312" w:cs="Times New Roman"/>
        </w:rPr>
        <w:t>进、出水水质及排放标准确定</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_Toc48640741 \h </w:instrText>
      </w:r>
      <w:r>
        <w:rPr>
          <w:rFonts w:ascii="Times New Roman" w:eastAsia="仿宋_GB2312" w:cs="Times New Roman"/>
        </w:rPr>
        <w:fldChar w:fldCharType="separate"/>
      </w:r>
      <w:r>
        <w:rPr>
          <w:rFonts w:ascii="Times New Roman" w:eastAsia="仿宋_GB2312" w:cs="Times New Roman"/>
        </w:rPr>
        <w:t>26</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"_Toc48640742" </w:instrText>
      </w:r>
      <w:r>
        <w:fldChar w:fldCharType="separate"/>
      </w:r>
      <w:r>
        <w:rPr>
          <w:rStyle w:val="95"/>
          <w:rFonts w:ascii="Times New Roman" w:eastAsia="仿宋_GB2312" w:cs="Times New Roman"/>
          <w:i w:val="0"/>
        </w:rPr>
        <w:t>5.9.1</w:t>
      </w:r>
      <w:r>
        <w:rPr>
          <w:rFonts w:ascii="Times New Roman" w:eastAsia="仿宋_GB2312" w:cs="Times New Roman"/>
          <w:i w:val="0"/>
          <w:iCs w:val="0"/>
          <w:color w:val="auto"/>
          <w:sz w:val="21"/>
          <w:szCs w:val="22"/>
        </w:rPr>
        <w:tab/>
      </w:r>
      <w:r>
        <w:rPr>
          <w:rStyle w:val="95"/>
          <w:rFonts w:ascii="Times New Roman" w:eastAsia="仿宋_GB2312" w:cs="Times New Roman"/>
          <w:i w:val="0"/>
        </w:rPr>
        <w:t>设计进水水质的确定</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_Toc48640742 \h </w:instrText>
      </w:r>
      <w:r>
        <w:rPr>
          <w:rFonts w:ascii="Times New Roman" w:eastAsia="仿宋_GB2312" w:cs="Times New Roman"/>
          <w:i w:val="0"/>
        </w:rPr>
        <w:fldChar w:fldCharType="separate"/>
      </w:r>
      <w:r>
        <w:rPr>
          <w:rFonts w:ascii="Times New Roman" w:eastAsia="仿宋_GB2312" w:cs="Times New Roman"/>
          <w:i w:val="0"/>
        </w:rPr>
        <w:t>26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"_Toc48640743" </w:instrText>
      </w:r>
      <w:r>
        <w:fldChar w:fldCharType="separate"/>
      </w:r>
      <w:r>
        <w:rPr>
          <w:rStyle w:val="95"/>
          <w:rFonts w:ascii="Times New Roman" w:eastAsia="仿宋_GB2312" w:cs="Times New Roman"/>
          <w:i w:val="0"/>
        </w:rPr>
        <w:t>5.9.2</w:t>
      </w:r>
      <w:r>
        <w:rPr>
          <w:rFonts w:ascii="Times New Roman" w:eastAsia="仿宋_GB2312" w:cs="Times New Roman"/>
          <w:i w:val="0"/>
          <w:iCs w:val="0"/>
          <w:color w:val="auto"/>
          <w:sz w:val="21"/>
          <w:szCs w:val="22"/>
        </w:rPr>
        <w:tab/>
      </w:r>
      <w:r>
        <w:rPr>
          <w:rStyle w:val="95"/>
          <w:rFonts w:ascii="Times New Roman" w:eastAsia="仿宋_GB2312" w:cs="Times New Roman"/>
          <w:i w:val="0"/>
        </w:rPr>
        <w:t>出水水质的确定</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_Toc48640743 \h </w:instrText>
      </w:r>
      <w:r>
        <w:rPr>
          <w:rFonts w:ascii="Times New Roman" w:eastAsia="仿宋_GB2312" w:cs="Times New Roman"/>
          <w:i w:val="0"/>
        </w:rPr>
        <w:fldChar w:fldCharType="separate"/>
      </w:r>
      <w:r>
        <w:rPr>
          <w:rFonts w:ascii="Times New Roman" w:eastAsia="仿宋_GB2312" w:cs="Times New Roman"/>
          <w:i w:val="0"/>
        </w:rPr>
        <w:t>26</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"_Toc48640744" </w:instrText>
      </w:r>
      <w:r>
        <w:fldChar w:fldCharType="separate"/>
      </w:r>
      <w:r>
        <w:rPr>
          <w:rStyle w:val="95"/>
          <w:rFonts w:ascii="Times New Roman" w:eastAsia="仿宋_GB2312" w:cs="Times New Roman"/>
        </w:rPr>
        <w:t>5.10</w:t>
      </w:r>
      <w:r>
        <w:rPr>
          <w:rFonts w:ascii="Times New Roman" w:eastAsia="仿宋_GB2312" w:cs="Times New Roman"/>
          <w:smallCaps w:val="0"/>
          <w:color w:val="auto"/>
          <w:sz w:val="21"/>
          <w:szCs w:val="22"/>
        </w:rPr>
        <w:tab/>
      </w:r>
      <w:r>
        <w:rPr>
          <w:rStyle w:val="95"/>
          <w:rFonts w:ascii="Times New Roman" w:eastAsia="仿宋_GB2312" w:cs="Times New Roman"/>
        </w:rPr>
        <w:t>污水处理站站址选择</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_Toc48640744 \h </w:instrText>
      </w:r>
      <w:r>
        <w:rPr>
          <w:rFonts w:ascii="Times New Roman" w:eastAsia="仿宋_GB2312" w:cs="Times New Roman"/>
        </w:rPr>
        <w:fldChar w:fldCharType="separate"/>
      </w:r>
      <w:r>
        <w:rPr>
          <w:rFonts w:ascii="Times New Roman" w:eastAsia="仿宋_GB2312" w:cs="Times New Roman"/>
        </w:rPr>
        <w:t>27</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"_Toc48640745" </w:instrText>
      </w:r>
      <w:r>
        <w:fldChar w:fldCharType="separate"/>
      </w:r>
      <w:r>
        <w:rPr>
          <w:rStyle w:val="95"/>
          <w:rFonts w:ascii="Times New Roman" w:eastAsia="仿宋_GB2312" w:cs="Times New Roman"/>
        </w:rPr>
        <w:t>5.11</w:t>
      </w:r>
      <w:r>
        <w:rPr>
          <w:rFonts w:ascii="Times New Roman" w:eastAsia="仿宋_GB2312" w:cs="Times New Roman"/>
          <w:smallCaps w:val="0"/>
          <w:color w:val="auto"/>
          <w:sz w:val="21"/>
          <w:szCs w:val="22"/>
        </w:rPr>
        <w:tab/>
      </w:r>
      <w:r>
        <w:rPr>
          <w:rStyle w:val="95"/>
          <w:rFonts w:ascii="Times New Roman" w:eastAsia="仿宋_GB2312" w:cs="Times New Roman"/>
        </w:rPr>
        <w:t>污水处理工艺的论证</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_Toc48640745 \h </w:instrText>
      </w:r>
      <w:r>
        <w:rPr>
          <w:rFonts w:ascii="Times New Roman" w:eastAsia="仿宋_GB2312" w:cs="Times New Roman"/>
        </w:rPr>
        <w:fldChar w:fldCharType="separate"/>
      </w:r>
      <w:r>
        <w:rPr>
          <w:rFonts w:ascii="Times New Roman" w:eastAsia="仿宋_GB2312" w:cs="Times New Roman"/>
        </w:rPr>
        <w:t>28</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"_Toc48640746" </w:instrText>
      </w:r>
      <w:r>
        <w:fldChar w:fldCharType="separate"/>
      </w:r>
      <w:r>
        <w:rPr>
          <w:rStyle w:val="95"/>
          <w:rFonts w:ascii="Times New Roman" w:eastAsia="仿宋_GB2312" w:cs="Times New Roman"/>
          <w:i w:val="0"/>
          <w:lang w:val="zh-CN"/>
        </w:rPr>
        <w:t>5.11.1</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污水处理工艺介绍</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_Toc48640746 \h </w:instrText>
      </w:r>
      <w:r>
        <w:rPr>
          <w:rFonts w:ascii="Times New Roman" w:eastAsia="仿宋_GB2312" w:cs="Times New Roman"/>
          <w:i w:val="0"/>
        </w:rPr>
        <w:fldChar w:fldCharType="separate"/>
      </w:r>
      <w:r>
        <w:rPr>
          <w:rFonts w:ascii="Times New Roman" w:eastAsia="仿宋_GB2312" w:cs="Times New Roman"/>
          <w:i w:val="0"/>
        </w:rPr>
        <w:t>28</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"_Toc48640747" </w:instrText>
      </w:r>
      <w:r>
        <w:fldChar w:fldCharType="separate"/>
      </w:r>
      <w:r>
        <w:rPr>
          <w:rStyle w:val="95"/>
          <w:rFonts w:ascii="Times New Roman" w:eastAsia="仿宋_GB2312" w:cs="Times New Roman"/>
          <w:i w:val="0"/>
        </w:rPr>
        <w:t>5.11.2</w:t>
      </w:r>
      <w:r>
        <w:rPr>
          <w:rFonts w:ascii="Times New Roman" w:eastAsia="仿宋_GB2312" w:cs="Times New Roman"/>
          <w:i w:val="0"/>
          <w:iCs w:val="0"/>
          <w:color w:val="auto"/>
          <w:sz w:val="21"/>
          <w:szCs w:val="22"/>
        </w:rPr>
        <w:tab/>
      </w:r>
      <w:r>
        <w:rPr>
          <w:rStyle w:val="95"/>
          <w:rFonts w:ascii="Times New Roman" w:eastAsia="仿宋_GB2312" w:cs="Times New Roman"/>
          <w:i w:val="0"/>
        </w:rPr>
        <w:t>污水处理工艺确定</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_Toc48640747 \h </w:instrText>
      </w:r>
      <w:r>
        <w:rPr>
          <w:rFonts w:ascii="Times New Roman" w:eastAsia="仿宋_GB2312" w:cs="Times New Roman"/>
          <w:i w:val="0"/>
        </w:rPr>
        <w:fldChar w:fldCharType="separate"/>
      </w:r>
      <w:r>
        <w:rPr>
          <w:rFonts w:ascii="Times New Roman" w:eastAsia="仿宋_GB2312" w:cs="Times New Roman"/>
          <w:i w:val="0"/>
        </w:rPr>
        <w:t>35</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"_Toc48640748" </w:instrText>
      </w:r>
      <w:r>
        <w:fldChar w:fldCharType="separate"/>
      </w:r>
      <w:r>
        <w:rPr>
          <w:rStyle w:val="95"/>
        </w:rPr>
        <w:t>第六章</w:t>
      </w:r>
      <w:r>
        <w:rPr>
          <w:b w:val="0"/>
          <w:bCs w:val="0"/>
          <w:caps w:val="0"/>
          <w:szCs w:val="22"/>
        </w:rPr>
        <w:tab/>
      </w:r>
      <w:r>
        <w:rPr>
          <w:rStyle w:val="95"/>
        </w:rPr>
        <w:t>工程设计</w:t>
      </w:r>
      <w:r>
        <w:tab/>
      </w:r>
      <w:r>
        <w:fldChar w:fldCharType="begin"/>
      </w:r>
      <w:r>
        <w:instrText xml:space="preserve"> PAGEREF _Toc48640748 \h </w:instrText>
      </w:r>
      <w:r>
        <w:fldChar w:fldCharType="separate"/>
      </w:r>
      <w:r>
        <w:t>37</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"_Toc48640749" </w:instrText>
      </w:r>
      <w:r>
        <w:fldChar w:fldCharType="separate"/>
      </w:r>
      <w:r>
        <w:rPr>
          <w:rStyle w:val="95"/>
          <w:rFonts w:ascii="Times New Roman" w:eastAsia="仿宋_GB2312" w:cs="Times New Roman"/>
        </w:rPr>
        <w:t>6.1</w:t>
      </w:r>
      <w:r>
        <w:rPr>
          <w:rFonts w:ascii="Times New Roman" w:eastAsia="仿宋_GB2312" w:cs="Times New Roman"/>
          <w:smallCaps w:val="0"/>
          <w:color w:val="auto"/>
          <w:sz w:val="21"/>
          <w:szCs w:val="22"/>
        </w:rPr>
        <w:tab/>
      </w:r>
      <w:r>
        <w:rPr>
          <w:rStyle w:val="95"/>
          <w:rFonts w:ascii="Times New Roman" w:eastAsia="仿宋_GB2312" w:cs="Times New Roman"/>
        </w:rPr>
        <w:t>污水收集工程</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_Toc48640749 \h </w:instrText>
      </w:r>
      <w:r>
        <w:rPr>
          <w:rFonts w:ascii="Times New Roman" w:eastAsia="仿宋_GB2312" w:cs="Times New Roman"/>
        </w:rPr>
        <w:fldChar w:fldCharType="separate"/>
      </w:r>
      <w:r>
        <w:rPr>
          <w:rFonts w:ascii="Times New Roman" w:eastAsia="仿宋_GB2312" w:cs="Times New Roman"/>
        </w:rPr>
        <w:t>37</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"_Toc48640750" </w:instrText>
      </w:r>
      <w:r>
        <w:fldChar w:fldCharType="separate"/>
      </w:r>
      <w:r>
        <w:rPr>
          <w:rStyle w:val="95"/>
          <w:rFonts w:ascii="Times New Roman" w:eastAsia="仿宋_GB2312" w:cs="Times New Roman"/>
          <w:i w:val="0"/>
        </w:rPr>
        <w:t>6.1.1</w:t>
      </w:r>
      <w:r>
        <w:rPr>
          <w:rFonts w:ascii="Times New Roman" w:eastAsia="仿宋_GB2312" w:cs="Times New Roman"/>
          <w:i w:val="0"/>
          <w:iCs w:val="0"/>
          <w:color w:val="auto"/>
          <w:sz w:val="21"/>
          <w:szCs w:val="22"/>
        </w:rPr>
        <w:tab/>
      </w:r>
      <w:r>
        <w:rPr>
          <w:rStyle w:val="95"/>
          <w:rFonts w:ascii="Times New Roman" w:eastAsia="仿宋_GB2312" w:cs="Times New Roman"/>
          <w:i w:val="0"/>
        </w:rPr>
        <w:t>收集系统平面布置</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_Toc48640750 \h </w:instrText>
      </w:r>
      <w:r>
        <w:rPr>
          <w:rFonts w:ascii="Times New Roman" w:eastAsia="仿宋_GB2312" w:cs="Times New Roman"/>
          <w:i w:val="0"/>
        </w:rPr>
        <w:fldChar w:fldCharType="separate"/>
      </w:r>
      <w:r>
        <w:rPr>
          <w:rFonts w:ascii="Times New Roman" w:eastAsia="仿宋_GB2312" w:cs="Times New Roman"/>
          <w:i w:val="0"/>
        </w:rPr>
        <w:t>37</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"_Toc48640751" </w:instrText>
      </w:r>
      <w:r>
        <w:fldChar w:fldCharType="separate"/>
      </w:r>
      <w:r>
        <w:rPr>
          <w:rStyle w:val="95"/>
          <w:rFonts w:ascii="Times New Roman" w:eastAsia="仿宋_GB2312" w:cs="Times New Roman"/>
          <w:i w:val="0"/>
        </w:rPr>
        <w:t>6.1.2</w:t>
      </w:r>
      <w:r>
        <w:rPr>
          <w:rFonts w:ascii="Times New Roman" w:eastAsia="仿宋_GB2312" w:cs="Times New Roman"/>
          <w:i w:val="0"/>
          <w:iCs w:val="0"/>
          <w:color w:val="auto"/>
          <w:sz w:val="21"/>
          <w:szCs w:val="22"/>
        </w:rPr>
        <w:tab/>
      </w:r>
      <w:r>
        <w:rPr>
          <w:rStyle w:val="95"/>
          <w:rFonts w:ascii="Times New Roman" w:eastAsia="仿宋_GB2312" w:cs="Times New Roman"/>
          <w:i w:val="0"/>
        </w:rPr>
        <w:t>水量及水力计算</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_Toc48640751 \h </w:instrText>
      </w:r>
      <w:r>
        <w:rPr>
          <w:rFonts w:ascii="Times New Roman" w:eastAsia="仿宋_GB2312" w:cs="Times New Roman"/>
          <w:i w:val="0"/>
        </w:rPr>
        <w:fldChar w:fldCharType="separate"/>
      </w:r>
      <w:r>
        <w:rPr>
          <w:rFonts w:ascii="Times New Roman" w:eastAsia="仿宋_GB2312" w:cs="Times New Roman"/>
          <w:i w:val="0"/>
        </w:rPr>
        <w:t>37</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"_Toc48640752" </w:instrText>
      </w:r>
      <w:r>
        <w:fldChar w:fldCharType="separate"/>
      </w:r>
      <w:r>
        <w:rPr>
          <w:rStyle w:val="95"/>
          <w:rFonts w:ascii="Times New Roman" w:eastAsia="仿宋_GB2312" w:cs="Times New Roman"/>
          <w:i w:val="0"/>
        </w:rPr>
        <w:t>6.1.3</w:t>
      </w:r>
      <w:r>
        <w:rPr>
          <w:rFonts w:ascii="Times New Roman" w:eastAsia="仿宋_GB2312" w:cs="Times New Roman"/>
          <w:i w:val="0"/>
          <w:iCs w:val="0"/>
          <w:color w:val="auto"/>
          <w:sz w:val="21"/>
          <w:szCs w:val="22"/>
        </w:rPr>
        <w:tab/>
      </w:r>
      <w:r>
        <w:rPr>
          <w:rStyle w:val="95"/>
          <w:rFonts w:ascii="Times New Roman" w:eastAsia="仿宋_GB2312" w:cs="Times New Roman"/>
          <w:i w:val="0"/>
        </w:rPr>
        <w:t>管道参数</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_Toc48640752 \h </w:instrText>
      </w:r>
      <w:r>
        <w:rPr>
          <w:rFonts w:ascii="Times New Roman" w:eastAsia="仿宋_GB2312" w:cs="Times New Roman"/>
          <w:i w:val="0"/>
        </w:rPr>
        <w:fldChar w:fldCharType="separate"/>
      </w:r>
      <w:r>
        <w:rPr>
          <w:rFonts w:ascii="Times New Roman" w:eastAsia="仿宋_GB2312" w:cs="Times New Roman"/>
          <w:i w:val="0"/>
        </w:rPr>
        <w:t>38</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"_Toc48640753" </w:instrText>
      </w:r>
      <w:r>
        <w:fldChar w:fldCharType="separate"/>
      </w:r>
      <w:r>
        <w:rPr>
          <w:rStyle w:val="95"/>
          <w:rFonts w:ascii="Times New Roman" w:eastAsia="仿宋_GB2312" w:cs="Times New Roman"/>
          <w:i w:val="0"/>
        </w:rPr>
        <w:t>6.1.4</w:t>
      </w:r>
      <w:r>
        <w:rPr>
          <w:rFonts w:ascii="Times New Roman" w:eastAsia="仿宋_GB2312" w:cs="Times New Roman"/>
          <w:i w:val="0"/>
          <w:iCs w:val="0"/>
          <w:color w:val="auto"/>
          <w:sz w:val="21"/>
          <w:szCs w:val="22"/>
        </w:rPr>
        <w:tab/>
      </w:r>
      <w:r>
        <w:rPr>
          <w:rStyle w:val="95"/>
          <w:rFonts w:ascii="Times New Roman" w:eastAsia="仿宋_GB2312" w:cs="Times New Roman"/>
          <w:i w:val="0"/>
        </w:rPr>
        <w:t>管材选用</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_Toc48640753 \h </w:instrText>
      </w:r>
      <w:r>
        <w:rPr>
          <w:rFonts w:ascii="Times New Roman" w:eastAsia="仿宋_GB2312" w:cs="Times New Roman"/>
          <w:i w:val="0"/>
        </w:rPr>
        <w:fldChar w:fldCharType="separate"/>
      </w:r>
      <w:r>
        <w:rPr>
          <w:rFonts w:ascii="Times New Roman" w:eastAsia="仿宋_GB2312" w:cs="Times New Roman"/>
          <w:i w:val="0"/>
        </w:rPr>
        <w:t>40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"_Toc48640754" </w:instrText>
      </w:r>
      <w:r>
        <w:fldChar w:fldCharType="separate"/>
      </w:r>
      <w:r>
        <w:rPr>
          <w:rStyle w:val="95"/>
          <w:rFonts w:ascii="Times New Roman" w:eastAsia="仿宋_GB2312" w:cs="Times New Roman"/>
          <w:i w:val="0"/>
        </w:rPr>
        <w:t>6.1.5</w:t>
      </w:r>
      <w:r>
        <w:rPr>
          <w:rFonts w:ascii="Times New Roman" w:eastAsia="仿宋_GB2312" w:cs="Times New Roman"/>
          <w:i w:val="0"/>
          <w:iCs w:val="0"/>
          <w:color w:val="auto"/>
          <w:sz w:val="21"/>
          <w:szCs w:val="22"/>
        </w:rPr>
        <w:tab/>
      </w:r>
      <w:r>
        <w:rPr>
          <w:rStyle w:val="95"/>
          <w:rFonts w:ascii="Times New Roman" w:eastAsia="仿宋_GB2312" w:cs="Times New Roman"/>
          <w:i w:val="0"/>
        </w:rPr>
        <w:t>管道结构设计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_Toc48640754 \h </w:instrText>
      </w:r>
      <w:r>
        <w:rPr>
          <w:rFonts w:ascii="Times New Roman" w:eastAsia="仿宋_GB2312" w:cs="Times New Roman"/>
          <w:i w:val="0"/>
        </w:rPr>
        <w:fldChar w:fldCharType="separate"/>
      </w:r>
      <w:r>
        <w:rPr>
          <w:rFonts w:ascii="Times New Roman" w:eastAsia="仿宋_GB2312" w:cs="Times New Roman"/>
          <w:i w:val="0"/>
        </w:rPr>
        <w:t>42</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"_Toc48640755" </w:instrText>
      </w:r>
      <w:r>
        <w:fldChar w:fldCharType="separate"/>
      </w:r>
      <w:r>
        <w:rPr>
          <w:rStyle w:val="95"/>
          <w:rFonts w:ascii="Times New Roman" w:eastAsia="仿宋_GB2312" w:cs="Times New Roman"/>
          <w:i w:val="0"/>
        </w:rPr>
        <w:t>6.1.6</w:t>
      </w:r>
      <w:r>
        <w:rPr>
          <w:rFonts w:ascii="Times New Roman" w:eastAsia="仿宋_GB2312" w:cs="Times New Roman"/>
          <w:i w:val="0"/>
          <w:iCs w:val="0"/>
          <w:color w:val="auto"/>
          <w:sz w:val="21"/>
          <w:szCs w:val="22"/>
        </w:rPr>
        <w:tab/>
      </w:r>
      <w:r>
        <w:rPr>
          <w:rStyle w:val="95"/>
          <w:rFonts w:ascii="Times New Roman" w:eastAsia="仿宋_GB2312" w:cs="Times New Roman"/>
          <w:i w:val="0"/>
        </w:rPr>
        <w:t>管道施工方法及基础处理</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_Toc48640755 \h </w:instrText>
      </w:r>
      <w:r>
        <w:rPr>
          <w:rFonts w:ascii="Times New Roman" w:eastAsia="仿宋_GB2312" w:cs="Times New Roman"/>
          <w:i w:val="0"/>
        </w:rPr>
        <w:fldChar w:fldCharType="separate"/>
      </w:r>
      <w:r>
        <w:rPr>
          <w:rFonts w:ascii="Times New Roman" w:eastAsia="仿宋_GB2312" w:cs="Times New Roman"/>
          <w:i w:val="0"/>
        </w:rPr>
        <w:t>43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"_Toc48640756" </w:instrText>
      </w:r>
      <w:r>
        <w:fldChar w:fldCharType="separate"/>
      </w:r>
      <w:r>
        <w:rPr>
          <w:rStyle w:val="95"/>
          <w:rFonts w:ascii="Times New Roman" w:eastAsia="仿宋_GB2312" w:cs="Times New Roman"/>
          <w:i w:val="0"/>
        </w:rPr>
        <w:t>6.1.7</w:t>
      </w:r>
      <w:r>
        <w:rPr>
          <w:rFonts w:ascii="Times New Roman" w:eastAsia="仿宋_GB2312" w:cs="Times New Roman"/>
          <w:i w:val="0"/>
          <w:iCs w:val="0"/>
          <w:color w:val="auto"/>
          <w:sz w:val="21"/>
          <w:szCs w:val="22"/>
        </w:rPr>
        <w:tab/>
      </w:r>
      <w:r>
        <w:rPr>
          <w:rStyle w:val="95"/>
          <w:rFonts w:ascii="Times New Roman" w:eastAsia="仿宋_GB2312" w:cs="Times New Roman"/>
          <w:i w:val="0"/>
        </w:rPr>
        <w:t>防腐设计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_Toc48640756 \h </w:instrText>
      </w:r>
      <w:r>
        <w:rPr>
          <w:rFonts w:ascii="Times New Roman" w:eastAsia="仿宋_GB2312" w:cs="Times New Roman"/>
          <w:i w:val="0"/>
        </w:rPr>
        <w:fldChar w:fldCharType="separate"/>
      </w:r>
      <w:r>
        <w:rPr>
          <w:rFonts w:ascii="Times New Roman" w:eastAsia="仿宋_GB2312" w:cs="Times New Roman"/>
          <w:i w:val="0"/>
        </w:rPr>
        <w:t>45</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"_Toc48640757" </w:instrText>
      </w:r>
      <w:r>
        <w:fldChar w:fldCharType="separate"/>
      </w:r>
      <w:r>
        <w:rPr>
          <w:rStyle w:val="95"/>
          <w:rFonts w:ascii="Times New Roman" w:eastAsia="仿宋_GB2312" w:cs="Times New Roman"/>
          <w:i w:val="0"/>
        </w:rPr>
        <w:t>6.1.8</w:t>
      </w:r>
      <w:r>
        <w:rPr>
          <w:rFonts w:ascii="Times New Roman" w:eastAsia="仿宋_GB2312" w:cs="Times New Roman"/>
          <w:i w:val="0"/>
          <w:iCs w:val="0"/>
          <w:color w:val="auto"/>
          <w:sz w:val="21"/>
          <w:szCs w:val="22"/>
        </w:rPr>
        <w:tab/>
      </w:r>
      <w:r>
        <w:rPr>
          <w:rStyle w:val="95"/>
          <w:rFonts w:ascii="Times New Roman" w:eastAsia="仿宋_GB2312" w:cs="Times New Roman"/>
          <w:i w:val="0"/>
        </w:rPr>
        <w:t>管道附属构筑物</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_Toc48640757 \h </w:instrText>
      </w:r>
      <w:r>
        <w:rPr>
          <w:rFonts w:ascii="Times New Roman" w:eastAsia="仿宋_GB2312" w:cs="Times New Roman"/>
          <w:i w:val="0"/>
        </w:rPr>
        <w:fldChar w:fldCharType="separate"/>
      </w:r>
      <w:r>
        <w:rPr>
          <w:rFonts w:ascii="Times New Roman" w:eastAsia="仿宋_GB2312" w:cs="Times New Roman"/>
          <w:i w:val="0"/>
        </w:rPr>
        <w:t>46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"_Toc48640758" </w:instrText>
      </w:r>
      <w:r>
        <w:fldChar w:fldCharType="separate"/>
      </w:r>
      <w:r>
        <w:rPr>
          <w:rStyle w:val="95"/>
          <w:rFonts w:ascii="Times New Roman" w:eastAsia="仿宋_GB2312" w:cs="Times New Roman"/>
          <w:i w:val="0"/>
        </w:rPr>
        <w:t>6.1.9</w:t>
      </w:r>
      <w:r>
        <w:rPr>
          <w:rFonts w:ascii="Times New Roman" w:eastAsia="仿宋_GB2312" w:cs="Times New Roman"/>
          <w:i w:val="0"/>
          <w:iCs w:val="0"/>
          <w:color w:val="auto"/>
          <w:sz w:val="21"/>
          <w:szCs w:val="22"/>
        </w:rPr>
        <w:tab/>
      </w:r>
      <w:r>
        <w:rPr>
          <w:rStyle w:val="95"/>
          <w:rFonts w:ascii="Times New Roman" w:eastAsia="仿宋_GB2312" w:cs="Times New Roman"/>
          <w:i w:val="0"/>
        </w:rPr>
        <w:t>管道系统管理与养护措施</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_Toc48640758 \h </w:instrText>
      </w:r>
      <w:r>
        <w:rPr>
          <w:rFonts w:ascii="Times New Roman" w:eastAsia="仿宋_GB2312" w:cs="Times New Roman"/>
          <w:i w:val="0"/>
        </w:rPr>
        <w:fldChar w:fldCharType="separate"/>
      </w:r>
      <w:r>
        <w:rPr>
          <w:rFonts w:ascii="Times New Roman" w:eastAsia="仿宋_GB2312" w:cs="Times New Roman"/>
          <w:i w:val="0"/>
        </w:rPr>
        <w:t>48</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"_Toc48640759" </w:instrText>
      </w:r>
      <w:r>
        <w:fldChar w:fldCharType="separate"/>
      </w:r>
      <w:r>
        <w:rPr>
          <w:rStyle w:val="95"/>
          <w:rFonts w:ascii="Times New Roman" w:eastAsia="仿宋_GB2312" w:cs="Times New Roman"/>
          <w:i w:val="0"/>
        </w:rPr>
        <w:t>6.1.10</w:t>
      </w:r>
      <w:r>
        <w:rPr>
          <w:rFonts w:ascii="Times New Roman" w:eastAsia="仿宋_GB2312" w:cs="Times New Roman"/>
          <w:i w:val="0"/>
          <w:iCs w:val="0"/>
          <w:color w:val="auto"/>
          <w:sz w:val="21"/>
          <w:szCs w:val="22"/>
        </w:rPr>
        <w:tab/>
      </w:r>
      <w:r>
        <w:rPr>
          <w:rStyle w:val="95"/>
          <w:rFonts w:ascii="Times New Roman" w:eastAsia="仿宋_GB2312" w:cs="Times New Roman"/>
          <w:i w:val="0"/>
        </w:rPr>
        <w:t>污水收集工程量</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_Toc48640759 \h </w:instrText>
      </w:r>
      <w:r>
        <w:rPr>
          <w:rFonts w:ascii="Times New Roman" w:eastAsia="仿宋_GB2312" w:cs="Times New Roman"/>
          <w:i w:val="0"/>
        </w:rPr>
        <w:fldChar w:fldCharType="separate"/>
      </w:r>
      <w:r>
        <w:rPr>
          <w:rFonts w:ascii="Times New Roman" w:eastAsia="仿宋_GB2312" w:cs="Times New Roman"/>
          <w:i w:val="0"/>
        </w:rPr>
        <w:t>49</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"_Toc48640760" </w:instrText>
      </w:r>
      <w:r>
        <w:fldChar w:fldCharType="separate"/>
      </w:r>
      <w:r>
        <w:rPr>
          <w:rStyle w:val="95"/>
          <w:rFonts w:ascii="Times New Roman" w:eastAsia="仿宋_GB2312" w:cs="Times New Roman"/>
        </w:rPr>
        <w:t>6.2</w:t>
      </w:r>
      <w:r>
        <w:rPr>
          <w:rFonts w:ascii="Times New Roman" w:eastAsia="仿宋_GB2312" w:cs="Times New Roman"/>
          <w:smallCaps w:val="0"/>
          <w:color w:val="auto"/>
          <w:sz w:val="21"/>
          <w:szCs w:val="22"/>
        </w:rPr>
        <w:tab/>
      </w:r>
      <w:r>
        <w:rPr>
          <w:rStyle w:val="95"/>
          <w:rFonts w:ascii="Times New Roman" w:eastAsia="仿宋_GB2312" w:cs="Times New Roman"/>
        </w:rPr>
        <w:t>污水处理系统设计</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_Toc48640760 \h </w:instrText>
      </w:r>
      <w:r>
        <w:rPr>
          <w:rFonts w:ascii="Times New Roman" w:eastAsia="仿宋_GB2312" w:cs="Times New Roman"/>
        </w:rPr>
        <w:fldChar w:fldCharType="separate"/>
      </w:r>
      <w:r>
        <w:rPr>
          <w:rFonts w:ascii="Times New Roman" w:eastAsia="仿宋_GB2312" w:cs="Times New Roman"/>
        </w:rPr>
        <w:t>51</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"_Toc48640761" </w:instrText>
      </w:r>
      <w:r>
        <w:fldChar w:fldCharType="separate"/>
      </w:r>
      <w:r>
        <w:rPr>
          <w:rStyle w:val="95"/>
          <w:rFonts w:ascii="Times New Roman" w:eastAsia="仿宋_GB2312" w:cs="Times New Roman"/>
          <w:i w:val="0"/>
        </w:rPr>
        <w:t>6.2.1</w:t>
      </w:r>
      <w:r>
        <w:rPr>
          <w:rFonts w:ascii="Times New Roman" w:eastAsia="仿宋_GB2312" w:cs="Times New Roman"/>
          <w:i w:val="0"/>
          <w:iCs w:val="0"/>
          <w:color w:val="auto"/>
          <w:sz w:val="21"/>
          <w:szCs w:val="22"/>
        </w:rPr>
        <w:tab/>
      </w:r>
      <w:r>
        <w:rPr>
          <w:rStyle w:val="95"/>
          <w:rFonts w:ascii="Times New Roman" w:eastAsia="仿宋_GB2312" w:cs="Times New Roman"/>
          <w:i w:val="0"/>
        </w:rPr>
        <w:t>设计原则</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_Toc48640761 \h </w:instrText>
      </w:r>
      <w:r>
        <w:rPr>
          <w:rFonts w:ascii="Times New Roman" w:eastAsia="仿宋_GB2312" w:cs="Times New Roman"/>
          <w:i w:val="0"/>
        </w:rPr>
        <w:fldChar w:fldCharType="separate"/>
      </w:r>
      <w:r>
        <w:rPr>
          <w:rFonts w:ascii="Times New Roman" w:eastAsia="仿宋_GB2312" w:cs="Times New Roman"/>
          <w:i w:val="0"/>
        </w:rPr>
        <w:t>51</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"_Toc48640762" </w:instrText>
      </w:r>
      <w:r>
        <w:fldChar w:fldCharType="separate"/>
      </w:r>
      <w:r>
        <w:rPr>
          <w:rStyle w:val="95"/>
          <w:rFonts w:ascii="Times New Roman" w:eastAsia="仿宋_GB2312" w:cs="Times New Roman"/>
          <w:i w:val="0"/>
        </w:rPr>
        <w:t>6.2.2</w:t>
      </w:r>
      <w:r>
        <w:rPr>
          <w:rFonts w:ascii="Times New Roman" w:eastAsia="仿宋_GB2312" w:cs="Times New Roman"/>
          <w:i w:val="0"/>
          <w:iCs w:val="0"/>
          <w:color w:val="auto"/>
          <w:sz w:val="21"/>
          <w:szCs w:val="22"/>
        </w:rPr>
        <w:tab/>
      </w:r>
      <w:r>
        <w:rPr>
          <w:rStyle w:val="95"/>
          <w:rFonts w:ascii="Times New Roman" w:eastAsia="仿宋_GB2312" w:cs="Times New Roman"/>
          <w:i w:val="0"/>
        </w:rPr>
        <w:t>设计规模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_Toc48640762 \h </w:instrText>
      </w:r>
      <w:r>
        <w:rPr>
          <w:rFonts w:ascii="Times New Roman" w:eastAsia="仿宋_GB2312" w:cs="Times New Roman"/>
          <w:i w:val="0"/>
        </w:rPr>
        <w:fldChar w:fldCharType="separate"/>
      </w:r>
      <w:r>
        <w:rPr>
          <w:rFonts w:ascii="Times New Roman" w:eastAsia="仿宋_GB2312" w:cs="Times New Roman"/>
          <w:i w:val="0"/>
        </w:rPr>
        <w:t>51</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"_Toc48640763" </w:instrText>
      </w:r>
      <w:r>
        <w:fldChar w:fldCharType="separate"/>
      </w:r>
      <w:r>
        <w:rPr>
          <w:rStyle w:val="95"/>
          <w:rFonts w:ascii="Times New Roman" w:eastAsia="仿宋_GB2312" w:cs="Times New Roman"/>
          <w:i w:val="0"/>
        </w:rPr>
        <w:t>6.2.3</w:t>
      </w:r>
      <w:r>
        <w:rPr>
          <w:rFonts w:ascii="Times New Roman" w:eastAsia="仿宋_GB2312" w:cs="Times New Roman"/>
          <w:i w:val="0"/>
          <w:iCs w:val="0"/>
          <w:color w:val="auto"/>
          <w:sz w:val="21"/>
          <w:szCs w:val="22"/>
        </w:rPr>
        <w:tab/>
      </w:r>
      <w:r>
        <w:rPr>
          <w:rStyle w:val="95"/>
          <w:rFonts w:ascii="Times New Roman" w:eastAsia="仿宋_GB2312" w:cs="Times New Roman"/>
          <w:i w:val="0"/>
        </w:rPr>
        <w:t>工艺设计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_Toc48640763 \h </w:instrText>
      </w:r>
      <w:r>
        <w:rPr>
          <w:rFonts w:ascii="Times New Roman" w:eastAsia="仿宋_GB2312" w:cs="Times New Roman"/>
          <w:i w:val="0"/>
        </w:rPr>
        <w:fldChar w:fldCharType="separate"/>
      </w:r>
      <w:r>
        <w:rPr>
          <w:rFonts w:ascii="Times New Roman" w:eastAsia="仿宋_GB2312" w:cs="Times New Roman"/>
          <w:i w:val="0"/>
        </w:rPr>
        <w:t>52</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"_Toc48640764" </w:instrText>
      </w:r>
      <w:r>
        <w:fldChar w:fldCharType="separate"/>
      </w:r>
      <w:r>
        <w:rPr>
          <w:rStyle w:val="95"/>
          <w:rFonts w:ascii="Times New Roman" w:eastAsia="仿宋_GB2312" w:cs="Times New Roman"/>
          <w:i w:val="0"/>
        </w:rPr>
        <w:t>6.2.4</w:t>
      </w:r>
      <w:r>
        <w:rPr>
          <w:rFonts w:ascii="Times New Roman" w:eastAsia="仿宋_GB2312" w:cs="Times New Roman"/>
          <w:i w:val="0"/>
          <w:iCs w:val="0"/>
          <w:color w:val="auto"/>
          <w:sz w:val="21"/>
          <w:szCs w:val="22"/>
        </w:rPr>
        <w:tab/>
      </w:r>
      <w:r>
        <w:rPr>
          <w:rStyle w:val="95"/>
          <w:rFonts w:ascii="Times New Roman" w:eastAsia="仿宋_GB2312" w:cs="Times New Roman"/>
          <w:i w:val="0"/>
        </w:rPr>
        <w:t>各工艺单元设计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_Toc48640764 \h </w:instrText>
      </w:r>
      <w:r>
        <w:rPr>
          <w:rFonts w:ascii="Times New Roman" w:eastAsia="仿宋_GB2312" w:cs="Times New Roman"/>
          <w:i w:val="0"/>
        </w:rPr>
        <w:fldChar w:fldCharType="separate"/>
      </w:r>
      <w:r>
        <w:rPr>
          <w:rFonts w:ascii="Times New Roman" w:eastAsia="仿宋_GB2312" w:cs="Times New Roman"/>
          <w:i w:val="0"/>
        </w:rPr>
        <w:t>53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"_Toc48640765" </w:instrText>
      </w:r>
      <w:r>
        <w:fldChar w:fldCharType="separate"/>
      </w:r>
      <w:r>
        <w:rPr>
          <w:rStyle w:val="95"/>
          <w:rFonts w:ascii="Times New Roman" w:eastAsia="仿宋_GB2312" w:cs="Times New Roman"/>
          <w:i w:val="0"/>
        </w:rPr>
        <w:t>6.2.5</w:t>
      </w:r>
      <w:r>
        <w:rPr>
          <w:rFonts w:ascii="Times New Roman" w:eastAsia="仿宋_GB2312" w:cs="Times New Roman"/>
          <w:i w:val="0"/>
          <w:iCs w:val="0"/>
          <w:color w:val="auto"/>
          <w:sz w:val="21"/>
          <w:szCs w:val="22"/>
        </w:rPr>
        <w:tab/>
      </w:r>
      <w:r>
        <w:rPr>
          <w:rStyle w:val="95"/>
          <w:rFonts w:ascii="Times New Roman" w:eastAsia="仿宋_GB2312" w:cs="Times New Roman"/>
          <w:i w:val="0"/>
        </w:rPr>
        <w:t>污水处理站平面及高程设计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_Toc48640765 \h </w:instrText>
      </w:r>
      <w:r>
        <w:rPr>
          <w:rFonts w:ascii="Times New Roman" w:eastAsia="仿宋_GB2312" w:cs="Times New Roman"/>
          <w:i w:val="0"/>
        </w:rPr>
        <w:fldChar w:fldCharType="separate"/>
      </w:r>
      <w:r>
        <w:rPr>
          <w:rFonts w:ascii="Times New Roman" w:eastAsia="仿宋_GB2312" w:cs="Times New Roman"/>
          <w:i w:val="0"/>
        </w:rPr>
        <w:t>59</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"_Toc48640766" </w:instrText>
      </w:r>
      <w:r>
        <w:fldChar w:fldCharType="separate"/>
      </w:r>
      <w:r>
        <w:rPr>
          <w:rStyle w:val="95"/>
          <w:rFonts w:ascii="Times New Roman" w:eastAsia="仿宋_GB2312" w:cs="Times New Roman"/>
          <w:i w:val="0"/>
        </w:rPr>
        <w:t>6.2.6</w:t>
      </w:r>
      <w:r>
        <w:rPr>
          <w:rFonts w:ascii="Times New Roman" w:eastAsia="仿宋_GB2312" w:cs="Times New Roman"/>
          <w:i w:val="0"/>
          <w:iCs w:val="0"/>
          <w:color w:val="auto"/>
          <w:sz w:val="21"/>
          <w:szCs w:val="22"/>
        </w:rPr>
        <w:tab/>
      </w:r>
      <w:r>
        <w:rPr>
          <w:rStyle w:val="95"/>
          <w:rFonts w:ascii="Times New Roman" w:eastAsia="仿宋_GB2312" w:cs="Times New Roman"/>
          <w:i w:val="0"/>
        </w:rPr>
        <w:t>结构设计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_Toc48640766 \h </w:instrText>
      </w:r>
      <w:r>
        <w:rPr>
          <w:rFonts w:ascii="Times New Roman" w:eastAsia="仿宋_GB2312" w:cs="Times New Roman"/>
          <w:i w:val="0"/>
        </w:rPr>
        <w:fldChar w:fldCharType="separate"/>
      </w:r>
      <w:r>
        <w:rPr>
          <w:rFonts w:ascii="Times New Roman" w:eastAsia="仿宋_GB2312" w:cs="Times New Roman"/>
          <w:i w:val="0"/>
        </w:rPr>
        <w:t>60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"_Toc48640767" </w:instrText>
      </w:r>
      <w:r>
        <w:fldChar w:fldCharType="separate"/>
      </w:r>
      <w:r>
        <w:rPr>
          <w:rStyle w:val="95"/>
          <w:rFonts w:ascii="Times New Roman" w:eastAsia="仿宋_GB2312" w:cs="Times New Roman"/>
          <w:i w:val="0"/>
        </w:rPr>
        <w:t>6.2.7</w:t>
      </w:r>
      <w:r>
        <w:rPr>
          <w:rFonts w:ascii="Times New Roman" w:eastAsia="仿宋_GB2312" w:cs="Times New Roman"/>
          <w:i w:val="0"/>
          <w:iCs w:val="0"/>
          <w:color w:val="auto"/>
          <w:sz w:val="21"/>
          <w:szCs w:val="22"/>
        </w:rPr>
        <w:tab/>
      </w:r>
      <w:r>
        <w:rPr>
          <w:rStyle w:val="95"/>
          <w:rFonts w:ascii="Times New Roman" w:eastAsia="仿宋_GB2312" w:cs="Times New Roman"/>
          <w:i w:val="0"/>
        </w:rPr>
        <w:t>供电设计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_Toc48640767 \h </w:instrText>
      </w:r>
      <w:r>
        <w:rPr>
          <w:rFonts w:ascii="Times New Roman" w:eastAsia="仿宋_GB2312" w:cs="Times New Roman"/>
          <w:i w:val="0"/>
        </w:rPr>
        <w:fldChar w:fldCharType="separate"/>
      </w:r>
      <w:r>
        <w:rPr>
          <w:rFonts w:ascii="Times New Roman" w:eastAsia="仿宋_GB2312" w:cs="Times New Roman"/>
          <w:i w:val="0"/>
        </w:rPr>
        <w:t>62</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"_Toc48640768" </w:instrText>
      </w:r>
      <w:r>
        <w:fldChar w:fldCharType="separate"/>
      </w:r>
      <w:r>
        <w:rPr>
          <w:rStyle w:val="95"/>
          <w:rFonts w:ascii="Times New Roman" w:eastAsia="仿宋_GB2312" w:cs="Times New Roman"/>
          <w:i w:val="0"/>
        </w:rPr>
        <w:t>6.2.8</w:t>
      </w:r>
      <w:r>
        <w:rPr>
          <w:rFonts w:ascii="Times New Roman" w:eastAsia="仿宋_GB2312" w:cs="Times New Roman"/>
          <w:i w:val="0"/>
          <w:iCs w:val="0"/>
          <w:color w:val="auto"/>
          <w:sz w:val="21"/>
          <w:szCs w:val="22"/>
        </w:rPr>
        <w:tab/>
      </w:r>
      <w:r>
        <w:rPr>
          <w:rStyle w:val="95"/>
          <w:rFonts w:ascii="Times New Roman" w:eastAsia="仿宋_GB2312" w:cs="Times New Roman"/>
          <w:i w:val="0"/>
        </w:rPr>
        <w:t>仪表与自控</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_Toc48640768 \h </w:instrText>
      </w:r>
      <w:r>
        <w:rPr>
          <w:rFonts w:ascii="Times New Roman" w:eastAsia="仿宋_GB2312" w:cs="Times New Roman"/>
          <w:i w:val="0"/>
        </w:rPr>
        <w:fldChar w:fldCharType="separate"/>
      </w:r>
      <w:r>
        <w:rPr>
          <w:rFonts w:ascii="Times New Roman" w:eastAsia="仿宋_GB2312" w:cs="Times New Roman"/>
          <w:i w:val="0"/>
        </w:rPr>
        <w:t>63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"_Toc48640769" </w:instrText>
      </w:r>
      <w:r>
        <w:fldChar w:fldCharType="separate"/>
      </w:r>
      <w:r>
        <w:rPr>
          <w:rStyle w:val="95"/>
          <w:rFonts w:ascii="Times New Roman" w:eastAsia="仿宋_GB2312" w:cs="Times New Roman"/>
          <w:i w:val="0"/>
        </w:rPr>
        <w:t>6.2.9</w:t>
      </w:r>
      <w:r>
        <w:rPr>
          <w:rFonts w:ascii="Times New Roman" w:eastAsia="仿宋_GB2312" w:cs="Times New Roman"/>
          <w:i w:val="0"/>
          <w:iCs w:val="0"/>
          <w:color w:val="auto"/>
          <w:sz w:val="21"/>
          <w:szCs w:val="22"/>
        </w:rPr>
        <w:tab/>
      </w:r>
      <w:r>
        <w:rPr>
          <w:rStyle w:val="95"/>
          <w:rFonts w:ascii="Times New Roman" w:eastAsia="仿宋_GB2312" w:cs="Times New Roman"/>
          <w:i w:val="0"/>
        </w:rPr>
        <w:t>机械设计</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_Toc48640769 \h </w:instrText>
      </w:r>
      <w:r>
        <w:rPr>
          <w:rFonts w:ascii="Times New Roman" w:eastAsia="仿宋_GB2312" w:cs="Times New Roman"/>
          <w:i w:val="0"/>
        </w:rPr>
        <w:fldChar w:fldCharType="separate"/>
      </w:r>
      <w:r>
        <w:rPr>
          <w:rFonts w:ascii="Times New Roman" w:eastAsia="仿宋_GB2312" w:cs="Times New Roman"/>
          <w:i w:val="0"/>
        </w:rPr>
        <w:t>63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"_Toc48640770" </w:instrText>
      </w:r>
      <w:r>
        <w:fldChar w:fldCharType="separate"/>
      </w:r>
      <w:r>
        <w:rPr>
          <w:rStyle w:val="95"/>
          <w:rFonts w:ascii="Times New Roman" w:eastAsia="仿宋_GB2312" w:cs="Times New Roman"/>
          <w:i w:val="0"/>
        </w:rPr>
        <w:t>6.2.10</w:t>
      </w:r>
      <w:r>
        <w:rPr>
          <w:rFonts w:ascii="Times New Roman" w:eastAsia="仿宋_GB2312" w:cs="Times New Roman"/>
          <w:i w:val="0"/>
          <w:iCs w:val="0"/>
          <w:color w:val="auto"/>
          <w:sz w:val="21"/>
          <w:szCs w:val="22"/>
        </w:rPr>
        <w:tab/>
      </w:r>
      <w:r>
        <w:rPr>
          <w:rStyle w:val="95"/>
          <w:rFonts w:ascii="Times New Roman" w:eastAsia="仿宋_GB2312" w:cs="Times New Roman"/>
          <w:i w:val="0"/>
        </w:rPr>
        <w:t>污水处理设施工程量</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_Toc48640770 \h </w:instrText>
      </w:r>
      <w:r>
        <w:rPr>
          <w:rFonts w:ascii="Times New Roman" w:eastAsia="仿宋_GB2312" w:cs="Times New Roman"/>
          <w:i w:val="0"/>
        </w:rPr>
        <w:fldChar w:fldCharType="separate"/>
      </w:r>
      <w:r>
        <w:rPr>
          <w:rFonts w:ascii="Times New Roman" w:eastAsia="仿宋_GB2312" w:cs="Times New Roman"/>
          <w:i w:val="0"/>
        </w:rPr>
        <w:t>64</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"_Toc48640771" </w:instrText>
      </w:r>
      <w:r>
        <w:fldChar w:fldCharType="separate"/>
      </w:r>
      <w:r>
        <w:rPr>
          <w:rStyle w:val="95"/>
        </w:rPr>
        <w:t>第七章</w:t>
      </w:r>
      <w:r>
        <w:rPr>
          <w:b w:val="0"/>
          <w:bCs w:val="0"/>
          <w:caps w:val="0"/>
          <w:szCs w:val="22"/>
        </w:rPr>
        <w:tab/>
      </w:r>
      <w:r>
        <w:rPr>
          <w:rStyle w:val="95"/>
        </w:rPr>
        <w:t>项目组织管理与验收</w:t>
      </w:r>
      <w:r>
        <w:tab/>
      </w:r>
      <w:r>
        <w:fldChar w:fldCharType="begin"/>
      </w:r>
      <w:r>
        <w:instrText xml:space="preserve"> PAGEREF _Toc48640771 \h </w:instrText>
      </w:r>
      <w:r>
        <w:fldChar w:fldCharType="separate"/>
      </w:r>
      <w:r>
        <w:t>65</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"_Toc48640772" </w:instrText>
      </w:r>
      <w:r>
        <w:fldChar w:fldCharType="separate"/>
      </w:r>
      <w:r>
        <w:rPr>
          <w:rStyle w:val="95"/>
          <w:rFonts w:ascii="Times New Roman" w:eastAsia="仿宋_GB2312" w:cs="Times New Roman"/>
        </w:rPr>
        <w:t>7.1</w:t>
      </w:r>
      <w:r>
        <w:rPr>
          <w:rFonts w:ascii="Times New Roman" w:eastAsia="仿宋_GB2312" w:cs="Times New Roman"/>
          <w:smallCaps w:val="0"/>
          <w:color w:val="auto"/>
          <w:sz w:val="21"/>
          <w:szCs w:val="22"/>
        </w:rPr>
        <w:tab/>
      </w:r>
      <w:r>
        <w:rPr>
          <w:rStyle w:val="95"/>
          <w:rFonts w:ascii="Times New Roman" w:eastAsia="仿宋_GB2312" w:cs="Times New Roman"/>
        </w:rPr>
        <w:t>实施原则</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_Toc48640772 \h </w:instrText>
      </w:r>
      <w:r>
        <w:rPr>
          <w:rFonts w:ascii="Times New Roman" w:eastAsia="仿宋_GB2312" w:cs="Times New Roman"/>
        </w:rPr>
        <w:fldChar w:fldCharType="separate"/>
      </w:r>
      <w:r>
        <w:rPr>
          <w:rFonts w:ascii="Times New Roman" w:eastAsia="仿宋_GB2312" w:cs="Times New Roman"/>
        </w:rPr>
        <w:t>65</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"_Toc48640773" </w:instrText>
      </w:r>
      <w:r>
        <w:fldChar w:fldCharType="separate"/>
      </w:r>
      <w:r>
        <w:rPr>
          <w:rStyle w:val="95"/>
          <w:rFonts w:ascii="Times New Roman" w:eastAsia="仿宋_GB2312" w:cs="Times New Roman"/>
        </w:rPr>
        <w:t>7.2</w:t>
      </w:r>
      <w:r>
        <w:rPr>
          <w:rFonts w:ascii="Times New Roman" w:eastAsia="仿宋_GB2312" w:cs="Times New Roman"/>
          <w:smallCaps w:val="0"/>
          <w:color w:val="auto"/>
          <w:sz w:val="21"/>
          <w:szCs w:val="22"/>
        </w:rPr>
        <w:tab/>
      </w:r>
      <w:r>
        <w:rPr>
          <w:rStyle w:val="95"/>
          <w:rFonts w:ascii="Times New Roman" w:eastAsia="仿宋_GB2312" w:cs="Times New Roman"/>
        </w:rPr>
        <w:t>项目组织与制度保障</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_Toc48640773 \h </w:instrText>
      </w:r>
      <w:r>
        <w:rPr>
          <w:rFonts w:ascii="Times New Roman" w:eastAsia="仿宋_GB2312" w:cs="Times New Roman"/>
        </w:rPr>
        <w:fldChar w:fldCharType="separate"/>
      </w:r>
      <w:r>
        <w:rPr>
          <w:rFonts w:ascii="Times New Roman" w:eastAsia="仿宋_GB2312" w:cs="Times New Roman"/>
        </w:rPr>
        <w:t>65</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"_Toc48640774" </w:instrText>
      </w:r>
      <w:r>
        <w:fldChar w:fldCharType="separate"/>
      </w:r>
      <w:r>
        <w:rPr>
          <w:rStyle w:val="95"/>
          <w:rFonts w:ascii="Times New Roman" w:eastAsia="仿宋_GB2312" w:cs="Times New Roman"/>
          <w:i w:val="0"/>
        </w:rPr>
        <w:t>7.2.1</w:t>
      </w:r>
      <w:r>
        <w:rPr>
          <w:rFonts w:ascii="Times New Roman" w:eastAsia="仿宋_GB2312" w:cs="Times New Roman"/>
          <w:i w:val="0"/>
          <w:iCs w:val="0"/>
          <w:color w:val="auto"/>
          <w:sz w:val="21"/>
          <w:szCs w:val="22"/>
        </w:rPr>
        <w:tab/>
      </w:r>
      <w:r>
        <w:rPr>
          <w:rStyle w:val="95"/>
          <w:rFonts w:ascii="Times New Roman" w:eastAsia="仿宋_GB2312" w:cs="Times New Roman"/>
          <w:i w:val="0"/>
        </w:rPr>
        <w:t>组织保障</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_Toc48640774 \h </w:instrText>
      </w:r>
      <w:r>
        <w:rPr>
          <w:rFonts w:ascii="Times New Roman" w:eastAsia="仿宋_GB2312" w:cs="Times New Roman"/>
          <w:i w:val="0"/>
        </w:rPr>
        <w:fldChar w:fldCharType="separate"/>
      </w:r>
      <w:r>
        <w:rPr>
          <w:rFonts w:ascii="Times New Roman" w:eastAsia="仿宋_GB2312" w:cs="Times New Roman"/>
          <w:i w:val="0"/>
        </w:rPr>
        <w:t>65</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"_Toc48640775" </w:instrText>
      </w:r>
      <w:r>
        <w:fldChar w:fldCharType="separate"/>
      </w:r>
      <w:r>
        <w:rPr>
          <w:rStyle w:val="95"/>
          <w:rFonts w:ascii="Times New Roman" w:eastAsia="仿宋_GB2312" w:cs="Times New Roman"/>
          <w:i w:val="0"/>
        </w:rPr>
        <w:t>7.2.2</w:t>
      </w:r>
      <w:r>
        <w:rPr>
          <w:rFonts w:ascii="Times New Roman" w:eastAsia="仿宋_GB2312" w:cs="Times New Roman"/>
          <w:i w:val="0"/>
          <w:iCs w:val="0"/>
          <w:color w:val="auto"/>
          <w:sz w:val="21"/>
          <w:szCs w:val="22"/>
        </w:rPr>
        <w:tab/>
      </w:r>
      <w:r>
        <w:rPr>
          <w:rStyle w:val="95"/>
          <w:rFonts w:ascii="Times New Roman" w:eastAsia="仿宋_GB2312" w:cs="Times New Roman"/>
          <w:i w:val="0"/>
        </w:rPr>
        <w:t>制度保障</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_Toc48640775 \h </w:instrText>
      </w:r>
      <w:r>
        <w:rPr>
          <w:rFonts w:ascii="Times New Roman" w:eastAsia="仿宋_GB2312" w:cs="Times New Roman"/>
          <w:i w:val="0"/>
        </w:rPr>
        <w:fldChar w:fldCharType="separate"/>
      </w:r>
      <w:r>
        <w:rPr>
          <w:rFonts w:ascii="Times New Roman" w:eastAsia="仿宋_GB2312" w:cs="Times New Roman"/>
          <w:i w:val="0"/>
        </w:rPr>
        <w:t>66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"_Toc48640776" </w:instrText>
      </w:r>
      <w:r>
        <w:fldChar w:fldCharType="separate"/>
      </w:r>
      <w:r>
        <w:rPr>
          <w:rStyle w:val="95"/>
          <w:rFonts w:ascii="Times New Roman" w:eastAsia="仿宋_GB2312" w:cs="Times New Roman"/>
          <w:i w:val="0"/>
        </w:rPr>
        <w:t>7.2.3</w:t>
      </w:r>
      <w:r>
        <w:rPr>
          <w:rFonts w:ascii="Times New Roman" w:eastAsia="仿宋_GB2312" w:cs="Times New Roman"/>
          <w:i w:val="0"/>
          <w:iCs w:val="0"/>
          <w:color w:val="auto"/>
          <w:sz w:val="21"/>
          <w:szCs w:val="22"/>
        </w:rPr>
        <w:tab/>
      </w:r>
      <w:r>
        <w:rPr>
          <w:rStyle w:val="95"/>
          <w:rFonts w:ascii="Times New Roman" w:eastAsia="仿宋_GB2312" w:cs="Times New Roman"/>
          <w:i w:val="0"/>
        </w:rPr>
        <w:t>工程管理</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_Toc48640776 \h </w:instrText>
      </w:r>
      <w:r>
        <w:rPr>
          <w:rFonts w:ascii="Times New Roman" w:eastAsia="仿宋_GB2312" w:cs="Times New Roman"/>
          <w:i w:val="0"/>
        </w:rPr>
        <w:fldChar w:fldCharType="separate"/>
      </w:r>
      <w:r>
        <w:rPr>
          <w:rFonts w:ascii="Times New Roman" w:eastAsia="仿宋_GB2312" w:cs="Times New Roman"/>
          <w:i w:val="0"/>
        </w:rPr>
        <w:t>67</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"_Toc48640777" </w:instrText>
      </w:r>
      <w:r>
        <w:fldChar w:fldCharType="separate"/>
      </w:r>
      <w:r>
        <w:rPr>
          <w:rStyle w:val="95"/>
          <w:rFonts w:ascii="Times New Roman" w:eastAsia="仿宋_GB2312" w:cs="Times New Roman"/>
        </w:rPr>
        <w:t>7.3</w:t>
      </w:r>
      <w:r>
        <w:rPr>
          <w:rFonts w:ascii="Times New Roman" w:eastAsia="仿宋_GB2312" w:cs="Times New Roman"/>
          <w:smallCaps w:val="0"/>
          <w:color w:val="auto"/>
          <w:sz w:val="21"/>
          <w:szCs w:val="22"/>
        </w:rPr>
        <w:tab/>
      </w:r>
      <w:r>
        <w:rPr>
          <w:rStyle w:val="95"/>
          <w:rFonts w:ascii="Times New Roman" w:eastAsia="仿宋_GB2312" w:cs="Times New Roman"/>
        </w:rPr>
        <w:t>运行维护管理</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_Toc48640777 \h </w:instrText>
      </w:r>
      <w:r>
        <w:rPr>
          <w:rFonts w:ascii="Times New Roman" w:eastAsia="仿宋_GB2312" w:cs="Times New Roman"/>
        </w:rPr>
        <w:fldChar w:fldCharType="separate"/>
      </w:r>
      <w:r>
        <w:rPr>
          <w:rFonts w:ascii="Times New Roman" w:eastAsia="仿宋_GB2312" w:cs="Times New Roman"/>
        </w:rPr>
        <w:t>67</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"_Toc48640778" </w:instrText>
      </w:r>
      <w:r>
        <w:fldChar w:fldCharType="separate"/>
      </w:r>
      <w:r>
        <w:rPr>
          <w:rStyle w:val="95"/>
          <w:rFonts w:ascii="Times New Roman" w:eastAsia="仿宋_GB2312" w:cs="Times New Roman"/>
          <w:i w:val="0"/>
        </w:rPr>
        <w:t>7.3.1</w:t>
      </w:r>
      <w:r>
        <w:rPr>
          <w:rFonts w:ascii="Times New Roman" w:eastAsia="仿宋_GB2312" w:cs="Times New Roman"/>
          <w:i w:val="0"/>
          <w:iCs w:val="0"/>
          <w:color w:val="auto"/>
          <w:sz w:val="21"/>
          <w:szCs w:val="22"/>
        </w:rPr>
        <w:tab/>
      </w:r>
      <w:r>
        <w:rPr>
          <w:rStyle w:val="95"/>
          <w:rFonts w:ascii="Times New Roman" w:eastAsia="仿宋_GB2312" w:cs="Times New Roman"/>
          <w:i w:val="0"/>
        </w:rPr>
        <w:t>运行费用及资金保障</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_Toc48640778 \h </w:instrText>
      </w:r>
      <w:r>
        <w:rPr>
          <w:rFonts w:ascii="Times New Roman" w:eastAsia="仿宋_GB2312" w:cs="Times New Roman"/>
          <w:i w:val="0"/>
        </w:rPr>
        <w:fldChar w:fldCharType="separate"/>
      </w:r>
      <w:r>
        <w:rPr>
          <w:rFonts w:ascii="Times New Roman" w:eastAsia="仿宋_GB2312" w:cs="Times New Roman"/>
          <w:i w:val="0"/>
        </w:rPr>
        <w:t>69</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"_Toc48640779" </w:instrText>
      </w:r>
      <w:r>
        <w:fldChar w:fldCharType="separate"/>
      </w:r>
      <w:r>
        <w:rPr>
          <w:rStyle w:val="95"/>
          <w:rFonts w:ascii="Times New Roman" w:eastAsia="仿宋_GB2312" w:cs="Times New Roman"/>
          <w:i w:val="0"/>
        </w:rPr>
        <w:t>7.3.2</w:t>
      </w:r>
      <w:r>
        <w:rPr>
          <w:rFonts w:ascii="Times New Roman" w:eastAsia="仿宋_GB2312" w:cs="Times New Roman"/>
          <w:i w:val="0"/>
          <w:iCs w:val="0"/>
          <w:color w:val="auto"/>
          <w:sz w:val="21"/>
          <w:szCs w:val="22"/>
        </w:rPr>
        <w:tab/>
      </w:r>
      <w:r>
        <w:rPr>
          <w:rStyle w:val="95"/>
          <w:rFonts w:ascii="Times New Roman" w:eastAsia="仿宋_GB2312" w:cs="Times New Roman"/>
          <w:i w:val="0"/>
        </w:rPr>
        <w:t>资金保障</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_Toc48640779 \h </w:instrText>
      </w:r>
      <w:r>
        <w:rPr>
          <w:rFonts w:ascii="Times New Roman" w:eastAsia="仿宋_GB2312" w:cs="Times New Roman"/>
          <w:i w:val="0"/>
        </w:rPr>
        <w:fldChar w:fldCharType="separate"/>
      </w:r>
      <w:r>
        <w:rPr>
          <w:rFonts w:ascii="Times New Roman" w:eastAsia="仿宋_GB2312" w:cs="Times New Roman"/>
          <w:i w:val="0"/>
        </w:rPr>
        <w:t>69</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"_Toc48640780" </w:instrText>
      </w:r>
      <w:r>
        <w:fldChar w:fldCharType="separate"/>
      </w:r>
      <w:r>
        <w:rPr>
          <w:rStyle w:val="95"/>
          <w:rFonts w:ascii="Times New Roman" w:eastAsia="仿宋_GB2312" w:cs="Times New Roman"/>
        </w:rPr>
        <w:t>7.4</w:t>
      </w:r>
      <w:r>
        <w:rPr>
          <w:rFonts w:ascii="Times New Roman" w:eastAsia="仿宋_GB2312" w:cs="Times New Roman"/>
          <w:smallCaps w:val="0"/>
          <w:color w:val="auto"/>
          <w:sz w:val="21"/>
          <w:szCs w:val="22"/>
        </w:rPr>
        <w:tab/>
      </w:r>
      <w:r>
        <w:rPr>
          <w:rStyle w:val="95"/>
          <w:rFonts w:ascii="Times New Roman" w:eastAsia="仿宋_GB2312" w:cs="Times New Roman"/>
        </w:rPr>
        <w:t>项目监测及验收</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_Toc48640780 \h </w:instrText>
      </w:r>
      <w:r>
        <w:rPr>
          <w:rFonts w:ascii="Times New Roman" w:eastAsia="仿宋_GB2312" w:cs="Times New Roman"/>
        </w:rPr>
        <w:fldChar w:fldCharType="separate"/>
      </w:r>
      <w:r>
        <w:rPr>
          <w:rFonts w:ascii="Times New Roman" w:eastAsia="仿宋_GB2312" w:cs="Times New Roman"/>
        </w:rPr>
        <w:t>69</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"_Toc48640781" </w:instrText>
      </w:r>
      <w:r>
        <w:fldChar w:fldCharType="separate"/>
      </w:r>
      <w:r>
        <w:rPr>
          <w:rStyle w:val="95"/>
          <w:rFonts w:ascii="Times New Roman" w:eastAsia="仿宋_GB2312" w:cs="Times New Roman"/>
          <w:i w:val="0"/>
        </w:rPr>
        <w:t>7.4.1</w:t>
      </w:r>
      <w:r>
        <w:rPr>
          <w:rFonts w:ascii="Times New Roman" w:eastAsia="仿宋_GB2312" w:cs="Times New Roman"/>
          <w:i w:val="0"/>
          <w:iCs w:val="0"/>
          <w:color w:val="auto"/>
          <w:sz w:val="21"/>
          <w:szCs w:val="22"/>
        </w:rPr>
        <w:tab/>
      </w:r>
      <w:r>
        <w:rPr>
          <w:rStyle w:val="95"/>
          <w:rFonts w:ascii="Times New Roman" w:eastAsia="仿宋_GB2312" w:cs="Times New Roman"/>
          <w:i w:val="0"/>
        </w:rPr>
        <w:t>工程验收</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_Toc48640781 \h </w:instrText>
      </w:r>
      <w:r>
        <w:rPr>
          <w:rFonts w:ascii="Times New Roman" w:eastAsia="仿宋_GB2312" w:cs="Times New Roman"/>
          <w:i w:val="0"/>
        </w:rPr>
        <w:fldChar w:fldCharType="separate"/>
      </w:r>
      <w:r>
        <w:rPr>
          <w:rFonts w:ascii="Times New Roman" w:eastAsia="仿宋_GB2312" w:cs="Times New Roman"/>
          <w:i w:val="0"/>
        </w:rPr>
        <w:t>70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"_Toc48640782" </w:instrText>
      </w:r>
      <w:r>
        <w:fldChar w:fldCharType="separate"/>
      </w:r>
      <w:r>
        <w:rPr>
          <w:rStyle w:val="95"/>
          <w:rFonts w:ascii="Times New Roman" w:eastAsia="仿宋_GB2312" w:cs="Times New Roman"/>
          <w:i w:val="0"/>
        </w:rPr>
        <w:t>7.4.2</w:t>
      </w:r>
      <w:r>
        <w:rPr>
          <w:rFonts w:ascii="Times New Roman" w:eastAsia="仿宋_GB2312" w:cs="Times New Roman"/>
          <w:i w:val="0"/>
          <w:iCs w:val="0"/>
          <w:color w:val="auto"/>
          <w:sz w:val="21"/>
          <w:szCs w:val="22"/>
        </w:rPr>
        <w:tab/>
      </w:r>
      <w:r>
        <w:rPr>
          <w:rStyle w:val="95"/>
          <w:rFonts w:ascii="Times New Roman" w:eastAsia="仿宋_GB2312" w:cs="Times New Roman"/>
          <w:i w:val="0"/>
        </w:rPr>
        <w:t>验收标准</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_Toc48640782 \h </w:instrText>
      </w:r>
      <w:r>
        <w:rPr>
          <w:rFonts w:ascii="Times New Roman" w:eastAsia="仿宋_GB2312" w:cs="Times New Roman"/>
          <w:i w:val="0"/>
        </w:rPr>
        <w:fldChar w:fldCharType="separate"/>
      </w:r>
      <w:r>
        <w:rPr>
          <w:rFonts w:ascii="Times New Roman" w:eastAsia="仿宋_GB2312" w:cs="Times New Roman"/>
          <w:i w:val="0"/>
        </w:rPr>
        <w:t>70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"_Toc48640783" </w:instrText>
      </w:r>
      <w:r>
        <w:fldChar w:fldCharType="separate"/>
      </w:r>
      <w:r>
        <w:rPr>
          <w:rStyle w:val="95"/>
          <w:rFonts w:ascii="Times New Roman" w:eastAsia="仿宋_GB2312" w:cs="Times New Roman"/>
          <w:i w:val="0"/>
        </w:rPr>
        <w:t>7.4.3</w:t>
      </w:r>
      <w:r>
        <w:rPr>
          <w:rFonts w:ascii="Times New Roman" w:eastAsia="仿宋_GB2312" w:cs="Times New Roman"/>
          <w:i w:val="0"/>
          <w:iCs w:val="0"/>
          <w:color w:val="auto"/>
          <w:sz w:val="21"/>
          <w:szCs w:val="22"/>
        </w:rPr>
        <w:tab/>
      </w:r>
      <w:r>
        <w:rPr>
          <w:rStyle w:val="95"/>
          <w:rFonts w:ascii="Times New Roman" w:eastAsia="仿宋_GB2312" w:cs="Times New Roman"/>
          <w:i w:val="0"/>
        </w:rPr>
        <w:t>工程量考核指标</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_Toc48640783 \h </w:instrText>
      </w:r>
      <w:r>
        <w:rPr>
          <w:rFonts w:ascii="Times New Roman" w:eastAsia="仿宋_GB2312" w:cs="Times New Roman"/>
          <w:i w:val="0"/>
        </w:rPr>
        <w:fldChar w:fldCharType="separate"/>
      </w:r>
      <w:r>
        <w:rPr>
          <w:rFonts w:ascii="Times New Roman" w:eastAsia="仿宋_GB2312" w:cs="Times New Roman"/>
          <w:i w:val="0"/>
        </w:rPr>
        <w:t>70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"_Toc48640784" </w:instrText>
      </w:r>
      <w:r>
        <w:fldChar w:fldCharType="separate"/>
      </w:r>
      <w:r>
        <w:rPr>
          <w:rStyle w:val="95"/>
          <w:rFonts w:ascii="Times New Roman" w:eastAsia="仿宋_GB2312" w:cs="Times New Roman"/>
          <w:i w:val="0"/>
        </w:rPr>
        <w:t>7.4.4</w:t>
      </w:r>
      <w:r>
        <w:rPr>
          <w:rFonts w:ascii="Times New Roman" w:eastAsia="仿宋_GB2312" w:cs="Times New Roman"/>
          <w:i w:val="0"/>
          <w:iCs w:val="0"/>
          <w:color w:val="auto"/>
          <w:sz w:val="21"/>
          <w:szCs w:val="22"/>
        </w:rPr>
        <w:tab/>
      </w:r>
      <w:r>
        <w:rPr>
          <w:rStyle w:val="95"/>
          <w:rFonts w:ascii="Times New Roman" w:eastAsia="仿宋_GB2312" w:cs="Times New Roman"/>
          <w:i w:val="0"/>
        </w:rPr>
        <w:t>削减目标考核指标</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_Toc48640784 \h </w:instrText>
      </w:r>
      <w:r>
        <w:rPr>
          <w:rFonts w:ascii="Times New Roman" w:eastAsia="仿宋_GB2312" w:cs="Times New Roman"/>
          <w:i w:val="0"/>
        </w:rPr>
        <w:fldChar w:fldCharType="separate"/>
      </w:r>
      <w:r>
        <w:rPr>
          <w:rFonts w:ascii="Times New Roman" w:eastAsia="仿宋_GB2312" w:cs="Times New Roman"/>
          <w:i w:val="0"/>
        </w:rPr>
        <w:t>70</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"_Toc48640785" </w:instrText>
      </w:r>
      <w:r>
        <w:fldChar w:fldCharType="separate"/>
      </w:r>
      <w:r>
        <w:rPr>
          <w:rStyle w:val="95"/>
          <w:rFonts w:ascii="Times New Roman" w:eastAsia="仿宋_GB2312" w:cs="Times New Roman"/>
        </w:rPr>
        <w:t>7.5</w:t>
      </w:r>
      <w:r>
        <w:rPr>
          <w:rFonts w:ascii="Times New Roman" w:eastAsia="仿宋_GB2312" w:cs="Times New Roman"/>
          <w:smallCaps w:val="0"/>
          <w:color w:val="auto"/>
          <w:sz w:val="21"/>
          <w:szCs w:val="22"/>
        </w:rPr>
        <w:tab/>
      </w:r>
      <w:r>
        <w:rPr>
          <w:rStyle w:val="95"/>
          <w:rFonts w:ascii="Times New Roman" w:eastAsia="仿宋_GB2312" w:cs="Times New Roman"/>
        </w:rPr>
        <w:t>项目实施计划</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_Toc48640785 \h </w:instrText>
      </w:r>
      <w:r>
        <w:rPr>
          <w:rFonts w:ascii="Times New Roman" w:eastAsia="仿宋_GB2312" w:cs="Times New Roman"/>
        </w:rPr>
        <w:fldChar w:fldCharType="separate"/>
      </w:r>
      <w:r>
        <w:rPr>
          <w:rFonts w:ascii="Times New Roman" w:eastAsia="仿宋_GB2312" w:cs="Times New Roman"/>
        </w:rPr>
        <w:t>70</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"_Toc48640786" </w:instrText>
      </w:r>
      <w:r>
        <w:fldChar w:fldCharType="separate"/>
      </w:r>
      <w:r>
        <w:rPr>
          <w:rStyle w:val="95"/>
          <w:rFonts w:ascii="Times New Roman" w:eastAsia="仿宋_GB2312" w:cs="Times New Roman"/>
          <w:i w:val="0"/>
        </w:rPr>
        <w:t>7.5.1</w:t>
      </w:r>
      <w:r>
        <w:rPr>
          <w:rFonts w:ascii="Times New Roman" w:eastAsia="仿宋_GB2312" w:cs="Times New Roman"/>
          <w:i w:val="0"/>
          <w:iCs w:val="0"/>
          <w:color w:val="auto"/>
          <w:sz w:val="21"/>
          <w:szCs w:val="22"/>
        </w:rPr>
        <w:tab/>
      </w:r>
      <w:r>
        <w:rPr>
          <w:rStyle w:val="95"/>
          <w:rFonts w:ascii="Times New Roman" w:eastAsia="仿宋_GB2312" w:cs="Times New Roman"/>
          <w:i w:val="0"/>
        </w:rPr>
        <w:t>建设实施周期</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_Toc48640786 \h </w:instrText>
      </w:r>
      <w:r>
        <w:rPr>
          <w:rFonts w:ascii="Times New Roman" w:eastAsia="仿宋_GB2312" w:cs="Times New Roman"/>
          <w:i w:val="0"/>
        </w:rPr>
        <w:fldChar w:fldCharType="separate"/>
      </w:r>
      <w:r>
        <w:rPr>
          <w:rFonts w:ascii="Times New Roman" w:eastAsia="仿宋_GB2312" w:cs="Times New Roman"/>
          <w:i w:val="0"/>
        </w:rPr>
        <w:t>70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"_Toc48640787" </w:instrText>
      </w:r>
      <w:r>
        <w:fldChar w:fldCharType="separate"/>
      </w:r>
      <w:r>
        <w:rPr>
          <w:rStyle w:val="95"/>
          <w:rFonts w:ascii="Times New Roman" w:eastAsia="仿宋_GB2312" w:cs="Times New Roman"/>
          <w:i w:val="0"/>
        </w:rPr>
        <w:t>7.5.2</w:t>
      </w:r>
      <w:r>
        <w:rPr>
          <w:rFonts w:ascii="Times New Roman" w:eastAsia="仿宋_GB2312" w:cs="Times New Roman"/>
          <w:i w:val="0"/>
          <w:iCs w:val="0"/>
          <w:color w:val="auto"/>
          <w:sz w:val="21"/>
          <w:szCs w:val="22"/>
        </w:rPr>
        <w:tab/>
      </w:r>
      <w:r>
        <w:rPr>
          <w:rStyle w:val="95"/>
          <w:rFonts w:ascii="Times New Roman" w:eastAsia="仿宋_GB2312" w:cs="Times New Roman"/>
          <w:i w:val="0"/>
        </w:rPr>
        <w:t>项目实施进度安排</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_Toc48640787 \h </w:instrText>
      </w:r>
      <w:r>
        <w:rPr>
          <w:rFonts w:ascii="Times New Roman" w:eastAsia="仿宋_GB2312" w:cs="Times New Roman"/>
          <w:i w:val="0"/>
        </w:rPr>
        <w:fldChar w:fldCharType="separate"/>
      </w:r>
      <w:r>
        <w:rPr>
          <w:rFonts w:ascii="Times New Roman" w:eastAsia="仿宋_GB2312" w:cs="Times New Roman"/>
          <w:i w:val="0"/>
        </w:rPr>
        <w:t>71</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"_Toc48640788" </w:instrText>
      </w:r>
      <w:r>
        <w:fldChar w:fldCharType="separate"/>
      </w:r>
      <w:r>
        <w:rPr>
          <w:rStyle w:val="95"/>
        </w:rPr>
        <w:t>第八章</w:t>
      </w:r>
      <w:r>
        <w:rPr>
          <w:b w:val="0"/>
          <w:bCs w:val="0"/>
          <w:caps w:val="0"/>
          <w:szCs w:val="22"/>
        </w:rPr>
        <w:tab/>
      </w:r>
      <w:r>
        <w:rPr>
          <w:rStyle w:val="95"/>
        </w:rPr>
        <w:t>环境保护与安全施工</w:t>
      </w:r>
      <w:r>
        <w:tab/>
      </w:r>
      <w:r>
        <w:fldChar w:fldCharType="begin"/>
      </w:r>
      <w:r>
        <w:instrText xml:space="preserve"> PAGEREF _Toc48640788 \h </w:instrText>
      </w:r>
      <w:r>
        <w:fldChar w:fldCharType="separate"/>
      </w:r>
      <w:r>
        <w:t>73</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"_Toc48640789" </w:instrText>
      </w:r>
      <w:r>
        <w:fldChar w:fldCharType="separate"/>
      </w:r>
      <w:r>
        <w:rPr>
          <w:rStyle w:val="95"/>
          <w:rFonts w:ascii="Times New Roman" w:eastAsia="仿宋_GB2312" w:cs="Times New Roman"/>
        </w:rPr>
        <w:t>8.1</w:t>
      </w:r>
      <w:r>
        <w:rPr>
          <w:rFonts w:ascii="Times New Roman" w:eastAsia="仿宋_GB2312" w:cs="Times New Roman"/>
          <w:smallCaps w:val="0"/>
          <w:color w:val="auto"/>
          <w:sz w:val="21"/>
          <w:szCs w:val="22"/>
        </w:rPr>
        <w:tab/>
      </w:r>
      <w:r>
        <w:rPr>
          <w:rStyle w:val="95"/>
          <w:rFonts w:ascii="Times New Roman" w:eastAsia="仿宋_GB2312" w:cs="Times New Roman"/>
        </w:rPr>
        <w:t>环境保护</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_Toc48640789 \h </w:instrText>
      </w:r>
      <w:r>
        <w:rPr>
          <w:rFonts w:ascii="Times New Roman" w:eastAsia="仿宋_GB2312" w:cs="Times New Roman"/>
        </w:rPr>
        <w:fldChar w:fldCharType="separate"/>
      </w:r>
      <w:r>
        <w:rPr>
          <w:rFonts w:ascii="Times New Roman" w:eastAsia="仿宋_GB2312" w:cs="Times New Roman"/>
        </w:rPr>
        <w:t>73</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"_Toc48640790" </w:instrText>
      </w:r>
      <w:r>
        <w:fldChar w:fldCharType="separate"/>
      </w:r>
      <w:r>
        <w:rPr>
          <w:rStyle w:val="95"/>
          <w:rFonts w:ascii="Times New Roman" w:eastAsia="仿宋_GB2312" w:cs="Times New Roman"/>
          <w:i w:val="0"/>
          <w:lang w:val="zh-CN"/>
        </w:rPr>
        <w:t>8.1.1</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主要污染源分析</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_Toc48640790 \h </w:instrText>
      </w:r>
      <w:r>
        <w:rPr>
          <w:rFonts w:ascii="Times New Roman" w:eastAsia="仿宋_GB2312" w:cs="Times New Roman"/>
          <w:i w:val="0"/>
        </w:rPr>
        <w:fldChar w:fldCharType="separate"/>
      </w:r>
      <w:r>
        <w:rPr>
          <w:rFonts w:ascii="Times New Roman" w:eastAsia="仿宋_GB2312" w:cs="Times New Roman"/>
          <w:i w:val="0"/>
        </w:rPr>
        <w:t>73</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"_Toc48640791" </w:instrText>
      </w:r>
      <w:r>
        <w:fldChar w:fldCharType="separate"/>
      </w:r>
      <w:r>
        <w:rPr>
          <w:rStyle w:val="95"/>
          <w:rFonts w:ascii="Times New Roman" w:eastAsia="仿宋_GB2312" w:cs="Times New Roman"/>
          <w:i w:val="0"/>
          <w:lang w:val="zh-CN"/>
        </w:rPr>
        <w:t>8.1.2</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环保措施分析</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_Toc48640791 \h </w:instrText>
      </w:r>
      <w:r>
        <w:rPr>
          <w:rFonts w:ascii="Times New Roman" w:eastAsia="仿宋_GB2312" w:cs="Times New Roman"/>
          <w:i w:val="0"/>
        </w:rPr>
        <w:fldChar w:fldCharType="separate"/>
      </w:r>
      <w:r>
        <w:rPr>
          <w:rFonts w:ascii="Times New Roman" w:eastAsia="仿宋_GB2312" w:cs="Times New Roman"/>
          <w:i w:val="0"/>
        </w:rPr>
        <w:t>74</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"_Toc48640792" </w:instrText>
      </w:r>
      <w:r>
        <w:fldChar w:fldCharType="separate"/>
      </w:r>
      <w:r>
        <w:rPr>
          <w:rStyle w:val="95"/>
          <w:rFonts w:ascii="Times New Roman" w:eastAsia="仿宋_GB2312" w:cs="Times New Roman"/>
        </w:rPr>
        <w:t>8.2</w:t>
      </w:r>
      <w:r>
        <w:rPr>
          <w:rFonts w:ascii="Times New Roman" w:eastAsia="仿宋_GB2312" w:cs="Times New Roman"/>
          <w:smallCaps w:val="0"/>
          <w:color w:val="auto"/>
          <w:sz w:val="21"/>
          <w:szCs w:val="22"/>
        </w:rPr>
        <w:tab/>
      </w:r>
      <w:r>
        <w:rPr>
          <w:rStyle w:val="95"/>
          <w:rFonts w:ascii="Times New Roman" w:eastAsia="仿宋_GB2312" w:cs="Times New Roman"/>
        </w:rPr>
        <w:t>劳动安全卫生</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_Toc48640792 \h </w:instrText>
      </w:r>
      <w:r>
        <w:rPr>
          <w:rFonts w:ascii="Times New Roman" w:eastAsia="仿宋_GB2312" w:cs="Times New Roman"/>
        </w:rPr>
        <w:fldChar w:fldCharType="separate"/>
      </w:r>
      <w:r>
        <w:rPr>
          <w:rFonts w:ascii="Times New Roman" w:eastAsia="仿宋_GB2312" w:cs="Times New Roman"/>
        </w:rPr>
        <w:t>75</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"_Toc48640793" </w:instrText>
      </w:r>
      <w:r>
        <w:fldChar w:fldCharType="separate"/>
      </w:r>
      <w:r>
        <w:rPr>
          <w:rStyle w:val="95"/>
          <w:rFonts w:ascii="Times New Roman" w:eastAsia="仿宋_GB2312" w:cs="Times New Roman"/>
          <w:i w:val="0"/>
          <w:lang w:val="zh-CN"/>
        </w:rPr>
        <w:t>8.2.1</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劳动安全</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_Toc48640793 \h </w:instrText>
      </w:r>
      <w:r>
        <w:rPr>
          <w:rFonts w:ascii="Times New Roman" w:eastAsia="仿宋_GB2312" w:cs="Times New Roman"/>
          <w:i w:val="0"/>
        </w:rPr>
        <w:fldChar w:fldCharType="separate"/>
      </w:r>
      <w:r>
        <w:rPr>
          <w:rFonts w:ascii="Times New Roman" w:eastAsia="仿宋_GB2312" w:cs="Times New Roman"/>
          <w:i w:val="0"/>
        </w:rPr>
        <w:t>75</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"_Toc48640794" </w:instrText>
      </w:r>
      <w:r>
        <w:fldChar w:fldCharType="separate"/>
      </w:r>
      <w:r>
        <w:rPr>
          <w:rStyle w:val="95"/>
          <w:rFonts w:ascii="Times New Roman" w:eastAsia="仿宋_GB2312" w:cs="Times New Roman"/>
          <w:i w:val="0"/>
        </w:rPr>
        <w:t>8.2.2</w:t>
      </w:r>
      <w:r>
        <w:rPr>
          <w:rFonts w:ascii="Times New Roman" w:eastAsia="仿宋_GB2312" w:cs="Times New Roman"/>
          <w:i w:val="0"/>
          <w:iCs w:val="0"/>
          <w:color w:val="auto"/>
          <w:sz w:val="21"/>
          <w:szCs w:val="22"/>
        </w:rPr>
        <w:tab/>
      </w:r>
      <w:r>
        <w:rPr>
          <w:rStyle w:val="95"/>
          <w:rFonts w:ascii="Times New Roman" w:eastAsia="仿宋_GB2312" w:cs="Times New Roman"/>
          <w:i w:val="0"/>
        </w:rPr>
        <w:t>职业危害防护</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_Toc48640794 \h </w:instrText>
      </w:r>
      <w:r>
        <w:rPr>
          <w:rFonts w:ascii="Times New Roman" w:eastAsia="仿宋_GB2312" w:cs="Times New Roman"/>
          <w:i w:val="0"/>
        </w:rPr>
        <w:fldChar w:fldCharType="separate"/>
      </w:r>
      <w:r>
        <w:rPr>
          <w:rFonts w:ascii="Times New Roman" w:eastAsia="仿宋_GB2312" w:cs="Times New Roman"/>
          <w:i w:val="0"/>
        </w:rPr>
        <w:t>76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"_Toc48640795" </w:instrText>
      </w:r>
      <w:r>
        <w:fldChar w:fldCharType="separate"/>
      </w:r>
      <w:r>
        <w:rPr>
          <w:rStyle w:val="95"/>
          <w:rFonts w:ascii="Times New Roman" w:eastAsia="仿宋_GB2312" w:cs="Times New Roman"/>
          <w:i w:val="0"/>
        </w:rPr>
        <w:t>8.2.3</w:t>
      </w:r>
      <w:r>
        <w:rPr>
          <w:rFonts w:ascii="Times New Roman" w:eastAsia="仿宋_GB2312" w:cs="Times New Roman"/>
          <w:i w:val="0"/>
          <w:iCs w:val="0"/>
          <w:color w:val="auto"/>
          <w:sz w:val="21"/>
          <w:szCs w:val="22"/>
        </w:rPr>
        <w:tab/>
      </w:r>
      <w:r>
        <w:rPr>
          <w:rStyle w:val="95"/>
          <w:rFonts w:ascii="Times New Roman" w:eastAsia="仿宋_GB2312" w:cs="Times New Roman"/>
          <w:i w:val="0"/>
        </w:rPr>
        <w:t>劳动安全卫生措施</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_Toc48640795 \h </w:instrText>
      </w:r>
      <w:r>
        <w:rPr>
          <w:rFonts w:ascii="Times New Roman" w:eastAsia="仿宋_GB2312" w:cs="Times New Roman"/>
          <w:i w:val="0"/>
        </w:rPr>
        <w:fldChar w:fldCharType="separate"/>
      </w:r>
      <w:r>
        <w:rPr>
          <w:rFonts w:ascii="Times New Roman" w:eastAsia="仿宋_GB2312" w:cs="Times New Roman"/>
          <w:i w:val="0"/>
        </w:rPr>
        <w:t>77</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"_Toc48640796" </w:instrText>
      </w:r>
      <w:r>
        <w:fldChar w:fldCharType="separate"/>
      </w:r>
      <w:r>
        <w:rPr>
          <w:rStyle w:val="95"/>
          <w:rFonts w:ascii="Times New Roman" w:eastAsia="仿宋_GB2312" w:cs="Times New Roman"/>
          <w:i w:val="0"/>
        </w:rPr>
        <w:t>8.2.4</w:t>
      </w:r>
      <w:r>
        <w:rPr>
          <w:rFonts w:ascii="Times New Roman" w:eastAsia="仿宋_GB2312" w:cs="Times New Roman"/>
          <w:i w:val="0"/>
          <w:iCs w:val="0"/>
          <w:color w:val="auto"/>
          <w:sz w:val="21"/>
          <w:szCs w:val="22"/>
        </w:rPr>
        <w:tab/>
      </w:r>
      <w:r>
        <w:rPr>
          <w:rStyle w:val="95"/>
          <w:rFonts w:ascii="Times New Roman" w:eastAsia="仿宋_GB2312" w:cs="Times New Roman"/>
          <w:i w:val="0"/>
        </w:rPr>
        <w:t>突发事件及应急措施</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_Toc48640796 \h </w:instrText>
      </w:r>
      <w:r>
        <w:rPr>
          <w:rFonts w:ascii="Times New Roman" w:eastAsia="仿宋_GB2312" w:cs="Times New Roman"/>
          <w:i w:val="0"/>
        </w:rPr>
        <w:fldChar w:fldCharType="separate"/>
      </w:r>
      <w:r>
        <w:rPr>
          <w:rFonts w:ascii="Times New Roman" w:eastAsia="仿宋_GB2312" w:cs="Times New Roman"/>
          <w:i w:val="0"/>
        </w:rPr>
        <w:t>78</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"_Toc48640797" </w:instrText>
      </w:r>
      <w:r>
        <w:fldChar w:fldCharType="separate"/>
      </w:r>
      <w:r>
        <w:rPr>
          <w:rStyle w:val="95"/>
        </w:rPr>
        <w:t>第九章</w:t>
      </w:r>
      <w:r>
        <w:rPr>
          <w:b w:val="0"/>
          <w:bCs w:val="0"/>
          <w:caps w:val="0"/>
          <w:szCs w:val="22"/>
        </w:rPr>
        <w:tab/>
      </w:r>
      <w:r>
        <w:rPr>
          <w:rStyle w:val="95"/>
        </w:rPr>
        <w:t>节能</w:t>
      </w:r>
      <w:r>
        <w:tab/>
      </w:r>
      <w:r>
        <w:fldChar w:fldCharType="begin"/>
      </w:r>
      <w:r>
        <w:instrText xml:space="preserve"> PAGEREF _Toc48640797 \h </w:instrText>
      </w:r>
      <w:r>
        <w:fldChar w:fldCharType="separate"/>
      </w:r>
      <w:r>
        <w:t>79</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"_Toc48640798" </w:instrText>
      </w:r>
      <w:r>
        <w:fldChar w:fldCharType="separate"/>
      </w:r>
      <w:r>
        <w:rPr>
          <w:rStyle w:val="95"/>
          <w:rFonts w:ascii="Times New Roman" w:eastAsia="仿宋_GB2312" w:cs="Times New Roman"/>
        </w:rPr>
        <w:t>9.1</w:t>
      </w:r>
      <w:r>
        <w:rPr>
          <w:rFonts w:ascii="Times New Roman" w:eastAsia="仿宋_GB2312" w:cs="Times New Roman"/>
          <w:smallCaps w:val="0"/>
          <w:color w:val="auto"/>
          <w:sz w:val="21"/>
          <w:szCs w:val="22"/>
        </w:rPr>
        <w:tab/>
      </w:r>
      <w:r>
        <w:rPr>
          <w:rStyle w:val="95"/>
          <w:rFonts w:ascii="Times New Roman" w:eastAsia="仿宋_GB2312" w:cs="Times New Roman"/>
        </w:rPr>
        <w:t>编制依据</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_Toc48640798 \h </w:instrText>
      </w:r>
      <w:r>
        <w:rPr>
          <w:rFonts w:ascii="Times New Roman" w:eastAsia="仿宋_GB2312" w:cs="Times New Roman"/>
        </w:rPr>
        <w:fldChar w:fldCharType="separate"/>
      </w:r>
      <w:r>
        <w:rPr>
          <w:rFonts w:ascii="Times New Roman" w:eastAsia="仿宋_GB2312" w:cs="Times New Roman"/>
        </w:rPr>
        <w:t>79</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"_Toc48640799" </w:instrText>
      </w:r>
      <w:r>
        <w:fldChar w:fldCharType="separate"/>
      </w:r>
      <w:r>
        <w:rPr>
          <w:rStyle w:val="95"/>
          <w:rFonts w:ascii="Times New Roman" w:eastAsia="仿宋_GB2312" w:cs="Times New Roman"/>
        </w:rPr>
        <w:t>9.2</w:t>
      </w:r>
      <w:r>
        <w:rPr>
          <w:rFonts w:ascii="Times New Roman" w:eastAsia="仿宋_GB2312" w:cs="Times New Roman"/>
          <w:smallCaps w:val="0"/>
          <w:color w:val="auto"/>
          <w:sz w:val="21"/>
          <w:szCs w:val="22"/>
        </w:rPr>
        <w:tab/>
      </w:r>
      <w:r>
        <w:rPr>
          <w:rStyle w:val="95"/>
          <w:rFonts w:ascii="Times New Roman" w:eastAsia="仿宋_GB2312" w:cs="Times New Roman"/>
        </w:rPr>
        <w:t>能源消耗</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_Toc48640799 \h </w:instrText>
      </w:r>
      <w:r>
        <w:rPr>
          <w:rFonts w:ascii="Times New Roman" w:eastAsia="仿宋_GB2312" w:cs="Times New Roman"/>
        </w:rPr>
        <w:fldChar w:fldCharType="separate"/>
      </w:r>
      <w:r>
        <w:rPr>
          <w:rFonts w:ascii="Times New Roman" w:eastAsia="仿宋_GB2312" w:cs="Times New Roman"/>
        </w:rPr>
        <w:t>80</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"_Toc48640800" </w:instrText>
      </w:r>
      <w:r>
        <w:fldChar w:fldCharType="separate"/>
      </w:r>
      <w:r>
        <w:rPr>
          <w:rStyle w:val="95"/>
          <w:rFonts w:ascii="Times New Roman" w:eastAsia="仿宋_GB2312" w:cs="Times New Roman"/>
        </w:rPr>
        <w:t>9.3</w:t>
      </w:r>
      <w:r>
        <w:rPr>
          <w:rFonts w:ascii="Times New Roman" w:eastAsia="仿宋_GB2312" w:cs="Times New Roman"/>
          <w:smallCaps w:val="0"/>
          <w:color w:val="auto"/>
          <w:sz w:val="21"/>
          <w:szCs w:val="22"/>
        </w:rPr>
        <w:tab/>
      </w:r>
      <w:r>
        <w:rPr>
          <w:rStyle w:val="95"/>
          <w:rFonts w:ascii="Times New Roman" w:eastAsia="仿宋_GB2312" w:cs="Times New Roman"/>
        </w:rPr>
        <w:t>节能措施</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_Toc48640800 \h </w:instrText>
      </w:r>
      <w:r>
        <w:rPr>
          <w:rFonts w:ascii="Times New Roman" w:eastAsia="仿宋_GB2312" w:cs="Times New Roman"/>
        </w:rPr>
        <w:fldChar w:fldCharType="separate"/>
      </w:r>
      <w:r>
        <w:rPr>
          <w:rFonts w:ascii="Times New Roman" w:eastAsia="仿宋_GB2312" w:cs="Times New Roman"/>
        </w:rPr>
        <w:t>80</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"_Toc48640801" </w:instrText>
      </w:r>
      <w:r>
        <w:fldChar w:fldCharType="separate"/>
      </w:r>
      <w:r>
        <w:rPr>
          <w:rStyle w:val="95"/>
        </w:rPr>
        <w:t>第十章</w:t>
      </w:r>
      <w:r>
        <w:rPr>
          <w:b w:val="0"/>
          <w:bCs w:val="0"/>
          <w:caps w:val="0"/>
          <w:szCs w:val="22"/>
        </w:rPr>
        <w:tab/>
      </w:r>
      <w:r>
        <w:rPr>
          <w:rStyle w:val="95"/>
        </w:rPr>
        <w:t>项目招标</w:t>
      </w:r>
      <w:r>
        <w:tab/>
      </w:r>
      <w:r>
        <w:fldChar w:fldCharType="begin"/>
      </w:r>
      <w:r>
        <w:instrText xml:space="preserve"> PAGEREF _Toc48640801 \h </w:instrText>
      </w:r>
      <w:r>
        <w:fldChar w:fldCharType="separate"/>
      </w:r>
      <w:r>
        <w:t>82</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"_Toc48640802" </w:instrText>
      </w:r>
      <w:r>
        <w:fldChar w:fldCharType="separate"/>
      </w:r>
      <w:r>
        <w:rPr>
          <w:rStyle w:val="95"/>
          <w:rFonts w:ascii="Times New Roman" w:eastAsia="仿宋_GB2312" w:cs="Times New Roman"/>
        </w:rPr>
        <w:t>10.1</w:t>
      </w:r>
      <w:r>
        <w:rPr>
          <w:rFonts w:ascii="Times New Roman" w:eastAsia="仿宋_GB2312" w:cs="Times New Roman"/>
          <w:smallCaps w:val="0"/>
          <w:color w:val="auto"/>
          <w:sz w:val="21"/>
          <w:szCs w:val="22"/>
        </w:rPr>
        <w:tab/>
      </w:r>
      <w:r>
        <w:rPr>
          <w:rStyle w:val="95"/>
          <w:rFonts w:ascii="Times New Roman" w:eastAsia="仿宋_GB2312" w:cs="Times New Roman"/>
        </w:rPr>
        <w:t>招标依据</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_Toc48640802 \h </w:instrText>
      </w:r>
      <w:r>
        <w:rPr>
          <w:rFonts w:ascii="Times New Roman" w:eastAsia="仿宋_GB2312" w:cs="Times New Roman"/>
        </w:rPr>
        <w:fldChar w:fldCharType="separate"/>
      </w:r>
      <w:r>
        <w:rPr>
          <w:rFonts w:ascii="Times New Roman" w:eastAsia="仿宋_GB2312" w:cs="Times New Roman"/>
        </w:rPr>
        <w:t>82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"_Toc48640803" </w:instrText>
      </w:r>
      <w:r>
        <w:fldChar w:fldCharType="separate"/>
      </w:r>
      <w:r>
        <w:rPr>
          <w:rStyle w:val="95"/>
          <w:rFonts w:ascii="Times New Roman" w:eastAsia="仿宋_GB2312" w:cs="Times New Roman"/>
        </w:rPr>
        <w:t>10.2</w:t>
      </w:r>
      <w:r>
        <w:rPr>
          <w:rFonts w:ascii="Times New Roman" w:eastAsia="仿宋_GB2312" w:cs="Times New Roman"/>
          <w:smallCaps w:val="0"/>
          <w:color w:val="auto"/>
          <w:sz w:val="21"/>
          <w:szCs w:val="22"/>
        </w:rPr>
        <w:tab/>
      </w:r>
      <w:r>
        <w:rPr>
          <w:rStyle w:val="95"/>
          <w:rFonts w:ascii="Times New Roman" w:eastAsia="仿宋_GB2312" w:cs="Times New Roman"/>
        </w:rPr>
        <w:t>招标组织原则</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_Toc48640803 \h </w:instrText>
      </w:r>
      <w:r>
        <w:rPr>
          <w:rFonts w:ascii="Times New Roman" w:eastAsia="仿宋_GB2312" w:cs="Times New Roman"/>
        </w:rPr>
        <w:fldChar w:fldCharType="separate"/>
      </w:r>
      <w:r>
        <w:rPr>
          <w:rFonts w:ascii="Times New Roman" w:eastAsia="仿宋_GB2312" w:cs="Times New Roman"/>
        </w:rPr>
        <w:t>82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"_Toc48640804" </w:instrText>
      </w:r>
      <w:r>
        <w:fldChar w:fldCharType="separate"/>
      </w:r>
      <w:r>
        <w:rPr>
          <w:rStyle w:val="95"/>
          <w:rFonts w:ascii="Times New Roman" w:eastAsia="仿宋_GB2312" w:cs="Times New Roman"/>
        </w:rPr>
        <w:t>10.3</w:t>
      </w:r>
      <w:r>
        <w:rPr>
          <w:rFonts w:ascii="Times New Roman" w:eastAsia="仿宋_GB2312" w:cs="Times New Roman"/>
          <w:smallCaps w:val="0"/>
          <w:color w:val="auto"/>
          <w:sz w:val="21"/>
          <w:szCs w:val="22"/>
        </w:rPr>
        <w:tab/>
      </w:r>
      <w:r>
        <w:rPr>
          <w:rStyle w:val="95"/>
          <w:rFonts w:ascii="Times New Roman" w:eastAsia="仿宋_GB2312" w:cs="Times New Roman"/>
        </w:rPr>
        <w:t>招标范围</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_Toc48640804 \h </w:instrText>
      </w:r>
      <w:r>
        <w:rPr>
          <w:rFonts w:ascii="Times New Roman" w:eastAsia="仿宋_GB2312" w:cs="Times New Roman"/>
        </w:rPr>
        <w:fldChar w:fldCharType="separate"/>
      </w:r>
      <w:r>
        <w:rPr>
          <w:rFonts w:ascii="Times New Roman" w:eastAsia="仿宋_GB2312" w:cs="Times New Roman"/>
        </w:rPr>
        <w:t>82</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"_Toc48640805" </w:instrText>
      </w:r>
      <w:r>
        <w:fldChar w:fldCharType="separate"/>
      </w:r>
      <w:r>
        <w:rPr>
          <w:rStyle w:val="95"/>
          <w:rFonts w:ascii="Times New Roman" w:eastAsia="仿宋_GB2312" w:cs="Times New Roman"/>
        </w:rPr>
        <w:t>10.4</w:t>
      </w:r>
      <w:r>
        <w:rPr>
          <w:rFonts w:ascii="Times New Roman" w:eastAsia="仿宋_GB2312" w:cs="Times New Roman"/>
          <w:smallCaps w:val="0"/>
          <w:color w:val="auto"/>
          <w:sz w:val="21"/>
          <w:szCs w:val="22"/>
        </w:rPr>
        <w:tab/>
      </w:r>
      <w:r>
        <w:rPr>
          <w:rStyle w:val="95"/>
          <w:rFonts w:ascii="Times New Roman" w:eastAsia="仿宋_GB2312" w:cs="Times New Roman"/>
        </w:rPr>
        <w:t>招标组织形式与方式</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_Toc48640805 \h </w:instrText>
      </w:r>
      <w:r>
        <w:rPr>
          <w:rFonts w:ascii="Times New Roman" w:eastAsia="仿宋_GB2312" w:cs="Times New Roman"/>
        </w:rPr>
        <w:fldChar w:fldCharType="separate"/>
      </w:r>
      <w:r>
        <w:rPr>
          <w:rFonts w:ascii="Times New Roman" w:eastAsia="仿宋_GB2312" w:cs="Times New Roman"/>
        </w:rPr>
        <w:t>83</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"_Toc48640806" </w:instrText>
      </w:r>
      <w:r>
        <w:fldChar w:fldCharType="separate"/>
      </w:r>
      <w:r>
        <w:rPr>
          <w:rStyle w:val="95"/>
        </w:rPr>
        <w:t>第十一章</w:t>
      </w:r>
      <w:r>
        <w:rPr>
          <w:b w:val="0"/>
          <w:bCs w:val="0"/>
          <w:caps w:val="0"/>
          <w:szCs w:val="22"/>
        </w:rPr>
        <w:tab/>
      </w:r>
      <w:r>
        <w:rPr>
          <w:rStyle w:val="95"/>
        </w:rPr>
        <w:t>工程投资与资金筹措</w:t>
      </w:r>
      <w:r>
        <w:tab/>
      </w:r>
      <w:r>
        <w:fldChar w:fldCharType="begin"/>
      </w:r>
      <w:r>
        <w:instrText xml:space="preserve"> PAGEREF _Toc48640806 \h </w:instrText>
      </w:r>
      <w:r>
        <w:fldChar w:fldCharType="separate"/>
      </w:r>
      <w:r>
        <w:t>86</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"_Toc48640807" </w:instrText>
      </w:r>
      <w:r>
        <w:fldChar w:fldCharType="separate"/>
      </w:r>
      <w:r>
        <w:rPr>
          <w:rStyle w:val="95"/>
          <w:rFonts w:ascii="Times New Roman" w:eastAsia="仿宋_GB2312" w:cs="Times New Roman"/>
        </w:rPr>
        <w:t>11.1</w:t>
      </w:r>
      <w:r>
        <w:rPr>
          <w:rFonts w:ascii="Times New Roman" w:eastAsia="仿宋_GB2312" w:cs="Times New Roman"/>
          <w:smallCaps w:val="0"/>
          <w:color w:val="auto"/>
          <w:sz w:val="21"/>
          <w:szCs w:val="22"/>
        </w:rPr>
        <w:tab/>
      </w:r>
      <w:r>
        <w:rPr>
          <w:rStyle w:val="95"/>
          <w:rFonts w:ascii="Times New Roman" w:eastAsia="仿宋_GB2312" w:cs="Times New Roman"/>
        </w:rPr>
        <w:t>编制依据</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_Toc48640807 \h </w:instrText>
      </w:r>
      <w:r>
        <w:rPr>
          <w:rFonts w:ascii="Times New Roman" w:eastAsia="仿宋_GB2312" w:cs="Times New Roman"/>
        </w:rPr>
        <w:fldChar w:fldCharType="separate"/>
      </w:r>
      <w:r>
        <w:rPr>
          <w:rFonts w:ascii="Times New Roman" w:eastAsia="仿宋_GB2312" w:cs="Times New Roman"/>
        </w:rPr>
        <w:t>86</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"_Toc48640808" </w:instrText>
      </w:r>
      <w:r>
        <w:fldChar w:fldCharType="separate"/>
      </w:r>
      <w:r>
        <w:rPr>
          <w:rStyle w:val="95"/>
          <w:rFonts w:ascii="Times New Roman" w:eastAsia="仿宋_GB2312" w:cs="Times New Roman"/>
          <w:i w:val="0"/>
        </w:rPr>
        <w:t>11.1.1</w:t>
      </w:r>
      <w:r>
        <w:rPr>
          <w:rFonts w:ascii="Times New Roman" w:eastAsia="仿宋_GB2312" w:cs="Times New Roman"/>
          <w:i w:val="0"/>
          <w:iCs w:val="0"/>
          <w:color w:val="auto"/>
          <w:sz w:val="21"/>
          <w:szCs w:val="22"/>
        </w:rPr>
        <w:tab/>
      </w:r>
      <w:r>
        <w:rPr>
          <w:rStyle w:val="95"/>
          <w:rFonts w:ascii="Times New Roman" w:eastAsia="仿宋_GB2312" w:cs="Times New Roman"/>
          <w:i w:val="0"/>
        </w:rPr>
        <w:t>文件依据</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_Toc48640808 \h </w:instrText>
      </w:r>
      <w:r>
        <w:rPr>
          <w:rFonts w:ascii="Times New Roman" w:eastAsia="仿宋_GB2312" w:cs="Times New Roman"/>
          <w:i w:val="0"/>
        </w:rPr>
        <w:fldChar w:fldCharType="separate"/>
      </w:r>
      <w:r>
        <w:rPr>
          <w:rFonts w:ascii="Times New Roman" w:eastAsia="仿宋_GB2312" w:cs="Times New Roman"/>
          <w:i w:val="0"/>
        </w:rPr>
        <w:t>86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"_Toc48640809" </w:instrText>
      </w:r>
      <w:r>
        <w:fldChar w:fldCharType="separate"/>
      </w:r>
      <w:r>
        <w:rPr>
          <w:rStyle w:val="95"/>
          <w:rFonts w:ascii="Times New Roman" w:eastAsia="仿宋_GB2312" w:cs="Times New Roman"/>
          <w:i w:val="0"/>
        </w:rPr>
        <w:t>11.1.2</w:t>
      </w:r>
      <w:r>
        <w:rPr>
          <w:rFonts w:ascii="Times New Roman" w:eastAsia="仿宋_GB2312" w:cs="Times New Roman"/>
          <w:i w:val="0"/>
          <w:iCs w:val="0"/>
          <w:color w:val="auto"/>
          <w:sz w:val="21"/>
          <w:szCs w:val="22"/>
        </w:rPr>
        <w:tab/>
      </w:r>
      <w:r>
        <w:rPr>
          <w:rStyle w:val="95"/>
          <w:rFonts w:ascii="Times New Roman" w:eastAsia="仿宋_GB2312" w:cs="Times New Roman"/>
          <w:i w:val="0"/>
        </w:rPr>
        <w:t>工程材料价格</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_Toc48640809 \h </w:instrText>
      </w:r>
      <w:r>
        <w:rPr>
          <w:rFonts w:ascii="Times New Roman" w:eastAsia="仿宋_GB2312" w:cs="Times New Roman"/>
          <w:i w:val="0"/>
        </w:rPr>
        <w:fldChar w:fldCharType="separate"/>
      </w:r>
      <w:r>
        <w:rPr>
          <w:rFonts w:ascii="Times New Roman" w:eastAsia="仿宋_GB2312" w:cs="Times New Roman"/>
          <w:i w:val="0"/>
        </w:rPr>
        <w:t>86</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"_Toc48640810" </w:instrText>
      </w:r>
      <w:r>
        <w:fldChar w:fldCharType="separate"/>
      </w:r>
      <w:r>
        <w:rPr>
          <w:rStyle w:val="95"/>
          <w:rFonts w:ascii="Times New Roman" w:eastAsia="仿宋_GB2312" w:cs="Times New Roman"/>
          <w:i w:val="0"/>
        </w:rPr>
        <w:t>11.1.3</w:t>
      </w:r>
      <w:r>
        <w:rPr>
          <w:rFonts w:ascii="Times New Roman" w:eastAsia="仿宋_GB2312" w:cs="Times New Roman"/>
          <w:i w:val="0"/>
          <w:iCs w:val="0"/>
          <w:color w:val="auto"/>
          <w:sz w:val="21"/>
          <w:szCs w:val="22"/>
        </w:rPr>
        <w:tab/>
      </w:r>
      <w:r>
        <w:rPr>
          <w:rStyle w:val="95"/>
          <w:rFonts w:ascii="Times New Roman" w:eastAsia="仿宋_GB2312" w:cs="Times New Roman"/>
          <w:i w:val="0"/>
        </w:rPr>
        <w:t>其它费用（部分）计算说明</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_Toc48640810 \h </w:instrText>
      </w:r>
      <w:r>
        <w:rPr>
          <w:rFonts w:ascii="Times New Roman" w:eastAsia="仿宋_GB2312" w:cs="Times New Roman"/>
          <w:i w:val="0"/>
        </w:rPr>
        <w:fldChar w:fldCharType="separate"/>
      </w:r>
      <w:r>
        <w:rPr>
          <w:rFonts w:ascii="Times New Roman" w:eastAsia="仿宋_GB2312" w:cs="Times New Roman"/>
          <w:i w:val="0"/>
        </w:rPr>
        <w:t>86</w:t>
      </w:r>
      <w:r>
        <w:rPr>
          <w:rFonts w:ascii="Times New Roman" w:eastAsia="仿宋_GB2312" w:cs="Times New Roman"/>
          <w:i w:val="0"/>
        </w:rPr>
        <w:fldChar w:fldCharType="end"/>
      </w:r>
      <w:r>
        <w:rPr>
          <w:rFonts w:ascii="Times New Roman" w:eastAsia="仿宋_GB2312" w:cs="Times New Roman"/>
          <w:i w:val="0"/>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"_Toc48640811" </w:instrText>
      </w:r>
      <w:r>
        <w:fldChar w:fldCharType="separate"/>
      </w:r>
      <w:r>
        <w:rPr>
          <w:rStyle w:val="95"/>
          <w:rFonts w:ascii="Times New Roman" w:eastAsia="仿宋_GB2312" w:cs="Times New Roman"/>
        </w:rPr>
        <w:t>11.2</w:t>
      </w:r>
      <w:r>
        <w:rPr>
          <w:rFonts w:ascii="Times New Roman" w:eastAsia="仿宋_GB2312" w:cs="Times New Roman"/>
          <w:smallCaps w:val="0"/>
          <w:color w:val="auto"/>
          <w:sz w:val="21"/>
          <w:szCs w:val="22"/>
        </w:rPr>
        <w:tab/>
      </w:r>
      <w:r>
        <w:rPr>
          <w:rStyle w:val="95"/>
          <w:rFonts w:ascii="Times New Roman" w:eastAsia="仿宋_GB2312" w:cs="Times New Roman"/>
        </w:rPr>
        <w:t>项目投资</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_Toc48640811 \h </w:instrText>
      </w:r>
      <w:r>
        <w:rPr>
          <w:rFonts w:ascii="Times New Roman" w:eastAsia="仿宋_GB2312" w:cs="Times New Roman"/>
        </w:rPr>
        <w:fldChar w:fldCharType="separate"/>
      </w:r>
      <w:r>
        <w:rPr>
          <w:rFonts w:ascii="Times New Roman" w:eastAsia="仿宋_GB2312" w:cs="Times New Roman"/>
        </w:rPr>
        <w:t>87</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"_Toc48640812" </w:instrText>
      </w:r>
      <w:r>
        <w:fldChar w:fldCharType="separate"/>
      </w:r>
      <w:r>
        <w:rPr>
          <w:rStyle w:val="95"/>
          <w:rFonts w:ascii="Times New Roman" w:eastAsia="仿宋_GB2312" w:cs="Times New Roman"/>
        </w:rPr>
        <w:t>11.3</w:t>
      </w:r>
      <w:r>
        <w:rPr>
          <w:rFonts w:ascii="Times New Roman" w:eastAsia="仿宋_GB2312" w:cs="Times New Roman"/>
          <w:smallCaps w:val="0"/>
          <w:color w:val="auto"/>
          <w:sz w:val="21"/>
          <w:szCs w:val="22"/>
        </w:rPr>
        <w:tab/>
      </w:r>
      <w:r>
        <w:rPr>
          <w:rStyle w:val="95"/>
          <w:rFonts w:ascii="Times New Roman" w:eastAsia="仿宋_GB2312" w:cs="Times New Roman"/>
        </w:rPr>
        <w:t>资金筹措</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_Toc48640812 \h </w:instrText>
      </w:r>
      <w:r>
        <w:rPr>
          <w:rFonts w:ascii="Times New Roman" w:eastAsia="仿宋_GB2312" w:cs="Times New Roman"/>
        </w:rPr>
        <w:fldChar w:fldCharType="separate"/>
      </w:r>
      <w:r>
        <w:rPr>
          <w:rFonts w:ascii="Times New Roman" w:eastAsia="仿宋_GB2312" w:cs="Times New Roman"/>
        </w:rPr>
        <w:t>90</w:t>
      </w:r>
      <w:r>
        <w:rPr>
          <w:rFonts w:ascii="Times New Roman" w:eastAsia="仿宋_GB2312" w:cs="Times New Roman"/>
        </w:rPr>
        <w:fldChar w:fldCharType="end"/>
      </w:r>
      <w:r>
        <w:rPr>
          <w:rFonts w:ascii="Times New Roman" w:eastAsia="仿宋_GB2312" w:cs="Times New Roman"/>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"_Toc48640813" </w:instrText>
      </w:r>
      <w:r>
        <w:fldChar w:fldCharType="separate"/>
      </w:r>
      <w:r>
        <w:rPr>
          <w:rStyle w:val="95"/>
          <w:rFonts w:ascii="Times New Roman" w:eastAsia="仿宋_GB2312" w:cs="Times New Roman"/>
          <w:i w:val="0"/>
        </w:rPr>
        <w:t>11.3.1</w:t>
      </w:r>
      <w:r>
        <w:rPr>
          <w:rFonts w:ascii="Times New Roman" w:eastAsia="仿宋_GB2312" w:cs="Times New Roman"/>
          <w:i w:val="0"/>
          <w:iCs w:val="0"/>
          <w:color w:val="auto"/>
          <w:sz w:val="21"/>
          <w:szCs w:val="22"/>
        </w:rPr>
        <w:tab/>
      </w:r>
      <w:r>
        <w:rPr>
          <w:rStyle w:val="95"/>
          <w:rFonts w:ascii="Times New Roman" w:eastAsia="仿宋_GB2312" w:cs="Times New Roman"/>
          <w:i w:val="0"/>
        </w:rPr>
        <w:t>资金筹措依据</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_Toc48640813 \h </w:instrText>
      </w:r>
      <w:r>
        <w:rPr>
          <w:rFonts w:ascii="Times New Roman" w:eastAsia="仿宋_GB2312" w:cs="Times New Roman"/>
          <w:i w:val="0"/>
        </w:rPr>
        <w:fldChar w:fldCharType="separate"/>
      </w:r>
      <w:r>
        <w:rPr>
          <w:rFonts w:ascii="Times New Roman" w:eastAsia="仿宋_GB2312" w:cs="Times New Roman"/>
          <w:i w:val="0"/>
        </w:rPr>
        <w:t>90</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"_Toc48640814" </w:instrText>
      </w:r>
      <w:r>
        <w:fldChar w:fldCharType="separate"/>
      </w:r>
      <w:r>
        <w:rPr>
          <w:rStyle w:val="95"/>
          <w:rFonts w:ascii="Times New Roman" w:eastAsia="仿宋_GB2312" w:cs="Times New Roman"/>
          <w:i w:val="0"/>
        </w:rPr>
        <w:t>11.3.2</w:t>
      </w:r>
      <w:r>
        <w:rPr>
          <w:rFonts w:ascii="Times New Roman" w:eastAsia="仿宋_GB2312" w:cs="Times New Roman"/>
          <w:i w:val="0"/>
          <w:iCs w:val="0"/>
          <w:color w:val="auto"/>
          <w:sz w:val="21"/>
          <w:szCs w:val="22"/>
        </w:rPr>
        <w:tab/>
      </w:r>
      <w:r>
        <w:rPr>
          <w:rStyle w:val="95"/>
          <w:rFonts w:ascii="Times New Roman" w:eastAsia="仿宋_GB2312" w:cs="Times New Roman"/>
          <w:i w:val="0"/>
        </w:rPr>
        <w:t>资金来源及筹措</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_Toc48640814 \h </w:instrText>
      </w:r>
      <w:r>
        <w:rPr>
          <w:rFonts w:ascii="Times New Roman" w:eastAsia="仿宋_GB2312" w:cs="Times New Roman"/>
          <w:i w:val="0"/>
        </w:rPr>
        <w:fldChar w:fldCharType="separate"/>
      </w:r>
      <w:r>
        <w:rPr>
          <w:rFonts w:ascii="Times New Roman" w:eastAsia="仿宋_GB2312" w:cs="Times New Roman"/>
          <w:i w:val="0"/>
        </w:rPr>
        <w:t>90</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"_Toc48640815" </w:instrText>
      </w:r>
      <w:r>
        <w:fldChar w:fldCharType="separate"/>
      </w:r>
      <w:r>
        <w:rPr>
          <w:rStyle w:val="95"/>
        </w:rPr>
        <w:t>第十二章</w:t>
      </w:r>
      <w:r>
        <w:rPr>
          <w:b w:val="0"/>
          <w:bCs w:val="0"/>
          <w:caps w:val="0"/>
          <w:szCs w:val="22"/>
        </w:rPr>
        <w:tab/>
      </w:r>
      <w:r>
        <w:rPr>
          <w:rStyle w:val="95"/>
        </w:rPr>
        <w:t>效益分析及可达性分析</w:t>
      </w:r>
      <w:r>
        <w:tab/>
      </w:r>
      <w:r>
        <w:fldChar w:fldCharType="begin"/>
      </w:r>
      <w:r>
        <w:instrText xml:space="preserve"> PAGEREF _Toc48640815 \h </w:instrText>
      </w:r>
      <w:r>
        <w:fldChar w:fldCharType="separate"/>
      </w:r>
      <w:r>
        <w:t>91</w:t>
      </w:r>
      <w:r>
        <w:fldChar w:fldCharType="end"/>
      </w:r>
      <w: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"_Toc48640816" </w:instrText>
      </w:r>
      <w:r>
        <w:fldChar w:fldCharType="separate"/>
      </w:r>
      <w:r>
        <w:rPr>
          <w:rStyle w:val="95"/>
          <w:rFonts w:ascii="Times New Roman" w:eastAsia="仿宋_GB2312" w:cs="Times New Roman"/>
          <w:i w:val="0"/>
        </w:rPr>
        <w:t>12.1.1</w:t>
      </w:r>
      <w:r>
        <w:rPr>
          <w:rFonts w:ascii="Times New Roman" w:eastAsia="仿宋_GB2312" w:cs="Times New Roman"/>
          <w:i w:val="0"/>
          <w:iCs w:val="0"/>
          <w:color w:val="auto"/>
          <w:sz w:val="21"/>
          <w:szCs w:val="22"/>
        </w:rPr>
        <w:tab/>
      </w:r>
      <w:r>
        <w:rPr>
          <w:rStyle w:val="95"/>
          <w:rFonts w:ascii="Times New Roman" w:eastAsia="仿宋_GB2312" w:cs="Times New Roman"/>
          <w:i w:val="0"/>
        </w:rPr>
        <w:t>效益分析</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_Toc48640816 \h </w:instrText>
      </w:r>
      <w:r>
        <w:rPr>
          <w:rFonts w:ascii="Times New Roman" w:eastAsia="仿宋_GB2312" w:cs="Times New Roman"/>
          <w:i w:val="0"/>
        </w:rPr>
        <w:fldChar w:fldCharType="separate"/>
      </w:r>
      <w:r>
        <w:rPr>
          <w:rFonts w:ascii="Times New Roman" w:eastAsia="仿宋_GB2312" w:cs="Times New Roman"/>
          <w:i w:val="0"/>
        </w:rPr>
        <w:t>91</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"_Toc48640817" </w:instrText>
      </w:r>
      <w:r>
        <w:fldChar w:fldCharType="separate"/>
      </w:r>
      <w:r>
        <w:rPr>
          <w:rStyle w:val="95"/>
          <w:rFonts w:ascii="Times New Roman" w:eastAsia="仿宋_GB2312" w:cs="Times New Roman"/>
          <w:i w:val="0"/>
          <w:lang w:val="zh-CN"/>
        </w:rPr>
        <w:t>12.1.2</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社会效益</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_Toc48640817 \h </w:instrText>
      </w:r>
      <w:r>
        <w:rPr>
          <w:rFonts w:ascii="Times New Roman" w:eastAsia="仿宋_GB2312" w:cs="Times New Roman"/>
          <w:i w:val="0"/>
        </w:rPr>
        <w:fldChar w:fldCharType="separate"/>
      </w:r>
      <w:r>
        <w:rPr>
          <w:rFonts w:ascii="Times New Roman" w:eastAsia="仿宋_GB2312" w:cs="Times New Roman"/>
          <w:i w:val="0"/>
        </w:rPr>
        <w:t>91</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"_Toc48640818" </w:instrText>
      </w:r>
      <w:r>
        <w:fldChar w:fldCharType="separate"/>
      </w:r>
      <w:r>
        <w:rPr>
          <w:rStyle w:val="95"/>
          <w:rFonts w:ascii="Times New Roman" w:eastAsia="仿宋_GB2312" w:cs="Times New Roman"/>
          <w:i w:val="0"/>
          <w:lang w:val="zh-CN"/>
        </w:rPr>
        <w:t>12.1.3</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环境效益</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_Toc48640818 \h </w:instrText>
      </w:r>
      <w:r>
        <w:rPr>
          <w:rFonts w:ascii="Times New Roman" w:eastAsia="仿宋_GB2312" w:cs="Times New Roman"/>
          <w:i w:val="0"/>
        </w:rPr>
        <w:fldChar w:fldCharType="separate"/>
      </w:r>
      <w:r>
        <w:rPr>
          <w:rFonts w:ascii="Times New Roman" w:eastAsia="仿宋_GB2312" w:cs="Times New Roman"/>
          <w:i w:val="0"/>
        </w:rPr>
        <w:t>91</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"_Toc48640819" </w:instrText>
      </w:r>
      <w:r>
        <w:fldChar w:fldCharType="separate"/>
      </w:r>
      <w:r>
        <w:rPr>
          <w:rStyle w:val="95"/>
          <w:rFonts w:ascii="Times New Roman" w:eastAsia="仿宋_GB2312" w:cs="Times New Roman"/>
          <w:i w:val="0"/>
          <w:lang w:val="zh-CN"/>
        </w:rPr>
        <w:t>12.1.4</w:t>
      </w:r>
      <w:r>
        <w:rPr>
          <w:rFonts w:ascii="Times New Roman" w:eastAsia="仿宋_GB2312" w:cs="Times New Roman"/>
          <w:i w:val="0"/>
          <w:iCs w:val="0"/>
          <w:color w:val="auto"/>
          <w:sz w:val="21"/>
          <w:szCs w:val="22"/>
        </w:rPr>
        <w:tab/>
      </w:r>
      <w:r>
        <w:rPr>
          <w:rStyle w:val="95"/>
          <w:rFonts w:ascii="Times New Roman" w:eastAsia="仿宋_GB2312" w:cs="Times New Roman"/>
          <w:i w:val="0"/>
          <w:lang w:val="zh-CN"/>
        </w:rPr>
        <w:t>经济效益</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_Toc48640819 \h </w:instrText>
      </w:r>
      <w:r>
        <w:rPr>
          <w:rFonts w:ascii="Times New Roman" w:eastAsia="仿宋_GB2312" w:cs="Times New Roman"/>
          <w:i w:val="0"/>
        </w:rPr>
        <w:fldChar w:fldCharType="separate"/>
      </w:r>
      <w:r>
        <w:rPr>
          <w:rFonts w:ascii="Times New Roman" w:eastAsia="仿宋_GB2312" w:cs="Times New Roman"/>
          <w:i w:val="0"/>
        </w:rPr>
        <w:t>92</w:t>
      </w:r>
      <w:r>
        <w:rPr>
          <w:rFonts w:ascii="Times New Roman" w:eastAsia="仿宋_GB2312" w:cs="Times New Roman"/>
          <w:i w:val="0"/>
        </w:rPr>
        <w:fldChar w:fldCharType="end"/>
      </w:r>
      <w:r>
        <w:rPr>
          <w:rFonts w:ascii="Times New Roman" w:eastAsia="仿宋_GB2312" w:cs="Times New Roman"/>
          <w:i w:val="0"/>
        </w:rPr>
        <w:fldChar w:fldCharType="end"/>
      </w:r>
    </w:p>
    <w:p>
      <w:pPr>
        <w:pStyle w:val="44"/>
        <w:spacing w:line="360" w:lineRule="auto"/>
        <w:rPr>
          <w:rFonts w:ascii="Times New Roman" w:eastAsia="仿宋_GB2312" w:cs="Times New Roman"/>
          <w:i w:val="0"/>
          <w:iCs w:val="0"/>
          <w:color w:val="auto"/>
          <w:sz w:val="21"/>
          <w:szCs w:val="22"/>
        </w:rPr>
      </w:pPr>
      <w:r>
        <w:fldChar w:fldCharType="begin"/>
      </w:r>
      <w:r>
        <w:instrText xml:space="preserve"> HYPERLINK \l "_Toc48640820" </w:instrText>
      </w:r>
      <w:r>
        <w:fldChar w:fldCharType="separate"/>
      </w:r>
      <w:r>
        <w:rPr>
          <w:rStyle w:val="95"/>
          <w:rFonts w:ascii="Times New Roman" w:eastAsia="仿宋_GB2312" w:cs="Times New Roman"/>
          <w:i w:val="0"/>
        </w:rPr>
        <w:t>12.1.5</w:t>
      </w:r>
      <w:r>
        <w:rPr>
          <w:rFonts w:ascii="Times New Roman" w:eastAsia="仿宋_GB2312" w:cs="Times New Roman"/>
          <w:i w:val="0"/>
          <w:iCs w:val="0"/>
          <w:color w:val="auto"/>
          <w:sz w:val="21"/>
          <w:szCs w:val="22"/>
        </w:rPr>
        <w:tab/>
      </w:r>
      <w:r>
        <w:rPr>
          <w:rStyle w:val="95"/>
          <w:rFonts w:ascii="Times New Roman" w:eastAsia="仿宋_GB2312" w:cs="Times New Roman"/>
          <w:i w:val="0"/>
        </w:rPr>
        <w:t>可达性分析</w:t>
      </w:r>
      <w:r>
        <w:rPr>
          <w:rFonts w:ascii="Times New Roman" w:eastAsia="仿宋_GB2312" w:cs="Times New Roman"/>
          <w:i w:val="0"/>
        </w:rPr>
        <w:tab/>
      </w:r>
      <w:r>
        <w:rPr>
          <w:rFonts w:ascii="Times New Roman" w:eastAsia="仿宋_GB2312" w:cs="Times New Roman"/>
          <w:i w:val="0"/>
        </w:rPr>
        <w:fldChar w:fldCharType="begin"/>
      </w:r>
      <w:r>
        <w:rPr>
          <w:rFonts w:ascii="Times New Roman" w:eastAsia="仿宋_GB2312" w:cs="Times New Roman"/>
          <w:i w:val="0"/>
        </w:rPr>
        <w:instrText xml:space="preserve"> PAGEREF _Toc48640820 \h </w:instrText>
      </w:r>
      <w:r>
        <w:rPr>
          <w:rFonts w:ascii="Times New Roman" w:eastAsia="仿宋_GB2312" w:cs="Times New Roman"/>
          <w:i w:val="0"/>
        </w:rPr>
        <w:fldChar w:fldCharType="separate"/>
      </w:r>
      <w:r>
        <w:rPr>
          <w:rFonts w:ascii="Times New Roman" w:eastAsia="仿宋_GB2312" w:cs="Times New Roman"/>
          <w:i w:val="0"/>
        </w:rPr>
        <w:t>92</w:t>
      </w:r>
      <w:r>
        <w:rPr>
          <w:rFonts w:ascii="Times New Roman" w:eastAsia="仿宋_GB2312" w:cs="Times New Roman"/>
          <w:i w:val="0"/>
        </w:rPr>
        <w:fldChar w:fldCharType="end"/>
      </w:r>
      <w:r>
        <w:rPr>
          <w:rFonts w:ascii="Times New Roman" w:eastAsia="仿宋_GB2312" w:cs="Times New Roman"/>
          <w:i w:val="0"/>
        </w:rPr>
        <w:fldChar w:fldCharType="end"/>
      </w:r>
    </w:p>
    <w:p>
      <w:pPr>
        <w:pStyle w:val="59"/>
        <w:rPr>
          <w:b w:val="0"/>
          <w:bCs w:val="0"/>
          <w:caps w:val="0"/>
          <w:szCs w:val="22"/>
        </w:rPr>
      </w:pPr>
      <w:r>
        <w:fldChar w:fldCharType="begin"/>
      </w:r>
      <w:r>
        <w:instrText xml:space="preserve"> HYPERLINK \l "_Toc48640821" </w:instrText>
      </w:r>
      <w:r>
        <w:fldChar w:fldCharType="separate"/>
      </w:r>
      <w:r>
        <w:rPr>
          <w:rStyle w:val="95"/>
          <w:lang w:val="zh-CN"/>
        </w:rPr>
        <w:t>第十三章</w:t>
      </w:r>
      <w:r>
        <w:rPr>
          <w:b w:val="0"/>
          <w:bCs w:val="0"/>
          <w:caps w:val="0"/>
          <w:szCs w:val="22"/>
        </w:rPr>
        <w:tab/>
      </w:r>
      <w:r>
        <w:rPr>
          <w:rStyle w:val="95"/>
          <w:lang w:val="zh-CN"/>
        </w:rPr>
        <w:t>风险分析</w:t>
      </w:r>
      <w:r>
        <w:tab/>
      </w:r>
      <w:r>
        <w:fldChar w:fldCharType="begin"/>
      </w:r>
      <w:r>
        <w:instrText xml:space="preserve"> PAGEREF _Toc48640821 \h </w:instrText>
      </w:r>
      <w:r>
        <w:fldChar w:fldCharType="separate"/>
      </w:r>
      <w:r>
        <w:t>94</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"_Toc48640822" </w:instrText>
      </w:r>
      <w:r>
        <w:fldChar w:fldCharType="separate"/>
      </w:r>
      <w:r>
        <w:rPr>
          <w:rStyle w:val="95"/>
          <w:rFonts w:ascii="Times New Roman" w:eastAsia="仿宋_GB2312" w:cs="Times New Roman"/>
        </w:rPr>
        <w:t>13.1</w:t>
      </w:r>
      <w:r>
        <w:rPr>
          <w:rFonts w:ascii="Times New Roman" w:eastAsia="仿宋_GB2312" w:cs="Times New Roman"/>
          <w:smallCaps w:val="0"/>
          <w:color w:val="auto"/>
          <w:sz w:val="21"/>
          <w:szCs w:val="22"/>
        </w:rPr>
        <w:tab/>
      </w:r>
      <w:r>
        <w:rPr>
          <w:rStyle w:val="95"/>
          <w:rFonts w:ascii="Times New Roman" w:eastAsia="仿宋_GB2312" w:cs="Times New Roman"/>
        </w:rPr>
        <w:t>工程风险</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_Toc48640822 \h </w:instrText>
      </w:r>
      <w:r>
        <w:rPr>
          <w:rFonts w:ascii="Times New Roman" w:eastAsia="仿宋_GB2312" w:cs="Times New Roman"/>
        </w:rPr>
        <w:fldChar w:fldCharType="separate"/>
      </w:r>
      <w:r>
        <w:rPr>
          <w:rFonts w:ascii="Times New Roman" w:eastAsia="仿宋_GB2312" w:cs="Times New Roman"/>
        </w:rPr>
        <w:t>94</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"_Toc48640823" </w:instrText>
      </w:r>
      <w:r>
        <w:fldChar w:fldCharType="separate"/>
      </w:r>
      <w:r>
        <w:rPr>
          <w:rStyle w:val="95"/>
          <w:rFonts w:ascii="Times New Roman" w:eastAsia="仿宋_GB2312" w:cs="Times New Roman"/>
        </w:rPr>
        <w:t>13.2</w:t>
      </w:r>
      <w:r>
        <w:rPr>
          <w:rFonts w:ascii="Times New Roman" w:eastAsia="仿宋_GB2312" w:cs="Times New Roman"/>
          <w:smallCaps w:val="0"/>
          <w:color w:val="auto"/>
          <w:sz w:val="21"/>
          <w:szCs w:val="22"/>
        </w:rPr>
        <w:tab/>
      </w:r>
      <w:r>
        <w:rPr>
          <w:rStyle w:val="95"/>
          <w:rFonts w:ascii="Times New Roman" w:eastAsia="仿宋_GB2312" w:cs="Times New Roman"/>
        </w:rPr>
        <w:t>其他风险</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_Toc48640823 \h </w:instrText>
      </w:r>
      <w:r>
        <w:rPr>
          <w:rFonts w:ascii="Times New Roman" w:eastAsia="仿宋_GB2312" w:cs="Times New Roman"/>
        </w:rPr>
        <w:fldChar w:fldCharType="separate"/>
      </w:r>
      <w:r>
        <w:rPr>
          <w:rFonts w:ascii="Times New Roman" w:eastAsia="仿宋_GB2312" w:cs="Times New Roman"/>
        </w:rPr>
        <w:t>94</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"_Toc48640824" </w:instrText>
      </w:r>
      <w:r>
        <w:fldChar w:fldCharType="separate"/>
      </w:r>
      <w:r>
        <w:rPr>
          <w:rStyle w:val="95"/>
        </w:rPr>
        <w:t>第十四章</w:t>
      </w:r>
      <w:r>
        <w:rPr>
          <w:b w:val="0"/>
          <w:bCs w:val="0"/>
          <w:caps w:val="0"/>
          <w:szCs w:val="22"/>
        </w:rPr>
        <w:tab/>
      </w:r>
      <w:r>
        <w:rPr>
          <w:rStyle w:val="95"/>
        </w:rPr>
        <w:t>结论及建议</w:t>
      </w:r>
      <w:r>
        <w:tab/>
      </w:r>
      <w:r>
        <w:fldChar w:fldCharType="begin"/>
      </w:r>
      <w:r>
        <w:instrText xml:space="preserve"> PAGEREF _Toc48640824 \h </w:instrText>
      </w:r>
      <w:r>
        <w:fldChar w:fldCharType="separate"/>
      </w:r>
      <w:r>
        <w:t>96</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"_Toc48640825" </w:instrText>
      </w:r>
      <w:r>
        <w:fldChar w:fldCharType="separate"/>
      </w:r>
      <w:r>
        <w:rPr>
          <w:rStyle w:val="95"/>
          <w:rFonts w:ascii="Times New Roman" w:eastAsia="仿宋_GB2312" w:cs="Times New Roman"/>
        </w:rPr>
        <w:t>14.1</w:t>
      </w:r>
      <w:r>
        <w:rPr>
          <w:rFonts w:ascii="Times New Roman" w:eastAsia="仿宋_GB2312" w:cs="Times New Roman"/>
          <w:smallCaps w:val="0"/>
          <w:color w:val="auto"/>
          <w:sz w:val="21"/>
          <w:szCs w:val="22"/>
        </w:rPr>
        <w:tab/>
      </w:r>
      <w:r>
        <w:rPr>
          <w:rStyle w:val="95"/>
          <w:rFonts w:ascii="Times New Roman" w:eastAsia="仿宋_GB2312" w:cs="Times New Roman"/>
        </w:rPr>
        <w:t>结论</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_Toc48640825 \h </w:instrText>
      </w:r>
      <w:r>
        <w:rPr>
          <w:rFonts w:ascii="Times New Roman" w:eastAsia="仿宋_GB2312" w:cs="Times New Roman"/>
        </w:rPr>
        <w:fldChar w:fldCharType="separate"/>
      </w:r>
      <w:r>
        <w:rPr>
          <w:rFonts w:ascii="Times New Roman" w:eastAsia="仿宋_GB2312" w:cs="Times New Roman"/>
        </w:rPr>
        <w:t>96</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"_Toc48640826" </w:instrText>
      </w:r>
      <w:r>
        <w:fldChar w:fldCharType="separate"/>
      </w:r>
      <w:r>
        <w:rPr>
          <w:rStyle w:val="95"/>
          <w:rFonts w:ascii="Times New Roman" w:eastAsia="仿宋_GB2312" w:cs="Times New Roman"/>
        </w:rPr>
        <w:t>14.2</w:t>
      </w:r>
      <w:r>
        <w:rPr>
          <w:rFonts w:ascii="Times New Roman" w:eastAsia="仿宋_GB2312" w:cs="Times New Roman"/>
          <w:smallCaps w:val="0"/>
          <w:color w:val="auto"/>
          <w:sz w:val="21"/>
          <w:szCs w:val="22"/>
        </w:rPr>
        <w:tab/>
      </w:r>
      <w:r>
        <w:rPr>
          <w:rStyle w:val="95"/>
          <w:rFonts w:ascii="Times New Roman" w:eastAsia="仿宋_GB2312" w:cs="Times New Roman"/>
        </w:rPr>
        <w:t>建议</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_Toc48640826 \h </w:instrText>
      </w:r>
      <w:r>
        <w:rPr>
          <w:rFonts w:ascii="Times New Roman" w:eastAsia="仿宋_GB2312" w:cs="Times New Roman"/>
        </w:rPr>
        <w:fldChar w:fldCharType="separate"/>
      </w:r>
      <w:r>
        <w:rPr>
          <w:rFonts w:ascii="Times New Roman" w:eastAsia="仿宋_GB2312" w:cs="Times New Roman"/>
        </w:rPr>
        <w:t>97</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"_Toc48640827" </w:instrText>
      </w:r>
      <w:r>
        <w:fldChar w:fldCharType="separate"/>
      </w:r>
      <w:r>
        <w:rPr>
          <w:rStyle w:val="95"/>
        </w:rPr>
        <w:t>附表</w:t>
      </w:r>
      <w:r>
        <w:tab/>
      </w:r>
      <w:r>
        <w:fldChar w:fldCharType="begin"/>
      </w:r>
      <w:r>
        <w:instrText xml:space="preserve"> PAGEREF _Toc48640827 \h </w:instrText>
      </w:r>
      <w:r>
        <w:fldChar w:fldCharType="separate"/>
      </w:r>
      <w:r>
        <w:t>98</w:t>
      </w:r>
      <w:r>
        <w:fldChar w:fldCharType="end"/>
      </w:r>
      <w: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"_Toc48640828" </w:instrText>
      </w:r>
      <w:r>
        <w:fldChar w:fldCharType="separate"/>
      </w:r>
      <w:r>
        <w:rPr>
          <w:rStyle w:val="95"/>
          <w:rFonts w:ascii="Times New Roman" w:eastAsia="仿宋_GB2312" w:cs="Times New Roman"/>
        </w:rPr>
        <w:t>附表1   40 m</w:t>
      </w:r>
      <w:r>
        <w:rPr>
          <w:rStyle w:val="95"/>
          <w:rFonts w:ascii="Times New Roman" w:eastAsia="仿宋_GB2312" w:cs="Times New Roman"/>
          <w:vertAlign w:val="superscript"/>
        </w:rPr>
        <w:t>3</w:t>
      </w:r>
      <w:r>
        <w:rPr>
          <w:rStyle w:val="95"/>
          <w:rFonts w:ascii="Times New Roman" w:eastAsia="仿宋_GB2312" w:cs="Times New Roman"/>
        </w:rPr>
        <w:t>/d污水处理系统设备一览表</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_Toc48640828 \h </w:instrText>
      </w:r>
      <w:r>
        <w:rPr>
          <w:rFonts w:ascii="Times New Roman" w:eastAsia="仿宋_GB2312" w:cs="Times New Roman"/>
        </w:rPr>
        <w:fldChar w:fldCharType="separate"/>
      </w:r>
      <w:r>
        <w:rPr>
          <w:rFonts w:ascii="Times New Roman" w:eastAsia="仿宋_GB2312" w:cs="Times New Roman"/>
        </w:rPr>
        <w:t>98</w:t>
      </w:r>
      <w:r>
        <w:rPr>
          <w:rFonts w:ascii="Times New Roman" w:eastAsia="仿宋_GB2312" w:cs="Times New Roman"/>
        </w:rPr>
        <w:fldChar w:fldCharType="end"/>
      </w:r>
      <w:r>
        <w:rPr>
          <w:rFonts w:ascii="Times New Roman" w:eastAsia="仿宋_GB2312" w:cs="Times New Roman"/>
        </w:rPr>
        <w:fldChar w:fldCharType="end"/>
      </w:r>
    </w:p>
    <w:p>
      <w:pPr>
        <w:pStyle w:val="74"/>
        <w:ind w:firstLine="36"/>
        <w:rPr>
          <w:rFonts w:ascii="Times New Roman" w:eastAsia="仿宋_GB2312" w:cs="Times New Roman"/>
          <w:smallCaps w:val="0"/>
          <w:color w:val="auto"/>
          <w:sz w:val="21"/>
          <w:szCs w:val="22"/>
        </w:rPr>
      </w:pPr>
      <w:r>
        <w:fldChar w:fldCharType="begin"/>
      </w:r>
      <w:r>
        <w:instrText xml:space="preserve"> HYPERLINK \l "_Toc48640829" </w:instrText>
      </w:r>
      <w:r>
        <w:fldChar w:fldCharType="separate"/>
      </w:r>
      <w:r>
        <w:rPr>
          <w:rStyle w:val="95"/>
          <w:rFonts w:ascii="Times New Roman" w:eastAsia="仿宋_GB2312" w:cs="Times New Roman"/>
        </w:rPr>
        <w:t>附表2   75 m</w:t>
      </w:r>
      <w:r>
        <w:rPr>
          <w:rStyle w:val="95"/>
          <w:rFonts w:ascii="Times New Roman" w:eastAsia="仿宋_GB2312" w:cs="Times New Roman"/>
          <w:vertAlign w:val="superscript"/>
        </w:rPr>
        <w:t>3</w:t>
      </w:r>
      <w:r>
        <w:rPr>
          <w:rStyle w:val="95"/>
          <w:rFonts w:ascii="Times New Roman" w:eastAsia="仿宋_GB2312" w:cs="Times New Roman"/>
        </w:rPr>
        <w:t>/d污水处理系统设备一览表</w:t>
      </w:r>
      <w:r>
        <w:rPr>
          <w:rFonts w:ascii="Times New Roman" w:eastAsia="仿宋_GB2312" w:cs="Times New Roman"/>
        </w:rPr>
        <w:tab/>
      </w:r>
      <w:r>
        <w:rPr>
          <w:rFonts w:ascii="Times New Roman" w:eastAsia="仿宋_GB2312" w:cs="Times New Roman"/>
        </w:rPr>
        <w:fldChar w:fldCharType="begin"/>
      </w:r>
      <w:r>
        <w:rPr>
          <w:rFonts w:ascii="Times New Roman" w:eastAsia="仿宋_GB2312" w:cs="Times New Roman"/>
        </w:rPr>
        <w:instrText xml:space="preserve"> PAGEREF _Toc48640829 \h </w:instrText>
      </w:r>
      <w:r>
        <w:rPr>
          <w:rFonts w:ascii="Times New Roman" w:eastAsia="仿宋_GB2312" w:cs="Times New Roman"/>
        </w:rPr>
        <w:fldChar w:fldCharType="separate"/>
      </w:r>
      <w:r>
        <w:rPr>
          <w:rFonts w:ascii="Times New Roman" w:eastAsia="仿宋_GB2312" w:cs="Times New Roman"/>
        </w:rPr>
        <w:t>100</w:t>
      </w:r>
      <w:r>
        <w:rPr>
          <w:rFonts w:ascii="Times New Roman" w:eastAsia="仿宋_GB2312" w:cs="Times New Roman"/>
        </w:rPr>
        <w:fldChar w:fldCharType="end"/>
      </w:r>
      <w:r>
        <w:rPr>
          <w:rFonts w:ascii="Times New Roman" w:eastAsia="仿宋_GB2312" w:cs="Times New Roman"/>
        </w:rPr>
        <w:fldChar w:fldCharType="end"/>
      </w:r>
    </w:p>
    <w:p>
      <w:pPr>
        <w:pStyle w:val="59"/>
        <w:rPr>
          <w:b w:val="0"/>
          <w:bCs w:val="0"/>
          <w:caps w:val="0"/>
          <w:szCs w:val="22"/>
        </w:rPr>
      </w:pPr>
      <w:r>
        <w:fldChar w:fldCharType="begin"/>
      </w:r>
      <w:r>
        <w:instrText xml:space="preserve"> HYPERLINK \l "_Toc48640830" </w:instrText>
      </w:r>
      <w:r>
        <w:fldChar w:fldCharType="separate"/>
      </w:r>
      <w:r>
        <w:rPr>
          <w:rStyle w:val="95"/>
        </w:rPr>
        <w:t>项 目 批 复</w:t>
      </w:r>
      <w:r>
        <w:tab/>
      </w:r>
      <w:r>
        <w:fldChar w:fldCharType="begin"/>
      </w:r>
      <w:r>
        <w:instrText xml:space="preserve"> PAGEREF _Toc48640830 \h </w:instrText>
      </w:r>
      <w:r>
        <w:fldChar w:fldCharType="separate"/>
      </w:r>
      <w:r>
        <w:t>102</w:t>
      </w:r>
      <w:r>
        <w:fldChar w:fldCharType="end"/>
      </w:r>
      <w:r>
        <w:fldChar w:fldCharType="end"/>
      </w:r>
    </w:p>
    <w:p>
      <w:pPr>
        <w:ind w:firstLine="0" w:firstLineChars="0"/>
        <w:rPr>
          <w:rFonts w:cs="Times New Roman"/>
          <w:color w:val="auto"/>
        </w:rPr>
      </w:pPr>
      <w:r>
        <w:rPr>
          <w:rFonts w:cs="Times New Roman"/>
          <w:color w:val="auto"/>
        </w:rPr>
        <w:fldChar w:fldCharType="end"/>
      </w:r>
    </w:p>
    <w:p>
      <w:pPr>
        <w:ind w:firstLine="480"/>
        <w:rPr>
          <w:rFonts w:cs="Times New Roman"/>
          <w:color w:val="auto"/>
        </w:rPr>
      </w:pPr>
    </w:p>
    <w:p>
      <w:pPr>
        <w:ind w:firstLine="480"/>
        <w:rPr>
          <w:rFonts w:cs="Times New Roman"/>
          <w:color w:val="auto"/>
        </w:rPr>
        <w:sectPr>
          <w:pgSz w:w="11906" w:h="16838"/>
          <w:pgMar w:top="1440" w:right="1800" w:bottom="1440" w:left="1800" w:header="851" w:footer="481" w:gutter="0"/>
          <w:pgNumType w:fmt="upperRoman" w:start="1"/>
          <w:cols w:space="425" w:num="1"/>
          <w:docGrid w:type="lines" w:linePitch="312" w:charSpace="0"/>
        </w:sectPr>
      </w:pPr>
    </w:p>
    <w:p>
      <w:pPr>
        <w:pStyle w:val="3"/>
        <w:rPr>
          <w:color w:val="auto"/>
        </w:rPr>
      </w:pPr>
      <w:bookmarkStart w:id="0" w:name="_Toc48640700"/>
      <w:bookmarkStart w:id="1" w:name="_Toc25705874"/>
      <w:bookmarkStart w:id="2" w:name="_Toc36126888"/>
      <w:r>
        <w:rPr>
          <w:color w:val="auto"/>
        </w:rPr>
        <w:t>总论</w:t>
      </w:r>
      <w:bookmarkEnd w:id="0"/>
      <w:bookmarkEnd w:id="1"/>
      <w:bookmarkEnd w:id="2"/>
    </w:p>
    <w:p>
      <w:pPr>
        <w:pStyle w:val="4"/>
      </w:pPr>
      <w:bookmarkStart w:id="3" w:name="_Toc25705875"/>
      <w:bookmarkStart w:id="4" w:name="_Toc48640701"/>
      <w:bookmarkStart w:id="5" w:name="_Toc36126889"/>
      <w:bookmarkStart w:id="6" w:name="_Toc498634556"/>
      <w:r>
        <w:t>项目名称、主管部门、承办单位及项目地点</w:t>
      </w:r>
      <w:bookmarkEnd w:id="3"/>
      <w:bookmarkEnd w:id="4"/>
      <w:bookmarkEnd w:id="5"/>
      <w:bookmarkEnd w:id="6"/>
    </w:p>
    <w:p>
      <w:pPr>
        <w:ind w:firstLine="480"/>
        <w:rPr>
          <w:rFonts w:cs="Times New Roman"/>
          <w:color w:val="auto"/>
        </w:rPr>
      </w:pPr>
      <w:bookmarkStart w:id="7" w:name="_Toc291575040"/>
      <w:bookmarkStart w:id="8" w:name="_Toc25705876"/>
      <w:bookmarkStart w:id="9" w:name="_Toc291706387"/>
      <w:bookmarkStart w:id="10" w:name="_Toc498634557"/>
      <w:bookmarkStart w:id="11" w:name="_Toc293569150"/>
      <w:r>
        <w:rPr>
          <w:rFonts w:cs="Times New Roman"/>
          <w:color w:val="auto"/>
        </w:rPr>
        <w:t>项目名称：</w:t>
      </w:r>
      <w:r>
        <w:rPr>
          <w:rFonts w:hint="eastAsia" w:cs="Times New Roman"/>
          <w:color w:val="auto"/>
        </w:rPr>
        <w:t>德宏州芒市大河流域户拉断面水质提升项目</w:t>
      </w:r>
    </w:p>
    <w:p>
      <w:pPr>
        <w:ind w:firstLine="480"/>
        <w:rPr>
          <w:rFonts w:cs="Times New Roman"/>
          <w:color w:val="auto"/>
        </w:rPr>
      </w:pPr>
      <w:r>
        <w:rPr>
          <w:rFonts w:cs="Times New Roman"/>
          <w:color w:val="auto"/>
        </w:rPr>
        <w:t>主管部门：芒市人民政府</w:t>
      </w:r>
    </w:p>
    <w:p>
      <w:pPr>
        <w:ind w:firstLine="480"/>
        <w:rPr>
          <w:rFonts w:cs="Times New Roman"/>
          <w:color w:val="auto"/>
        </w:rPr>
      </w:pPr>
      <w:r>
        <w:rPr>
          <w:rFonts w:cs="Times New Roman"/>
          <w:color w:val="auto"/>
        </w:rPr>
        <w:t>监督单位：德宏州生态环境局芒市分局、</w:t>
      </w:r>
      <w:r>
        <w:rPr>
          <w:rFonts w:cs="Times New Roman"/>
          <w:color w:val="auto"/>
          <w:kern w:val="0"/>
        </w:rPr>
        <w:t>德宏州财政局</w:t>
      </w:r>
    </w:p>
    <w:p>
      <w:pPr>
        <w:ind w:firstLine="480"/>
        <w:rPr>
          <w:rFonts w:cs="Times New Roman"/>
          <w:color w:val="auto"/>
        </w:rPr>
      </w:pPr>
      <w:r>
        <w:rPr>
          <w:rFonts w:cs="Times New Roman"/>
          <w:color w:val="auto"/>
        </w:rPr>
        <w:t>项目地点：芒市</w:t>
      </w:r>
      <w:r>
        <w:rPr>
          <w:rFonts w:hint="eastAsia" w:cs="Times New Roman"/>
          <w:color w:val="auto"/>
        </w:rPr>
        <w:t>遮放镇户拉村、芒瓦村2</w:t>
      </w:r>
      <w:r>
        <w:rPr>
          <w:rFonts w:cs="Times New Roman"/>
          <w:color w:val="auto"/>
        </w:rPr>
        <w:t>个自然村。</w:t>
      </w:r>
    </w:p>
    <w:p>
      <w:pPr>
        <w:pStyle w:val="4"/>
      </w:pPr>
      <w:bookmarkStart w:id="12" w:name="_Toc48640702"/>
      <w:bookmarkStart w:id="13" w:name="_Toc36126890"/>
      <w:r>
        <w:t>项目建设的背景</w:t>
      </w:r>
      <w:bookmarkEnd w:id="7"/>
      <w:bookmarkEnd w:id="8"/>
      <w:bookmarkEnd w:id="9"/>
      <w:bookmarkEnd w:id="10"/>
      <w:bookmarkEnd w:id="11"/>
      <w:bookmarkEnd w:id="12"/>
      <w:bookmarkEnd w:id="13"/>
    </w:p>
    <w:p>
      <w:pPr>
        <w:snapToGrid w:val="0"/>
        <w:ind w:firstLine="480"/>
        <w:rPr>
          <w:rFonts w:cs="Times New Roman"/>
          <w:color w:val="auto"/>
        </w:rPr>
      </w:pPr>
      <w:r>
        <w:rPr>
          <w:rFonts w:cs="Times New Roman"/>
          <w:color w:val="auto"/>
        </w:rPr>
        <w:t>2015年4月，国家下发《水污染防治行动计划》，对全国“十三五”期间水污染防治及水环境保护工作作出部署，并提出“未达到水质目标要求的地区要制定达标方案，将治污任务逐一落实到汇水范围内的排污单位，明确防治措施及达标时限”的具体工作要求。云南省政府也根据国务院《水污染防治行动计划》的相关精神，结合我省实际情况，制定了《云南省水污染防治工作方案》（云政发[2016]年3号），方案提出：“着力提升阳宗海、牛栏江、芒市大河、勐波罗河等河湖水环境质量，提高优良水体比例”，并提出“以控制城镇生活源污染为主，切实改善德宏州芒市大河水环境质量”。</w:t>
      </w:r>
    </w:p>
    <w:p>
      <w:pPr>
        <w:ind w:firstLine="480"/>
        <w:rPr>
          <w:rFonts w:cs="Times New Roman"/>
          <w:color w:val="auto"/>
        </w:rPr>
      </w:pPr>
      <w:r>
        <w:rPr>
          <w:rFonts w:cs="Times New Roman"/>
          <w:color w:val="auto"/>
        </w:rPr>
        <w:t>为深入学习贯彻习近平新时代中国特色社会主义思想和党的十九大精神，云南省制定《云南省关于全面加强生态环境保护坚决打好污染防治攻坚战的实施意见》，意见结合云南实际，将“打好以长江为重点的六大水系保护修复攻坚战”、“打好农业农村污染治理攻坚战”作为8个标志性战役之一。具体要求：统筹推进珠江、澜沧江、红河、怒江、伊洛瓦底江等水系水污染防治、水生态保护和水资源管理。切实维护优良水体的水生态环境质量，提高优良水体比例；加强重点流域污染治理和环境风险防范，保证水环境安全；逐步消除劣Ⅴ类水体，恢复水体使用功能。重点以建设美丽宜居村庄为导向，持续开展农村人居环境整治行动，将农村水环境治理纳入河（湖）长制管理。到2020年，实现乡镇镇区生活污水处理和生活垃圾处理设施全覆盖，95%以上的村庄生活垃圾得到治理，农村无害化卫生户厕普及率达到50%以上，生活污水乱排乱放得到管控。</w:t>
      </w:r>
    </w:p>
    <w:p>
      <w:pPr>
        <w:ind w:firstLine="480"/>
        <w:rPr>
          <w:rFonts w:cs="Times New Roman"/>
          <w:color w:val="auto"/>
        </w:rPr>
      </w:pPr>
      <w:r>
        <w:rPr>
          <w:rFonts w:cs="Times New Roman"/>
          <w:color w:val="auto"/>
        </w:rPr>
        <w:t>云南省各有关部门认真贯彻落实中共中央办公厅、国务院办公厅印发了《农村人居环境整治三年行动方案》要求，积极推进农村生活污水治理，相继印发了《云南省农村人居环境整治三年行动实施方案（2018-2020 年）》的通知（云办发〔2018〕15 号）、《云南省农业农村污染治理攻坚战作战方案》的通知云环发(2018) 44号、《云南省农村人居环境整治村庄清洁行动实施方案》的通知（云农社〔2019〕4 号），农村生活污水治理工作取得了一定成效，但就目前而言农村生活污水治理仍然是农村人居环境最突出的短板，面临着思想认识和资金投入不到位、工作进展不平衡、管护机制不健全等问题。</w:t>
      </w:r>
    </w:p>
    <w:p>
      <w:pPr>
        <w:ind w:firstLine="480"/>
        <w:rPr>
          <w:rFonts w:cs="Times New Roman"/>
          <w:color w:val="auto"/>
        </w:rPr>
      </w:pPr>
      <w:r>
        <w:rPr>
          <w:rFonts w:cs="Times New Roman"/>
          <w:color w:val="auto"/>
        </w:rPr>
        <w:t>芒市大河属于德宏州出境河流瑞丽江-伊洛瓦底江的源头之一，芒市大河水环境治理是德宏州生态环境保护坚决打好污染防治攻坚战重要组成部分。</w:t>
      </w:r>
      <w:r>
        <w:rPr>
          <w:rFonts w:hint="eastAsia" w:cs="Times New Roman"/>
          <w:color w:val="auto"/>
        </w:rPr>
        <w:t>为深入贯彻习近平生态文明思想，落实党和国家机构改革要求，科学、全面反映全国地表水环境质量状况及重要江河湖泊水体功能保障情况，构建统一的水生态环境监测体系，有力支撑国家地表水生态环境质量考核排名，切实推动水生态环境改善，国家组织完成了“十四五”国家地表水环境质量监测网优化调整工作，经优化调整，“十四五”期间国家地表水环境质量监测网断面（以下简称国控断面）由2050个增加至3646个，基本实现了对全国重要流域干流及主要支流、重要水体省市界、地级及以上城市和全国重要江河湖泊水功能区的全覆盖。芒市大河将在遮放镇户拉增加1个国控断面。</w:t>
      </w:r>
    </w:p>
    <w:p>
      <w:pPr>
        <w:ind w:firstLine="480"/>
        <w:rPr>
          <w:rFonts w:cs="Times New Roman"/>
          <w:color w:val="auto"/>
        </w:rPr>
      </w:pPr>
      <w:r>
        <w:rPr>
          <w:rFonts w:hint="eastAsia" w:cs="Times New Roman"/>
          <w:color w:val="auto"/>
        </w:rPr>
        <w:t>经过现场调研，遮放镇芒市大河流域沿线村庄污水直排现象较为突出，大部分村庄均为进行污水收集处理。其中户拉村、芒瓦村离户拉国控断面最近，且污水排放较为集中，急需进行污水收集处理。</w:t>
      </w:r>
      <w:r>
        <w:rPr>
          <w:color w:val="auto"/>
        </w:rPr>
        <w:t>我公司受德宏州生态环境局芒市分局的委托，编制本可研，分析区域农村生活污染现状，提出针对性措施以解决</w:t>
      </w:r>
      <w:r>
        <w:rPr>
          <w:rFonts w:hint="eastAsia"/>
          <w:color w:val="auto"/>
        </w:rPr>
        <w:t>突出的</w:t>
      </w:r>
      <w:r>
        <w:rPr>
          <w:color w:val="auto"/>
        </w:rPr>
        <w:t>农村生活污水污染问题</w:t>
      </w:r>
      <w:r>
        <w:rPr>
          <w:rFonts w:hint="eastAsia"/>
          <w:color w:val="auto"/>
        </w:rPr>
        <w:t>，并改善项目区村庄人居环境</w:t>
      </w:r>
      <w:r>
        <w:rPr>
          <w:color w:val="auto"/>
        </w:rPr>
        <w:t>。</w:t>
      </w:r>
    </w:p>
    <w:p>
      <w:pPr>
        <w:pStyle w:val="4"/>
      </w:pPr>
      <w:bookmarkStart w:id="14" w:name="_Toc293569152"/>
      <w:bookmarkStart w:id="15" w:name="_Toc291706389"/>
      <w:bookmarkStart w:id="16" w:name="_Toc498634560"/>
      <w:bookmarkStart w:id="17" w:name="_Toc246236416"/>
      <w:bookmarkStart w:id="18" w:name="_Toc125785471"/>
      <w:bookmarkStart w:id="19" w:name="_Toc107115372"/>
      <w:bookmarkStart w:id="20" w:name="_Toc291575042"/>
      <w:bookmarkStart w:id="21" w:name="_Toc104303563"/>
      <w:bookmarkStart w:id="22" w:name="_Toc206990209"/>
      <w:bookmarkStart w:id="23" w:name="_Toc88972720"/>
      <w:bookmarkStart w:id="24" w:name="_Toc48640703"/>
      <w:bookmarkStart w:id="25" w:name="_Toc25705882"/>
      <w:bookmarkStart w:id="26" w:name="_Toc36126891"/>
      <w:r>
        <w:t>编制依据</w:t>
      </w:r>
      <w:bookmarkEnd w:id="14"/>
      <w:bookmarkEnd w:id="15"/>
      <w:bookmarkEnd w:id="16"/>
      <w:bookmarkEnd w:id="17"/>
      <w:bookmarkEnd w:id="18"/>
      <w:bookmarkEnd w:id="19"/>
      <w:bookmarkEnd w:id="20"/>
      <w:bookmarkEnd w:id="21"/>
      <w:bookmarkEnd w:id="22"/>
      <w:bookmarkEnd w:id="23"/>
      <w:bookmarkEnd w:id="24"/>
      <w:bookmarkEnd w:id="25"/>
      <w:bookmarkEnd w:id="26"/>
    </w:p>
    <w:p>
      <w:pPr>
        <w:pStyle w:val="5"/>
      </w:pPr>
      <w:bookmarkStart w:id="27" w:name="_Toc25705883"/>
      <w:bookmarkStart w:id="28" w:name="_Toc48640704"/>
      <w:bookmarkStart w:id="29" w:name="_Toc36126892"/>
      <w:r>
        <w:t>法律法规</w:t>
      </w:r>
      <w:bookmarkEnd w:id="27"/>
      <w:bookmarkEnd w:id="28"/>
      <w:bookmarkEnd w:id="29"/>
    </w:p>
    <w:p>
      <w:pPr>
        <w:pStyle w:val="110"/>
        <w:numPr>
          <w:ilvl w:val="0"/>
          <w:numId w:val="13"/>
        </w:numPr>
        <w:ind w:firstLineChars="0"/>
      </w:pPr>
      <w:r>
        <w:t>《中华人民共和国环境保护法》（2015.1.1）；</w:t>
      </w:r>
    </w:p>
    <w:p>
      <w:pPr>
        <w:pStyle w:val="110"/>
        <w:numPr>
          <w:ilvl w:val="0"/>
          <w:numId w:val="13"/>
        </w:numPr>
        <w:ind w:firstLineChars="0"/>
      </w:pPr>
      <w:r>
        <w:t>《中华人民共和国水法》（2016年7月修订）；</w:t>
      </w:r>
    </w:p>
    <w:p>
      <w:pPr>
        <w:pStyle w:val="110"/>
        <w:numPr>
          <w:ilvl w:val="0"/>
          <w:numId w:val="13"/>
        </w:numPr>
        <w:ind w:firstLineChars="0"/>
      </w:pPr>
      <w:r>
        <w:t>《中华人民共和国水污染防治法》（2018.1.1）；</w:t>
      </w:r>
    </w:p>
    <w:p>
      <w:pPr>
        <w:pStyle w:val="110"/>
        <w:numPr>
          <w:ilvl w:val="0"/>
          <w:numId w:val="13"/>
        </w:numPr>
        <w:ind w:firstLineChars="0"/>
      </w:pPr>
      <w:r>
        <w:t>《中华人民共和国固体废物污染环境防治法》（2005.4.1）；</w:t>
      </w:r>
    </w:p>
    <w:p>
      <w:pPr>
        <w:pStyle w:val="110"/>
        <w:numPr>
          <w:ilvl w:val="0"/>
          <w:numId w:val="13"/>
        </w:numPr>
        <w:ind w:firstLineChars="0"/>
      </w:pPr>
      <w:r>
        <w:t>《中华人民共和国水土保持法》（2011.3.1）；</w:t>
      </w:r>
    </w:p>
    <w:p>
      <w:pPr>
        <w:pStyle w:val="110"/>
        <w:numPr>
          <w:ilvl w:val="0"/>
          <w:numId w:val="13"/>
        </w:numPr>
        <w:ind w:firstLineChars="0"/>
      </w:pPr>
      <w:r>
        <w:t>《云南省水污染防治工作方案》（云政发[2016]3 号）。</w:t>
      </w:r>
    </w:p>
    <w:p>
      <w:pPr>
        <w:pStyle w:val="110"/>
        <w:numPr>
          <w:ilvl w:val="0"/>
          <w:numId w:val="13"/>
        </w:numPr>
        <w:ind w:firstLineChars="0"/>
      </w:pPr>
      <w:r>
        <w:t>《中华人民共和国环境影响评价法》(2003.9.1);</w:t>
      </w:r>
    </w:p>
    <w:p>
      <w:pPr>
        <w:pStyle w:val="110"/>
        <w:numPr>
          <w:ilvl w:val="0"/>
          <w:numId w:val="13"/>
        </w:numPr>
        <w:ind w:firstLineChars="0"/>
      </w:pPr>
      <w:r>
        <w:t>《建设项目环境保护管理条例》(2017年修正版)；</w:t>
      </w:r>
    </w:p>
    <w:p>
      <w:pPr>
        <w:pStyle w:val="110"/>
        <w:numPr>
          <w:ilvl w:val="0"/>
          <w:numId w:val="13"/>
        </w:numPr>
        <w:ind w:firstLineChars="0"/>
      </w:pPr>
      <w:r>
        <w:t>《关于加强建设项目环境保护管理的若干规定》1998；</w:t>
      </w:r>
    </w:p>
    <w:p>
      <w:pPr>
        <w:pStyle w:val="5"/>
      </w:pPr>
      <w:bookmarkStart w:id="30" w:name="_Toc48640705"/>
      <w:bookmarkStart w:id="31" w:name="_Toc33430807"/>
      <w:bookmarkStart w:id="32" w:name="_Toc36126893"/>
      <w:r>
        <w:t>政策文件及规划</w:t>
      </w:r>
      <w:bookmarkEnd w:id="30"/>
      <w:bookmarkEnd w:id="31"/>
      <w:bookmarkEnd w:id="32"/>
    </w:p>
    <w:p>
      <w:pPr>
        <w:pStyle w:val="110"/>
        <w:numPr>
          <w:ilvl w:val="0"/>
          <w:numId w:val="14"/>
        </w:numPr>
        <w:ind w:firstLine="5" w:firstLineChars="0"/>
      </w:pPr>
      <w:r>
        <w:t>《农村人居环境整治三年行动方案》（中办发〔2018〕5号）；</w:t>
      </w:r>
    </w:p>
    <w:p>
      <w:pPr>
        <w:pStyle w:val="110"/>
        <w:numPr>
          <w:ilvl w:val="0"/>
          <w:numId w:val="14"/>
        </w:numPr>
        <w:ind w:firstLine="5" w:firstLineChars="0"/>
      </w:pPr>
      <w:r>
        <w:t>《关于推进农村生活污水治理的指导意见》（中农发〔2019〕14号）；</w:t>
      </w:r>
    </w:p>
    <w:p>
      <w:pPr>
        <w:pStyle w:val="110"/>
        <w:numPr>
          <w:ilvl w:val="0"/>
          <w:numId w:val="14"/>
        </w:numPr>
        <w:ind w:firstLine="5" w:firstLineChars="0"/>
      </w:pPr>
      <w:r>
        <w:t>《农业农村污染治理攻坚战行动计划》（环土壤〔2018〕143号）；</w:t>
      </w:r>
    </w:p>
    <w:p>
      <w:pPr>
        <w:pStyle w:val="110"/>
        <w:numPr>
          <w:ilvl w:val="0"/>
          <w:numId w:val="14"/>
        </w:numPr>
        <w:ind w:firstLine="5" w:firstLineChars="0"/>
      </w:pPr>
      <w:r>
        <w:t>《云南省农村人居环境整治三年行动实施方案（2018-2020年）》（云办发〔2018〕15号）；</w:t>
      </w:r>
    </w:p>
    <w:p>
      <w:pPr>
        <w:pStyle w:val="110"/>
        <w:numPr>
          <w:ilvl w:val="0"/>
          <w:numId w:val="14"/>
        </w:numPr>
        <w:ind w:firstLine="5" w:firstLineChars="0"/>
      </w:pPr>
      <w:r>
        <w:t>《关于推进农村生活污水治理的实施意见》（云农人居办〔2020〕1号）；</w:t>
      </w:r>
    </w:p>
    <w:p>
      <w:pPr>
        <w:pStyle w:val="110"/>
        <w:numPr>
          <w:ilvl w:val="0"/>
          <w:numId w:val="14"/>
        </w:numPr>
        <w:ind w:firstLine="5" w:firstLineChars="0"/>
      </w:pPr>
      <w:r>
        <w:t>《云南省农业农村污染治理攻坚战作战方案》（云环发〔2018〕44号）；</w:t>
      </w:r>
    </w:p>
    <w:p>
      <w:pPr>
        <w:pStyle w:val="110"/>
        <w:numPr>
          <w:ilvl w:val="0"/>
          <w:numId w:val="14"/>
        </w:numPr>
        <w:ind w:firstLine="5" w:firstLineChars="0"/>
      </w:pPr>
      <w:r>
        <w:t>《国务院关于印发水污染防治行动计划的通知》国发〔2015〕17号；</w:t>
      </w:r>
    </w:p>
    <w:p>
      <w:pPr>
        <w:pStyle w:val="110"/>
        <w:numPr>
          <w:ilvl w:val="0"/>
          <w:numId w:val="14"/>
        </w:numPr>
        <w:ind w:firstLine="5" w:firstLineChars="0"/>
      </w:pPr>
      <w:r>
        <w:t>《云南省水污染防治工作方案》</w:t>
      </w:r>
      <w:r>
        <w:rPr>
          <w:rFonts w:hint="eastAsia"/>
        </w:rPr>
        <w:t>（</w:t>
      </w:r>
      <w:r>
        <w:t>2016年1月</w:t>
      </w:r>
      <w:r>
        <w:rPr>
          <w:rFonts w:hint="eastAsia"/>
        </w:rPr>
        <w:t>）</w:t>
      </w:r>
      <w:r>
        <w:t>；</w:t>
      </w:r>
    </w:p>
    <w:p>
      <w:pPr>
        <w:pStyle w:val="110"/>
        <w:numPr>
          <w:ilvl w:val="0"/>
          <w:numId w:val="14"/>
        </w:numPr>
        <w:ind w:firstLine="5" w:firstLineChars="0"/>
      </w:pPr>
      <w:r>
        <w:t>《德宏州水污染防治专项实施方案》（2018-2020年</w:t>
      </w:r>
      <w:r>
        <w:rPr>
          <w:rFonts w:hint="eastAsia"/>
        </w:rPr>
        <w:t>）</w:t>
      </w:r>
      <w:r>
        <w:t>。</w:t>
      </w:r>
    </w:p>
    <w:p>
      <w:pPr>
        <w:pStyle w:val="5"/>
      </w:pPr>
      <w:bookmarkStart w:id="33" w:name="_Toc25705884"/>
      <w:bookmarkStart w:id="34" w:name="_Toc359679744"/>
      <w:bookmarkStart w:id="35" w:name="_Toc36126894"/>
      <w:bookmarkStart w:id="36" w:name="_Toc498634563"/>
      <w:bookmarkStart w:id="37" w:name="_Toc48640706"/>
      <w:bookmarkStart w:id="38" w:name="_Toc206990211"/>
      <w:bookmarkStart w:id="39" w:name="_Toc246236418"/>
      <w:bookmarkStart w:id="40" w:name="_Toc320802167"/>
      <w:bookmarkStart w:id="41" w:name="_Toc88972722"/>
      <w:bookmarkStart w:id="42" w:name="_Toc104303565"/>
      <w:bookmarkStart w:id="43" w:name="_Toc293569153"/>
      <w:bookmarkStart w:id="44" w:name="_Toc295374769"/>
      <w:bookmarkStart w:id="45" w:name="_Toc291575043"/>
      <w:bookmarkStart w:id="46" w:name="_Toc322358803"/>
      <w:bookmarkStart w:id="47" w:name="_Toc291706390"/>
      <w:bookmarkStart w:id="48" w:name="_Toc322358714"/>
      <w:bookmarkStart w:id="49" w:name="_Toc322358995"/>
      <w:bookmarkStart w:id="50" w:name="_Toc322358624"/>
      <w:bookmarkStart w:id="51" w:name="_Toc104303567"/>
      <w:bookmarkStart w:id="52" w:name="_Toc88972724"/>
      <w:bookmarkStart w:id="53" w:name="_Toc293569156"/>
      <w:bookmarkStart w:id="54" w:name="_Toc246236420"/>
      <w:bookmarkStart w:id="55" w:name="_Toc291706393"/>
      <w:bookmarkStart w:id="56" w:name="_Toc291575046"/>
      <w:bookmarkStart w:id="57" w:name="_Toc206990213"/>
      <w:r>
        <w:t>标准规范</w:t>
      </w:r>
      <w:bookmarkEnd w:id="33"/>
      <w:bookmarkEnd w:id="34"/>
      <w:bookmarkEnd w:id="35"/>
      <w:bookmarkEnd w:id="36"/>
      <w:bookmarkEnd w:id="37"/>
    </w:p>
    <w:p>
      <w:pPr>
        <w:pStyle w:val="110"/>
        <w:numPr>
          <w:ilvl w:val="0"/>
          <w:numId w:val="15"/>
        </w:numPr>
        <w:ind w:left="567" w:firstLine="0" w:firstLineChars="0"/>
      </w:pPr>
      <w:r>
        <w:t>《地表水环境质量标准》（GB 3838-2002）；</w:t>
      </w:r>
    </w:p>
    <w:p>
      <w:pPr>
        <w:pStyle w:val="110"/>
        <w:numPr>
          <w:ilvl w:val="0"/>
          <w:numId w:val="15"/>
        </w:numPr>
        <w:ind w:left="567" w:firstLine="0" w:firstLineChars="0"/>
      </w:pPr>
      <w:r>
        <w:t>《农田灌溉水质标准》（GB 5084-2005）；</w:t>
      </w:r>
    </w:p>
    <w:p>
      <w:pPr>
        <w:pStyle w:val="110"/>
        <w:numPr>
          <w:ilvl w:val="0"/>
          <w:numId w:val="15"/>
        </w:numPr>
        <w:ind w:left="567" w:firstLine="0" w:firstLineChars="0"/>
      </w:pPr>
      <w:r>
        <w:t>《云南省地方标准用水定额》（DB53/T 168-2019）；</w:t>
      </w:r>
    </w:p>
    <w:p>
      <w:pPr>
        <w:pStyle w:val="110"/>
        <w:numPr>
          <w:ilvl w:val="0"/>
          <w:numId w:val="15"/>
        </w:numPr>
        <w:ind w:left="567" w:firstLine="0" w:firstLineChars="0"/>
      </w:pPr>
      <w:r>
        <w:t>《云南省农村生活污水处理设施水污染物排放标准》（DB53/T 953-2019）；</w:t>
      </w:r>
    </w:p>
    <w:p>
      <w:pPr>
        <w:pStyle w:val="110"/>
        <w:numPr>
          <w:ilvl w:val="0"/>
          <w:numId w:val="15"/>
        </w:numPr>
        <w:ind w:left="567" w:firstLine="0" w:firstLineChars="0"/>
      </w:pPr>
      <w:r>
        <w:t>《农用污泥污染物控制标准》（GB 4284-2018）；</w:t>
      </w:r>
    </w:p>
    <w:p>
      <w:pPr>
        <w:pStyle w:val="110"/>
        <w:numPr>
          <w:ilvl w:val="0"/>
          <w:numId w:val="15"/>
        </w:numPr>
        <w:ind w:left="567" w:firstLine="0" w:firstLineChars="0"/>
      </w:pPr>
      <w:r>
        <w:t>《城镇污水处理厂污染物排放标准》（GB18918-2002）；</w:t>
      </w:r>
    </w:p>
    <w:p>
      <w:pPr>
        <w:pStyle w:val="110"/>
        <w:numPr>
          <w:ilvl w:val="0"/>
          <w:numId w:val="15"/>
        </w:numPr>
        <w:ind w:left="567" w:firstLine="0" w:firstLineChars="0"/>
      </w:pPr>
      <w:r>
        <w:t>《污水排入城镇下水道水质标准》（GB/T31962-2015）；</w:t>
      </w:r>
    </w:p>
    <w:p>
      <w:pPr>
        <w:pStyle w:val="110"/>
        <w:numPr>
          <w:ilvl w:val="0"/>
          <w:numId w:val="15"/>
        </w:numPr>
        <w:ind w:left="567" w:firstLine="0" w:firstLineChars="0"/>
      </w:pPr>
      <w:r>
        <w:t>《城市污水处理工程项目建设标准》建标[2001]77 号；</w:t>
      </w:r>
    </w:p>
    <w:p>
      <w:pPr>
        <w:pStyle w:val="110"/>
        <w:numPr>
          <w:ilvl w:val="0"/>
          <w:numId w:val="15"/>
        </w:numPr>
        <w:ind w:left="567" w:firstLine="0" w:firstLineChars="0"/>
      </w:pPr>
      <w:r>
        <w:t>《城镇污水处理厂污泥处置园林绿化用泥质》（GB/T 23486）；</w:t>
      </w:r>
    </w:p>
    <w:p>
      <w:pPr>
        <w:pStyle w:val="110"/>
        <w:numPr>
          <w:ilvl w:val="0"/>
          <w:numId w:val="15"/>
        </w:numPr>
        <w:ind w:left="567" w:firstLine="0" w:firstLineChars="0"/>
      </w:pPr>
      <w:r>
        <w:t>《室外排水设计规范》（GB 50014）；</w:t>
      </w:r>
    </w:p>
    <w:p>
      <w:pPr>
        <w:pStyle w:val="110"/>
        <w:numPr>
          <w:ilvl w:val="0"/>
          <w:numId w:val="15"/>
        </w:numPr>
        <w:ind w:firstLineChars="0"/>
      </w:pPr>
      <w:r>
        <w:t>《镇(乡)村排水工程技术规程》（CJJ124-2008）。</w:t>
      </w:r>
    </w:p>
    <w:p>
      <w:pPr>
        <w:pStyle w:val="110"/>
        <w:numPr>
          <w:ilvl w:val="0"/>
          <w:numId w:val="15"/>
        </w:numPr>
        <w:ind w:firstLineChars="0"/>
      </w:pPr>
      <w:r>
        <w:t>《农村生活污水处理工程技术标准》（GB/T 51347-2019）；</w:t>
      </w:r>
    </w:p>
    <w:p>
      <w:pPr>
        <w:pStyle w:val="110"/>
        <w:numPr>
          <w:ilvl w:val="0"/>
          <w:numId w:val="16"/>
        </w:numPr>
        <w:ind w:firstLineChars="0"/>
      </w:pPr>
      <w:r>
        <w:t>《西南地区农村生活污水处理技术指南》（试行）；</w:t>
      </w:r>
    </w:p>
    <w:p>
      <w:pPr>
        <w:pStyle w:val="110"/>
        <w:numPr>
          <w:ilvl w:val="0"/>
          <w:numId w:val="16"/>
        </w:numPr>
        <w:ind w:firstLineChars="0"/>
      </w:pPr>
      <w:r>
        <w:t>《云南省农村厕所改造建设技术指南》（试行）；</w:t>
      </w:r>
    </w:p>
    <w:p>
      <w:pPr>
        <w:pStyle w:val="110"/>
        <w:numPr>
          <w:ilvl w:val="0"/>
          <w:numId w:val="16"/>
        </w:numPr>
        <w:ind w:firstLineChars="0"/>
      </w:pPr>
      <w:r>
        <w:t>《环境工程技术规范制订技术导则》（HJ526-2010）；</w:t>
      </w:r>
    </w:p>
    <w:p>
      <w:pPr>
        <w:pStyle w:val="110"/>
        <w:numPr>
          <w:ilvl w:val="0"/>
          <w:numId w:val="16"/>
        </w:numPr>
        <w:ind w:firstLineChars="0"/>
      </w:pPr>
      <w:r>
        <w:t>《农村生活污染控制技术规范》（HJ574-2010）；</w:t>
      </w:r>
    </w:p>
    <w:p>
      <w:pPr>
        <w:pStyle w:val="110"/>
        <w:numPr>
          <w:ilvl w:val="0"/>
          <w:numId w:val="16"/>
        </w:numPr>
        <w:ind w:firstLineChars="0"/>
      </w:pPr>
      <w:r>
        <w:t>《高原湖泊区域人工湿地技术规范》（DB53/T 306-2010）；</w:t>
      </w:r>
    </w:p>
    <w:p>
      <w:pPr>
        <w:pStyle w:val="110"/>
        <w:numPr>
          <w:ilvl w:val="0"/>
          <w:numId w:val="16"/>
        </w:numPr>
        <w:ind w:firstLineChars="0"/>
      </w:pPr>
      <w:r>
        <w:t>《高原湖泊入湖河流旁路治理技术规范》（DB53/T 951-2019）。</w:t>
      </w:r>
    </w:p>
    <w:p>
      <w:pPr>
        <w:pStyle w:val="110"/>
        <w:numPr>
          <w:ilvl w:val="0"/>
          <w:numId w:val="16"/>
        </w:numPr>
        <w:ind w:firstLineChars="0"/>
      </w:pPr>
      <w:r>
        <w:t>《人工湿地污水处理工程技术规范》（HJ2005-2010）；</w:t>
      </w:r>
    </w:p>
    <w:p>
      <w:pPr>
        <w:pStyle w:val="110"/>
        <w:numPr>
          <w:ilvl w:val="0"/>
          <w:numId w:val="16"/>
        </w:numPr>
        <w:ind w:firstLineChars="0"/>
      </w:pPr>
      <w:r>
        <w:t>《污水稳定塘设计规范》（HJJ/T54-93）；</w:t>
      </w:r>
    </w:p>
    <w:p>
      <w:pPr>
        <w:pStyle w:val="110"/>
        <w:numPr>
          <w:ilvl w:val="0"/>
          <w:numId w:val="16"/>
        </w:numPr>
        <w:ind w:firstLineChars="0"/>
      </w:pPr>
      <w:r>
        <w:t>《污水过滤处理工程技术规范》（HJ2008-2010）；</w:t>
      </w:r>
    </w:p>
    <w:p>
      <w:pPr>
        <w:pStyle w:val="110"/>
        <w:numPr>
          <w:ilvl w:val="0"/>
          <w:numId w:val="16"/>
        </w:numPr>
        <w:ind w:firstLineChars="0"/>
      </w:pPr>
      <w:bookmarkStart w:id="58" w:name="_Toc359679745"/>
      <w:bookmarkStart w:id="59" w:name="_Toc351058979"/>
      <w:r>
        <w:t>《给水排水工程管道施工及验收规范》（GB50286-2008）；</w:t>
      </w:r>
    </w:p>
    <w:p>
      <w:pPr>
        <w:pStyle w:val="110"/>
        <w:numPr>
          <w:ilvl w:val="0"/>
          <w:numId w:val="16"/>
        </w:numPr>
        <w:ind w:firstLineChars="0"/>
      </w:pPr>
      <w:r>
        <w:t>《给水排水工程构筑物设计规范》（GB50069-2002）；</w:t>
      </w:r>
    </w:p>
    <w:p>
      <w:pPr>
        <w:pStyle w:val="110"/>
        <w:numPr>
          <w:ilvl w:val="0"/>
          <w:numId w:val="16"/>
        </w:numPr>
        <w:ind w:firstLineChars="0"/>
      </w:pPr>
      <w:r>
        <w:t>《人工湿地污水处理工程技术规范》（HJ 2005-2010）；</w:t>
      </w:r>
    </w:p>
    <w:p>
      <w:pPr>
        <w:pStyle w:val="110"/>
        <w:numPr>
          <w:ilvl w:val="0"/>
          <w:numId w:val="16"/>
        </w:numPr>
        <w:ind w:firstLineChars="0"/>
      </w:pPr>
      <w:r>
        <w:t>《埋地排水用钢带增强聚乙烯（PE）螺旋波纹管》（CJ/T 225-2011）；</w:t>
      </w:r>
    </w:p>
    <w:p>
      <w:pPr>
        <w:pStyle w:val="5"/>
      </w:pPr>
      <w:bookmarkStart w:id="60" w:name="_Toc498634561"/>
      <w:bookmarkStart w:id="61" w:name="_Toc36126895"/>
      <w:bookmarkStart w:id="62" w:name="_Toc48640707"/>
      <w:bookmarkStart w:id="63" w:name="_Toc25705885"/>
      <w:bookmarkStart w:id="64" w:name="_Toc359679742"/>
      <w:r>
        <w:t>相关支撑性文件依据</w:t>
      </w:r>
      <w:bookmarkEnd w:id="60"/>
      <w:bookmarkEnd w:id="61"/>
      <w:bookmarkEnd w:id="62"/>
      <w:bookmarkEnd w:id="63"/>
      <w:bookmarkEnd w:id="64"/>
    </w:p>
    <w:bookmarkEnd w:id="38"/>
    <w:bookmarkEnd w:id="39"/>
    <w:bookmarkEnd w:id="40"/>
    <w:bookmarkEnd w:id="41"/>
    <w:bookmarkEnd w:id="42"/>
    <w:bookmarkEnd w:id="43"/>
    <w:bookmarkEnd w:id="44"/>
    <w:bookmarkEnd w:id="45"/>
    <w:bookmarkEnd w:id="46"/>
    <w:bookmarkEnd w:id="47"/>
    <w:bookmarkEnd w:id="48"/>
    <w:bookmarkEnd w:id="49"/>
    <w:bookmarkEnd w:id="50"/>
    <w:bookmarkEnd w:id="58"/>
    <w:bookmarkEnd w:id="59"/>
    <w:p>
      <w:pPr>
        <w:pStyle w:val="110"/>
        <w:numPr>
          <w:ilvl w:val="0"/>
          <w:numId w:val="17"/>
        </w:numPr>
        <w:ind w:firstLineChars="0"/>
      </w:pPr>
      <w:r>
        <w:t>《芒市水污染防治目标责任书》2016年7月；</w:t>
      </w:r>
    </w:p>
    <w:p>
      <w:pPr>
        <w:pStyle w:val="110"/>
        <w:numPr>
          <w:ilvl w:val="0"/>
          <w:numId w:val="17"/>
        </w:numPr>
        <w:ind w:firstLineChars="0"/>
      </w:pPr>
      <w:r>
        <w:t>《芒市国民经济和社会发展十三五规划》；</w:t>
      </w:r>
    </w:p>
    <w:p>
      <w:pPr>
        <w:pStyle w:val="110"/>
        <w:numPr>
          <w:ilvl w:val="0"/>
          <w:numId w:val="17"/>
        </w:numPr>
        <w:ind w:firstLineChars="0"/>
      </w:pPr>
      <w:r>
        <w:t>《芒市城市总体规划（2017-2035）》；</w:t>
      </w:r>
    </w:p>
    <w:p>
      <w:pPr>
        <w:pStyle w:val="110"/>
        <w:numPr>
          <w:ilvl w:val="0"/>
          <w:numId w:val="17"/>
        </w:numPr>
        <w:ind w:firstLineChars="0"/>
      </w:pPr>
      <w:r>
        <w:t>《芒市环境保护和生态建设“十三五”规划》；</w:t>
      </w:r>
    </w:p>
    <w:p>
      <w:pPr>
        <w:pStyle w:val="110"/>
        <w:numPr>
          <w:ilvl w:val="0"/>
          <w:numId w:val="17"/>
        </w:numPr>
        <w:ind w:firstLineChars="0"/>
      </w:pPr>
      <w:r>
        <w:t>《芒市生态田园城市建设规划》2017年4月；</w:t>
      </w:r>
    </w:p>
    <w:p>
      <w:pPr>
        <w:pStyle w:val="110"/>
        <w:numPr>
          <w:ilvl w:val="0"/>
          <w:numId w:val="17"/>
        </w:numPr>
        <w:ind w:firstLineChars="0"/>
      </w:pPr>
      <w:r>
        <w:t>《芒市大河出境河流水污染防治项目实施方案》2018年9月；</w:t>
      </w:r>
    </w:p>
    <w:p>
      <w:pPr>
        <w:pStyle w:val="110"/>
        <w:numPr>
          <w:ilvl w:val="0"/>
          <w:numId w:val="17"/>
        </w:numPr>
        <w:ind w:firstLineChars="0"/>
      </w:pPr>
      <w:r>
        <w:t>《</w:t>
      </w:r>
      <w:r>
        <w:rPr>
          <w:rFonts w:hint="eastAsia"/>
        </w:rPr>
        <w:t>“十四五”国家地表水环境质量监测网断面设置方案》；</w:t>
      </w:r>
    </w:p>
    <w:p>
      <w:pPr>
        <w:pStyle w:val="110"/>
        <w:numPr>
          <w:ilvl w:val="0"/>
          <w:numId w:val="17"/>
        </w:numPr>
        <w:ind w:firstLineChars="0"/>
      </w:pPr>
      <w:r>
        <w:t>现场调查资料。</w:t>
      </w:r>
    </w:p>
    <w:bookmarkEnd w:id="51"/>
    <w:bookmarkEnd w:id="52"/>
    <w:bookmarkEnd w:id="53"/>
    <w:bookmarkEnd w:id="54"/>
    <w:bookmarkEnd w:id="55"/>
    <w:bookmarkEnd w:id="56"/>
    <w:bookmarkEnd w:id="57"/>
    <w:p>
      <w:pPr>
        <w:pStyle w:val="4"/>
      </w:pPr>
      <w:bookmarkStart w:id="65" w:name="_Toc36126896"/>
      <w:bookmarkStart w:id="66" w:name="_Toc25705881"/>
      <w:bookmarkStart w:id="67" w:name="_Toc48640708"/>
      <w:bookmarkStart w:id="68" w:name="_Toc498634559"/>
      <w:r>
        <w:t>编制原则</w:t>
      </w:r>
      <w:bookmarkEnd w:id="65"/>
      <w:bookmarkEnd w:id="66"/>
      <w:bookmarkEnd w:id="67"/>
    </w:p>
    <w:p>
      <w:pPr>
        <w:ind w:firstLine="480"/>
        <w:rPr>
          <w:rFonts w:cs="Times New Roman"/>
          <w:color w:val="auto"/>
          <w:szCs w:val="24"/>
        </w:rPr>
      </w:pPr>
      <w:r>
        <w:rPr>
          <w:rFonts w:cs="Times New Roman"/>
          <w:color w:val="auto"/>
          <w:szCs w:val="24"/>
        </w:rPr>
        <w:t>（1）与相关规划、方案相协调的原则。</w:t>
      </w:r>
    </w:p>
    <w:p>
      <w:pPr>
        <w:ind w:firstLine="480"/>
        <w:rPr>
          <w:rFonts w:cs="Times New Roman"/>
          <w:color w:val="auto"/>
          <w:szCs w:val="24"/>
        </w:rPr>
      </w:pPr>
      <w:r>
        <w:rPr>
          <w:rFonts w:cs="Times New Roman"/>
          <w:color w:val="auto"/>
          <w:szCs w:val="24"/>
        </w:rPr>
        <w:t>以芒市城市总体规划等相关规划为指导，结合当地的经济条件、未来发展趋势等实际情况，制定污染治理方案。</w:t>
      </w:r>
    </w:p>
    <w:p>
      <w:pPr>
        <w:ind w:firstLine="480"/>
        <w:rPr>
          <w:rFonts w:cs="Times New Roman"/>
          <w:color w:val="auto"/>
          <w:szCs w:val="24"/>
        </w:rPr>
      </w:pPr>
      <w:r>
        <w:rPr>
          <w:rFonts w:cs="Times New Roman"/>
          <w:color w:val="auto"/>
          <w:szCs w:val="24"/>
        </w:rPr>
        <w:t>（2）污染治理与污染管理相结合的原则。根据项目区污染物的排放方式及当地的实际情况，采取污染治理与污染管理相结合的原则，实施治、管并重的方针，力争确实有效改善项目区污染排放情况及村庄环境现状。</w:t>
      </w:r>
    </w:p>
    <w:p>
      <w:pPr>
        <w:ind w:firstLine="480"/>
        <w:rPr>
          <w:rFonts w:cs="Times New Roman"/>
          <w:color w:val="auto"/>
          <w:szCs w:val="24"/>
        </w:rPr>
      </w:pPr>
      <w:r>
        <w:rPr>
          <w:rFonts w:cs="Times New Roman"/>
          <w:color w:val="auto"/>
          <w:szCs w:val="24"/>
        </w:rPr>
        <w:t>（3）遵循因地制宜的原则。在具体技术措施选择上，遵循因地制宜的原则，针对村落的特点，优先选择适合于当地条件，成熟可靠，易于管理的技术措施，确保工程落地。</w:t>
      </w:r>
    </w:p>
    <w:p>
      <w:pPr>
        <w:ind w:firstLine="480"/>
        <w:rPr>
          <w:rFonts w:cs="Times New Roman"/>
          <w:color w:val="auto"/>
          <w:szCs w:val="24"/>
        </w:rPr>
      </w:pPr>
      <w:r>
        <w:rPr>
          <w:rFonts w:cs="Times New Roman"/>
          <w:color w:val="auto"/>
          <w:szCs w:val="24"/>
        </w:rPr>
        <w:t>（4）截污治污与试点示范相结合的原则。充分发挥村庄雨污分流的功能，确实改善村庄环境，为今后类似村庄截污治污做示范。</w:t>
      </w:r>
    </w:p>
    <w:p>
      <w:pPr>
        <w:ind w:firstLine="480"/>
        <w:rPr>
          <w:rFonts w:cs="Times New Roman"/>
          <w:color w:val="auto"/>
          <w:szCs w:val="24"/>
        </w:rPr>
      </w:pPr>
      <w:r>
        <w:rPr>
          <w:rFonts w:cs="Times New Roman"/>
          <w:color w:val="auto"/>
          <w:szCs w:val="24"/>
        </w:rPr>
        <w:t>（5）经济性原则。因地制宜，节减建设成本，降低运行管理费用。</w:t>
      </w:r>
    </w:p>
    <w:p>
      <w:pPr>
        <w:ind w:firstLine="480"/>
        <w:rPr>
          <w:rFonts w:cs="Times New Roman"/>
          <w:color w:val="auto"/>
        </w:rPr>
      </w:pPr>
      <w:r>
        <w:rPr>
          <w:rFonts w:cs="Times New Roman"/>
          <w:color w:val="auto"/>
        </w:rPr>
        <w:t>（6）目标性原则。工程总体目标是削减进入芒市大河的污染负荷。</w:t>
      </w:r>
    </w:p>
    <w:bookmarkEnd w:id="68"/>
    <w:p>
      <w:pPr>
        <w:pStyle w:val="4"/>
      </w:pPr>
      <w:bookmarkStart w:id="69" w:name="_Toc36126897"/>
      <w:bookmarkStart w:id="70" w:name="_Toc48640709"/>
      <w:bookmarkStart w:id="71" w:name="_Toc498634565"/>
      <w:bookmarkStart w:id="72" w:name="_Toc25705886"/>
      <w:bookmarkStart w:id="73" w:name="_Hlt106281511"/>
      <w:r>
        <w:t>编制范围</w:t>
      </w:r>
      <w:bookmarkEnd w:id="69"/>
      <w:bookmarkEnd w:id="70"/>
    </w:p>
    <w:p>
      <w:pPr>
        <w:ind w:firstLine="480"/>
        <w:rPr>
          <w:rFonts w:cs="Times New Roman"/>
          <w:color w:val="auto"/>
        </w:rPr>
      </w:pPr>
      <w:r>
        <w:rPr>
          <w:rFonts w:cs="Times New Roman"/>
          <w:color w:val="auto"/>
        </w:rPr>
        <w:t>本可研编制范围为</w:t>
      </w:r>
      <w:r>
        <w:rPr>
          <w:rFonts w:hint="eastAsia" w:cs="Times New Roman"/>
          <w:color w:val="auto"/>
        </w:rPr>
        <w:t>遮放镇户拉村、芒瓦村2</w:t>
      </w:r>
      <w:r>
        <w:rPr>
          <w:rFonts w:cs="Times New Roman"/>
          <w:color w:val="auto"/>
        </w:rPr>
        <w:t>个自然村，涉及农户</w:t>
      </w:r>
      <w:r>
        <w:rPr>
          <w:rFonts w:hint="eastAsia" w:cs="Times New Roman"/>
          <w:color w:val="auto"/>
        </w:rPr>
        <w:t>287</w:t>
      </w:r>
      <w:r>
        <w:rPr>
          <w:rFonts w:cs="Times New Roman"/>
          <w:color w:val="auto"/>
        </w:rPr>
        <w:t>户，</w:t>
      </w:r>
      <w:r>
        <w:rPr>
          <w:rFonts w:hint="eastAsia" w:cs="Times New Roman"/>
          <w:color w:val="auto"/>
        </w:rPr>
        <w:t>1396</w:t>
      </w:r>
      <w:r>
        <w:rPr>
          <w:rFonts w:cs="Times New Roman"/>
          <w:color w:val="auto"/>
        </w:rPr>
        <w:t>人；具体包含以上村庄污水收集工程和污水处理工程。</w:t>
      </w:r>
    </w:p>
    <w:bookmarkEnd w:id="71"/>
    <w:bookmarkEnd w:id="72"/>
    <w:p>
      <w:pPr>
        <w:pStyle w:val="4"/>
      </w:pPr>
      <w:bookmarkStart w:id="74" w:name="_Toc36126898"/>
      <w:bookmarkStart w:id="75" w:name="_Toc48640710"/>
      <w:r>
        <w:t>主要结论</w:t>
      </w:r>
      <w:bookmarkEnd w:id="74"/>
      <w:bookmarkEnd w:id="75"/>
    </w:p>
    <w:bookmarkEnd w:id="73"/>
    <w:p>
      <w:pPr>
        <w:pStyle w:val="5"/>
      </w:pPr>
      <w:bookmarkStart w:id="76" w:name="_Toc498634567"/>
      <w:bookmarkStart w:id="77" w:name="_Toc36126899"/>
      <w:bookmarkStart w:id="78" w:name="_Toc25705888"/>
      <w:bookmarkStart w:id="79" w:name="_Toc48640711"/>
      <w:bookmarkStart w:id="80" w:name="_Toc291706394"/>
      <w:bookmarkStart w:id="81" w:name="_Toc206990221"/>
      <w:bookmarkStart w:id="82" w:name="_Toc291575047"/>
      <w:bookmarkStart w:id="83" w:name="_Toc293569157"/>
      <w:bookmarkStart w:id="84" w:name="_Toc246236428"/>
      <w:r>
        <w:t>工程内容</w:t>
      </w:r>
      <w:bookmarkEnd w:id="76"/>
      <w:r>
        <w:t>及经济技术指标</w:t>
      </w:r>
      <w:bookmarkEnd w:id="77"/>
      <w:bookmarkEnd w:id="78"/>
      <w:bookmarkEnd w:id="79"/>
    </w:p>
    <w:p>
      <w:pPr>
        <w:ind w:firstLine="480"/>
        <w:rPr>
          <w:color w:val="auto"/>
        </w:rPr>
      </w:pPr>
      <w:r>
        <w:rPr>
          <w:rFonts w:hint="eastAsia"/>
          <w:color w:val="auto"/>
        </w:rPr>
        <w:t>（1）工程内容：</w:t>
      </w:r>
    </w:p>
    <w:p>
      <w:pPr>
        <w:ind w:firstLine="480"/>
        <w:rPr>
          <w:rFonts w:cs="Times New Roman"/>
          <w:color w:val="auto"/>
        </w:rPr>
      </w:pPr>
      <w:r>
        <w:rPr>
          <w:rFonts w:hint="eastAsia" w:ascii="宋体" w:hAnsi="宋体" w:eastAsia="宋体" w:cs="宋体"/>
          <w:color w:val="auto"/>
        </w:rPr>
        <w:t>①</w:t>
      </w:r>
      <w:r>
        <w:rPr>
          <w:rFonts w:cs="Times New Roman"/>
          <w:color w:val="auto"/>
        </w:rPr>
        <w:t>污水收集工程</w:t>
      </w:r>
    </w:p>
    <w:p>
      <w:pPr>
        <w:ind w:firstLine="480"/>
        <w:rPr>
          <w:rFonts w:cs="Times New Roman"/>
          <w:color w:val="auto"/>
        </w:rPr>
      </w:pPr>
      <w:r>
        <w:rPr>
          <w:rFonts w:cs="Times New Roman"/>
          <w:color w:val="auto"/>
        </w:rPr>
        <w:t>新建DN</w:t>
      </w:r>
      <w:r>
        <w:rPr>
          <w:rFonts w:hint="eastAsia" w:cs="Times New Roman"/>
          <w:color w:val="auto"/>
        </w:rPr>
        <w:t>3</w:t>
      </w:r>
      <w:r>
        <w:rPr>
          <w:rFonts w:cs="Times New Roman"/>
          <w:color w:val="auto"/>
        </w:rPr>
        <w:t>00</w:t>
      </w:r>
      <w:r>
        <w:rPr>
          <w:rFonts w:hint="eastAsia" w:cs="Times New Roman"/>
          <w:color w:val="auto"/>
        </w:rPr>
        <w:t>焊接钢管630</w:t>
      </w:r>
      <w:r>
        <w:rPr>
          <w:rFonts w:cs="Times New Roman"/>
          <w:color w:val="auto"/>
        </w:rPr>
        <w:t>m，新建DN</w:t>
      </w:r>
      <w:r>
        <w:rPr>
          <w:rFonts w:hint="eastAsia" w:cs="Times New Roman"/>
          <w:color w:val="auto"/>
        </w:rPr>
        <w:t>4</w:t>
      </w:r>
      <w:r>
        <w:rPr>
          <w:rFonts w:cs="Times New Roman"/>
          <w:color w:val="auto"/>
        </w:rPr>
        <w:t>00HDPE污水收集管</w:t>
      </w:r>
      <w:r>
        <w:rPr>
          <w:rFonts w:hint="eastAsia" w:cs="Times New Roman"/>
          <w:color w:val="auto"/>
        </w:rPr>
        <w:t>380</w:t>
      </w:r>
      <w:r>
        <w:rPr>
          <w:rFonts w:cs="Times New Roman"/>
          <w:color w:val="auto"/>
        </w:rPr>
        <w:t>m，新建DN</w:t>
      </w:r>
      <w:r>
        <w:rPr>
          <w:rFonts w:hint="eastAsia" w:cs="Times New Roman"/>
          <w:color w:val="auto"/>
        </w:rPr>
        <w:t>3</w:t>
      </w:r>
      <w:r>
        <w:rPr>
          <w:rFonts w:cs="Times New Roman"/>
          <w:color w:val="auto"/>
        </w:rPr>
        <w:t>00HDPE污水收集管</w:t>
      </w:r>
      <w:r>
        <w:rPr>
          <w:rFonts w:hint="eastAsia" w:cs="Times New Roman"/>
          <w:color w:val="auto"/>
        </w:rPr>
        <w:t>4870</w:t>
      </w:r>
      <w:r>
        <w:rPr>
          <w:rFonts w:cs="Times New Roman"/>
          <w:color w:val="auto"/>
        </w:rPr>
        <w:t>m，新建DN</w:t>
      </w:r>
      <w:r>
        <w:rPr>
          <w:rFonts w:hint="eastAsia" w:cs="Times New Roman"/>
          <w:color w:val="auto"/>
        </w:rPr>
        <w:t>2</w:t>
      </w:r>
      <w:r>
        <w:rPr>
          <w:rFonts w:cs="Times New Roman"/>
          <w:color w:val="auto"/>
        </w:rPr>
        <w:t>00HDPE污水收集管</w:t>
      </w:r>
      <w:r>
        <w:rPr>
          <w:rFonts w:hint="eastAsia" w:cs="Times New Roman"/>
          <w:color w:val="auto"/>
        </w:rPr>
        <w:t>4552</w:t>
      </w:r>
      <w:r>
        <w:rPr>
          <w:rFonts w:cs="Times New Roman"/>
          <w:color w:val="auto"/>
        </w:rPr>
        <w:t>m，新建</w:t>
      </w:r>
      <w:r>
        <w:rPr>
          <w:rFonts w:hint="eastAsia" w:cs="Times New Roman"/>
          <w:color w:val="auto"/>
        </w:rPr>
        <w:t>Φ700 塑料</w:t>
      </w:r>
      <w:r>
        <w:rPr>
          <w:rFonts w:cs="Times New Roman"/>
          <w:color w:val="auto"/>
        </w:rPr>
        <w:t>检查井</w:t>
      </w:r>
      <w:r>
        <w:rPr>
          <w:rFonts w:hint="eastAsia" w:cs="Times New Roman"/>
          <w:color w:val="auto"/>
        </w:rPr>
        <w:t>466</w:t>
      </w:r>
      <w:r>
        <w:rPr>
          <w:rFonts w:cs="Times New Roman"/>
          <w:color w:val="auto"/>
        </w:rPr>
        <w:t>座，新建</w:t>
      </w:r>
      <w:r>
        <w:rPr>
          <w:rFonts w:hint="eastAsia" w:cs="Times New Roman"/>
          <w:color w:val="auto"/>
        </w:rPr>
        <w:t>钢砼1000×1000</w:t>
      </w:r>
      <w:r>
        <w:rPr>
          <w:rFonts w:cs="Times New Roman"/>
          <w:color w:val="auto"/>
        </w:rPr>
        <w:t>检查井</w:t>
      </w:r>
      <w:r>
        <w:rPr>
          <w:rFonts w:hint="eastAsia" w:cs="Times New Roman"/>
          <w:color w:val="auto"/>
        </w:rPr>
        <w:t>4</w:t>
      </w:r>
      <w:r>
        <w:rPr>
          <w:rFonts w:cs="Times New Roman"/>
          <w:color w:val="auto"/>
        </w:rPr>
        <w:t>座，新建</w:t>
      </w:r>
      <w:r>
        <w:rPr>
          <w:rFonts w:hint="eastAsia" w:cs="Times New Roman"/>
          <w:color w:val="auto"/>
        </w:rPr>
        <w:t>钢砼700×700</w:t>
      </w:r>
      <w:r>
        <w:rPr>
          <w:rFonts w:cs="Times New Roman"/>
          <w:color w:val="auto"/>
        </w:rPr>
        <w:t>检查井</w:t>
      </w:r>
      <w:r>
        <w:rPr>
          <w:rFonts w:hint="eastAsia" w:cs="Times New Roman"/>
          <w:color w:val="auto"/>
        </w:rPr>
        <w:t>25</w:t>
      </w:r>
      <w:r>
        <w:rPr>
          <w:rFonts w:cs="Times New Roman"/>
          <w:color w:val="auto"/>
        </w:rPr>
        <w:t>座</w:t>
      </w:r>
      <w:r>
        <w:rPr>
          <w:rFonts w:hint="eastAsia" w:cs="Times New Roman"/>
          <w:color w:val="auto"/>
        </w:rPr>
        <w:t>，</w:t>
      </w:r>
      <w:r>
        <w:rPr>
          <w:rFonts w:cs="Times New Roman"/>
          <w:color w:val="auto"/>
        </w:rPr>
        <w:t>新建</w:t>
      </w:r>
      <w:r>
        <w:rPr>
          <w:rFonts w:hint="eastAsia" w:cs="Times New Roman"/>
          <w:color w:val="auto"/>
        </w:rPr>
        <w:t>φ</w:t>
      </w:r>
      <w:r>
        <w:rPr>
          <w:rFonts w:cs="Times New Roman"/>
          <w:color w:val="auto"/>
        </w:rPr>
        <w:t>1</w:t>
      </w:r>
      <w:r>
        <w:rPr>
          <w:rFonts w:hint="eastAsia" w:cs="Times New Roman"/>
          <w:color w:val="auto"/>
        </w:rPr>
        <w:t>1</w:t>
      </w:r>
      <w:r>
        <w:rPr>
          <w:rFonts w:cs="Times New Roman"/>
          <w:color w:val="auto"/>
        </w:rPr>
        <w:t>0 PVC入户收集管</w:t>
      </w:r>
      <w:r>
        <w:rPr>
          <w:rFonts w:hint="eastAsia" w:cs="Times New Roman"/>
          <w:color w:val="auto"/>
        </w:rPr>
        <w:t>4305</w:t>
      </w:r>
      <w:r>
        <w:rPr>
          <w:rFonts w:cs="Times New Roman"/>
          <w:color w:val="auto"/>
        </w:rPr>
        <w:t>m，新建0.5x0.5x0.5m户用格栅井</w:t>
      </w:r>
      <w:r>
        <w:rPr>
          <w:rFonts w:hint="eastAsia" w:cs="Times New Roman"/>
          <w:color w:val="auto"/>
        </w:rPr>
        <w:t>287</w:t>
      </w:r>
      <w:r>
        <w:rPr>
          <w:rFonts w:cs="Times New Roman"/>
          <w:color w:val="auto"/>
        </w:rPr>
        <w:t>座</w:t>
      </w:r>
      <w:r>
        <w:rPr>
          <w:rFonts w:hint="eastAsia" w:cs="Times New Roman"/>
          <w:color w:val="auto"/>
        </w:rPr>
        <w:t>。</w:t>
      </w:r>
    </w:p>
    <w:p>
      <w:pPr>
        <w:ind w:firstLine="480"/>
        <w:rPr>
          <w:rFonts w:cs="Times New Roman"/>
          <w:color w:val="auto"/>
        </w:rPr>
      </w:pPr>
      <w:r>
        <w:rPr>
          <w:rFonts w:hint="eastAsia" w:ascii="宋体" w:hAnsi="宋体" w:eastAsia="宋体" w:cs="宋体"/>
          <w:color w:val="auto"/>
        </w:rPr>
        <w:t>②</w:t>
      </w:r>
      <w:r>
        <w:rPr>
          <w:rFonts w:cs="Times New Roman"/>
          <w:color w:val="auto"/>
        </w:rPr>
        <w:t>污水处理工程</w:t>
      </w:r>
    </w:p>
    <w:p>
      <w:pPr>
        <w:ind w:firstLine="480"/>
        <w:rPr>
          <w:rFonts w:cs="Times New Roman"/>
          <w:color w:val="auto"/>
        </w:rPr>
      </w:pPr>
      <w:r>
        <w:rPr>
          <w:rFonts w:cs="Times New Roman"/>
          <w:color w:val="auto"/>
        </w:rPr>
        <w:t>新建村庄集中式</w:t>
      </w:r>
      <w:r>
        <w:rPr>
          <w:rFonts w:hint="eastAsia" w:cs="Times New Roman"/>
          <w:color w:val="auto"/>
        </w:rPr>
        <w:t>污水</w:t>
      </w:r>
      <w:r>
        <w:rPr>
          <w:rFonts w:cs="Times New Roman"/>
          <w:color w:val="auto"/>
        </w:rPr>
        <w:t>处理设施</w:t>
      </w:r>
      <w:r>
        <w:rPr>
          <w:rFonts w:hint="eastAsia" w:cs="Times New Roman"/>
          <w:color w:val="auto"/>
        </w:rPr>
        <w:t>2</w:t>
      </w:r>
      <w:r>
        <w:rPr>
          <w:rFonts w:cs="Times New Roman"/>
          <w:color w:val="auto"/>
        </w:rPr>
        <w:t>座</w:t>
      </w:r>
      <w:r>
        <w:rPr>
          <w:rFonts w:hint="eastAsia" w:cs="Times New Roman"/>
          <w:color w:val="auto"/>
        </w:rPr>
        <w:t>，其中：</w:t>
      </w:r>
    </w:p>
    <w:p>
      <w:pPr>
        <w:ind w:firstLine="480"/>
        <w:rPr>
          <w:rFonts w:cs="Times New Roman"/>
          <w:color w:val="auto"/>
        </w:rPr>
      </w:pPr>
      <w:r>
        <w:rPr>
          <w:rFonts w:hint="eastAsia" w:cs="Times New Roman"/>
          <w:color w:val="auto"/>
        </w:rPr>
        <w:t>40</w:t>
      </w:r>
      <w:r>
        <w:rPr>
          <w:rFonts w:cs="Times New Roman"/>
          <w:color w:val="auto"/>
        </w:rPr>
        <w:t>m</w:t>
      </w:r>
      <w:r>
        <w:rPr>
          <w:rFonts w:cs="Times New Roman"/>
          <w:color w:val="auto"/>
          <w:vertAlign w:val="superscript"/>
        </w:rPr>
        <w:t>3</w:t>
      </w:r>
      <w:r>
        <w:rPr>
          <w:rFonts w:cs="Times New Roman"/>
          <w:color w:val="auto"/>
        </w:rPr>
        <w:t>/d “预处理+生物接触氧化池</w:t>
      </w:r>
      <w:r>
        <w:rPr>
          <w:rFonts w:hint="eastAsia" w:cs="Times New Roman"/>
          <w:color w:val="auto"/>
        </w:rPr>
        <w:t>+碎石滤床</w:t>
      </w:r>
      <w:r>
        <w:rPr>
          <w:rFonts w:cs="Times New Roman"/>
          <w:color w:val="auto"/>
        </w:rPr>
        <w:t>”污水处理设施</w:t>
      </w:r>
      <w:r>
        <w:rPr>
          <w:rFonts w:hint="eastAsia" w:cs="Times New Roman"/>
          <w:color w:val="auto"/>
        </w:rPr>
        <w:t>1套</w:t>
      </w:r>
      <w:r>
        <w:rPr>
          <w:rFonts w:cs="Times New Roman"/>
          <w:color w:val="auto"/>
        </w:rPr>
        <w:t>，</w:t>
      </w:r>
      <w:r>
        <w:rPr>
          <w:rFonts w:hint="eastAsia" w:cs="Times New Roman"/>
          <w:color w:val="auto"/>
        </w:rPr>
        <w:t>75</w:t>
      </w:r>
      <w:r>
        <w:rPr>
          <w:rFonts w:cs="Times New Roman"/>
          <w:color w:val="auto"/>
        </w:rPr>
        <w:t xml:space="preserve"> m</w:t>
      </w:r>
      <w:r>
        <w:rPr>
          <w:rFonts w:cs="Times New Roman"/>
          <w:color w:val="auto"/>
          <w:vertAlign w:val="superscript"/>
        </w:rPr>
        <w:t>3</w:t>
      </w:r>
      <w:r>
        <w:rPr>
          <w:rFonts w:cs="Times New Roman"/>
          <w:color w:val="auto"/>
        </w:rPr>
        <w:t>/d“预处理+生物接触氧化池</w:t>
      </w:r>
      <w:r>
        <w:rPr>
          <w:rFonts w:hint="eastAsia" w:cs="Times New Roman"/>
          <w:color w:val="auto"/>
        </w:rPr>
        <w:t>+碎石滤床</w:t>
      </w:r>
      <w:r>
        <w:rPr>
          <w:rFonts w:cs="Times New Roman"/>
          <w:color w:val="auto"/>
        </w:rPr>
        <w:t>”污水处理设施</w:t>
      </w:r>
      <w:r>
        <w:rPr>
          <w:rFonts w:hint="eastAsia" w:cs="Times New Roman"/>
          <w:color w:val="auto"/>
        </w:rPr>
        <w:t>1套。</w:t>
      </w:r>
    </w:p>
    <w:p>
      <w:pPr>
        <w:ind w:firstLine="480"/>
        <w:rPr>
          <w:color w:val="auto"/>
        </w:rPr>
      </w:pPr>
      <w:r>
        <w:rPr>
          <w:rFonts w:hint="eastAsia"/>
          <w:color w:val="auto"/>
        </w:rPr>
        <w:t>（2）技术经济参数</w:t>
      </w:r>
    </w:p>
    <w:p>
      <w:pPr>
        <w:pStyle w:val="112"/>
        <w:rPr>
          <w:color w:val="auto"/>
        </w:rPr>
      </w:pPr>
      <w:bookmarkStart w:id="85" w:name="_Toc49863456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w:t>
      </w:r>
      <w:r>
        <w:rPr>
          <w:color w:val="auto"/>
        </w:rPr>
        <w:t>经济技术指标一览表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3132"/>
        <w:gridCol w:w="681"/>
        <w:gridCol w:w="906"/>
        <w:gridCol w:w="1356"/>
        <w:gridCol w:w="112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501" w:type="pct"/>
            <w:vMerge w:val="restart"/>
            <w:shd w:val="clear" w:color="auto" w:fill="auto"/>
            <w:noWrap/>
            <w:vAlign w:val="center"/>
          </w:tcPr>
          <w:p>
            <w:pPr>
              <w:widowControl/>
              <w:spacing w:line="240" w:lineRule="auto"/>
              <w:ind w:firstLine="0" w:firstLineChars="0"/>
              <w:rPr>
                <w:rFonts w:cs="Times New Roman"/>
                <w:b/>
                <w:color w:val="auto"/>
                <w:sz w:val="21"/>
                <w:szCs w:val="21"/>
              </w:rPr>
            </w:pPr>
            <w:r>
              <w:rPr>
                <w:rFonts w:cs="Times New Roman"/>
                <w:b/>
                <w:color w:val="auto"/>
                <w:sz w:val="21"/>
                <w:szCs w:val="21"/>
              </w:rPr>
              <w:t>序号</w:t>
            </w:r>
          </w:p>
        </w:tc>
        <w:tc>
          <w:tcPr>
            <w:tcW w:w="1739" w:type="pct"/>
            <w:vMerge w:val="restart"/>
            <w:shd w:val="clear" w:color="auto" w:fill="auto"/>
            <w:noWrap/>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工程项目或费用名称</w:t>
            </w:r>
          </w:p>
        </w:tc>
        <w:tc>
          <w:tcPr>
            <w:tcW w:w="2259" w:type="pct"/>
            <w:gridSpan w:val="4"/>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hint="eastAsia" w:ascii="仿宋_GB2312" w:cs="Times New Roman"/>
                <w:b/>
                <w:bCs/>
                <w:color w:val="auto"/>
                <w:kern w:val="0"/>
                <w:sz w:val="21"/>
                <w:szCs w:val="21"/>
              </w:rPr>
              <w:t>技术经济指标</w:t>
            </w:r>
          </w:p>
        </w:tc>
        <w:tc>
          <w:tcPr>
            <w:tcW w:w="501" w:type="pct"/>
            <w:shd w:val="clear" w:color="auto" w:fill="auto"/>
            <w:noWrap/>
            <w:vAlign w:val="center"/>
          </w:tcPr>
          <w:p>
            <w:pPr>
              <w:widowControl/>
              <w:spacing w:line="240" w:lineRule="auto"/>
              <w:ind w:firstLine="0" w:firstLineChars="0"/>
              <w:jc w:val="left"/>
              <w:rPr>
                <w:rFonts w:eastAsia="宋体" w:cs="Times New Roman"/>
                <w:b/>
                <w:bCs/>
                <w:color w:val="auto"/>
                <w:kern w:val="0"/>
                <w:sz w:val="21"/>
                <w:szCs w:val="21"/>
              </w:rPr>
            </w:pPr>
            <w:r>
              <w:rPr>
                <w:rFonts w:hint="eastAsia" w:ascii="仿宋_GB2312" w:cs="Times New Roman"/>
                <w:b/>
                <w:bCs/>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501" w:type="pct"/>
            <w:vMerge w:val="continue"/>
            <w:vAlign w:val="center"/>
          </w:tcPr>
          <w:p>
            <w:pPr>
              <w:widowControl/>
              <w:spacing w:line="240" w:lineRule="auto"/>
              <w:ind w:firstLine="0" w:firstLineChars="0"/>
              <w:jc w:val="left"/>
              <w:rPr>
                <w:rFonts w:cs="Times New Roman"/>
                <w:b/>
                <w:color w:val="auto"/>
                <w:sz w:val="21"/>
                <w:szCs w:val="21"/>
              </w:rPr>
            </w:pPr>
          </w:p>
        </w:tc>
        <w:tc>
          <w:tcPr>
            <w:tcW w:w="1739" w:type="pct"/>
            <w:vMerge w:val="continue"/>
            <w:vAlign w:val="center"/>
          </w:tcPr>
          <w:p>
            <w:pPr>
              <w:widowControl/>
              <w:spacing w:line="240" w:lineRule="auto"/>
              <w:ind w:firstLine="0" w:firstLineChars="0"/>
              <w:jc w:val="left"/>
              <w:rPr>
                <w:rFonts w:cs="Times New Roman"/>
                <w:b/>
                <w:color w:val="auto"/>
                <w:sz w:val="21"/>
                <w:szCs w:val="21"/>
              </w:rPr>
            </w:pPr>
          </w:p>
        </w:tc>
        <w:tc>
          <w:tcPr>
            <w:tcW w:w="378" w:type="pct"/>
            <w:shd w:val="clear" w:color="auto" w:fill="auto"/>
            <w:noWrap/>
            <w:vAlign w:val="center"/>
          </w:tcPr>
          <w:p>
            <w:pPr>
              <w:widowControl/>
              <w:spacing w:line="240" w:lineRule="auto"/>
              <w:ind w:firstLine="0" w:firstLineChars="0"/>
              <w:jc w:val="left"/>
              <w:rPr>
                <w:rFonts w:eastAsia="宋体" w:cs="Times New Roman"/>
                <w:b/>
                <w:bCs/>
                <w:color w:val="auto"/>
                <w:kern w:val="0"/>
                <w:sz w:val="21"/>
                <w:szCs w:val="21"/>
              </w:rPr>
            </w:pPr>
            <w:r>
              <w:rPr>
                <w:rFonts w:hint="eastAsia" w:ascii="仿宋_GB2312" w:cs="Times New Roman"/>
                <w:b/>
                <w:bCs/>
                <w:color w:val="auto"/>
                <w:kern w:val="0"/>
                <w:sz w:val="21"/>
                <w:szCs w:val="21"/>
              </w:rPr>
              <w:t>单位</w:t>
            </w:r>
          </w:p>
        </w:tc>
        <w:tc>
          <w:tcPr>
            <w:tcW w:w="503" w:type="pct"/>
            <w:shd w:val="clear" w:color="auto" w:fill="auto"/>
            <w:noWrap/>
            <w:vAlign w:val="center"/>
          </w:tcPr>
          <w:p>
            <w:pPr>
              <w:widowControl/>
              <w:spacing w:line="240" w:lineRule="auto"/>
              <w:ind w:firstLine="0" w:firstLineChars="0"/>
              <w:jc w:val="left"/>
              <w:rPr>
                <w:rFonts w:eastAsia="宋体" w:cs="Times New Roman"/>
                <w:b/>
                <w:bCs/>
                <w:color w:val="auto"/>
                <w:kern w:val="0"/>
                <w:sz w:val="21"/>
                <w:szCs w:val="21"/>
              </w:rPr>
            </w:pPr>
            <w:r>
              <w:rPr>
                <w:rFonts w:hint="eastAsia" w:ascii="仿宋_GB2312" w:cs="Times New Roman"/>
                <w:b/>
                <w:bCs/>
                <w:color w:val="auto"/>
                <w:kern w:val="0"/>
                <w:sz w:val="21"/>
                <w:szCs w:val="21"/>
              </w:rPr>
              <w:t>工程量</w:t>
            </w:r>
          </w:p>
        </w:tc>
        <w:tc>
          <w:tcPr>
            <w:tcW w:w="753" w:type="pct"/>
            <w:shd w:val="clear" w:color="auto" w:fill="auto"/>
            <w:noWrap/>
            <w:vAlign w:val="center"/>
          </w:tcPr>
          <w:p>
            <w:pPr>
              <w:widowControl/>
              <w:spacing w:line="240" w:lineRule="auto"/>
              <w:ind w:firstLine="0" w:firstLineChars="0"/>
              <w:jc w:val="left"/>
              <w:rPr>
                <w:rFonts w:eastAsia="宋体" w:cs="Times New Roman"/>
                <w:b/>
                <w:bCs/>
                <w:color w:val="auto"/>
                <w:kern w:val="0"/>
                <w:sz w:val="21"/>
                <w:szCs w:val="21"/>
              </w:rPr>
            </w:pPr>
            <w:r>
              <w:rPr>
                <w:rFonts w:hint="eastAsia" w:ascii="仿宋_GB2312" w:cs="Times New Roman"/>
                <w:b/>
                <w:bCs/>
                <w:color w:val="auto"/>
                <w:kern w:val="0"/>
                <w:sz w:val="21"/>
                <w:szCs w:val="21"/>
              </w:rPr>
              <w:t>单价（元）</w:t>
            </w:r>
          </w:p>
        </w:tc>
        <w:tc>
          <w:tcPr>
            <w:tcW w:w="626" w:type="pct"/>
            <w:shd w:val="clear" w:color="auto" w:fill="auto"/>
            <w:vAlign w:val="center"/>
          </w:tcPr>
          <w:p>
            <w:pPr>
              <w:widowControl/>
              <w:spacing w:line="240" w:lineRule="auto"/>
              <w:ind w:firstLine="0" w:firstLineChars="0"/>
              <w:jc w:val="center"/>
              <w:rPr>
                <w:rFonts w:hint="default" w:cs="Times New Roman"/>
                <w:b/>
                <w:color w:val="auto"/>
                <w:sz w:val="21"/>
                <w:szCs w:val="21"/>
                <w:lang w:val="en-US"/>
              </w:rPr>
            </w:pPr>
            <w:r>
              <w:rPr>
                <w:rFonts w:cs="Times New Roman"/>
                <w:b/>
                <w:color w:val="auto"/>
                <w:sz w:val="21"/>
                <w:szCs w:val="21"/>
              </w:rPr>
              <w:t>合计</w:t>
            </w:r>
          </w:p>
          <w:p>
            <w:pPr>
              <w:widowControl/>
              <w:spacing w:line="240" w:lineRule="auto"/>
              <w:ind w:firstLine="0" w:firstLineChars="0"/>
              <w:jc w:val="center"/>
              <w:rPr>
                <w:rFonts w:cs="Times New Roman"/>
                <w:b/>
                <w:color w:val="auto"/>
                <w:sz w:val="21"/>
                <w:szCs w:val="21"/>
              </w:rPr>
            </w:pPr>
            <w:r>
              <w:rPr>
                <w:rFonts w:cs="Times New Roman"/>
                <w:b/>
                <w:color w:val="auto"/>
                <w:sz w:val="21"/>
                <w:szCs w:val="21"/>
              </w:rPr>
              <w:t>（万元）</w:t>
            </w:r>
          </w:p>
        </w:tc>
        <w:tc>
          <w:tcPr>
            <w:tcW w:w="501" w:type="pct"/>
            <w:shd w:val="clear" w:color="auto" w:fill="auto"/>
            <w:noWrap/>
            <w:vAlign w:val="center"/>
          </w:tcPr>
          <w:p>
            <w:pPr>
              <w:widowControl/>
              <w:spacing w:line="240" w:lineRule="auto"/>
              <w:ind w:firstLine="0" w:firstLineChars="0"/>
              <w:jc w:val="left"/>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01" w:type="pct"/>
            <w:shd w:val="clear" w:color="auto" w:fill="auto"/>
            <w:noWrap/>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一</w:t>
            </w:r>
          </w:p>
        </w:tc>
        <w:tc>
          <w:tcPr>
            <w:tcW w:w="1739" w:type="pct"/>
            <w:shd w:val="clear" w:color="auto" w:fill="auto"/>
            <w:noWrap/>
            <w:vAlign w:val="center"/>
          </w:tcPr>
          <w:p>
            <w:pPr>
              <w:widowControl/>
              <w:spacing w:line="240" w:lineRule="auto"/>
              <w:ind w:firstLine="0" w:firstLineChars="0"/>
              <w:jc w:val="left"/>
              <w:rPr>
                <w:rFonts w:cs="Times New Roman"/>
                <w:b/>
                <w:color w:val="auto"/>
                <w:sz w:val="21"/>
                <w:szCs w:val="21"/>
              </w:rPr>
            </w:pPr>
            <w:r>
              <w:rPr>
                <w:rFonts w:cs="Times New Roman"/>
                <w:b/>
                <w:color w:val="auto"/>
                <w:sz w:val="21"/>
                <w:szCs w:val="21"/>
              </w:rPr>
              <w:t>工程费用</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p>
        </w:tc>
        <w:tc>
          <w:tcPr>
            <w:tcW w:w="626" w:type="pct"/>
            <w:shd w:val="clear" w:color="auto" w:fill="auto"/>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805.0</w:t>
            </w:r>
            <w:r>
              <w:rPr>
                <w:rFonts w:hint="eastAsia" w:cs="Times New Roman"/>
                <w:b/>
                <w:color w:val="auto"/>
                <w:sz w:val="21"/>
                <w:szCs w:val="21"/>
              </w:rPr>
              <w:t>2</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（一）</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庭院外污水收集系统</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620.88 </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1.1</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污水收集管 DN300 焊接钢管</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630</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1087.45</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68.51 </w:t>
            </w:r>
          </w:p>
        </w:tc>
        <w:tc>
          <w:tcPr>
            <w:tcW w:w="501" w:type="pct"/>
            <w:shd w:val="clear" w:color="auto" w:fill="auto"/>
            <w:noWrap/>
            <w:vAlign w:val="center"/>
          </w:tcPr>
          <w:p>
            <w:pPr>
              <w:widowControl/>
              <w:spacing w:line="24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含支墩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1.2</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污水收集管 DN400 HDPE</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380</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652.71</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24.80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1.3</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污水收集管 DN300 HDPE</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4870</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551.83</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268.74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1.4</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污水收集管 DN200 HDPE</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4552</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439.32</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199.98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1.5</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Φ700 HDPE检查井</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座</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466</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1040.63</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48.49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1.6</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钢砼1000×1000检查井</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座</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5830.65</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2.33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1.7</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钢砼700×700检查井</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座</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25</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3210.88</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8.03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（二）</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庭院内污水收集系统</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57.54 </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1.8</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入户管 Φ100 PVC</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4305</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85.28</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36.71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1.9</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户用格栅井</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座</w:t>
            </w:r>
          </w:p>
        </w:tc>
        <w:tc>
          <w:tcPr>
            <w:tcW w:w="50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287</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725.71</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20.83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（三）</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污水处理系统</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126.60 </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1.10</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hint="eastAsia" w:cs="Times New Roman"/>
                <w:color w:val="auto"/>
                <w:sz w:val="21"/>
                <w:szCs w:val="21"/>
              </w:rPr>
              <w:t>4</w:t>
            </w:r>
            <w:r>
              <w:rPr>
                <w:rFonts w:cs="Times New Roman"/>
                <w:color w:val="auto"/>
                <w:sz w:val="21"/>
                <w:szCs w:val="21"/>
              </w:rPr>
              <w:t>0 m</w:t>
            </w:r>
            <w:r>
              <w:rPr>
                <w:rFonts w:cs="Times New Roman"/>
                <w:color w:val="auto"/>
                <w:sz w:val="21"/>
                <w:szCs w:val="21"/>
                <w:vertAlign w:val="superscript"/>
              </w:rPr>
              <w:t>3</w:t>
            </w:r>
            <w:r>
              <w:rPr>
                <w:rFonts w:cs="Times New Roman"/>
                <w:color w:val="auto"/>
                <w:sz w:val="21"/>
                <w:szCs w:val="21"/>
              </w:rPr>
              <w:t>/d污水处理系统</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503" w:type="pct"/>
            <w:shd w:val="clear" w:color="auto" w:fill="auto"/>
            <w:noWrap/>
            <w:vAlign w:val="center"/>
          </w:tcPr>
          <w:p>
            <w:pPr>
              <w:widowControl/>
              <w:spacing w:line="240" w:lineRule="auto"/>
              <w:ind w:firstLine="0" w:firstLineChars="0"/>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520000</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52.00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1" w:type="pct"/>
            <w:shd w:val="clear" w:color="auto" w:fill="auto"/>
            <w:noWrap/>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1.11</w:t>
            </w:r>
          </w:p>
        </w:tc>
        <w:tc>
          <w:tcPr>
            <w:tcW w:w="1739" w:type="pct"/>
            <w:shd w:val="clear" w:color="auto" w:fill="auto"/>
            <w:noWrap/>
            <w:vAlign w:val="center"/>
          </w:tcPr>
          <w:p>
            <w:pPr>
              <w:widowControl/>
              <w:spacing w:line="240" w:lineRule="auto"/>
              <w:ind w:firstLine="0" w:firstLineChars="0"/>
              <w:jc w:val="left"/>
              <w:rPr>
                <w:rFonts w:cs="Times New Roman"/>
                <w:color w:val="auto"/>
                <w:sz w:val="21"/>
                <w:szCs w:val="21"/>
              </w:rPr>
            </w:pPr>
            <w:r>
              <w:rPr>
                <w:rFonts w:cs="Times New Roman"/>
                <w:color w:val="auto"/>
                <w:sz w:val="21"/>
                <w:szCs w:val="21"/>
              </w:rPr>
              <w:t>75 m</w:t>
            </w:r>
            <w:r>
              <w:rPr>
                <w:rFonts w:cs="Times New Roman"/>
                <w:color w:val="auto"/>
                <w:sz w:val="21"/>
                <w:szCs w:val="21"/>
                <w:vertAlign w:val="superscript"/>
              </w:rPr>
              <w:t>3</w:t>
            </w:r>
            <w:r>
              <w:rPr>
                <w:rFonts w:cs="Times New Roman"/>
                <w:color w:val="auto"/>
                <w:sz w:val="21"/>
                <w:szCs w:val="21"/>
              </w:rPr>
              <w:t>/d污水处理系统</w:t>
            </w:r>
          </w:p>
        </w:tc>
        <w:tc>
          <w:tcPr>
            <w:tcW w:w="378" w:type="pct"/>
            <w:shd w:val="clear" w:color="auto" w:fill="auto"/>
            <w:noWrap/>
            <w:vAlign w:val="center"/>
          </w:tcPr>
          <w:p>
            <w:pPr>
              <w:widowControl/>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503" w:type="pct"/>
            <w:shd w:val="clear" w:color="auto" w:fill="auto"/>
            <w:noWrap/>
            <w:vAlign w:val="center"/>
          </w:tcPr>
          <w:p>
            <w:pPr>
              <w:widowControl/>
              <w:spacing w:line="240" w:lineRule="auto"/>
              <w:ind w:firstLine="0" w:firstLineChars="0"/>
              <w:jc w:val="right"/>
              <w:rPr>
                <w:rFonts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753"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746000</w:t>
            </w:r>
          </w:p>
        </w:tc>
        <w:tc>
          <w:tcPr>
            <w:tcW w:w="626" w:type="pct"/>
            <w:shd w:val="clear" w:color="auto" w:fill="auto"/>
            <w:vAlign w:val="center"/>
          </w:tcPr>
          <w:p>
            <w:pPr>
              <w:widowControl/>
              <w:spacing w:line="240" w:lineRule="auto"/>
              <w:ind w:firstLine="0" w:firstLineChars="0"/>
              <w:jc w:val="center"/>
              <w:rPr>
                <w:rFonts w:cs="Times New Roman"/>
                <w:color w:val="auto"/>
                <w:sz w:val="21"/>
                <w:szCs w:val="21"/>
              </w:rPr>
            </w:pPr>
            <w:r>
              <w:rPr>
                <w:rFonts w:cs="Times New Roman"/>
                <w:color w:val="auto"/>
                <w:sz w:val="21"/>
                <w:szCs w:val="21"/>
              </w:rPr>
              <w:t xml:space="preserve">74.60 </w:t>
            </w:r>
          </w:p>
        </w:tc>
        <w:tc>
          <w:tcPr>
            <w:tcW w:w="501" w:type="pct"/>
            <w:shd w:val="clear" w:color="auto" w:fill="auto"/>
            <w:noWrap/>
            <w:vAlign w:val="center"/>
          </w:tcPr>
          <w:p>
            <w:pPr>
              <w:widowControl/>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二</w:t>
            </w:r>
          </w:p>
        </w:tc>
        <w:tc>
          <w:tcPr>
            <w:tcW w:w="1739" w:type="pct"/>
            <w:shd w:val="clear" w:color="auto" w:fill="auto"/>
            <w:noWrap/>
            <w:vAlign w:val="center"/>
          </w:tcPr>
          <w:p>
            <w:pPr>
              <w:widowControl/>
              <w:spacing w:line="240" w:lineRule="auto"/>
              <w:ind w:firstLine="0" w:firstLineChars="0"/>
              <w:jc w:val="left"/>
              <w:rPr>
                <w:rFonts w:cs="Times New Roman"/>
                <w:b/>
                <w:color w:val="auto"/>
                <w:sz w:val="21"/>
                <w:szCs w:val="21"/>
              </w:rPr>
            </w:pPr>
            <w:r>
              <w:rPr>
                <w:rFonts w:cs="Times New Roman"/>
                <w:b/>
                <w:color w:val="auto"/>
                <w:sz w:val="21"/>
                <w:szCs w:val="21"/>
              </w:rPr>
              <w:t>工程建设其他费用</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626" w:type="pct"/>
            <w:shd w:val="clear" w:color="auto" w:fill="auto"/>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 xml:space="preserve">140.26 </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三</w:t>
            </w:r>
          </w:p>
        </w:tc>
        <w:tc>
          <w:tcPr>
            <w:tcW w:w="1739" w:type="pct"/>
            <w:shd w:val="clear" w:color="auto" w:fill="auto"/>
            <w:noWrap/>
            <w:vAlign w:val="center"/>
          </w:tcPr>
          <w:p>
            <w:pPr>
              <w:widowControl/>
              <w:spacing w:line="240" w:lineRule="auto"/>
              <w:ind w:firstLine="0" w:firstLineChars="0"/>
              <w:jc w:val="left"/>
              <w:rPr>
                <w:rFonts w:cs="Times New Roman"/>
                <w:b/>
                <w:color w:val="auto"/>
                <w:sz w:val="21"/>
                <w:szCs w:val="21"/>
              </w:rPr>
            </w:pPr>
            <w:r>
              <w:rPr>
                <w:rFonts w:cs="Times New Roman"/>
                <w:b/>
                <w:color w:val="auto"/>
                <w:sz w:val="21"/>
                <w:szCs w:val="21"/>
              </w:rPr>
              <w:t>预备费</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626" w:type="pct"/>
            <w:shd w:val="clear" w:color="auto" w:fill="auto"/>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 xml:space="preserve">46.94 </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1" w:type="pct"/>
            <w:shd w:val="clear" w:color="auto" w:fill="auto"/>
            <w:noWrap/>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四</w:t>
            </w:r>
          </w:p>
        </w:tc>
        <w:tc>
          <w:tcPr>
            <w:tcW w:w="1739" w:type="pct"/>
            <w:shd w:val="clear" w:color="auto" w:fill="auto"/>
            <w:noWrap/>
            <w:vAlign w:val="center"/>
          </w:tcPr>
          <w:p>
            <w:pPr>
              <w:widowControl/>
              <w:spacing w:line="240" w:lineRule="auto"/>
              <w:ind w:firstLine="0" w:firstLineChars="0"/>
              <w:jc w:val="left"/>
              <w:rPr>
                <w:rFonts w:cs="Times New Roman"/>
                <w:b/>
                <w:color w:val="auto"/>
                <w:sz w:val="21"/>
                <w:szCs w:val="21"/>
              </w:rPr>
            </w:pPr>
            <w:r>
              <w:rPr>
                <w:rFonts w:cs="Times New Roman"/>
                <w:b/>
                <w:color w:val="auto"/>
                <w:sz w:val="21"/>
                <w:szCs w:val="21"/>
              </w:rPr>
              <w:t>总投资</w:t>
            </w:r>
          </w:p>
        </w:tc>
        <w:tc>
          <w:tcPr>
            <w:tcW w:w="378"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50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753"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c>
          <w:tcPr>
            <w:tcW w:w="626" w:type="pct"/>
            <w:shd w:val="clear" w:color="auto" w:fill="auto"/>
            <w:vAlign w:val="center"/>
          </w:tcPr>
          <w:p>
            <w:pPr>
              <w:widowControl/>
              <w:spacing w:line="240" w:lineRule="auto"/>
              <w:ind w:firstLine="0" w:firstLineChars="0"/>
              <w:jc w:val="center"/>
              <w:rPr>
                <w:rFonts w:cs="Times New Roman"/>
                <w:b/>
                <w:color w:val="auto"/>
                <w:sz w:val="21"/>
                <w:szCs w:val="21"/>
              </w:rPr>
            </w:pPr>
            <w:r>
              <w:rPr>
                <w:rFonts w:cs="Times New Roman"/>
                <w:b/>
                <w:color w:val="auto"/>
                <w:sz w:val="21"/>
                <w:szCs w:val="21"/>
              </w:rPr>
              <w:t>992.2</w:t>
            </w:r>
            <w:r>
              <w:rPr>
                <w:rFonts w:hint="eastAsia" w:cs="Times New Roman"/>
                <w:b/>
                <w:color w:val="auto"/>
                <w:sz w:val="21"/>
                <w:szCs w:val="21"/>
              </w:rPr>
              <w:t>2</w:t>
            </w:r>
          </w:p>
        </w:tc>
        <w:tc>
          <w:tcPr>
            <w:tcW w:w="501" w:type="pct"/>
            <w:shd w:val="clear" w:color="auto" w:fill="auto"/>
            <w:noWrap/>
            <w:vAlign w:val="center"/>
          </w:tcPr>
          <w:p>
            <w:pPr>
              <w:widowControl/>
              <w:spacing w:line="240" w:lineRule="auto"/>
              <w:ind w:firstLine="0" w:firstLineChars="0"/>
              <w:jc w:val="center"/>
              <w:rPr>
                <w:rFonts w:eastAsia="宋体" w:cs="Times New Roman"/>
                <w:b/>
                <w:bCs/>
                <w:color w:val="auto"/>
                <w:kern w:val="0"/>
                <w:sz w:val="21"/>
                <w:szCs w:val="21"/>
              </w:rPr>
            </w:pPr>
            <w:r>
              <w:rPr>
                <w:rFonts w:eastAsia="宋体" w:cs="Times New Roman"/>
                <w:b/>
                <w:bCs/>
                <w:color w:val="auto"/>
                <w:kern w:val="0"/>
                <w:sz w:val="21"/>
                <w:szCs w:val="21"/>
              </w:rPr>
              <w:t>　</w:t>
            </w:r>
          </w:p>
        </w:tc>
      </w:tr>
    </w:tbl>
    <w:p>
      <w:pPr>
        <w:pStyle w:val="112"/>
        <w:rPr>
          <w:color w:val="auto"/>
        </w:rPr>
      </w:pPr>
    </w:p>
    <w:bookmarkEnd w:id="80"/>
    <w:bookmarkEnd w:id="81"/>
    <w:bookmarkEnd w:id="82"/>
    <w:bookmarkEnd w:id="83"/>
    <w:bookmarkEnd w:id="84"/>
    <w:p>
      <w:pPr>
        <w:pStyle w:val="5"/>
      </w:pPr>
      <w:bookmarkStart w:id="86" w:name="_Toc36126901"/>
      <w:bookmarkStart w:id="87" w:name="_Toc48640712"/>
      <w:bookmarkStart w:id="88" w:name="_Toc25705890"/>
      <w:bookmarkStart w:id="89" w:name="_Toc498634569"/>
      <w:bookmarkStart w:id="90" w:name="_Toc25705889"/>
      <w:bookmarkStart w:id="91" w:name="_Toc388261795"/>
      <w:bookmarkStart w:id="92" w:name="_Toc36126900"/>
      <w:r>
        <w:t>工程投资</w:t>
      </w:r>
      <w:bookmarkEnd w:id="86"/>
      <w:bookmarkEnd w:id="87"/>
      <w:bookmarkEnd w:id="88"/>
      <w:bookmarkEnd w:id="89"/>
    </w:p>
    <w:p>
      <w:pPr>
        <w:ind w:firstLine="480"/>
        <w:rPr>
          <w:color w:val="auto"/>
        </w:rPr>
      </w:pPr>
      <w:r>
        <w:rPr>
          <w:color w:val="auto"/>
        </w:rPr>
        <w:t>工程总投资</w:t>
      </w:r>
      <w:r>
        <w:rPr>
          <w:rFonts w:hint="eastAsia"/>
          <w:color w:val="auto"/>
        </w:rPr>
        <w:t>992.22</w:t>
      </w:r>
      <w:r>
        <w:rPr>
          <w:color w:val="auto"/>
        </w:rPr>
        <w:t>万元，其中工程费用</w:t>
      </w:r>
      <w:r>
        <w:rPr>
          <w:rFonts w:hint="eastAsia"/>
          <w:color w:val="auto"/>
        </w:rPr>
        <w:t>805.02</w:t>
      </w:r>
      <w:r>
        <w:rPr>
          <w:color w:val="auto"/>
        </w:rPr>
        <w:t>万元（其中村庄污水收集工程</w:t>
      </w:r>
      <w:r>
        <w:rPr>
          <w:rFonts w:hint="eastAsia"/>
          <w:color w:val="auto"/>
        </w:rPr>
        <w:t>678.42</w:t>
      </w:r>
      <w:r>
        <w:rPr>
          <w:color w:val="auto"/>
        </w:rPr>
        <w:t>万元，生活污水处理工程</w:t>
      </w:r>
      <w:r>
        <w:rPr>
          <w:rFonts w:hint="eastAsia"/>
          <w:color w:val="auto"/>
        </w:rPr>
        <w:t>126.6</w:t>
      </w:r>
      <w:r>
        <w:rPr>
          <w:color w:val="auto"/>
        </w:rPr>
        <w:t>万元），工程建设其他费用为</w:t>
      </w:r>
      <w:r>
        <w:rPr>
          <w:rFonts w:hint="eastAsia"/>
          <w:color w:val="auto"/>
        </w:rPr>
        <w:t>140.26</w:t>
      </w:r>
      <w:r>
        <w:rPr>
          <w:color w:val="auto"/>
        </w:rPr>
        <w:t>万元，预备费用为</w:t>
      </w:r>
      <w:r>
        <w:rPr>
          <w:rFonts w:hint="eastAsia"/>
          <w:color w:val="auto"/>
        </w:rPr>
        <w:t>46.94</w:t>
      </w:r>
      <w:r>
        <w:rPr>
          <w:color w:val="auto"/>
        </w:rPr>
        <w:t>万元。</w:t>
      </w:r>
    </w:p>
    <w:p>
      <w:pPr>
        <w:pStyle w:val="5"/>
      </w:pPr>
      <w:bookmarkStart w:id="93" w:name="_Toc48640713"/>
      <w:r>
        <w:t>建设周期</w:t>
      </w:r>
      <w:bookmarkEnd w:id="85"/>
      <w:bookmarkEnd w:id="90"/>
      <w:bookmarkEnd w:id="91"/>
      <w:bookmarkEnd w:id="92"/>
      <w:bookmarkEnd w:id="93"/>
    </w:p>
    <w:p>
      <w:pPr>
        <w:ind w:firstLine="480"/>
        <w:rPr>
          <w:color w:val="auto"/>
        </w:rPr>
      </w:pPr>
      <w:r>
        <w:rPr>
          <w:color w:val="auto"/>
        </w:rPr>
        <w:t>工程建设周期共计12个月。其中前期工作</w:t>
      </w:r>
      <w:r>
        <w:rPr>
          <w:rFonts w:hint="eastAsia"/>
          <w:color w:val="auto"/>
        </w:rPr>
        <w:t>1</w:t>
      </w:r>
      <w:r>
        <w:rPr>
          <w:color w:val="auto"/>
        </w:rPr>
        <w:t>个月：</w:t>
      </w:r>
      <w:r>
        <w:rPr>
          <w:rFonts w:hint="eastAsia"/>
          <w:color w:val="auto"/>
        </w:rPr>
        <w:t>初步设计</w:t>
      </w:r>
      <w:r>
        <w:rPr>
          <w:color w:val="auto"/>
        </w:rPr>
        <w:t>方案</w:t>
      </w:r>
      <w:r>
        <w:rPr>
          <w:rFonts w:hint="eastAsia"/>
          <w:color w:val="auto"/>
        </w:rPr>
        <w:t>及施工图</w:t>
      </w:r>
      <w:r>
        <w:rPr>
          <w:color w:val="auto"/>
        </w:rPr>
        <w:t>编制阶段</w:t>
      </w:r>
      <w:r>
        <w:rPr>
          <w:rFonts w:hint="eastAsia"/>
          <w:color w:val="auto"/>
        </w:rPr>
        <w:t>2</w:t>
      </w:r>
      <w:r>
        <w:rPr>
          <w:color w:val="auto"/>
        </w:rPr>
        <w:t>个月、招投标</w:t>
      </w:r>
      <w:r>
        <w:rPr>
          <w:rFonts w:hint="eastAsia"/>
          <w:color w:val="auto"/>
        </w:rPr>
        <w:t>等建设前期工作</w:t>
      </w:r>
      <w:r>
        <w:rPr>
          <w:color w:val="auto"/>
        </w:rPr>
        <w:t>阶段1个月；项目工程施工阶段6个月；</w:t>
      </w:r>
      <w:r>
        <w:rPr>
          <w:rFonts w:hint="eastAsia"/>
          <w:color w:val="auto"/>
        </w:rPr>
        <w:t>试运行阶段1个月，</w:t>
      </w:r>
      <w:r>
        <w:rPr>
          <w:color w:val="auto"/>
        </w:rPr>
        <w:t>工程竣工验收阶段1个月。</w:t>
      </w:r>
    </w:p>
    <w:p>
      <w:pPr>
        <w:ind w:firstLine="480"/>
        <w:rPr>
          <w:color w:val="auto"/>
        </w:rPr>
      </w:pPr>
      <w:r>
        <w:rPr>
          <w:color w:val="auto"/>
        </w:rPr>
        <w:br w:type="page"/>
      </w:r>
    </w:p>
    <w:p>
      <w:pPr>
        <w:pStyle w:val="3"/>
        <w:rPr>
          <w:color w:val="auto"/>
        </w:rPr>
      </w:pPr>
      <w:bookmarkStart w:id="94" w:name="_Toc514312309"/>
      <w:bookmarkStart w:id="95" w:name="_Toc36126902"/>
      <w:bookmarkStart w:id="96" w:name="_Toc28060653"/>
      <w:bookmarkStart w:id="97" w:name="_Toc48640714"/>
      <w:r>
        <w:rPr>
          <w:color w:val="auto"/>
        </w:rPr>
        <w:t>区域概况</w:t>
      </w:r>
      <w:bookmarkEnd w:id="94"/>
      <w:bookmarkEnd w:id="95"/>
      <w:bookmarkEnd w:id="96"/>
      <w:bookmarkEnd w:id="97"/>
    </w:p>
    <w:p>
      <w:pPr>
        <w:pStyle w:val="4"/>
      </w:pPr>
      <w:bookmarkStart w:id="98" w:name="_Toc48640715"/>
      <w:bookmarkStart w:id="99" w:name="_Toc28060654"/>
      <w:bookmarkStart w:id="100" w:name="_Toc36126903"/>
      <w:bookmarkStart w:id="101" w:name="_Toc514312310"/>
      <w:r>
        <w:t>区域自然环境及社会经济</w:t>
      </w:r>
      <w:bookmarkEnd w:id="98"/>
      <w:bookmarkEnd w:id="99"/>
      <w:bookmarkEnd w:id="100"/>
      <w:bookmarkEnd w:id="101"/>
    </w:p>
    <w:p>
      <w:pPr>
        <w:pStyle w:val="5"/>
      </w:pPr>
      <w:bookmarkStart w:id="102" w:name="_Toc28060655"/>
      <w:bookmarkStart w:id="103" w:name="_Toc48640716"/>
      <w:bookmarkStart w:id="104" w:name="_Toc36126904"/>
      <w:bookmarkStart w:id="105" w:name="_Toc514312311"/>
      <w:r>
        <w:t>自然环境</w:t>
      </w:r>
      <w:bookmarkEnd w:id="102"/>
      <w:bookmarkEnd w:id="103"/>
      <w:bookmarkEnd w:id="104"/>
      <w:bookmarkEnd w:id="105"/>
    </w:p>
    <w:p>
      <w:pPr>
        <w:pStyle w:val="116"/>
        <w:rPr>
          <w:color w:val="auto"/>
        </w:rPr>
      </w:pPr>
      <w:r>
        <w:rPr>
          <w:color w:val="auto"/>
        </w:rPr>
        <w:t>地理位置</w:t>
      </w:r>
    </w:p>
    <w:p>
      <w:pPr>
        <w:ind w:firstLine="480"/>
        <w:rPr>
          <w:rFonts w:cs="Times New Roman"/>
          <w:color w:val="auto"/>
        </w:rPr>
      </w:pPr>
      <w:r>
        <w:rPr>
          <w:rFonts w:cs="Times New Roman"/>
          <w:color w:val="auto"/>
        </w:rPr>
        <w:t>德宏州芒市原名“潞西市”，2010年9月经国务院批准“潞西市”正式更名为“芒市”。芒市位于云南省西部，德宏州东南部，位于北纬24°05′～24°39′，东经98°01′～98°44′之间，南北相距为62 km，东西相距约71 km，总面积2987km</w:t>
      </w:r>
      <w:r>
        <w:rPr>
          <w:rFonts w:cs="Times New Roman"/>
          <w:color w:val="auto"/>
          <w:vertAlign w:val="superscript"/>
        </w:rPr>
        <w:t>2</w:t>
      </w:r>
      <w:r>
        <w:rPr>
          <w:rFonts w:cs="Times New Roman"/>
          <w:color w:val="auto"/>
        </w:rPr>
        <w:t>，其中山区占74%，坝区占26%。东、东北邻龙陵县，西南接瑞丽市畹町经济开发区，西北连陇川县、梁河县隔龙江（陇川江）相望，南与缅甸联邦共和国交界。芒市，古为“滇越乘象国”地，是中国历史上较早通向世界的门户之一，是古代著名“南方丝绸之路”的重要驿站，素有“滇西边陲第一镇”之称，是中国通向东南亚、南亚的重要门户。</w:t>
      </w:r>
    </w:p>
    <w:p>
      <w:pPr>
        <w:ind w:firstLine="0" w:firstLineChars="0"/>
        <w:jc w:val="center"/>
        <w:rPr>
          <w:rFonts w:cs="Times New Roman"/>
          <w:color w:val="auto"/>
        </w:rPr>
      </w:pPr>
      <w:r>
        <w:rPr>
          <w:rFonts w:cs="Times New Roman"/>
          <w:color w:val="auto"/>
        </w:rPr>
        <w:drawing>
          <wp:inline distT="0" distB="0" distL="0" distR="0">
            <wp:extent cx="5539740" cy="3985260"/>
            <wp:effectExtent l="19050" t="0" r="381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16" cstate="print"/>
                    <a:srcRect/>
                    <a:stretch>
                      <a:fillRect/>
                    </a:stretch>
                  </pic:blipFill>
                  <pic:spPr>
                    <a:xfrm>
                      <a:off x="0" y="0"/>
                      <a:ext cx="5539740" cy="3985260"/>
                    </a:xfrm>
                    <a:prstGeom prst="rect">
                      <a:avLst/>
                    </a:prstGeom>
                    <a:noFill/>
                    <a:ln w="9525">
                      <a:noFill/>
                      <a:miter lim="800000"/>
                      <a:headEnd/>
                      <a:tailEnd/>
                    </a:ln>
                  </pic:spPr>
                </pic:pic>
              </a:graphicData>
            </a:graphic>
          </wp:inline>
        </w:drawing>
      </w:r>
    </w:p>
    <w:p>
      <w:pPr>
        <w:pStyle w:val="112"/>
        <w:rPr>
          <w:color w:val="auto"/>
          <w:sz w:val="30"/>
          <w:szCs w:val="30"/>
        </w:rPr>
      </w:pPr>
      <w:r>
        <w:rPr>
          <w:color w:val="auto"/>
        </w:rPr>
        <w:t>图</w:t>
      </w:r>
      <w:r>
        <w:rPr>
          <w:color w:val="auto"/>
        </w:rPr>
        <w:fldChar w:fldCharType="begin"/>
      </w:r>
      <w:r>
        <w:rPr>
          <w:color w:val="auto"/>
        </w:rPr>
        <w:instrText xml:space="preserve"> STYLEREF 2 \s </w:instrText>
      </w:r>
      <w:r>
        <w:rPr>
          <w:color w:val="auto"/>
        </w:rPr>
        <w:fldChar w:fldCharType="separate"/>
      </w:r>
      <w:r>
        <w:rPr>
          <w:color w:val="auto"/>
        </w:rPr>
        <w:t>2.1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地理位置图</w:t>
      </w:r>
    </w:p>
    <w:p>
      <w:pPr>
        <w:pStyle w:val="116"/>
        <w:rPr>
          <w:color w:val="auto"/>
        </w:rPr>
      </w:pPr>
      <w:r>
        <w:rPr>
          <w:color w:val="auto"/>
        </w:rPr>
        <w:t>地形地貌</w:t>
      </w:r>
    </w:p>
    <w:p>
      <w:pPr>
        <w:ind w:firstLine="480"/>
        <w:rPr>
          <w:rFonts w:cs="Times New Roman"/>
          <w:color w:val="auto"/>
        </w:rPr>
      </w:pPr>
      <w:r>
        <w:rPr>
          <w:rFonts w:cs="Times New Roman"/>
          <w:color w:val="auto"/>
        </w:rPr>
        <w:t>芒市地处云贵高原西部，在大地构造上处于青藏滇缅印尼“歹”型构造西支中段，是藏滇地槽褶皱系的横断山地槽褶皱带的一部分。出露的地层有寒武系、志留系、二叠系、侏罗系和第四系五个地质年代的地层，地质构造复杂，褶皱断裂最为发育，分布有岩浆岩、沉积岩和变质岩，以岩浆岩分布最广。地势东北高而陡峻，西南低而宽缓。山地为高黎贡山向西的延伸部分，是龙江、芒市大河等河流切割侵蚀而成的山地宽谷区；山地分为两支，一支位于县域东部和南部，在大尖山、大矿山、箐口山、黑河老坡等一带，山势较高而陡峻；另一支位于县域北部和西部，在背阴山、老扁坡、营盘山等一带；两者之间为龙江河谷及芒市、遮放及轩岗等坝子，呈现出“两山、两坝、两江、一河”的地貌特征，主要有山间河谷冲积平原地貌、湖积台地低丘地貌、中山中切割地貌等三种地貌类型。境内最高点为东部山地的箐口山，海拔2889.1m，最低点为东南部中山乡的芒杏河口，海拔528m，高差达2361.1m。</w:t>
      </w:r>
    </w:p>
    <w:p>
      <w:pPr>
        <w:pStyle w:val="112"/>
        <w:rPr>
          <w:color w:val="auto"/>
        </w:rPr>
      </w:pPr>
      <w:r>
        <w:rPr>
          <w:color w:val="auto"/>
        </w:rPr>
        <w:drawing>
          <wp:inline distT="0" distB="0" distL="0" distR="0">
            <wp:extent cx="5753100" cy="393192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srcRect/>
                    <a:stretch>
                      <a:fillRect/>
                    </a:stretch>
                  </pic:blipFill>
                  <pic:spPr>
                    <a:xfrm>
                      <a:off x="0" y="0"/>
                      <a:ext cx="5753100" cy="3931920"/>
                    </a:xfrm>
                    <a:prstGeom prst="rect">
                      <a:avLst/>
                    </a:prstGeom>
                    <a:noFill/>
                    <a:ln w="9525">
                      <a:noFill/>
                      <a:miter lim="800000"/>
                      <a:headEnd/>
                      <a:tailEnd/>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r>
        <w:rPr>
          <w:color w:val="auto"/>
        </w:rPr>
        <w:t xml:space="preserve"> 芒市地形地貌图</w:t>
      </w:r>
    </w:p>
    <w:p>
      <w:pPr>
        <w:pStyle w:val="116"/>
        <w:rPr>
          <w:color w:val="auto"/>
        </w:rPr>
      </w:pPr>
      <w:r>
        <w:rPr>
          <w:color w:val="auto"/>
        </w:rPr>
        <w:t>地质概况</w:t>
      </w:r>
    </w:p>
    <w:p>
      <w:pPr>
        <w:ind w:firstLine="480"/>
        <w:rPr>
          <w:rFonts w:cs="Times New Roman"/>
          <w:color w:val="auto"/>
        </w:rPr>
      </w:pPr>
      <w:r>
        <w:rPr>
          <w:rFonts w:cs="Times New Roman"/>
          <w:color w:val="auto"/>
        </w:rPr>
        <w:t>芒市地势北东部高，南西部低，最高点为测区东部的祟岗尖山梁子，海拔2699m，最低点为浪光洒河交汇芒市河处，海拔仅870m左右。测区地貌以构造剥蚀地貌为主，次为山间凹地及河流堆积地貌。a、中等切割中山：主要分布于回贤向斜以东地区，分布高各1600～2400m，切割深度1000m左右，水系呈羽状或树枝状，山顶多呈穹状及馒头状，山脊宽缓，河谷多为“V”型谷，谷坡一般40～50°，溯源侵蚀、风化侵蚀均较强烈。b、浅切割低中山：主要分布于回贤向斜以西地区，分布高程1700～2100m，切割深度小于500m，水系呈树枝状，山顶浑圆，山脊宽缓，河谷多为宽缓“V”型谷，谷坡一般20～30°。c、堆积地貌：山间凹地堆积地貌以洪冲积类型为主，岩性为砂壤土、砂卵砾石层，堆积较厚，河流堆积地貌主要为沿河发育的阶地。</w:t>
      </w:r>
    </w:p>
    <w:p>
      <w:pPr>
        <w:pStyle w:val="376"/>
      </w:pPr>
      <w:r>
        <w:t>1、地层岩性</w:t>
      </w:r>
    </w:p>
    <w:p>
      <w:pPr>
        <w:ind w:firstLine="480"/>
        <w:rPr>
          <w:rFonts w:cs="Times New Roman"/>
          <w:color w:val="auto"/>
        </w:rPr>
      </w:pPr>
      <w:r>
        <w:rPr>
          <w:rFonts w:cs="Times New Roman"/>
          <w:color w:val="auto"/>
        </w:rPr>
        <w:t>工程区地层从古生代的寒武系—新生代第四系均有出露，岩性由老至新简述如下：</w:t>
      </w:r>
    </w:p>
    <w:p>
      <w:pPr>
        <w:ind w:firstLine="480"/>
        <w:rPr>
          <w:rFonts w:cs="Times New Roman"/>
          <w:color w:val="auto"/>
        </w:rPr>
      </w:pPr>
      <w:r>
        <w:rPr>
          <w:rFonts w:cs="Times New Roman"/>
          <w:color w:val="auto"/>
        </w:rPr>
        <w:t>（1）、寒武系（∈）</w:t>
      </w:r>
    </w:p>
    <w:p>
      <w:pPr>
        <w:ind w:firstLine="480"/>
        <w:rPr>
          <w:rFonts w:cs="Times New Roman"/>
          <w:color w:val="auto"/>
        </w:rPr>
      </w:pPr>
      <w:r>
        <w:rPr>
          <w:rFonts w:cs="Times New Roman"/>
          <w:color w:val="auto"/>
        </w:rPr>
        <w:t>分布于潞西盆地周围高山分水岭地带，西南部为一套深变质的片麻岩、片岩、变粒岩等；东北部为一套浅变质碎屑岩夹少量浅海相碳酸岩类，岩性为页岩、板岩、砂岩和灰岩，厚度大于1000米。</w:t>
      </w:r>
    </w:p>
    <w:p>
      <w:pPr>
        <w:ind w:firstLine="480"/>
        <w:rPr>
          <w:rFonts w:cs="Times New Roman"/>
          <w:color w:val="auto"/>
        </w:rPr>
      </w:pPr>
      <w:r>
        <w:rPr>
          <w:rFonts w:cs="Times New Roman"/>
          <w:color w:val="auto"/>
        </w:rPr>
        <w:t>（2）、奥陶系：（O）</w:t>
      </w:r>
    </w:p>
    <w:p>
      <w:pPr>
        <w:ind w:firstLine="480"/>
        <w:rPr>
          <w:rFonts w:cs="Times New Roman"/>
          <w:color w:val="auto"/>
        </w:rPr>
      </w:pPr>
      <w:r>
        <w:rPr>
          <w:rFonts w:cs="Times New Roman"/>
          <w:color w:val="auto"/>
        </w:rPr>
        <w:t>分布于潞西盆地的东部。岩性为灰白、灰紫色页岩、砂岩和砾岩及砂质白云岩，总厚度约450米。</w:t>
      </w:r>
    </w:p>
    <w:p>
      <w:pPr>
        <w:ind w:firstLine="480"/>
        <w:rPr>
          <w:rFonts w:cs="Times New Roman"/>
          <w:color w:val="auto"/>
        </w:rPr>
      </w:pPr>
      <w:r>
        <w:rPr>
          <w:rFonts w:cs="Times New Roman"/>
          <w:color w:val="auto"/>
        </w:rPr>
        <w:t>（3）、志留系：（S）</w:t>
      </w:r>
    </w:p>
    <w:p>
      <w:pPr>
        <w:ind w:firstLine="480"/>
        <w:rPr>
          <w:rFonts w:cs="Times New Roman"/>
          <w:color w:val="auto"/>
        </w:rPr>
      </w:pPr>
      <w:r>
        <w:rPr>
          <w:rFonts w:cs="Times New Roman"/>
          <w:color w:val="auto"/>
        </w:rPr>
        <w:t>分布于芒市城东、芒究水库一带，为灰黑、灰黄色泥质灰岩、砂质白云岩和粉细砂岩，厚约250米。</w:t>
      </w:r>
    </w:p>
    <w:p>
      <w:pPr>
        <w:ind w:firstLine="480"/>
        <w:rPr>
          <w:rFonts w:cs="Times New Roman"/>
          <w:color w:val="auto"/>
        </w:rPr>
      </w:pPr>
      <w:r>
        <w:rPr>
          <w:rFonts w:cs="Times New Roman"/>
          <w:color w:val="auto"/>
        </w:rPr>
        <w:t>（4）、泥盆系（D）</w:t>
      </w:r>
    </w:p>
    <w:p>
      <w:pPr>
        <w:ind w:firstLine="480"/>
        <w:rPr>
          <w:rFonts w:cs="Times New Roman"/>
          <w:color w:val="auto"/>
        </w:rPr>
      </w:pPr>
      <w:r>
        <w:rPr>
          <w:rFonts w:cs="Times New Roman"/>
          <w:color w:val="auto"/>
        </w:rPr>
        <w:t>出露泥盆系中统，分布于回贤，芒杏一带，上部为浅灰色薄～厚层状灰质细砂岩、砾岩夹砂质白云岩，下部为灰黑色浅灰色中厚层状白云岩夹石英砂岩及角砾状灰岩，厚600～800米。</w:t>
      </w:r>
    </w:p>
    <w:p>
      <w:pPr>
        <w:ind w:firstLine="480"/>
        <w:rPr>
          <w:rFonts w:cs="Times New Roman"/>
          <w:color w:val="auto"/>
        </w:rPr>
      </w:pPr>
      <w:r>
        <w:rPr>
          <w:rFonts w:cs="Times New Roman"/>
          <w:color w:val="auto"/>
        </w:rPr>
        <w:t>（5）、二迭系（P）</w:t>
      </w:r>
    </w:p>
    <w:p>
      <w:pPr>
        <w:ind w:firstLine="480"/>
        <w:rPr>
          <w:rFonts w:cs="Times New Roman"/>
          <w:color w:val="auto"/>
        </w:rPr>
      </w:pPr>
      <w:r>
        <w:rPr>
          <w:rFonts w:cs="Times New Roman"/>
          <w:color w:val="auto"/>
        </w:rPr>
        <w:t>出露二迭系下统，分部于东部，上部（Plm）为紫红色铁质砂岩、页岩及赤铁矿透镜体，厚5～83米；下部（Pls）为灰、灰黑色中厚层状泥质灰岩、白云质灰岩夹少量纯灰岩及砂页岩，厚1000～1500米。</w:t>
      </w:r>
    </w:p>
    <w:p>
      <w:pPr>
        <w:ind w:firstLine="480"/>
        <w:rPr>
          <w:rFonts w:cs="Times New Roman"/>
          <w:color w:val="auto"/>
        </w:rPr>
      </w:pPr>
      <w:r>
        <w:rPr>
          <w:rFonts w:cs="Times New Roman"/>
          <w:color w:val="auto"/>
        </w:rPr>
        <w:t>（6）、侏罗系（J）</w:t>
      </w:r>
    </w:p>
    <w:p>
      <w:pPr>
        <w:ind w:firstLine="480"/>
        <w:rPr>
          <w:rFonts w:cs="Times New Roman"/>
          <w:color w:val="auto"/>
        </w:rPr>
      </w:pPr>
      <w:r>
        <w:rPr>
          <w:rFonts w:cs="Times New Roman"/>
          <w:color w:val="auto"/>
        </w:rPr>
        <w:t>下部缺失，中上统出露广，分布于盆地西南部边缘，中统下部（J2m）为紫红色、暗紫色中厚层状粉细砂岩与灰黑色灰岩互层，厚500～700米；上部（J2L）为黄绿色页岩、夹青灰色中厚层状灰岩、生物介壳灰岩及砂砾岩，厚度大于300米。上统（J3）为浅紫红色、黄色长石石英砂岩、砾岩、页岩间夹深灰色泥质灰岩，厚1390米。</w:t>
      </w:r>
    </w:p>
    <w:p>
      <w:pPr>
        <w:ind w:firstLine="480"/>
        <w:rPr>
          <w:rFonts w:cs="Times New Roman"/>
          <w:color w:val="auto"/>
        </w:rPr>
      </w:pPr>
      <w:r>
        <w:rPr>
          <w:rFonts w:cs="Times New Roman"/>
          <w:color w:val="auto"/>
        </w:rPr>
        <w:t>（7）、白垩系（K）</w:t>
      </w:r>
    </w:p>
    <w:p>
      <w:pPr>
        <w:ind w:firstLine="480"/>
        <w:rPr>
          <w:rFonts w:cs="Times New Roman"/>
          <w:color w:val="auto"/>
        </w:rPr>
      </w:pPr>
      <w:r>
        <w:rPr>
          <w:rFonts w:cs="Times New Roman"/>
          <w:color w:val="auto"/>
        </w:rPr>
        <w:t>分布于西部中山区，岩性为紫红色泥质粉砂岩、细砂岩夹页岩，厚300多米，与下伏地层不整合接触。</w:t>
      </w:r>
    </w:p>
    <w:p>
      <w:pPr>
        <w:ind w:firstLine="480"/>
        <w:rPr>
          <w:rFonts w:cs="Times New Roman"/>
          <w:color w:val="auto"/>
        </w:rPr>
      </w:pPr>
      <w:r>
        <w:rPr>
          <w:rFonts w:cs="Times New Roman"/>
          <w:color w:val="auto"/>
        </w:rPr>
        <w:t>（8）、上第三系（N）</w:t>
      </w:r>
    </w:p>
    <w:p>
      <w:pPr>
        <w:ind w:firstLine="480"/>
        <w:rPr>
          <w:rFonts w:cs="Times New Roman"/>
          <w:color w:val="auto"/>
        </w:rPr>
      </w:pPr>
      <w:r>
        <w:rPr>
          <w:rFonts w:cs="Times New Roman"/>
          <w:color w:val="auto"/>
        </w:rPr>
        <w:t>主要分布于潞西盆地周围残丘地带，为一套半胶结的灰绿、灰白、</w:t>
      </w:r>
    </w:p>
    <w:p>
      <w:pPr>
        <w:ind w:firstLine="480"/>
        <w:rPr>
          <w:rFonts w:cs="Times New Roman"/>
          <w:color w:val="auto"/>
        </w:rPr>
      </w:pPr>
      <w:r>
        <w:rPr>
          <w:rFonts w:cs="Times New Roman"/>
          <w:color w:val="auto"/>
        </w:rPr>
        <w:t>深灰色砂砾土夹粘土岩，夹炭质页岩及褐煤层，厚约1300米。</w:t>
      </w:r>
    </w:p>
    <w:p>
      <w:pPr>
        <w:ind w:firstLine="480"/>
        <w:rPr>
          <w:rFonts w:cs="Times New Roman"/>
          <w:color w:val="auto"/>
        </w:rPr>
      </w:pPr>
      <w:r>
        <w:rPr>
          <w:rFonts w:cs="Times New Roman"/>
          <w:color w:val="auto"/>
        </w:rPr>
        <w:t>（9）、第四系（Q4）</w:t>
      </w:r>
    </w:p>
    <w:p>
      <w:pPr>
        <w:ind w:firstLine="480"/>
        <w:rPr>
          <w:rFonts w:cs="Times New Roman"/>
          <w:color w:val="auto"/>
        </w:rPr>
      </w:pPr>
      <w:r>
        <w:rPr>
          <w:rFonts w:cs="Times New Roman"/>
          <w:color w:val="auto"/>
        </w:rPr>
        <w:t>为近代松散堆积体，分布于整个潞西盆地及其边缘河谷中，岩性为粘土、粉质粘土和砂卵砾石。厚约200米。</w:t>
      </w:r>
    </w:p>
    <w:p>
      <w:pPr>
        <w:ind w:firstLine="480"/>
        <w:rPr>
          <w:rFonts w:cs="Times New Roman"/>
          <w:color w:val="auto"/>
        </w:rPr>
      </w:pPr>
      <w:r>
        <w:rPr>
          <w:rFonts w:cs="Times New Roman"/>
          <w:color w:val="auto"/>
        </w:rPr>
        <w:t>（10）、岩浆岩</w:t>
      </w:r>
    </w:p>
    <w:p>
      <w:pPr>
        <w:ind w:firstLine="480"/>
        <w:rPr>
          <w:rFonts w:cs="Times New Roman"/>
          <w:color w:val="auto"/>
        </w:rPr>
      </w:pPr>
      <w:r>
        <w:rPr>
          <w:rFonts w:cs="Times New Roman"/>
          <w:color w:val="auto"/>
        </w:rPr>
        <w:t>主要为燕山期花岗岩、玄武岩，分布在盆地东部山区。</w:t>
      </w:r>
    </w:p>
    <w:p>
      <w:pPr>
        <w:pStyle w:val="376"/>
      </w:pPr>
      <w:r>
        <w:t>2、地质构造</w:t>
      </w:r>
    </w:p>
    <w:p>
      <w:pPr>
        <w:ind w:firstLine="480"/>
        <w:rPr>
          <w:rFonts w:cs="Times New Roman"/>
          <w:color w:val="auto"/>
        </w:rPr>
      </w:pPr>
      <w:r>
        <w:rPr>
          <w:rFonts w:cs="Times New Roman"/>
          <w:color w:val="auto"/>
        </w:rPr>
        <w:t>本区域位于青、藏、滇、缅、印尼“歹”字型构造西支中段与三江经向构造带中南段及南岭纬向构造带西延部份的复合部位。地质构造比较复杂，褶皱、断裂构造形迹相当发育。在漫长的地质历史中，在多次不同方向主压应力作用下，形成了多方向、不同力学性质的构造形迹，分别归属于不同的构造体系。</w:t>
      </w:r>
    </w:p>
    <w:p>
      <w:pPr>
        <w:ind w:firstLine="480"/>
        <w:rPr>
          <w:rFonts w:cs="Times New Roman"/>
          <w:color w:val="auto"/>
        </w:rPr>
      </w:pPr>
      <w:r>
        <w:rPr>
          <w:rFonts w:cs="Times New Roman"/>
          <w:color w:val="auto"/>
        </w:rPr>
        <w:t>本区以龙（陵）—瑞（丽）大断裂（F13）为主控断裂，其大致沿北东40°方向延伸，倾向北西，倾角30°～40°，为一逆断层，在芒市盆地隐伏于第四系沉积层之下。</w:t>
      </w:r>
    </w:p>
    <w:p>
      <w:pPr>
        <w:pStyle w:val="376"/>
      </w:pPr>
      <w:r>
        <w:t>3、水文地质</w:t>
      </w:r>
    </w:p>
    <w:p>
      <w:pPr>
        <w:ind w:firstLine="480"/>
        <w:rPr>
          <w:rFonts w:cs="Times New Roman"/>
          <w:color w:val="auto"/>
        </w:rPr>
      </w:pPr>
      <w:r>
        <w:rPr>
          <w:rFonts w:cs="Times New Roman"/>
          <w:color w:val="auto"/>
        </w:rPr>
        <w:t>①地表水：主要是河水及各支流来水，流量受季节影响较大，水位变幅在1m～4m。（特大洪水除外）</w:t>
      </w:r>
    </w:p>
    <w:p>
      <w:pPr>
        <w:ind w:firstLine="480"/>
        <w:rPr>
          <w:rFonts w:cs="Times New Roman"/>
          <w:color w:val="auto"/>
        </w:rPr>
      </w:pPr>
      <w:r>
        <w:rPr>
          <w:rFonts w:cs="Times New Roman"/>
          <w:color w:val="auto"/>
        </w:rPr>
        <w:t>②地下水：Ⅰ级阶地主要由冲、洪积物组成。赋存松散岩类孔隙水，主要大气降水和高处碎屑岩类孔隙水补给，地下水径流方向与地表水一致。</w:t>
      </w:r>
    </w:p>
    <w:p>
      <w:pPr>
        <w:ind w:firstLine="480"/>
        <w:rPr>
          <w:rFonts w:cs="Times New Roman"/>
          <w:color w:val="auto"/>
        </w:rPr>
      </w:pPr>
      <w:r>
        <w:rPr>
          <w:rFonts w:cs="Times New Roman"/>
          <w:color w:val="auto"/>
        </w:rPr>
        <w:t>地下水主要赋存于砂卵砾石层。砂卵砾石层的渗透系数为3.97×10-3 cm/s～1.97×10-2cm/s，为强透水地层。</w:t>
      </w:r>
    </w:p>
    <w:p>
      <w:pPr>
        <w:ind w:firstLine="480"/>
        <w:rPr>
          <w:rFonts w:cs="Times New Roman"/>
          <w:color w:val="auto"/>
        </w:rPr>
      </w:pPr>
      <w:r>
        <w:rPr>
          <w:rFonts w:cs="Times New Roman"/>
          <w:color w:val="auto"/>
        </w:rPr>
        <w:t>③地下水的化学性质</w:t>
      </w:r>
    </w:p>
    <w:p>
      <w:pPr>
        <w:ind w:firstLine="480"/>
        <w:rPr>
          <w:rFonts w:cs="Times New Roman"/>
          <w:color w:val="auto"/>
        </w:rPr>
      </w:pPr>
      <w:r>
        <w:rPr>
          <w:rFonts w:cs="Times New Roman"/>
          <w:color w:val="auto"/>
        </w:rPr>
        <w:t>根据《区域水文地质普查报告》，工程区内地下水为HCO3－Ca.Na型水，具弱侵蚀性。</w:t>
      </w:r>
    </w:p>
    <w:p>
      <w:pPr>
        <w:pStyle w:val="116"/>
        <w:rPr>
          <w:color w:val="auto"/>
        </w:rPr>
      </w:pPr>
      <w:r>
        <w:rPr>
          <w:color w:val="auto"/>
        </w:rPr>
        <w:t>水文水系</w:t>
      </w:r>
    </w:p>
    <w:p>
      <w:pPr>
        <w:ind w:firstLine="480"/>
        <w:rPr>
          <w:rFonts w:cs="Times New Roman"/>
          <w:color w:val="auto"/>
        </w:rPr>
      </w:pPr>
      <w:r>
        <w:rPr>
          <w:rFonts w:cs="Times New Roman"/>
          <w:color w:val="auto"/>
        </w:rPr>
        <w:t>芒市河流分属于伊洛瓦底江水系和怒江水系，其中伊洛瓦底江在市境内集雨面积2360.3km</w:t>
      </w:r>
      <w:r>
        <w:rPr>
          <w:rFonts w:cs="Times New Roman"/>
          <w:color w:val="auto"/>
          <w:vertAlign w:val="superscript"/>
        </w:rPr>
        <w:t>2</w:t>
      </w:r>
      <w:r>
        <w:rPr>
          <w:rFonts w:cs="Times New Roman"/>
          <w:color w:val="auto"/>
        </w:rPr>
        <w:t>，占全市总面积的80.5%；怒江在市境内集雨面积570.7 km</w:t>
      </w:r>
      <w:r>
        <w:rPr>
          <w:rFonts w:cs="Times New Roman"/>
          <w:color w:val="auto"/>
          <w:vertAlign w:val="superscript"/>
        </w:rPr>
        <w:t>2</w:t>
      </w:r>
      <w:r>
        <w:rPr>
          <w:rFonts w:cs="Times New Roman"/>
          <w:color w:val="auto"/>
        </w:rPr>
        <w:t>，占全市总面积的19.5%。境内江河纵横，共有229条大小河流呈树枝状穿流于高山、峡谷、盆地之间，年均地表径流量23.11亿m³；主要河流有怒江、伊洛瓦底江（境内称龙江）和芒市河。无天然湖泊，有水库25座，其中中型水库1座、小（一）型水库8座、小（二）型水库16座，总库容4890.18万m³。</w:t>
      </w:r>
    </w:p>
    <w:p>
      <w:pPr>
        <w:ind w:firstLine="480"/>
        <w:rPr>
          <w:rFonts w:cs="Times New Roman"/>
          <w:color w:val="auto"/>
        </w:rPr>
      </w:pPr>
      <w:r>
        <w:rPr>
          <w:rFonts w:cs="Times New Roman"/>
          <w:color w:val="auto"/>
        </w:rPr>
        <w:t>芒市地处滇西南多雨区，降雨量充沛，水资源丰富。境内多年平均产水量31.8亿m</w:t>
      </w:r>
      <w:r>
        <w:rPr>
          <w:rFonts w:cs="Times New Roman"/>
          <w:color w:val="auto"/>
          <w:vertAlign w:val="superscript"/>
        </w:rPr>
        <w:t>3</w:t>
      </w:r>
      <w:r>
        <w:rPr>
          <w:rFonts w:cs="Times New Roman"/>
          <w:color w:val="auto"/>
        </w:rPr>
        <w:t>，地下水量8.69亿m</w:t>
      </w:r>
      <w:r>
        <w:rPr>
          <w:rFonts w:cs="Times New Roman"/>
          <w:color w:val="auto"/>
          <w:vertAlign w:val="superscript"/>
        </w:rPr>
        <w:t>3</w:t>
      </w:r>
      <w:r>
        <w:rPr>
          <w:rFonts w:cs="Times New Roman"/>
          <w:color w:val="auto"/>
        </w:rPr>
        <w:t>。从龙陵县入境水量1.95亿m</w:t>
      </w:r>
      <w:r>
        <w:rPr>
          <w:rFonts w:cs="Times New Roman"/>
          <w:color w:val="auto"/>
          <w:vertAlign w:val="superscript"/>
        </w:rPr>
        <w:t>3</w:t>
      </w:r>
      <w:r>
        <w:rPr>
          <w:rFonts w:cs="Times New Roman"/>
          <w:color w:val="auto"/>
        </w:rPr>
        <w:t>和龙江过境水量49.9亿m</w:t>
      </w:r>
      <w:r>
        <w:rPr>
          <w:rFonts w:cs="Times New Roman"/>
          <w:color w:val="auto"/>
          <w:vertAlign w:val="superscript"/>
        </w:rPr>
        <w:t>3</w:t>
      </w:r>
      <w:r>
        <w:rPr>
          <w:rFonts w:cs="Times New Roman"/>
          <w:color w:val="auto"/>
        </w:rPr>
        <w:t>，人均占有水量9461m</w:t>
      </w:r>
      <w:r>
        <w:rPr>
          <w:rFonts w:cs="Times New Roman"/>
          <w:color w:val="auto"/>
          <w:vertAlign w:val="superscript"/>
        </w:rPr>
        <w:t>3</w:t>
      </w:r>
      <w:r>
        <w:rPr>
          <w:rFonts w:cs="Times New Roman"/>
          <w:color w:val="auto"/>
        </w:rPr>
        <w:t>，高于全省、全国水平。市境西缘的龙江，在芒市境内流域面积2260.3km</w:t>
      </w:r>
      <w:r>
        <w:rPr>
          <w:rFonts w:cs="Times New Roman"/>
          <w:color w:val="auto"/>
          <w:vertAlign w:val="superscript"/>
        </w:rPr>
        <w:t>2</w:t>
      </w:r>
      <w:r>
        <w:rPr>
          <w:rFonts w:cs="Times New Roman"/>
          <w:color w:val="auto"/>
        </w:rPr>
        <w:t>，年产水量26.6亿m</w:t>
      </w:r>
      <w:r>
        <w:rPr>
          <w:rFonts w:cs="Times New Roman"/>
          <w:color w:val="auto"/>
          <w:vertAlign w:val="superscript"/>
        </w:rPr>
        <w:t>3</w:t>
      </w:r>
      <w:r>
        <w:rPr>
          <w:rFonts w:cs="Times New Roman"/>
          <w:color w:val="auto"/>
        </w:rPr>
        <w:t>；东南角边缘的怒江，年产水量6.35亿m</w:t>
      </w:r>
      <w:r>
        <w:rPr>
          <w:rFonts w:cs="Times New Roman"/>
          <w:color w:val="auto"/>
          <w:vertAlign w:val="superscript"/>
        </w:rPr>
        <w:t>3</w:t>
      </w:r>
      <w:r>
        <w:rPr>
          <w:rFonts w:cs="Times New Roman"/>
          <w:color w:val="auto"/>
        </w:rPr>
        <w:t>。</w:t>
      </w:r>
    </w:p>
    <w:p>
      <w:pPr>
        <w:ind w:firstLine="480"/>
        <w:rPr>
          <w:rFonts w:cs="Times New Roman"/>
          <w:color w:val="auto"/>
        </w:rPr>
      </w:pPr>
      <w:r>
        <w:rPr>
          <w:rFonts w:cs="Times New Roman"/>
          <w:color w:val="auto"/>
        </w:rPr>
        <w:t>芒市水资源虽丰富，但时空分布不均。受季风气候的影响，年降雨主要集中在5－10月，降水量占全年降水量89.9%，径流量约占全年总量的77%；干季水源不足，其中3－5月径流量仅占全年总量的5%左右，水量短缺，部分支流干涸。耕地多需水量大的坝区水量不多，耕地少需水少的山区水量过剩。</w:t>
      </w:r>
    </w:p>
    <w:p>
      <w:pPr>
        <w:pStyle w:val="366"/>
        <w:rPr>
          <w:rFonts w:eastAsia="仿宋_GB2312"/>
          <w:sz w:val="30"/>
          <w:szCs w:val="30"/>
        </w:rPr>
      </w:pPr>
      <w:r>
        <w:rPr>
          <w:rFonts w:eastAsia="仿宋_GB2312"/>
          <w:kern w:val="0"/>
        </w:rPr>
        <w:drawing>
          <wp:inline distT="0" distB="0" distL="0" distR="0">
            <wp:extent cx="5419725" cy="4667250"/>
            <wp:effectExtent l="57150" t="19050" r="123517" b="762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8" cstate="print"/>
                    <a:srcRect l="816" t="948" r="980" b="847"/>
                    <a:stretch>
                      <a:fillRect/>
                    </a:stretch>
                  </pic:blipFill>
                  <pic:spPr>
                    <a:xfrm>
                      <a:off x="0" y="0"/>
                      <a:ext cx="5418241" cy="4665707"/>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12"/>
        <w:rPr>
          <w:color w:val="auto"/>
        </w:rPr>
      </w:pPr>
      <w:r>
        <w:rPr>
          <w:color w:val="auto"/>
        </w:rPr>
        <w:t>图</w:t>
      </w:r>
      <w:r>
        <w:rPr>
          <w:color w:val="auto"/>
        </w:rPr>
        <w:fldChar w:fldCharType="begin"/>
      </w:r>
      <w:r>
        <w:rPr>
          <w:color w:val="auto"/>
        </w:rPr>
        <w:instrText xml:space="preserve"> STYLEREF 2 \s </w:instrText>
      </w:r>
      <w:r>
        <w:rPr>
          <w:color w:val="auto"/>
        </w:rPr>
        <w:fldChar w:fldCharType="separate"/>
      </w:r>
      <w:r>
        <w:rPr>
          <w:color w:val="auto"/>
        </w:rPr>
        <w:t>2.1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color w:val="auto"/>
        </w:rPr>
        <w:t>芒市水系图</w:t>
      </w:r>
    </w:p>
    <w:p>
      <w:pPr>
        <w:pStyle w:val="116"/>
        <w:rPr>
          <w:color w:val="auto"/>
        </w:rPr>
      </w:pPr>
      <w:r>
        <w:rPr>
          <w:color w:val="auto"/>
        </w:rPr>
        <w:t>气候</w:t>
      </w:r>
    </w:p>
    <w:p>
      <w:pPr>
        <w:ind w:firstLine="480"/>
        <w:rPr>
          <w:rFonts w:cs="Times New Roman"/>
          <w:color w:val="auto"/>
        </w:rPr>
      </w:pPr>
      <w:r>
        <w:rPr>
          <w:rFonts w:hint="eastAsia" w:cs="Times New Roman"/>
          <w:color w:val="auto"/>
        </w:rPr>
        <w:t>（1）气候类型：</w:t>
      </w:r>
    </w:p>
    <w:p>
      <w:pPr>
        <w:ind w:firstLine="480"/>
        <w:rPr>
          <w:rFonts w:cs="Times New Roman"/>
          <w:color w:val="auto"/>
        </w:rPr>
      </w:pPr>
      <w:r>
        <w:rPr>
          <w:rFonts w:hint="eastAsia" w:cs="Times New Roman"/>
          <w:color w:val="auto"/>
        </w:rPr>
        <w:t xml:space="preserve">芒市地处低纬高原，太阳高度角大，太阳辐射较强，热量丰富。芒市气候主体为南亚热带季风气候，具有冬无严寒，夏无酷暑，日照充足，年温差小，日温差大，干雨季分明，降雨充沛，冬季多雾等特点。市域地貌高差达2361m，立体气候明显，形成多种气候类型并存的格局。 </w:t>
      </w:r>
    </w:p>
    <w:p>
      <w:pPr>
        <w:ind w:firstLine="480"/>
        <w:rPr>
          <w:rFonts w:cs="Times New Roman"/>
          <w:color w:val="auto"/>
        </w:rPr>
      </w:pPr>
      <w:r>
        <w:rPr>
          <w:rFonts w:hint="eastAsia" w:cs="Times New Roman"/>
          <w:color w:val="auto"/>
        </w:rPr>
        <w:t>降水、蒸发：市域内多年平均降水量为 1620.3mm，多年平均蒸发量（20cm蒸发皿）1708.7mm，年平均相对湿度79%。</w:t>
      </w:r>
    </w:p>
    <w:p>
      <w:pPr>
        <w:ind w:firstLine="480"/>
        <w:rPr>
          <w:rFonts w:cs="Times New Roman"/>
          <w:color w:val="auto"/>
        </w:rPr>
      </w:pPr>
      <w:r>
        <w:rPr>
          <w:rFonts w:hint="eastAsia" w:cs="Times New Roman"/>
          <w:color w:val="auto"/>
        </w:rPr>
        <w:t>温度：多年平均气温19.5℃，最热月（6月）平均气温24.1℃，最冷月（1月）平均气温12.3℃，极端最高气温36.2℃（1960年4月29日），极端最低气温-0.6℃（1963 年1月5日）；</w:t>
      </w:r>
    </w:p>
    <w:p>
      <w:pPr>
        <w:ind w:firstLine="480"/>
        <w:rPr>
          <w:rFonts w:cs="Times New Roman"/>
          <w:color w:val="auto"/>
        </w:rPr>
      </w:pPr>
      <w:r>
        <w:rPr>
          <w:rFonts w:hint="eastAsia" w:cs="Times New Roman"/>
          <w:color w:val="auto"/>
        </w:rPr>
        <w:t xml:space="preserve">日照、霜期：历年平均日照2352.3h，年最大日照2713.3 h，年最小日照1834.9h；历年平均有霜期19 d，年最大有霜期54d，年最小有霜期2d；全年静风频率46%，主导风向为西南风。 </w:t>
      </w:r>
    </w:p>
    <w:p>
      <w:pPr>
        <w:ind w:firstLine="480"/>
        <w:rPr>
          <w:rFonts w:cs="Times New Roman"/>
          <w:color w:val="auto"/>
        </w:rPr>
      </w:pPr>
      <w:r>
        <w:rPr>
          <w:rFonts w:hint="eastAsia" w:cs="Times New Roman"/>
          <w:color w:val="auto"/>
        </w:rPr>
        <w:t>（2）降水</w:t>
      </w:r>
    </w:p>
    <w:p>
      <w:pPr>
        <w:ind w:firstLine="480"/>
        <w:rPr>
          <w:rFonts w:cs="Times New Roman"/>
          <w:color w:val="auto"/>
        </w:rPr>
      </w:pPr>
      <w:r>
        <w:rPr>
          <w:rFonts w:hint="eastAsia" w:cs="Times New Roman"/>
          <w:color w:val="auto"/>
        </w:rPr>
        <w:t xml:space="preserve">芒市属云南省西南部多雨地区，降水量充沛，根据芒市气象站近48年（1970~2017）统计资料，多年平均降水量为1620.3mm，最大年降水量为2294.4mm（2001年），最小年降水量为1177.3mm（2006年）。 </w:t>
      </w:r>
    </w:p>
    <w:p>
      <w:pPr>
        <w:ind w:firstLine="480"/>
        <w:rPr>
          <w:rFonts w:cs="Times New Roman"/>
          <w:color w:val="auto"/>
        </w:rPr>
      </w:pPr>
      <w:r>
        <w:rPr>
          <w:rFonts w:hint="eastAsia" w:cs="Times New Roman"/>
          <w:color w:val="auto"/>
        </w:rPr>
        <w:t xml:space="preserve">境内受控于季风的影响，降水年内分配极不均匀，雨季（5～10月份）降水量占全年降水量的88.3%，其中7月份降水量最大，约占全年的23.4%。11月～次年4月为枯季，干旱少雨，降水量仅占全年的11.7%。最大日降水量158.3mm（2001年10月25日）。 </w:t>
      </w:r>
    </w:p>
    <w:p>
      <w:pPr>
        <w:ind w:firstLine="480"/>
        <w:rPr>
          <w:rFonts w:cs="Times New Roman"/>
          <w:color w:val="auto"/>
        </w:rPr>
      </w:pPr>
      <w:r>
        <w:rPr>
          <w:rFonts w:hint="eastAsia" w:cs="Times New Roman"/>
          <w:color w:val="auto"/>
        </w:rPr>
        <w:t>水量占全年降水量的88.3%，其中7月份降水量最大，约占全年的23.4%。11月～次年4月为枯季，干旱少雨，降水量仅占全年的11.7%。最大日降水量158.3mm（2001 年10月25日）。</w:t>
      </w:r>
    </w:p>
    <w:p>
      <w:pPr>
        <w:ind w:firstLine="480"/>
        <w:rPr>
          <w:rFonts w:cs="Times New Roman"/>
          <w:color w:val="auto"/>
        </w:rPr>
      </w:pPr>
      <w:r>
        <w:rPr>
          <w:rFonts w:cs="Times New Roman"/>
          <w:color w:val="auto"/>
        </w:rPr>
        <w:t>市境内气候条件优越，资源、物产丰富，气候宜人，自然景色优美秀丽，历史文化璀璨，民族风情淳朴，被国内外誉为“孔雀之乡”、“黎明之城”，享有历代皇宫贡米“遮放米”的故乡、中国咖啡之乡、国家蔗糖生产基地、云南茶叶生产大县、野生“南药”产地等众多美誉。</w:t>
      </w:r>
    </w:p>
    <w:p>
      <w:pPr>
        <w:pStyle w:val="116"/>
        <w:rPr>
          <w:color w:val="auto"/>
        </w:rPr>
      </w:pPr>
      <w:r>
        <w:rPr>
          <w:color w:val="auto"/>
        </w:rPr>
        <w:t>土壤</w:t>
      </w:r>
    </w:p>
    <w:p>
      <w:pPr>
        <w:ind w:firstLine="480"/>
        <w:rPr>
          <w:rFonts w:cs="Times New Roman"/>
          <w:color w:val="auto"/>
        </w:rPr>
      </w:pPr>
      <w:r>
        <w:rPr>
          <w:rFonts w:cs="Times New Roman"/>
          <w:color w:val="auto"/>
        </w:rPr>
        <w:t>芒市土壤因气候、生物、地质、地形等的相互作用，造成境内土壤类型多。市内土壤共有9个土类，16个亚类，35个土属，58个土种，面积最大的为砖红壤性红壤。在土壤的分布中，海拔960m以下的坝区440km</w:t>
      </w:r>
      <w:r>
        <w:rPr>
          <w:rFonts w:cs="Times New Roman"/>
          <w:color w:val="auto"/>
          <w:vertAlign w:val="superscript"/>
        </w:rPr>
        <w:t>2</w:t>
      </w:r>
      <w:r>
        <w:rPr>
          <w:rFonts w:cs="Times New Roman"/>
          <w:color w:val="auto"/>
        </w:rPr>
        <w:t>（66万亩），为砖红壤性红壤，杂有水稻土、沼泽土、冲积土分布，土层厚，肥力高，水热条件好，是热带亚热带作物的优良生长区；海拔900～1200m的山丘台地932km</w:t>
      </w:r>
      <w:r>
        <w:rPr>
          <w:rFonts w:cs="Times New Roman"/>
          <w:color w:val="auto"/>
          <w:vertAlign w:val="superscript"/>
        </w:rPr>
        <w:t>2</w:t>
      </w:r>
      <w:r>
        <w:rPr>
          <w:rFonts w:cs="Times New Roman"/>
          <w:color w:val="auto"/>
        </w:rPr>
        <w:t>（139.8万亩），也属砖红壤性红壤，土壤中性偏酸，肥力高，有逆温效应，适宜茶、咖啡、甘蔗等经济作物、旱地作物生长；海拔1200m以上的中山山地1528km</w:t>
      </w:r>
      <w:r>
        <w:rPr>
          <w:rFonts w:cs="Times New Roman"/>
          <w:color w:val="auto"/>
          <w:vertAlign w:val="superscript"/>
        </w:rPr>
        <w:t>2</w:t>
      </w:r>
      <w:r>
        <w:rPr>
          <w:rFonts w:cs="Times New Roman"/>
          <w:color w:val="auto"/>
        </w:rPr>
        <w:t>（229.2万亩），依次地带性分布红壤、黄壤、棕壤，杂布石灰岩土和紫色土，土壤有机质含量较高，适合发展旱地作物和林业。</w:t>
      </w:r>
    </w:p>
    <w:p>
      <w:pPr>
        <w:pStyle w:val="116"/>
        <w:rPr>
          <w:color w:val="auto"/>
        </w:rPr>
      </w:pPr>
      <w:bookmarkStart w:id="106" w:name="_Toc29972"/>
      <w:r>
        <w:rPr>
          <w:color w:val="auto"/>
        </w:rPr>
        <w:t>森林资源</w:t>
      </w:r>
      <w:bookmarkEnd w:id="106"/>
    </w:p>
    <w:p>
      <w:pPr>
        <w:ind w:firstLine="480"/>
        <w:rPr>
          <w:rFonts w:cs="Times New Roman"/>
          <w:color w:val="auto"/>
        </w:rPr>
      </w:pPr>
      <w:r>
        <w:rPr>
          <w:rFonts w:cs="Times New Roman"/>
          <w:color w:val="auto"/>
        </w:rPr>
        <w:t>根据《云南省芒市森林资源规划设计调查报告》（2009年），全市土地总面积435.168万亩，其中林业用地面积307.87万亩，占土地总面积的70.75%，非林业用地面积127.298万亩，占土地总面积的29.25%。</w:t>
      </w:r>
    </w:p>
    <w:p>
      <w:pPr>
        <w:ind w:firstLine="480"/>
        <w:rPr>
          <w:rFonts w:cs="Times New Roman"/>
          <w:color w:val="auto"/>
        </w:rPr>
      </w:pPr>
      <w:r>
        <w:rPr>
          <w:rFonts w:cs="Times New Roman"/>
          <w:color w:val="auto"/>
        </w:rPr>
        <w:t>在全市林业用地307.87万亩中：有林地253.727万亩，蔬林地0.53万亩，灌木林地24.173万亩，未成林造林地12.755万亩，宜林地12.554万亩，无立木林地4.068万亩，苗圃地0.06万亩，辅助生产林地0.003万亩，森林覆盖率61.8%（其中有林地覆盖率为58.31%，国家特别规定灌木林覆盖率为3.52%）。</w:t>
      </w:r>
    </w:p>
    <w:p>
      <w:pPr>
        <w:ind w:firstLine="480"/>
        <w:rPr>
          <w:rFonts w:cs="Times New Roman"/>
          <w:color w:val="auto"/>
        </w:rPr>
      </w:pPr>
      <w:r>
        <w:rPr>
          <w:rFonts w:cs="Times New Roman"/>
          <w:color w:val="auto"/>
        </w:rPr>
        <w:t>按森林类别划分，全市林业用地307.87万亩中，有商品林224.15万亩，占72.8%，有生态公益林83.72万亩，占27.2%。商品林地是搞好林业生产，发展林产业的主体，是重点开发利用的对象。</w:t>
      </w:r>
    </w:p>
    <w:p>
      <w:pPr>
        <w:ind w:firstLine="480"/>
        <w:rPr>
          <w:rFonts w:cs="Times New Roman"/>
          <w:b/>
          <w:color w:val="auto"/>
          <w:sz w:val="28"/>
          <w:szCs w:val="20"/>
        </w:rPr>
      </w:pPr>
      <w:r>
        <w:rPr>
          <w:rFonts w:cs="Times New Roman"/>
          <w:color w:val="auto"/>
        </w:rPr>
        <w:t>芒市境内有高等植物257科，2564种，有古树名木179棵，主要优势树种为思茅松、西南桦、旱冬瓜、木荷、栎类。具有丰富的竹亚科种质资源和竹林生态景观是芒市的一个突出特色。芒市是国内最适宜生物快速生长的一块宝地，具有花开四季，果结终年的全天候环境；芒市境内有野生动物258科，1653种，属国家一级保护的有云豹、峰猴等50种，国家二级保护的金猫、岩羊、穿山甲等172种，有益、有经济、有科学研究价值的三有动物豹猫、赤鹿、花面狸等250种。</w:t>
      </w:r>
    </w:p>
    <w:p>
      <w:pPr>
        <w:pStyle w:val="5"/>
      </w:pPr>
      <w:bookmarkStart w:id="107" w:name="_Toc48640717"/>
      <w:bookmarkStart w:id="108" w:name="_Toc36126905"/>
      <w:bookmarkStart w:id="109" w:name="_Toc28060656"/>
      <w:bookmarkStart w:id="110" w:name="_Toc514312312"/>
      <w:r>
        <w:t>社会经济</w:t>
      </w:r>
      <w:bookmarkEnd w:id="107"/>
      <w:bookmarkEnd w:id="108"/>
      <w:bookmarkEnd w:id="109"/>
      <w:bookmarkEnd w:id="110"/>
    </w:p>
    <w:p>
      <w:pPr>
        <w:pStyle w:val="116"/>
        <w:rPr>
          <w:color w:val="auto"/>
        </w:rPr>
      </w:pPr>
      <w:r>
        <w:rPr>
          <w:color w:val="auto"/>
        </w:rPr>
        <w:t>行政区划</w:t>
      </w:r>
    </w:p>
    <w:p>
      <w:pPr>
        <w:ind w:firstLine="480"/>
        <w:rPr>
          <w:rFonts w:cs="Times New Roman"/>
          <w:color w:val="auto"/>
        </w:rPr>
      </w:pPr>
      <w:r>
        <w:rPr>
          <w:rFonts w:cs="Times New Roman"/>
          <w:color w:val="auto"/>
        </w:rPr>
        <w:t>芒市现辖1个街道，5个镇，6个乡。80个村民委员会，13个社区居委会，733个自然村，1022个村民小组。</w:t>
      </w:r>
    </w:p>
    <w:p>
      <w:pPr>
        <w:ind w:firstLine="480"/>
        <w:rPr>
          <w:rFonts w:cs="Times New Roman"/>
          <w:color w:val="auto"/>
        </w:rPr>
      </w:pPr>
      <w:r>
        <w:rPr>
          <w:rFonts w:cs="Times New Roman"/>
          <w:color w:val="auto"/>
        </w:rPr>
        <w:t>街道：勐焕街道。</w:t>
      </w:r>
    </w:p>
    <w:p>
      <w:pPr>
        <w:ind w:firstLine="480"/>
        <w:rPr>
          <w:rFonts w:cs="Times New Roman"/>
          <w:color w:val="auto"/>
        </w:rPr>
      </w:pPr>
      <w:r>
        <w:rPr>
          <w:rFonts w:cs="Times New Roman"/>
          <w:color w:val="auto"/>
        </w:rPr>
        <w:t>五镇：芒市镇、遮放镇、勐戛镇、芒海镇、风平镇。</w:t>
      </w:r>
    </w:p>
    <w:p>
      <w:pPr>
        <w:ind w:firstLine="480"/>
        <w:rPr>
          <w:rFonts w:cs="Times New Roman"/>
          <w:color w:val="auto"/>
        </w:rPr>
      </w:pPr>
      <w:r>
        <w:rPr>
          <w:rFonts w:cs="Times New Roman"/>
          <w:color w:val="auto"/>
        </w:rPr>
        <w:t>六乡：轩岗乡、江东乡、西山乡、中山乡、五岔路乡、三台山乡。</w:t>
      </w:r>
    </w:p>
    <w:p>
      <w:pPr>
        <w:ind w:firstLine="480"/>
        <w:rPr>
          <w:rFonts w:cs="Times New Roman"/>
          <w:color w:val="auto"/>
        </w:rPr>
      </w:pPr>
      <w:r>
        <w:rPr>
          <w:rFonts w:cs="Times New Roman"/>
          <w:color w:val="auto"/>
        </w:rPr>
        <w:t>其中芒市大河流域范围内主要涉及勐焕街道（城区）、芒市镇、三台山乡、</w:t>
      </w:r>
    </w:p>
    <w:p>
      <w:pPr>
        <w:ind w:firstLine="0" w:firstLineChars="0"/>
        <w:rPr>
          <w:rFonts w:cs="Times New Roman"/>
          <w:color w:val="auto"/>
        </w:rPr>
      </w:pPr>
      <w:r>
        <w:rPr>
          <w:rFonts w:cs="Times New Roman"/>
          <w:color w:val="auto"/>
        </w:rPr>
        <w:t>轩岗乡、风平镇、江东乡、五岔路乡、遮放镇、勐戛镇、西山乡，共计10个乡</w:t>
      </w:r>
    </w:p>
    <w:p>
      <w:pPr>
        <w:ind w:firstLine="0" w:firstLineChars="0"/>
        <w:rPr>
          <w:rFonts w:cs="Times New Roman"/>
          <w:color w:val="auto"/>
        </w:rPr>
      </w:pPr>
      <w:r>
        <w:rPr>
          <w:rFonts w:cs="Times New Roman"/>
          <w:color w:val="auto"/>
        </w:rPr>
        <w:t>镇（街道）。</w:t>
      </w:r>
    </w:p>
    <w:p>
      <w:pPr>
        <w:pStyle w:val="116"/>
        <w:rPr>
          <w:color w:val="auto"/>
        </w:rPr>
      </w:pPr>
      <w:bookmarkStart w:id="111" w:name="_Toc25705899"/>
      <w:r>
        <w:rPr>
          <w:color w:val="auto"/>
        </w:rPr>
        <w:t>人口</w:t>
      </w:r>
      <w:bookmarkEnd w:id="111"/>
    </w:p>
    <w:p>
      <w:pPr>
        <w:ind w:firstLine="480"/>
        <w:rPr>
          <w:rFonts w:cs="Times New Roman"/>
          <w:color w:val="auto"/>
        </w:rPr>
      </w:pPr>
      <w:r>
        <w:rPr>
          <w:rFonts w:cs="Times New Roman"/>
          <w:color w:val="auto"/>
        </w:rPr>
        <w:t>根据《芒市统计年鉴》（2018年），全市常住人口共 108900户，41.04万人，城镇人口有约18.64万人，农村人口有约22.40万人。其中，汉族21.55万人，占总人口数的52.5％；以傣族、景颇族、德昂族、阿昌族、傈僳族为主的少数民族18.56万人，占总人口的45.21%。其中芒市大河流域范围内主要涉及10个乡镇（街道），73个村（社区）委员会，共计83716户350853人。占芒市辖区内总人口的85.5%。</w:t>
      </w:r>
    </w:p>
    <w:p>
      <w:pPr>
        <w:ind w:firstLine="480"/>
        <w:rPr>
          <w:rFonts w:cs="Times New Roman"/>
          <w:color w:val="auto"/>
        </w:rPr>
      </w:pPr>
      <w:r>
        <w:rPr>
          <w:rFonts w:cs="Times New Roman"/>
          <w:color w:val="auto"/>
        </w:rPr>
        <w:t>芒市居住有汉族、傣族、景颇族、阿昌族、傈僳族、彝族、白族、哈尼族、壮族、苗族、回族、拉祜族、佤族、纳西族、瑶族、藏族、布郎族、怒族、普米族、德昂族、独龙族、蒙古族、基诺族、水族、满族、布依族等民族，是一个以汉族、傣族、景颇族、阿昌族、德昂族、傈僳族为主的多民族聚居城市。其中汉族占总人口的49%，傣族占总人口的37%，景颇族占总人口的8.3%，阿昌族占总人口的0.5%，德昂族占总人口的2.8%，傈僳族占总人口的0.9%。</w:t>
      </w:r>
    </w:p>
    <w:p>
      <w:pPr>
        <w:pStyle w:val="116"/>
        <w:rPr>
          <w:color w:val="auto"/>
        </w:rPr>
      </w:pPr>
      <w:bookmarkStart w:id="112" w:name="_Toc25705900"/>
      <w:r>
        <w:rPr>
          <w:color w:val="auto"/>
        </w:rPr>
        <w:t>社会经济发展状况</w:t>
      </w:r>
      <w:bookmarkEnd w:id="112"/>
    </w:p>
    <w:p>
      <w:pPr>
        <w:ind w:firstLine="480"/>
        <w:rPr>
          <w:rFonts w:cs="Times New Roman"/>
          <w:color w:val="auto"/>
        </w:rPr>
      </w:pPr>
      <w:r>
        <w:rPr>
          <w:rFonts w:cs="Times New Roman"/>
          <w:color w:val="auto"/>
        </w:rPr>
        <w:t>2018年芒市实现生产总值108.7亿元，同比增长10%；完成固定资产投资102.3亿元，增长10%；一般公共财政预算收入6亿元，增长3.2%；社会消费品零售总额49.4亿元，增长12%；外贸进出口总额34.1亿元，增长9.9%；城乡常住居民人均可支配收入分别为 25997元和10402元，增长8.2%和10%，居民消费价格指数控制在103.5%以内，顺利实现了“高开稳走”的目标。</w:t>
      </w:r>
    </w:p>
    <w:p>
      <w:pPr>
        <w:ind w:firstLine="480"/>
        <w:rPr>
          <w:rFonts w:cs="Times New Roman"/>
          <w:color w:val="auto"/>
        </w:rPr>
      </w:pPr>
      <w:r>
        <w:rPr>
          <w:rFonts w:cs="Times New Roman"/>
          <w:color w:val="auto"/>
        </w:rPr>
        <w:t>2018年完成粮食播种面积62.8万亩，产量实现十五年连增。咖啡、坚果、核桃、蚕桑等特色产业种植面积达61.5万亩，总产值14.8亿元。甘蔗、茶叶保有面积稳定在20万亩和15万亩以上。以烟叶、冬早蔬菜为主的冬农开发实现产值7.8亿元，同比增长16.3%。生态畜牧业快速发展，肉蛋奶总产量达4.1万吨，产值8.4亿元。实现农林牧渔业总产值35.4亿元，增长5.5%。实现工业增加值15.2亿元，增长18%。全年接待海内外游客668.1万人次，增长72.8%，实现旅游业总收入116亿元，增长63.8%。非公经济增加值占GDP比重达41%。预计实现第三产业增加值61.4亿元，增长10.4%。</w:t>
      </w:r>
    </w:p>
    <w:p>
      <w:pPr>
        <w:pStyle w:val="4"/>
      </w:pPr>
      <w:bookmarkStart w:id="113" w:name="_Toc48640718"/>
      <w:bookmarkStart w:id="114" w:name="_Toc36126909"/>
      <w:bookmarkStart w:id="115" w:name="_Toc25705906"/>
      <w:r>
        <w:t>村庄环境现状</w:t>
      </w:r>
      <w:bookmarkEnd w:id="113"/>
      <w:bookmarkEnd w:id="114"/>
    </w:p>
    <w:p>
      <w:pPr>
        <w:pStyle w:val="5"/>
        <w:rPr>
          <w:lang w:val="zh-CN"/>
        </w:rPr>
      </w:pPr>
      <w:bookmarkStart w:id="116" w:name="_Toc48640719"/>
      <w:bookmarkStart w:id="117" w:name="_Toc36126910"/>
      <w:r>
        <w:rPr>
          <w:lang w:val="zh-CN"/>
        </w:rPr>
        <w:t>供水、</w:t>
      </w:r>
      <w:r>
        <w:rPr>
          <w:rFonts w:hint="eastAsia"/>
          <w:lang w:val="zh-CN"/>
        </w:rPr>
        <w:t>排水</w:t>
      </w:r>
      <w:r>
        <w:rPr>
          <w:lang w:val="zh-CN"/>
        </w:rPr>
        <w:t>现状</w:t>
      </w:r>
      <w:bookmarkEnd w:id="116"/>
      <w:bookmarkEnd w:id="117"/>
    </w:p>
    <w:p>
      <w:pPr>
        <w:ind w:firstLine="482"/>
        <w:rPr>
          <w:rFonts w:cs="Times New Roman"/>
          <w:color w:val="auto"/>
          <w:lang w:val="zh-CN"/>
        </w:rPr>
      </w:pPr>
      <w:r>
        <w:rPr>
          <w:rFonts w:cs="Times New Roman"/>
          <w:b/>
          <w:color w:val="auto"/>
          <w:lang w:val="zh-CN"/>
        </w:rPr>
        <w:t>供水现状：</w:t>
      </w:r>
      <w:r>
        <w:rPr>
          <w:rFonts w:cs="Times New Roman"/>
          <w:color w:val="auto"/>
          <w:lang w:val="zh-CN"/>
        </w:rPr>
        <w:t>根据调查，项目区</w:t>
      </w:r>
      <w:r>
        <w:rPr>
          <w:rFonts w:hint="eastAsia" w:cs="Times New Roman"/>
          <w:color w:val="auto"/>
          <w:lang w:val="zh-CN"/>
        </w:rPr>
        <w:t>户拉村</w:t>
      </w:r>
      <w:r>
        <w:rPr>
          <w:rFonts w:cs="Times New Roman"/>
          <w:color w:val="auto"/>
          <w:lang w:val="zh-CN"/>
        </w:rPr>
        <w:t>、</w:t>
      </w:r>
      <w:r>
        <w:rPr>
          <w:rFonts w:hint="eastAsia" w:cs="Times New Roman"/>
          <w:color w:val="auto"/>
          <w:lang w:val="zh-CN"/>
        </w:rPr>
        <w:t>芒瓦村</w:t>
      </w:r>
      <w:r>
        <w:rPr>
          <w:rFonts w:cs="Times New Roman"/>
          <w:color w:val="auto"/>
          <w:lang w:val="zh-CN"/>
        </w:rPr>
        <w:t>位于坝区，</w:t>
      </w:r>
      <w:r>
        <w:rPr>
          <w:rFonts w:hint="eastAsia" w:cs="Times New Roman"/>
          <w:color w:val="auto"/>
          <w:lang w:val="zh-CN"/>
        </w:rPr>
        <w:t>2</w:t>
      </w:r>
      <w:r>
        <w:rPr>
          <w:rFonts w:cs="Times New Roman"/>
          <w:color w:val="auto"/>
          <w:lang w:val="zh-CN"/>
        </w:rPr>
        <w:t>个村庄</w:t>
      </w:r>
      <w:r>
        <w:rPr>
          <w:rFonts w:hint="eastAsia" w:cs="Times New Roman"/>
          <w:color w:val="auto"/>
          <w:lang w:val="zh-CN"/>
        </w:rPr>
        <w:t>均为集中供水</w:t>
      </w:r>
      <w:r>
        <w:rPr>
          <w:rFonts w:cs="Times New Roman"/>
          <w:color w:val="auto"/>
          <w:lang w:val="zh-CN"/>
        </w:rPr>
        <w:t>。</w:t>
      </w:r>
    </w:p>
    <w:p>
      <w:pPr>
        <w:ind w:firstLine="482"/>
        <w:rPr>
          <w:rFonts w:cs="Times New Roman"/>
          <w:color w:val="auto"/>
          <w:lang w:val="zh-CN"/>
        </w:rPr>
      </w:pPr>
      <w:r>
        <w:rPr>
          <w:rFonts w:hint="eastAsia" w:cs="Times New Roman"/>
          <w:b/>
          <w:color w:val="auto"/>
          <w:lang w:val="zh-CN"/>
        </w:rPr>
        <w:t>排</w:t>
      </w:r>
      <w:r>
        <w:rPr>
          <w:rFonts w:cs="Times New Roman"/>
          <w:b/>
          <w:color w:val="auto"/>
          <w:lang w:val="zh-CN"/>
        </w:rPr>
        <w:t>水现状：</w:t>
      </w:r>
      <w:r>
        <w:rPr>
          <w:rFonts w:cs="Times New Roman"/>
          <w:color w:val="auto"/>
          <w:lang w:val="zh-CN"/>
        </w:rPr>
        <w:t>项目区村庄生活用水包含日常</w:t>
      </w:r>
      <w:r>
        <w:rPr>
          <w:rFonts w:hint="eastAsia" w:cs="Times New Roman"/>
          <w:color w:val="auto"/>
          <w:lang w:val="zh-CN"/>
        </w:rPr>
        <w:t>厨房</w:t>
      </w:r>
      <w:r>
        <w:rPr>
          <w:rFonts w:cs="Times New Roman"/>
          <w:color w:val="auto"/>
          <w:lang w:val="zh-CN"/>
        </w:rPr>
        <w:t>用水、洗浴、</w:t>
      </w:r>
      <w:r>
        <w:rPr>
          <w:rFonts w:hint="eastAsia" w:cs="Times New Roman"/>
          <w:color w:val="auto"/>
          <w:lang w:val="zh-CN"/>
        </w:rPr>
        <w:t>洗漱</w:t>
      </w:r>
      <w:r>
        <w:rPr>
          <w:rFonts w:cs="Times New Roman"/>
          <w:color w:val="auto"/>
          <w:lang w:val="zh-CN"/>
        </w:rPr>
        <w:t>用水、畜禽喂养、圈厕冲洗用水等，用水主要集中在餐饮前后做饭和洗漱过程，村庄</w:t>
      </w:r>
      <w:r>
        <w:rPr>
          <w:rFonts w:cs="Times New Roman"/>
          <w:color w:val="auto"/>
        </w:rPr>
        <w:t>淋浴设施普及率大于60%，</w:t>
      </w:r>
      <w:r>
        <w:rPr>
          <w:rFonts w:cs="Times New Roman"/>
          <w:color w:val="auto"/>
          <w:lang w:val="zh-CN"/>
        </w:rPr>
        <w:t>新建房屋内</w:t>
      </w:r>
      <w:r>
        <w:rPr>
          <w:rFonts w:hint="eastAsia" w:cs="Times New Roman"/>
          <w:color w:val="auto"/>
          <w:lang w:val="zh-CN"/>
        </w:rPr>
        <w:t>均</w:t>
      </w:r>
      <w:r>
        <w:rPr>
          <w:rFonts w:cs="Times New Roman"/>
          <w:color w:val="auto"/>
          <w:lang w:val="zh-CN"/>
        </w:rPr>
        <w:t>有水冲厕。</w:t>
      </w:r>
    </w:p>
    <w:p>
      <w:pPr>
        <w:ind w:firstLine="480"/>
        <w:rPr>
          <w:rFonts w:cs="Times New Roman"/>
          <w:color w:val="auto"/>
        </w:rPr>
      </w:pPr>
      <w:r>
        <w:rPr>
          <w:rFonts w:cs="Times New Roman"/>
          <w:color w:val="auto"/>
        </w:rPr>
        <w:t>根据《云南省农村污水治理指南》，农村居民生活用水定额参考表（见表2.3-1），</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农村居民生活用水定额</w:t>
      </w:r>
    </w:p>
    <w:tbl>
      <w:tblPr>
        <w:tblStyle w:val="88"/>
        <w:tblW w:w="4739" w:type="pct"/>
        <w:jc w:val="center"/>
        <w:tblLayout w:type="autofit"/>
        <w:tblCellMar>
          <w:top w:w="0" w:type="dxa"/>
          <w:left w:w="108" w:type="dxa"/>
          <w:bottom w:w="0" w:type="dxa"/>
          <w:right w:w="108" w:type="dxa"/>
        </w:tblCellMar>
      </w:tblPr>
      <w:tblGrid>
        <w:gridCol w:w="5858"/>
        <w:gridCol w:w="2676"/>
      </w:tblGrid>
      <w:tr>
        <w:tblPrEx>
          <w:tblCellMar>
            <w:top w:w="0" w:type="dxa"/>
            <w:left w:w="108" w:type="dxa"/>
            <w:bottom w:w="0" w:type="dxa"/>
            <w:right w:w="108" w:type="dxa"/>
          </w:tblCellMar>
        </w:tblPrEx>
        <w:trPr>
          <w:trHeight w:val="369" w:hRule="atLeast"/>
          <w:tblHeader/>
          <w:jc w:val="center"/>
        </w:trPr>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b/>
              </w:rPr>
            </w:pPr>
            <w:r>
              <w:rPr>
                <w:b/>
              </w:rPr>
              <w:t>村庄类别用水量</w:t>
            </w:r>
          </w:p>
        </w:tc>
        <w:tc>
          <w:tcPr>
            <w:tcW w:w="1568"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（L</w:t>
            </w:r>
            <w:r>
              <w:rPr>
                <w:rFonts w:hint="eastAsia"/>
                <w:b/>
              </w:rPr>
              <w:t>/</w:t>
            </w:r>
            <w:r>
              <w:rPr>
                <w:b/>
              </w:rPr>
              <w:t>人·d）</w:t>
            </w:r>
          </w:p>
        </w:tc>
      </w:tr>
      <w:tr>
        <w:tblPrEx>
          <w:tblCellMar>
            <w:top w:w="0" w:type="dxa"/>
            <w:left w:w="108" w:type="dxa"/>
            <w:bottom w:w="0" w:type="dxa"/>
            <w:right w:w="108" w:type="dxa"/>
          </w:tblCellMar>
        </w:tblPrEx>
        <w:trPr>
          <w:trHeight w:val="369" w:hRule="atLeast"/>
          <w:jc w:val="center"/>
        </w:trPr>
        <w:tc>
          <w:tcPr>
            <w:tcW w:w="3432" w:type="pct"/>
            <w:tcBorders>
              <w:top w:val="nil"/>
              <w:left w:val="single" w:color="auto" w:sz="4" w:space="0"/>
              <w:bottom w:val="single" w:color="auto" w:sz="4" w:space="0"/>
              <w:right w:val="single" w:color="auto" w:sz="4" w:space="0"/>
            </w:tcBorders>
            <w:shd w:val="clear" w:color="auto" w:fill="auto"/>
            <w:noWrap/>
            <w:vAlign w:val="center"/>
          </w:tcPr>
          <w:p>
            <w:pPr>
              <w:pStyle w:val="114"/>
            </w:pPr>
            <w:r>
              <w:t>自来水入户，且户内有水冲厕所和淋浴设施的</w:t>
            </w:r>
          </w:p>
        </w:tc>
        <w:tc>
          <w:tcPr>
            <w:tcW w:w="1568" w:type="pct"/>
            <w:tcBorders>
              <w:top w:val="nil"/>
              <w:left w:val="nil"/>
              <w:bottom w:val="single" w:color="auto" w:sz="4" w:space="0"/>
              <w:right w:val="single" w:color="auto" w:sz="4" w:space="0"/>
            </w:tcBorders>
            <w:shd w:val="clear" w:color="auto" w:fill="auto"/>
            <w:noWrap/>
            <w:vAlign w:val="center"/>
          </w:tcPr>
          <w:p>
            <w:pPr>
              <w:pStyle w:val="114"/>
            </w:pPr>
            <w:r>
              <w:t>80-120</w:t>
            </w:r>
          </w:p>
        </w:tc>
      </w:tr>
      <w:tr>
        <w:tblPrEx>
          <w:tblCellMar>
            <w:top w:w="0" w:type="dxa"/>
            <w:left w:w="108" w:type="dxa"/>
            <w:bottom w:w="0" w:type="dxa"/>
            <w:right w:w="108" w:type="dxa"/>
          </w:tblCellMar>
        </w:tblPrEx>
        <w:trPr>
          <w:trHeight w:val="369" w:hRule="atLeast"/>
          <w:jc w:val="center"/>
        </w:trPr>
        <w:tc>
          <w:tcPr>
            <w:tcW w:w="3432" w:type="pct"/>
            <w:tcBorders>
              <w:top w:val="nil"/>
              <w:left w:val="single" w:color="auto" w:sz="4" w:space="0"/>
              <w:bottom w:val="single" w:color="auto" w:sz="4" w:space="0"/>
              <w:right w:val="single" w:color="auto" w:sz="4" w:space="0"/>
            </w:tcBorders>
            <w:shd w:val="clear" w:color="auto" w:fill="auto"/>
            <w:noWrap/>
            <w:vAlign w:val="center"/>
          </w:tcPr>
          <w:p>
            <w:pPr>
              <w:pStyle w:val="114"/>
            </w:pPr>
            <w:r>
              <w:t>自来水入户，户内有淋浴设施，但无水冲厕的</w:t>
            </w:r>
          </w:p>
        </w:tc>
        <w:tc>
          <w:tcPr>
            <w:tcW w:w="1568" w:type="pct"/>
            <w:tcBorders>
              <w:top w:val="nil"/>
              <w:left w:val="nil"/>
              <w:bottom w:val="single" w:color="auto" w:sz="4" w:space="0"/>
              <w:right w:val="single" w:color="auto" w:sz="4" w:space="0"/>
            </w:tcBorders>
            <w:shd w:val="clear" w:color="auto" w:fill="auto"/>
            <w:noWrap/>
            <w:vAlign w:val="center"/>
          </w:tcPr>
          <w:p>
            <w:pPr>
              <w:pStyle w:val="114"/>
            </w:pPr>
            <w:r>
              <w:t>60-80</w:t>
            </w:r>
          </w:p>
        </w:tc>
      </w:tr>
      <w:tr>
        <w:tblPrEx>
          <w:tblCellMar>
            <w:top w:w="0" w:type="dxa"/>
            <w:left w:w="108" w:type="dxa"/>
            <w:bottom w:w="0" w:type="dxa"/>
            <w:right w:w="108" w:type="dxa"/>
          </w:tblCellMar>
        </w:tblPrEx>
        <w:trPr>
          <w:trHeight w:val="369" w:hRule="atLeast"/>
          <w:jc w:val="center"/>
        </w:trPr>
        <w:tc>
          <w:tcPr>
            <w:tcW w:w="3432" w:type="pct"/>
            <w:tcBorders>
              <w:top w:val="nil"/>
              <w:left w:val="single" w:color="auto" w:sz="4" w:space="0"/>
              <w:bottom w:val="single" w:color="auto" w:sz="4" w:space="0"/>
              <w:right w:val="single" w:color="auto" w:sz="4" w:space="0"/>
            </w:tcBorders>
            <w:shd w:val="clear" w:color="auto" w:fill="auto"/>
            <w:noWrap/>
            <w:vAlign w:val="center"/>
          </w:tcPr>
          <w:p>
            <w:pPr>
              <w:pStyle w:val="114"/>
            </w:pPr>
            <w:r>
              <w:t>户内有给水龙头，无水冲厕和淋浴设施</w:t>
            </w:r>
          </w:p>
        </w:tc>
        <w:tc>
          <w:tcPr>
            <w:tcW w:w="1568" w:type="pct"/>
            <w:tcBorders>
              <w:top w:val="nil"/>
              <w:left w:val="nil"/>
              <w:bottom w:val="single" w:color="auto" w:sz="4" w:space="0"/>
              <w:right w:val="single" w:color="auto" w:sz="4" w:space="0"/>
            </w:tcBorders>
            <w:shd w:val="clear" w:color="auto" w:fill="auto"/>
            <w:noWrap/>
            <w:vAlign w:val="center"/>
          </w:tcPr>
          <w:p>
            <w:pPr>
              <w:pStyle w:val="114"/>
            </w:pPr>
            <w:r>
              <w:t>40-60</w:t>
            </w:r>
          </w:p>
        </w:tc>
      </w:tr>
      <w:tr>
        <w:tblPrEx>
          <w:tblCellMar>
            <w:top w:w="0" w:type="dxa"/>
            <w:left w:w="108" w:type="dxa"/>
            <w:bottom w:w="0" w:type="dxa"/>
            <w:right w:w="108" w:type="dxa"/>
          </w:tblCellMar>
        </w:tblPrEx>
        <w:trPr>
          <w:trHeight w:val="369" w:hRule="atLeast"/>
          <w:jc w:val="center"/>
        </w:trPr>
        <w:tc>
          <w:tcPr>
            <w:tcW w:w="3432" w:type="pct"/>
            <w:tcBorders>
              <w:top w:val="nil"/>
              <w:left w:val="single" w:color="auto" w:sz="4" w:space="0"/>
              <w:bottom w:val="single" w:color="auto" w:sz="4" w:space="0"/>
              <w:right w:val="single" w:color="auto" w:sz="4" w:space="0"/>
            </w:tcBorders>
            <w:shd w:val="clear" w:color="auto" w:fill="auto"/>
            <w:noWrap/>
            <w:vAlign w:val="center"/>
          </w:tcPr>
          <w:p>
            <w:pPr>
              <w:pStyle w:val="114"/>
            </w:pPr>
            <w:r>
              <w:t>无户内给水设施</w:t>
            </w:r>
          </w:p>
        </w:tc>
        <w:tc>
          <w:tcPr>
            <w:tcW w:w="1568" w:type="pct"/>
            <w:tcBorders>
              <w:top w:val="nil"/>
              <w:left w:val="nil"/>
              <w:bottom w:val="single" w:color="auto" w:sz="4" w:space="0"/>
              <w:right w:val="single" w:color="auto" w:sz="4" w:space="0"/>
            </w:tcBorders>
            <w:shd w:val="clear" w:color="auto" w:fill="auto"/>
            <w:noWrap/>
            <w:vAlign w:val="center"/>
          </w:tcPr>
          <w:p>
            <w:pPr>
              <w:pStyle w:val="114"/>
            </w:pPr>
            <w:r>
              <w:t>20-40</w:t>
            </w:r>
          </w:p>
        </w:tc>
      </w:tr>
    </w:tbl>
    <w:p>
      <w:pPr>
        <w:ind w:firstLine="480"/>
        <w:rPr>
          <w:rFonts w:cs="Times New Roman"/>
          <w:color w:val="auto"/>
          <w:kern w:val="0"/>
        </w:rPr>
      </w:pPr>
      <w:r>
        <w:rPr>
          <w:rFonts w:cs="Times New Roman"/>
          <w:color w:val="auto"/>
          <w:kern w:val="0"/>
        </w:rPr>
        <w:t>参照《云南省地方标准用水定额》（DB53/T168-201</w:t>
      </w:r>
      <w:r>
        <w:rPr>
          <w:rFonts w:hint="eastAsia" w:cs="Times New Roman"/>
          <w:color w:val="auto"/>
          <w:kern w:val="0"/>
        </w:rPr>
        <w:t>9</w:t>
      </w:r>
      <w:r>
        <w:rPr>
          <w:rFonts w:cs="Times New Roman"/>
          <w:color w:val="auto"/>
          <w:kern w:val="0"/>
        </w:rPr>
        <w:t>），德宏州芒市</w:t>
      </w:r>
      <w:r>
        <w:rPr>
          <w:rFonts w:hint="eastAsia" w:cs="Times New Roman"/>
          <w:color w:val="auto"/>
          <w:kern w:val="0"/>
        </w:rPr>
        <w:t>遮放</w:t>
      </w:r>
      <w:r>
        <w:rPr>
          <w:rFonts w:cs="Times New Roman"/>
          <w:color w:val="auto"/>
          <w:kern w:val="0"/>
        </w:rPr>
        <w:t>镇属于热带Ⅰ区，分散式供水用水定额为4</w:t>
      </w:r>
      <w:r>
        <w:rPr>
          <w:rFonts w:hint="eastAsia" w:cs="Times New Roman"/>
          <w:color w:val="auto"/>
          <w:kern w:val="0"/>
        </w:rPr>
        <w:t>5</w:t>
      </w:r>
      <w:r>
        <w:rPr>
          <w:rFonts w:cs="Times New Roman"/>
          <w:color w:val="auto"/>
          <w:kern w:val="0"/>
        </w:rPr>
        <w:t>-</w:t>
      </w:r>
      <w:r>
        <w:rPr>
          <w:rFonts w:hint="eastAsia" w:cs="Times New Roman"/>
          <w:color w:val="auto"/>
          <w:kern w:val="0"/>
        </w:rPr>
        <w:t>60</w:t>
      </w:r>
      <w:r>
        <w:rPr>
          <w:rFonts w:cs="Times New Roman"/>
          <w:color w:val="auto"/>
          <w:kern w:val="0"/>
        </w:rPr>
        <w:t>L/人•d，集中式供水用水定额</w:t>
      </w:r>
      <w:r>
        <w:rPr>
          <w:rFonts w:hint="eastAsia" w:cs="Times New Roman"/>
          <w:color w:val="auto"/>
          <w:kern w:val="0"/>
        </w:rPr>
        <w:t>70</w:t>
      </w:r>
      <w:r>
        <w:rPr>
          <w:rFonts w:cs="Times New Roman"/>
          <w:color w:val="auto"/>
          <w:kern w:val="0"/>
        </w:rPr>
        <w:t>-</w:t>
      </w:r>
      <w:r>
        <w:rPr>
          <w:rFonts w:hint="eastAsia" w:cs="Times New Roman"/>
          <w:color w:val="auto"/>
          <w:kern w:val="0"/>
        </w:rPr>
        <w:t>100</w:t>
      </w:r>
      <w:r>
        <w:rPr>
          <w:rFonts w:cs="Times New Roman"/>
          <w:color w:val="auto"/>
          <w:kern w:val="0"/>
        </w:rPr>
        <w:t>L/人•d。</w:t>
      </w:r>
    </w:p>
    <w:p>
      <w:pPr>
        <w:ind w:firstLine="480"/>
        <w:rPr>
          <w:rFonts w:cs="Times New Roman"/>
          <w:color w:val="auto"/>
        </w:rPr>
      </w:pPr>
      <w:r>
        <w:rPr>
          <w:rFonts w:cs="Times New Roman"/>
          <w:color w:val="auto"/>
        </w:rPr>
        <w:t>结合现场调查和村民实际用水情况，</w:t>
      </w:r>
      <w:r>
        <w:rPr>
          <w:rFonts w:cs="Times New Roman"/>
          <w:color w:val="auto"/>
          <w:kern w:val="0"/>
        </w:rPr>
        <w:t>村庄</w:t>
      </w:r>
      <w:r>
        <w:rPr>
          <w:rFonts w:cs="Times New Roman"/>
          <w:color w:val="auto"/>
          <w:lang w:val="zh-CN"/>
        </w:rPr>
        <w:t>用水定额取90</w:t>
      </w:r>
      <w:r>
        <w:rPr>
          <w:rFonts w:cs="Times New Roman"/>
          <w:color w:val="auto"/>
          <w:kern w:val="0"/>
        </w:rPr>
        <w:t xml:space="preserve"> L/人•d。</w:t>
      </w:r>
    </w:p>
    <w:p>
      <w:pPr>
        <w:pStyle w:val="112"/>
        <w:rPr>
          <w:color w:val="auto"/>
          <w:kern w:val="0"/>
          <w:lang w:val="zh-CN"/>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kern w:val="0"/>
          <w:lang w:val="zh-CN"/>
        </w:rPr>
        <w:t xml:space="preserve">  项目区各村庄用水定额统计表</w:t>
      </w:r>
    </w:p>
    <w:tbl>
      <w:tblPr>
        <w:tblStyle w:val="88"/>
        <w:tblW w:w="8452" w:type="dxa"/>
        <w:jc w:val="center"/>
        <w:tblLayout w:type="autofit"/>
        <w:tblCellMar>
          <w:top w:w="0" w:type="dxa"/>
          <w:left w:w="108" w:type="dxa"/>
          <w:bottom w:w="0" w:type="dxa"/>
          <w:right w:w="108" w:type="dxa"/>
        </w:tblCellMar>
      </w:tblPr>
      <w:tblGrid>
        <w:gridCol w:w="865"/>
        <w:gridCol w:w="1568"/>
        <w:gridCol w:w="1267"/>
        <w:gridCol w:w="1776"/>
        <w:gridCol w:w="1417"/>
        <w:gridCol w:w="1559"/>
      </w:tblGrid>
      <w:tr>
        <w:tblPrEx>
          <w:tblCellMar>
            <w:top w:w="0" w:type="dxa"/>
            <w:left w:w="108" w:type="dxa"/>
            <w:bottom w:w="0" w:type="dxa"/>
            <w:right w:w="108" w:type="dxa"/>
          </w:tblCellMar>
        </w:tblPrEx>
        <w:trPr>
          <w:trHeight w:val="540"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szCs w:val="20"/>
              </w:rPr>
            </w:pPr>
            <w:r>
              <w:rPr>
                <w:b/>
                <w:szCs w:val="21"/>
              </w:rPr>
              <w:t>序号</w:t>
            </w:r>
          </w:p>
        </w:tc>
        <w:tc>
          <w:tcPr>
            <w:tcW w:w="1568" w:type="dxa"/>
            <w:tcBorders>
              <w:top w:val="single" w:color="auto" w:sz="4" w:space="0"/>
              <w:left w:val="nil"/>
              <w:bottom w:val="single" w:color="auto" w:sz="4" w:space="0"/>
              <w:right w:val="single" w:color="auto" w:sz="4" w:space="0"/>
            </w:tcBorders>
            <w:shd w:val="clear" w:color="auto" w:fill="auto"/>
            <w:vAlign w:val="center"/>
          </w:tcPr>
          <w:p>
            <w:pPr>
              <w:pStyle w:val="114"/>
              <w:rPr>
                <w:b/>
                <w:szCs w:val="20"/>
              </w:rPr>
            </w:pPr>
            <w:r>
              <w:rPr>
                <w:b/>
                <w:szCs w:val="21"/>
              </w:rPr>
              <w:t>村委会</w:t>
            </w:r>
          </w:p>
        </w:tc>
        <w:tc>
          <w:tcPr>
            <w:tcW w:w="1267" w:type="dxa"/>
            <w:tcBorders>
              <w:top w:val="single" w:color="auto" w:sz="4" w:space="0"/>
              <w:left w:val="nil"/>
              <w:bottom w:val="single" w:color="auto" w:sz="4" w:space="0"/>
              <w:right w:val="single" w:color="auto" w:sz="4" w:space="0"/>
            </w:tcBorders>
            <w:shd w:val="clear" w:color="auto" w:fill="auto"/>
            <w:vAlign w:val="center"/>
          </w:tcPr>
          <w:p>
            <w:pPr>
              <w:pStyle w:val="114"/>
              <w:rPr>
                <w:b/>
                <w:szCs w:val="20"/>
              </w:rPr>
            </w:pPr>
            <w:r>
              <w:rPr>
                <w:b/>
                <w:szCs w:val="21"/>
              </w:rPr>
              <w:t>自然村</w:t>
            </w:r>
          </w:p>
        </w:tc>
        <w:tc>
          <w:tcPr>
            <w:tcW w:w="1776" w:type="dxa"/>
            <w:tcBorders>
              <w:top w:val="single" w:color="auto" w:sz="4" w:space="0"/>
              <w:left w:val="nil"/>
              <w:bottom w:val="single" w:color="auto" w:sz="4" w:space="0"/>
              <w:right w:val="single" w:color="auto" w:sz="4" w:space="0"/>
            </w:tcBorders>
            <w:shd w:val="clear" w:color="auto" w:fill="auto"/>
            <w:vAlign w:val="center"/>
          </w:tcPr>
          <w:p>
            <w:pPr>
              <w:pStyle w:val="114"/>
              <w:rPr>
                <w:b/>
                <w:szCs w:val="20"/>
              </w:rPr>
            </w:pPr>
            <w:r>
              <w:rPr>
                <w:b/>
                <w:szCs w:val="21"/>
              </w:rPr>
              <w:t>常住人口</w:t>
            </w:r>
          </w:p>
        </w:tc>
        <w:tc>
          <w:tcPr>
            <w:tcW w:w="1417" w:type="dxa"/>
            <w:tcBorders>
              <w:top w:val="single" w:color="auto" w:sz="4" w:space="0"/>
              <w:left w:val="nil"/>
              <w:bottom w:val="single" w:color="auto" w:sz="4" w:space="0"/>
              <w:right w:val="single" w:color="auto" w:sz="4" w:space="0"/>
            </w:tcBorders>
            <w:shd w:val="clear" w:color="auto" w:fill="auto"/>
            <w:vAlign w:val="center"/>
          </w:tcPr>
          <w:p>
            <w:pPr>
              <w:pStyle w:val="114"/>
              <w:rPr>
                <w:b/>
                <w:szCs w:val="20"/>
              </w:rPr>
            </w:pPr>
            <w:r>
              <w:rPr>
                <w:b/>
                <w:szCs w:val="21"/>
              </w:rPr>
              <w:t>供水方式</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114"/>
              <w:rPr>
                <w:b/>
                <w:szCs w:val="21"/>
              </w:rPr>
            </w:pPr>
            <w:r>
              <w:rPr>
                <w:b/>
                <w:szCs w:val="21"/>
              </w:rPr>
              <w:t>用水定额</w:t>
            </w:r>
          </w:p>
          <w:p>
            <w:pPr>
              <w:pStyle w:val="114"/>
              <w:rPr>
                <w:b/>
                <w:szCs w:val="20"/>
              </w:rPr>
            </w:pPr>
            <w:r>
              <w:rPr>
                <w:b/>
                <w:szCs w:val="21"/>
              </w:rPr>
              <w:t>（L/人.d）</w:t>
            </w:r>
          </w:p>
        </w:tc>
      </w:tr>
      <w:tr>
        <w:tblPrEx>
          <w:tblCellMar>
            <w:top w:w="0" w:type="dxa"/>
            <w:left w:w="108" w:type="dxa"/>
            <w:bottom w:w="0" w:type="dxa"/>
            <w:right w:w="108" w:type="dxa"/>
          </w:tblCellMar>
        </w:tblPrEx>
        <w:trPr>
          <w:trHeight w:val="285" w:hRule="atLeast"/>
          <w:jc w:val="center"/>
        </w:trPr>
        <w:tc>
          <w:tcPr>
            <w:tcW w:w="865" w:type="dxa"/>
            <w:tcBorders>
              <w:top w:val="nil"/>
              <w:left w:val="single" w:color="auto" w:sz="4" w:space="0"/>
              <w:bottom w:val="single" w:color="auto" w:sz="4" w:space="0"/>
              <w:right w:val="single" w:color="auto" w:sz="4" w:space="0"/>
            </w:tcBorders>
            <w:shd w:val="clear" w:color="auto" w:fill="auto"/>
            <w:vAlign w:val="center"/>
          </w:tcPr>
          <w:p>
            <w:pPr>
              <w:pStyle w:val="114"/>
              <w:rPr>
                <w:szCs w:val="20"/>
              </w:rPr>
            </w:pPr>
            <w:r>
              <w:rPr>
                <w:rFonts w:hint="eastAsia"/>
                <w:szCs w:val="21"/>
              </w:rPr>
              <w:t>1</w:t>
            </w:r>
          </w:p>
        </w:tc>
        <w:tc>
          <w:tcPr>
            <w:tcW w:w="156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14"/>
              <w:rPr>
                <w:szCs w:val="20"/>
              </w:rPr>
            </w:pPr>
            <w:r>
              <w:rPr>
                <w:rFonts w:hint="eastAsia"/>
                <w:szCs w:val="22"/>
              </w:rPr>
              <w:t>户拉</w:t>
            </w:r>
          </w:p>
        </w:tc>
        <w:tc>
          <w:tcPr>
            <w:tcW w:w="1267" w:type="dxa"/>
            <w:tcBorders>
              <w:top w:val="nil"/>
              <w:left w:val="nil"/>
              <w:bottom w:val="single" w:color="auto" w:sz="4" w:space="0"/>
              <w:right w:val="single" w:color="auto" w:sz="4" w:space="0"/>
            </w:tcBorders>
            <w:shd w:val="clear" w:color="auto" w:fill="auto"/>
            <w:noWrap/>
            <w:vAlign w:val="bottom"/>
          </w:tcPr>
          <w:p>
            <w:pPr>
              <w:pStyle w:val="114"/>
              <w:rPr>
                <w:szCs w:val="20"/>
              </w:rPr>
            </w:pPr>
            <w:r>
              <w:rPr>
                <w:rFonts w:hint="eastAsia"/>
                <w:szCs w:val="22"/>
              </w:rPr>
              <w:t>户拉</w:t>
            </w:r>
            <w:r>
              <w:rPr>
                <w:szCs w:val="22"/>
              </w:rPr>
              <w:t>村</w:t>
            </w:r>
          </w:p>
        </w:tc>
        <w:tc>
          <w:tcPr>
            <w:tcW w:w="1776" w:type="dxa"/>
            <w:tcBorders>
              <w:top w:val="nil"/>
              <w:left w:val="nil"/>
              <w:bottom w:val="single" w:color="auto" w:sz="4" w:space="0"/>
              <w:right w:val="single" w:color="auto" w:sz="4" w:space="0"/>
            </w:tcBorders>
            <w:shd w:val="clear" w:color="auto" w:fill="auto"/>
            <w:noWrap/>
            <w:vAlign w:val="bottom"/>
          </w:tcPr>
          <w:p>
            <w:pPr>
              <w:pStyle w:val="114"/>
              <w:rPr>
                <w:szCs w:val="20"/>
              </w:rPr>
            </w:pPr>
            <w:r>
              <w:rPr>
                <w:rFonts w:hint="eastAsia"/>
                <w:szCs w:val="22"/>
              </w:rPr>
              <w:t>948</w:t>
            </w:r>
          </w:p>
        </w:tc>
        <w:tc>
          <w:tcPr>
            <w:tcW w:w="1417" w:type="dxa"/>
            <w:vMerge w:val="restart"/>
            <w:tcBorders>
              <w:top w:val="nil"/>
              <w:left w:val="single" w:color="auto" w:sz="4" w:space="0"/>
              <w:bottom w:val="single" w:color="000000" w:sz="4" w:space="0"/>
              <w:right w:val="single" w:color="auto" w:sz="4" w:space="0"/>
            </w:tcBorders>
            <w:vAlign w:val="center"/>
          </w:tcPr>
          <w:p>
            <w:pPr>
              <w:pStyle w:val="114"/>
              <w:rPr>
                <w:szCs w:val="20"/>
              </w:rPr>
            </w:pPr>
            <w:r>
              <w:rPr>
                <w:rFonts w:hint="eastAsia"/>
                <w:szCs w:val="20"/>
              </w:rPr>
              <w:t>集中供水</w:t>
            </w:r>
          </w:p>
        </w:tc>
        <w:tc>
          <w:tcPr>
            <w:tcW w:w="1559" w:type="dxa"/>
            <w:tcBorders>
              <w:top w:val="nil"/>
              <w:left w:val="nil"/>
              <w:bottom w:val="single" w:color="auto" w:sz="4" w:space="0"/>
              <w:right w:val="single" w:color="auto" w:sz="4" w:space="0"/>
            </w:tcBorders>
            <w:shd w:val="clear" w:color="auto" w:fill="auto"/>
          </w:tcPr>
          <w:p>
            <w:pPr>
              <w:pStyle w:val="114"/>
            </w:pPr>
            <w:r>
              <w:t>90</w:t>
            </w:r>
          </w:p>
        </w:tc>
      </w:tr>
      <w:tr>
        <w:tblPrEx>
          <w:tblCellMar>
            <w:top w:w="0" w:type="dxa"/>
            <w:left w:w="108" w:type="dxa"/>
            <w:bottom w:w="0" w:type="dxa"/>
            <w:right w:w="108" w:type="dxa"/>
          </w:tblCellMar>
        </w:tblPrEx>
        <w:trPr>
          <w:trHeight w:val="285" w:hRule="atLeast"/>
          <w:jc w:val="center"/>
        </w:trPr>
        <w:tc>
          <w:tcPr>
            <w:tcW w:w="865" w:type="dxa"/>
            <w:tcBorders>
              <w:top w:val="nil"/>
              <w:left w:val="single" w:color="auto" w:sz="4" w:space="0"/>
              <w:bottom w:val="single" w:color="auto" w:sz="4" w:space="0"/>
              <w:right w:val="single" w:color="auto" w:sz="4" w:space="0"/>
            </w:tcBorders>
            <w:shd w:val="clear" w:color="auto" w:fill="auto"/>
            <w:vAlign w:val="center"/>
          </w:tcPr>
          <w:p>
            <w:pPr>
              <w:pStyle w:val="114"/>
              <w:rPr>
                <w:szCs w:val="20"/>
              </w:rPr>
            </w:pPr>
            <w:r>
              <w:rPr>
                <w:rFonts w:hint="eastAsia"/>
                <w:szCs w:val="21"/>
              </w:rPr>
              <w:t>2</w:t>
            </w:r>
          </w:p>
        </w:tc>
        <w:tc>
          <w:tcPr>
            <w:tcW w:w="1568" w:type="dxa"/>
            <w:vMerge w:val="continue"/>
            <w:tcBorders>
              <w:top w:val="nil"/>
              <w:left w:val="single" w:color="auto" w:sz="4" w:space="0"/>
              <w:bottom w:val="single" w:color="auto" w:sz="4" w:space="0"/>
              <w:right w:val="single" w:color="auto" w:sz="4" w:space="0"/>
            </w:tcBorders>
            <w:vAlign w:val="center"/>
          </w:tcPr>
          <w:p>
            <w:pPr>
              <w:pStyle w:val="114"/>
              <w:rPr>
                <w:szCs w:val="20"/>
              </w:rPr>
            </w:pPr>
          </w:p>
        </w:tc>
        <w:tc>
          <w:tcPr>
            <w:tcW w:w="1267" w:type="dxa"/>
            <w:tcBorders>
              <w:top w:val="nil"/>
              <w:left w:val="nil"/>
              <w:bottom w:val="single" w:color="auto" w:sz="4" w:space="0"/>
              <w:right w:val="single" w:color="auto" w:sz="4" w:space="0"/>
            </w:tcBorders>
            <w:shd w:val="clear" w:color="auto" w:fill="auto"/>
            <w:noWrap/>
            <w:vAlign w:val="bottom"/>
          </w:tcPr>
          <w:p>
            <w:pPr>
              <w:pStyle w:val="114"/>
              <w:rPr>
                <w:szCs w:val="20"/>
              </w:rPr>
            </w:pPr>
            <w:r>
              <w:rPr>
                <w:rFonts w:hint="eastAsia"/>
                <w:szCs w:val="22"/>
              </w:rPr>
              <w:t>芒瓦</w:t>
            </w:r>
            <w:r>
              <w:rPr>
                <w:szCs w:val="22"/>
              </w:rPr>
              <w:t>村</w:t>
            </w:r>
          </w:p>
        </w:tc>
        <w:tc>
          <w:tcPr>
            <w:tcW w:w="1776" w:type="dxa"/>
            <w:tcBorders>
              <w:top w:val="nil"/>
              <w:left w:val="nil"/>
              <w:bottom w:val="single" w:color="auto" w:sz="4" w:space="0"/>
              <w:right w:val="single" w:color="auto" w:sz="4" w:space="0"/>
            </w:tcBorders>
            <w:shd w:val="clear" w:color="auto" w:fill="auto"/>
            <w:noWrap/>
            <w:vAlign w:val="bottom"/>
          </w:tcPr>
          <w:p>
            <w:pPr>
              <w:pStyle w:val="114"/>
              <w:rPr>
                <w:szCs w:val="20"/>
              </w:rPr>
            </w:pPr>
            <w:r>
              <w:rPr>
                <w:rFonts w:hint="eastAsia"/>
                <w:szCs w:val="22"/>
              </w:rPr>
              <w:t>448</w:t>
            </w:r>
          </w:p>
        </w:tc>
        <w:tc>
          <w:tcPr>
            <w:tcW w:w="1417" w:type="dxa"/>
            <w:vMerge w:val="continue"/>
            <w:tcBorders>
              <w:top w:val="nil"/>
              <w:left w:val="single" w:color="auto" w:sz="4" w:space="0"/>
              <w:bottom w:val="single" w:color="000000" w:sz="4" w:space="0"/>
              <w:right w:val="single" w:color="auto" w:sz="4" w:space="0"/>
            </w:tcBorders>
            <w:vAlign w:val="center"/>
          </w:tcPr>
          <w:p>
            <w:pPr>
              <w:pStyle w:val="114"/>
              <w:rPr>
                <w:szCs w:val="20"/>
              </w:rPr>
            </w:pPr>
          </w:p>
        </w:tc>
        <w:tc>
          <w:tcPr>
            <w:tcW w:w="1559" w:type="dxa"/>
            <w:tcBorders>
              <w:top w:val="nil"/>
              <w:left w:val="nil"/>
              <w:bottom w:val="single" w:color="auto" w:sz="4" w:space="0"/>
              <w:right w:val="single" w:color="auto" w:sz="4" w:space="0"/>
            </w:tcBorders>
            <w:shd w:val="clear" w:color="auto" w:fill="auto"/>
          </w:tcPr>
          <w:p>
            <w:pPr>
              <w:pStyle w:val="114"/>
            </w:pPr>
            <w:r>
              <w:t>90</w:t>
            </w:r>
          </w:p>
        </w:tc>
      </w:tr>
    </w:tbl>
    <w:p>
      <w:pPr>
        <w:ind w:firstLine="480"/>
        <w:rPr>
          <w:rFonts w:cs="Times New Roman"/>
          <w:color w:val="auto"/>
          <w:lang w:val="zh-CN"/>
        </w:rPr>
      </w:pPr>
    </w:p>
    <w:p>
      <w:pPr>
        <w:pStyle w:val="5"/>
        <w:rPr>
          <w:lang w:val="zh-CN"/>
        </w:rPr>
      </w:pPr>
      <w:bookmarkStart w:id="118" w:name="_Toc36126911"/>
      <w:bookmarkStart w:id="119" w:name="_Toc48640720"/>
      <w:r>
        <w:rPr>
          <w:lang w:val="zh-CN"/>
        </w:rPr>
        <w:t>生活污水收集处理现状</w:t>
      </w:r>
      <w:bookmarkEnd w:id="118"/>
      <w:bookmarkEnd w:id="119"/>
    </w:p>
    <w:p>
      <w:pPr>
        <w:pStyle w:val="376"/>
        <w:rPr>
          <w:lang w:val="zh-CN"/>
        </w:rPr>
      </w:pPr>
      <w:r>
        <w:rPr>
          <w:lang w:val="zh-CN"/>
        </w:rPr>
        <w:t>（1）污水收集</w:t>
      </w:r>
    </w:p>
    <w:p>
      <w:pPr>
        <w:ind w:firstLine="480"/>
        <w:rPr>
          <w:rFonts w:cs="Times New Roman"/>
          <w:b/>
          <w:color w:val="auto"/>
          <w:lang w:val="zh-CN"/>
        </w:rPr>
      </w:pPr>
      <w:r>
        <w:rPr>
          <w:rFonts w:cs="Times New Roman"/>
          <w:color w:val="auto"/>
          <w:lang w:val="zh-CN"/>
        </w:rPr>
        <w:t>项目区已实现村村通工程，目前所有村庄进村、内部道路基本已经硬化，大多道路在修建时会建有道路边沟。现状村庄无专门修建的污水收集系统，道路边沟是村庄污水排放最主要的渠道，村庄污水呈自然排放。即：村民均将生活污水、</w:t>
      </w:r>
      <w:r>
        <w:rPr>
          <w:rFonts w:hint="eastAsia" w:cs="Times New Roman"/>
          <w:color w:val="auto"/>
          <w:lang w:val="zh-CN"/>
        </w:rPr>
        <w:t>部分</w:t>
      </w:r>
      <w:r>
        <w:rPr>
          <w:rFonts w:cs="Times New Roman"/>
          <w:color w:val="auto"/>
          <w:lang w:val="zh-CN"/>
        </w:rPr>
        <w:t>畜禽废水排入道路边沟中顺势流淌；部分村民房屋周边无道路排水沟，则直接沿着房屋墙边排放，随地势流淌淤积，少部分会直接排放至道路上，沿路漫流。雨季雨水混着生活污水、畜禽废水流淌至村庄低洼处，部分村庄污水经少量田地消纳进入河流，部分则直接排入河流，造成河流水体污染。同时旱季炎热时期，污水在排水沟内滞留发酵，气味难闻，沿路漫流的生活污水也极影响村庄环境。</w:t>
      </w:r>
    </w:p>
    <w:p>
      <w:pPr>
        <w:ind w:firstLine="480"/>
        <w:rPr>
          <w:rFonts w:cs="Times New Roman"/>
          <w:color w:val="auto"/>
          <w:lang w:val="zh-CN"/>
        </w:rPr>
      </w:pPr>
      <w:r>
        <w:rPr>
          <w:rFonts w:cs="Times New Roman"/>
          <w:color w:val="auto"/>
          <w:lang w:val="zh-CN"/>
        </w:rPr>
        <w:t>区域内居民以傣族为主，庭院多有围墙，院内有主体住宅、洗漱间、厨房，部分庭院内有养殖厩圈；各户洗漱间、厨房、养殖厩圈排口数量不一，统一汇集后排出庭院，也有分多个排口排出。多数农户生活污水从庭院以1个或2个排口排出。</w:t>
      </w:r>
    </w:p>
    <w:p>
      <w:pPr>
        <w:pStyle w:val="366"/>
        <w:jc w:val="both"/>
        <w:rPr>
          <w:rFonts w:eastAsia="仿宋_GB2312"/>
          <w:lang w:val="zh-CN"/>
        </w:rPr>
      </w:pPr>
      <w:r>
        <w:rPr>
          <w:rFonts w:eastAsia="仿宋_GB2312"/>
        </w:rPr>
        <w:drawing>
          <wp:inline distT="0" distB="0" distL="0" distR="0">
            <wp:extent cx="2734945" cy="2023745"/>
            <wp:effectExtent l="19050" t="0" r="8255" b="0"/>
            <wp:docPr id="2" name="图片 8" descr="E:\zhaochang\项目\2020年\芒市遮放户拉村、芒瓦村\户拉村现场\微信图片_20200414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E:\zhaochang\项目\2020年\芒市遮放户拉村、芒瓦村\户拉村现场\微信图片_20200414144737.jpg"/>
                    <pic:cNvPicPr>
                      <a:picLocks noChangeAspect="1" noChangeArrowheads="1"/>
                    </pic:cNvPicPr>
                  </pic:nvPicPr>
                  <pic:blipFill>
                    <a:blip r:embed="rId19" cstate="print"/>
                    <a:srcRect t="17451" r="16348"/>
                    <a:stretch>
                      <a:fillRect/>
                    </a:stretch>
                  </pic:blipFill>
                  <pic:spPr>
                    <a:xfrm>
                      <a:off x="0" y="0"/>
                      <a:ext cx="2731678" cy="2021443"/>
                    </a:xfrm>
                    <a:prstGeom prst="rect">
                      <a:avLst/>
                    </a:prstGeom>
                    <a:noFill/>
                    <a:ln w="9525">
                      <a:noFill/>
                      <a:miter lim="800000"/>
                      <a:headEnd/>
                      <a:tailEnd/>
                    </a:ln>
                  </pic:spPr>
                </pic:pic>
              </a:graphicData>
            </a:graphic>
          </wp:inline>
        </w:drawing>
      </w:r>
      <w:r>
        <w:rPr>
          <w:rFonts w:eastAsia="仿宋_GB2312"/>
          <w:lang w:val="zh-CN"/>
        </w:rPr>
        <w:t xml:space="preserve"> </w:t>
      </w:r>
      <w:r>
        <w:rPr>
          <w:rFonts w:eastAsia="仿宋_GB2312"/>
        </w:rPr>
        <w:drawing>
          <wp:inline distT="0" distB="0" distL="0" distR="0">
            <wp:extent cx="2675255" cy="2006600"/>
            <wp:effectExtent l="19050" t="0" r="0" b="0"/>
            <wp:docPr id="6" name="图片 9" descr="C:\Users\Administrator\Desktop\微信图片_20200415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Administrator\Desktop\微信图片_20200415102801.jpg"/>
                    <pic:cNvPicPr>
                      <a:picLocks noChangeAspect="1" noChangeArrowheads="1"/>
                    </pic:cNvPicPr>
                  </pic:nvPicPr>
                  <pic:blipFill>
                    <a:blip r:embed="rId20" cstate="print"/>
                    <a:srcRect/>
                    <a:stretch>
                      <a:fillRect/>
                    </a:stretch>
                  </pic:blipFill>
                  <pic:spPr>
                    <a:xfrm>
                      <a:off x="0" y="0"/>
                      <a:ext cx="2678568" cy="2008927"/>
                    </a:xfrm>
                    <a:prstGeom prst="rect">
                      <a:avLst/>
                    </a:prstGeom>
                    <a:noFill/>
                    <a:ln w="9525">
                      <a:noFill/>
                      <a:miter lim="800000"/>
                      <a:headEnd/>
                      <a:tailEnd/>
                    </a:ln>
                  </pic:spPr>
                </pic:pic>
              </a:graphicData>
            </a:graphic>
          </wp:inline>
        </w:drawing>
      </w:r>
    </w:p>
    <w:p>
      <w:pPr>
        <w:pStyle w:val="366"/>
        <w:rPr>
          <w:rFonts w:eastAsia="仿宋_GB2312"/>
        </w:rPr>
      </w:pPr>
    </w:p>
    <w:p>
      <w:pPr>
        <w:pStyle w:val="112"/>
        <w:rPr>
          <w:color w:val="auto"/>
          <w:lang w:val="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2.2</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户拉村</w:t>
      </w:r>
      <w:r>
        <w:rPr>
          <w:color w:val="auto"/>
        </w:rPr>
        <w:t>生活污水排放</w:t>
      </w:r>
      <w:r>
        <w:rPr>
          <w:rFonts w:hint="eastAsia"/>
          <w:color w:val="auto"/>
        </w:rPr>
        <w:t>现状</w:t>
      </w:r>
    </w:p>
    <w:p>
      <w:pPr>
        <w:pStyle w:val="376"/>
        <w:ind w:firstLine="0" w:firstLineChars="0"/>
        <w:rPr>
          <w:lang w:val="zh-CN"/>
        </w:rPr>
      </w:pPr>
      <w:r>
        <w:drawing>
          <wp:inline distT="0" distB="0" distL="0" distR="0">
            <wp:extent cx="2734945" cy="2051050"/>
            <wp:effectExtent l="19050" t="0" r="8255" b="0"/>
            <wp:docPr id="7" name="图片 10" descr="C:\Users\Administrator\Desktop\微信图片_202004151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Administrator\Desktop\微信图片_20200415103033.jpg"/>
                    <pic:cNvPicPr>
                      <a:picLocks noChangeAspect="1" noChangeArrowheads="1"/>
                    </pic:cNvPicPr>
                  </pic:nvPicPr>
                  <pic:blipFill>
                    <a:blip r:embed="rId21" cstate="print"/>
                    <a:srcRect/>
                    <a:stretch>
                      <a:fillRect/>
                    </a:stretch>
                  </pic:blipFill>
                  <pic:spPr>
                    <a:xfrm>
                      <a:off x="0" y="0"/>
                      <a:ext cx="2729630" cy="2047222"/>
                    </a:xfrm>
                    <a:prstGeom prst="rect">
                      <a:avLst/>
                    </a:prstGeom>
                    <a:noFill/>
                    <a:ln w="9525">
                      <a:noFill/>
                      <a:miter lim="800000"/>
                      <a:headEnd/>
                      <a:tailEnd/>
                    </a:ln>
                  </pic:spPr>
                </pic:pic>
              </a:graphicData>
            </a:graphic>
          </wp:inline>
        </w:drawing>
      </w:r>
      <w:r>
        <w:rPr>
          <w:rFonts w:hint="eastAsia"/>
          <w:lang w:val="zh-CN"/>
        </w:rPr>
        <w:t xml:space="preserve"> </w:t>
      </w:r>
      <w:r>
        <w:drawing>
          <wp:inline distT="0" distB="0" distL="0" distR="0">
            <wp:extent cx="2707640" cy="2030095"/>
            <wp:effectExtent l="19050" t="0" r="0" b="0"/>
            <wp:docPr id="18" name="图片 11" descr="H:\2020年3月芒市新广沙河、戈朗河、轩岗社区及搬迁点照片\IMG_20200319_09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H:\2020年3月芒市新广沙河、戈朗河、轩岗社区及搬迁点照片\IMG_20200319_092220.jpg"/>
                    <pic:cNvPicPr>
                      <a:picLocks noChangeAspect="1" noChangeArrowheads="1"/>
                    </pic:cNvPicPr>
                  </pic:nvPicPr>
                  <pic:blipFill>
                    <a:blip r:embed="rId22" cstate="print"/>
                    <a:srcRect/>
                    <a:stretch>
                      <a:fillRect/>
                    </a:stretch>
                  </pic:blipFill>
                  <pic:spPr>
                    <a:xfrm>
                      <a:off x="0" y="0"/>
                      <a:ext cx="2707636" cy="2030726"/>
                    </a:xfrm>
                    <a:prstGeom prst="rect">
                      <a:avLst/>
                    </a:prstGeom>
                    <a:noFill/>
                    <a:ln w="9525">
                      <a:noFill/>
                      <a:miter lim="800000"/>
                      <a:headEnd/>
                      <a:tailEnd/>
                    </a:ln>
                  </pic:spPr>
                </pic:pic>
              </a:graphicData>
            </a:graphic>
          </wp:inline>
        </w:drawing>
      </w:r>
    </w:p>
    <w:p>
      <w:pPr>
        <w:pStyle w:val="112"/>
        <w:rPr>
          <w:color w:val="auto"/>
          <w:lang w:val="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2.2</w:t>
      </w:r>
      <w:r>
        <w:rPr>
          <w:color w:val="auto"/>
        </w:rPr>
        <w:fldChar w:fldCharType="end"/>
      </w:r>
      <w:r>
        <w:rPr>
          <w:color w:val="auto"/>
        </w:rPr>
        <w:noBreakHyphen/>
      </w:r>
      <w:r>
        <w:rPr>
          <w:rFonts w:hint="eastAsia"/>
          <w:color w:val="auto"/>
        </w:rPr>
        <w:t>2</w:t>
      </w:r>
      <w:r>
        <w:rPr>
          <w:color w:val="auto"/>
        </w:rPr>
        <w:t xml:space="preserve"> </w:t>
      </w:r>
      <w:r>
        <w:rPr>
          <w:rFonts w:hint="eastAsia"/>
          <w:color w:val="auto"/>
        </w:rPr>
        <w:t>芒瓦村</w:t>
      </w:r>
      <w:r>
        <w:rPr>
          <w:color w:val="auto"/>
        </w:rPr>
        <w:t>生活污水排放</w:t>
      </w:r>
      <w:r>
        <w:rPr>
          <w:rFonts w:hint="eastAsia"/>
          <w:color w:val="auto"/>
        </w:rPr>
        <w:t>现状</w:t>
      </w:r>
    </w:p>
    <w:p>
      <w:pPr>
        <w:pStyle w:val="376"/>
        <w:rPr>
          <w:lang w:val="zh-CN"/>
        </w:rPr>
      </w:pPr>
      <w:r>
        <w:rPr>
          <w:lang w:val="zh-CN"/>
        </w:rPr>
        <w:t>（2）污水处理</w:t>
      </w:r>
    </w:p>
    <w:p>
      <w:pPr>
        <w:ind w:firstLine="480"/>
        <w:rPr>
          <w:rFonts w:cs="Times New Roman"/>
          <w:color w:val="auto"/>
          <w:lang w:val="zh-CN"/>
        </w:rPr>
      </w:pPr>
      <w:r>
        <w:rPr>
          <w:rFonts w:cs="Times New Roman"/>
          <w:color w:val="auto"/>
          <w:lang w:val="zh-CN"/>
        </w:rPr>
        <w:t>项目区村庄均无污水处理设施，因村庄内部基础设施不完善，大量的生活污水就近排放至路边沟渠或者沿路面排放</w:t>
      </w:r>
      <w:r>
        <w:rPr>
          <w:rFonts w:hint="eastAsia" w:cs="Times New Roman"/>
          <w:color w:val="auto"/>
          <w:lang w:val="zh-CN"/>
        </w:rPr>
        <w:t>。户拉村污水排放至村中大沟，集中排放至芒市大河，对芒市大河的水环境产生污染；芒瓦村的污水通过村中现有雨污合流沟，</w:t>
      </w:r>
      <w:r>
        <w:rPr>
          <w:rFonts w:cs="Times New Roman"/>
          <w:color w:val="auto"/>
          <w:lang w:val="zh-CN"/>
        </w:rPr>
        <w:t>直接进入</w:t>
      </w:r>
      <w:r>
        <w:rPr>
          <w:rFonts w:hint="eastAsia" w:cs="Times New Roman"/>
          <w:color w:val="auto"/>
          <w:lang w:val="zh-CN"/>
        </w:rPr>
        <w:t>芒市大河</w:t>
      </w:r>
      <w:r>
        <w:rPr>
          <w:rFonts w:cs="Times New Roman"/>
          <w:color w:val="auto"/>
          <w:lang w:val="zh-CN"/>
        </w:rPr>
        <w:t>，最终导致流域水体的污染。</w:t>
      </w:r>
    </w:p>
    <w:bookmarkEnd w:id="115"/>
    <w:p>
      <w:pPr>
        <w:pStyle w:val="4"/>
      </w:pPr>
      <w:bookmarkStart w:id="120" w:name="_Toc351058986"/>
      <w:bookmarkStart w:id="121" w:name="_Toc452536694"/>
      <w:bookmarkStart w:id="122" w:name="_Toc48640721"/>
      <w:bookmarkStart w:id="123" w:name="_Toc36126914"/>
      <w:r>
        <w:t>主要环境问题</w:t>
      </w:r>
      <w:bookmarkEnd w:id="120"/>
      <w:bookmarkEnd w:id="121"/>
      <w:r>
        <w:rPr>
          <w:rFonts w:hint="eastAsia"/>
        </w:rPr>
        <w:t>分析</w:t>
      </w:r>
      <w:bookmarkEnd w:id="122"/>
      <w:bookmarkEnd w:id="123"/>
    </w:p>
    <w:p>
      <w:pPr>
        <w:ind w:firstLine="480"/>
        <w:rPr>
          <w:rFonts w:cs="Times New Roman"/>
          <w:color w:val="auto"/>
          <w:lang w:val="zh-CN"/>
        </w:rPr>
      </w:pPr>
      <w:r>
        <w:rPr>
          <w:rFonts w:cs="Times New Roman"/>
          <w:color w:val="auto"/>
          <w:lang w:val="zh-CN"/>
        </w:rPr>
        <w:t>1、农户排水设施建设不规范，缺乏统一的规划，</w:t>
      </w:r>
      <w:r>
        <w:rPr>
          <w:rFonts w:hint="eastAsia" w:cs="Times New Roman"/>
          <w:color w:val="auto"/>
          <w:lang w:val="zh-CN"/>
        </w:rPr>
        <w:t>少量</w:t>
      </w:r>
      <w:r>
        <w:rPr>
          <w:rFonts w:cs="Times New Roman"/>
          <w:color w:val="auto"/>
          <w:lang w:val="zh-CN"/>
        </w:rPr>
        <w:t>畜禽废水、生活污水排口混乱，难以收集，急需对农户排口进行整治，从源头实现村庄污水的收集，改善村庄人居环境。</w:t>
      </w:r>
    </w:p>
    <w:p>
      <w:pPr>
        <w:ind w:firstLine="480"/>
        <w:rPr>
          <w:rFonts w:cs="Times New Roman"/>
          <w:color w:val="auto"/>
          <w:lang w:val="zh-CN"/>
        </w:rPr>
      </w:pPr>
      <w:r>
        <w:rPr>
          <w:rFonts w:cs="Times New Roman"/>
          <w:color w:val="auto"/>
          <w:lang w:val="zh-CN"/>
        </w:rPr>
        <w:t>2、村庄污水收集设施缺乏，村庄污水散乱排放较为严重，污水混合着畜禽废水沿路面漫流，在村中滞留现象极为突出，急需根据村庄实际，建设一套完善的污水收集系统。</w:t>
      </w:r>
    </w:p>
    <w:p>
      <w:pPr>
        <w:ind w:firstLine="480"/>
        <w:rPr>
          <w:rFonts w:cs="Times New Roman"/>
          <w:color w:val="auto"/>
          <w:lang w:val="zh-CN"/>
        </w:rPr>
      </w:pPr>
      <w:r>
        <w:rPr>
          <w:rFonts w:cs="Times New Roman"/>
          <w:color w:val="auto"/>
          <w:lang w:val="zh-CN"/>
        </w:rPr>
        <w:t>3、村庄无任何污水处理系统，生活污水</w:t>
      </w:r>
      <w:r>
        <w:rPr>
          <w:rFonts w:hint="eastAsia" w:cs="Times New Roman"/>
          <w:color w:val="auto"/>
          <w:lang w:val="zh-CN"/>
        </w:rPr>
        <w:t>直排河道</w:t>
      </w:r>
      <w:r>
        <w:rPr>
          <w:rFonts w:cs="Times New Roman"/>
          <w:color w:val="auto"/>
          <w:lang w:val="zh-CN"/>
        </w:rPr>
        <w:t>，对河道水体污染严重，急需设置相应的污水处理设施，改善村庄污水对区域水体的污染。</w:t>
      </w:r>
    </w:p>
    <w:p>
      <w:pPr>
        <w:widowControl/>
        <w:spacing w:line="240" w:lineRule="auto"/>
        <w:ind w:firstLine="0" w:firstLineChars="0"/>
        <w:jc w:val="left"/>
        <w:rPr>
          <w:rFonts w:cs="Times New Roman"/>
          <w:color w:val="auto"/>
          <w:lang w:val="zh-CN"/>
        </w:rPr>
      </w:pPr>
      <w:r>
        <w:rPr>
          <w:rFonts w:cs="Times New Roman"/>
          <w:color w:val="auto"/>
          <w:lang w:val="zh-CN"/>
        </w:rPr>
        <w:br w:type="page"/>
      </w:r>
    </w:p>
    <w:p>
      <w:pPr>
        <w:pStyle w:val="3"/>
        <w:rPr>
          <w:color w:val="auto"/>
        </w:rPr>
      </w:pPr>
      <w:bookmarkStart w:id="124" w:name="_Toc48640722"/>
      <w:bookmarkStart w:id="125" w:name="_Toc36126915"/>
      <w:r>
        <w:rPr>
          <w:color w:val="auto"/>
        </w:rPr>
        <w:t>项目的重要性及必要性</w:t>
      </w:r>
      <w:bookmarkEnd w:id="124"/>
      <w:bookmarkEnd w:id="125"/>
    </w:p>
    <w:p>
      <w:pPr>
        <w:pStyle w:val="4"/>
      </w:pPr>
      <w:bookmarkStart w:id="126" w:name="_Toc48640723"/>
      <w:bookmarkStart w:id="127" w:name="_Toc36126916"/>
      <w:r>
        <w:t>贯彻水污染防治工作方案的需要</w:t>
      </w:r>
      <w:bookmarkEnd w:id="126"/>
      <w:bookmarkEnd w:id="127"/>
    </w:p>
    <w:p>
      <w:pPr>
        <w:ind w:firstLine="480"/>
        <w:rPr>
          <w:rFonts w:cs="Times New Roman"/>
          <w:color w:val="auto"/>
        </w:rPr>
      </w:pPr>
      <w:r>
        <w:rPr>
          <w:rFonts w:cs="Times New Roman"/>
          <w:color w:val="auto"/>
        </w:rPr>
        <w:t>国务院“水十条”明确提出近期水环境治理目标，到2020年，全国水环境质量得到阶段性改善，污染严重水体较大幅度减少；《云南省水污染防治工作方案》（云政发[2016] 3号）总体要求提出：按照 “保护好水质优良水体、整治不达标水体、全面改善水环境质量</w:t>
      </w:r>
      <w:r>
        <w:rPr>
          <w:rFonts w:eastAsia="宋体" w:cs="Times New Roman"/>
          <w:color w:val="auto"/>
        </w:rPr>
        <w:t>暠</w:t>
      </w:r>
      <w:r>
        <w:rPr>
          <w:rFonts w:hAnsi="仿宋_GB2312" w:cs="Times New Roman"/>
          <w:color w:val="auto"/>
        </w:rPr>
        <w:t>的总体思路</w:t>
      </w:r>
      <w:r>
        <w:rPr>
          <w:rFonts w:cs="Times New Roman"/>
          <w:color w:val="auto"/>
        </w:rPr>
        <w:t xml:space="preserve">，改革创新、综合施策，统筹推进水污染防治、水生态保护和水资源管理，切实维护好洱海、抚仙湖、泸沽湖等水质优良湖库和长江、珠江、澜沧江、红河、怒江、伊洛瓦底江六大水系优良水体的水生态环境质量；着力提升阳宗海、牛栏江、礼社江、黑惠江、波罗江、小河底河、芒市大河、勐波罗河等河湖水环境质量，提高优良水体比例；德宏州人民政府印发《德宏州水污染防治实施方案》主要指标中提出：到2020年，纳入国家考核的地表水优良水体 (达到或优于Ⅲ类)比例保持100%。        </w:t>
      </w:r>
    </w:p>
    <w:p>
      <w:pPr>
        <w:pStyle w:val="4"/>
      </w:pPr>
      <w:bookmarkStart w:id="128" w:name="_Toc36126917"/>
      <w:bookmarkStart w:id="129" w:name="_Toc48640724"/>
      <w:r>
        <w:t>经济与环境协调发展的需要</w:t>
      </w:r>
      <w:bookmarkEnd w:id="128"/>
      <w:bookmarkEnd w:id="129"/>
    </w:p>
    <w:p>
      <w:pPr>
        <w:ind w:firstLine="480"/>
        <w:rPr>
          <w:rFonts w:cs="Times New Roman"/>
          <w:color w:val="auto"/>
        </w:rPr>
      </w:pPr>
      <w:r>
        <w:rPr>
          <w:rFonts w:cs="Times New Roman"/>
          <w:color w:val="auto"/>
        </w:rPr>
        <w:t>根据规划芒市将成为能够辐射带动全州城镇化、信息化、工业化、农业现代化的重要黄金口岸的中心城市。因此，实施本项目可以为芒市发展提供良好的环境。</w:t>
      </w:r>
    </w:p>
    <w:p>
      <w:pPr>
        <w:ind w:firstLine="480"/>
        <w:rPr>
          <w:rFonts w:cs="Times New Roman"/>
          <w:color w:val="auto"/>
        </w:rPr>
      </w:pPr>
      <w:r>
        <w:rPr>
          <w:rFonts w:cs="Times New Roman"/>
          <w:color w:val="auto"/>
        </w:rPr>
        <w:t>芒市作为国家重点开发开放试验区，优质的创业、居住环境已经成为吸引投资的重要因素。</w:t>
      </w:r>
      <w:r>
        <w:rPr>
          <w:rFonts w:hint="eastAsia" w:cs="Times New Roman"/>
          <w:color w:val="auto"/>
        </w:rPr>
        <w:t>芒市大河</w:t>
      </w:r>
      <w:r>
        <w:rPr>
          <w:rFonts w:cs="Times New Roman"/>
          <w:color w:val="auto"/>
        </w:rPr>
        <w:t>开展流域范围内的污染治理，芒市大河水环境质量的持续改善，提升芒市投资环境，为芒市经济发展做出新的贡献。同时，对于优化德宏的生态和投资环境，促进经济社会可持续发展，构建“和谐德宏”，全面实现小康社会目标具有十分重要的意义和深远影响。</w:t>
      </w:r>
    </w:p>
    <w:p>
      <w:pPr>
        <w:pStyle w:val="4"/>
      </w:pPr>
      <w:bookmarkStart w:id="130" w:name="_Toc36126918"/>
      <w:bookmarkStart w:id="131" w:name="_Toc48640725"/>
      <w:r>
        <w:t>改善人居环境的需要</w:t>
      </w:r>
      <w:bookmarkEnd w:id="130"/>
      <w:bookmarkEnd w:id="131"/>
    </w:p>
    <w:p>
      <w:pPr>
        <w:ind w:firstLine="480"/>
        <w:rPr>
          <w:rFonts w:cs="Times New Roman"/>
          <w:color w:val="auto"/>
          <w:szCs w:val="24"/>
        </w:rPr>
      </w:pPr>
      <w:r>
        <w:rPr>
          <w:rFonts w:cs="Times New Roman"/>
          <w:color w:val="auto"/>
          <w:szCs w:val="24"/>
        </w:rPr>
        <w:t>2019 年中央一号文件《中共中央国务院关于坚持农业农村优先发展做好“三农”工作的若干意见》再次提出，要抓好农村人居环境整治三年行动，全面开展以农村垃圾污水治理、“厕所革命”和村容村貌提升为重点的农村人居环境整治，确保到2020年实现农村人居环境阶段性明显改善，村庄环境基本干净整洁有序，村民环境与健康意识普遍增强。</w:t>
      </w:r>
    </w:p>
    <w:p>
      <w:pPr>
        <w:ind w:firstLine="480"/>
        <w:rPr>
          <w:rFonts w:cs="Times New Roman"/>
          <w:color w:val="auto"/>
        </w:rPr>
      </w:pPr>
      <w:r>
        <w:rPr>
          <w:rFonts w:cs="Times New Roman"/>
          <w:color w:val="auto"/>
        </w:rPr>
        <w:t>根据云南省制定《云南省农村人居环境整治三年行动实施方案（2018—2020年）》要求，在继续深入推进城乡“四治三改一拆一增”、村庄“七改三清”行动的基础上，结合我省实际，突出问题导向，深入推进农村生活污水、大力推进农村厕所革命、着力提升村容村貌。农村生活污水治理要纳入河长制、湖长制管理。到2020年，乡（镇）镇区生活污水处理设施基本实现全覆盖，旅游特色型、美丽宜居型村庄，九大高原湖泊周边的村庄生活污水处理设施基本实现全覆盖。</w:t>
      </w:r>
    </w:p>
    <w:p>
      <w:pPr>
        <w:ind w:firstLine="480"/>
        <w:rPr>
          <w:rFonts w:cs="Times New Roman"/>
          <w:color w:val="auto"/>
          <w:szCs w:val="24"/>
        </w:rPr>
      </w:pPr>
      <w:r>
        <w:rPr>
          <w:rFonts w:cs="Times New Roman"/>
          <w:color w:val="auto"/>
        </w:rPr>
        <w:t>流域村庄</w:t>
      </w:r>
      <w:r>
        <w:rPr>
          <w:rFonts w:cs="Times New Roman"/>
          <w:color w:val="auto"/>
          <w:szCs w:val="24"/>
        </w:rPr>
        <w:t>现有粗放型的污水排放方式导致农村地区居住环境恶化，所以，区域农村生活污水处理设施的建设，是保护农村生态环境、提升农民科技知识、促进美丽乡村建设的重要举措，对乡村振兴战略的实现具有现实意义。</w:t>
      </w:r>
    </w:p>
    <w:p>
      <w:pPr>
        <w:widowControl/>
        <w:spacing w:line="240" w:lineRule="auto"/>
        <w:ind w:firstLine="0" w:firstLineChars="0"/>
        <w:jc w:val="left"/>
        <w:rPr>
          <w:rFonts w:cs="Times New Roman"/>
          <w:color w:val="auto"/>
          <w:szCs w:val="24"/>
        </w:rPr>
      </w:pPr>
      <w:r>
        <w:rPr>
          <w:rFonts w:cs="Times New Roman"/>
          <w:color w:val="auto"/>
          <w:szCs w:val="24"/>
        </w:rPr>
        <w:br w:type="page"/>
      </w:r>
    </w:p>
    <w:p>
      <w:pPr>
        <w:pStyle w:val="3"/>
        <w:rPr>
          <w:color w:val="auto"/>
        </w:rPr>
      </w:pPr>
      <w:bookmarkStart w:id="132" w:name="_Toc48640726"/>
      <w:bookmarkStart w:id="133" w:name="_Toc36126919"/>
      <w:r>
        <w:rPr>
          <w:color w:val="auto"/>
        </w:rPr>
        <w:t>工程总体设计思路</w:t>
      </w:r>
      <w:bookmarkEnd w:id="132"/>
      <w:bookmarkEnd w:id="133"/>
    </w:p>
    <w:p>
      <w:pPr>
        <w:pStyle w:val="4"/>
      </w:pPr>
      <w:bookmarkStart w:id="134" w:name="_Toc11663819"/>
      <w:bookmarkStart w:id="135" w:name="_Toc48640727"/>
      <w:bookmarkStart w:id="136" w:name="_Toc36126920"/>
      <w:bookmarkStart w:id="137" w:name="_Toc25705914"/>
      <w:r>
        <w:t>指导思想</w:t>
      </w:r>
      <w:bookmarkEnd w:id="134"/>
      <w:bookmarkEnd w:id="135"/>
      <w:bookmarkEnd w:id="136"/>
      <w:bookmarkEnd w:id="137"/>
    </w:p>
    <w:p>
      <w:pPr>
        <w:ind w:firstLine="480"/>
        <w:rPr>
          <w:rFonts w:cs="Times New Roman"/>
          <w:color w:val="auto"/>
        </w:rPr>
      </w:pPr>
      <w:bookmarkStart w:id="138" w:name="_Toc11663820"/>
      <w:r>
        <w:rPr>
          <w:rFonts w:cs="Times New Roman"/>
          <w:color w:val="auto"/>
        </w:rPr>
        <w:t>坚持以习近平生态文明思想为指导，</w:t>
      </w:r>
      <w:r>
        <w:rPr>
          <w:rFonts w:cs="Times New Roman"/>
          <w:color w:val="auto"/>
          <w:shd w:val="clear" w:color="auto" w:fill="FFFFFF"/>
        </w:rPr>
        <w:t>根据《中共中央、国</w:t>
      </w:r>
      <w:r>
        <w:rPr>
          <w:rFonts w:cs="Times New Roman"/>
          <w:color w:val="auto"/>
        </w:rPr>
        <w:t>务院关于全面加强生态环境保护坚决打好污染防治攻坚战的意见》和全国生态环境保护大会精神，深刻领会和把握“绿水青山就是金山银山”、把握“良好生态环境是最普惠的民生福祉”，着力打好碧水保卫战。推进伊洛瓦底江水系水污染防治、水生态保护和水资源管理。从流域概念、生态理念与系统控制论的思想出发，将河流水环境保护及生态恢复与全流域的社会经济发展、流域生态系统建设及人们文明生产生活行为融为一体。坚持以“截污治污”为指导思想，贯穿“建设绿色流域”理念，以保证水环境安全和保障流域生态安全为基础和核心，科学规划安排流域农村生活污水治理工作。</w:t>
      </w:r>
    </w:p>
    <w:p>
      <w:pPr>
        <w:ind w:firstLine="480"/>
        <w:rPr>
          <w:rFonts w:cs="Times New Roman"/>
          <w:color w:val="auto"/>
        </w:rPr>
      </w:pPr>
      <w:r>
        <w:rPr>
          <w:rFonts w:cs="Times New Roman"/>
          <w:color w:val="auto"/>
        </w:rPr>
        <w:t>全面贯彻党的十九大改善农村人居环境相关工作会议精神，结合实施乡村振兴战略的总要求，以建设美丽宜居村庄为导向，立足芒市各乡镇农村实际，围绕</w:t>
      </w:r>
      <w:r>
        <w:rPr>
          <w:rFonts w:cs="Times New Roman"/>
          <w:color w:val="auto"/>
          <w:lang w:val="zh-CN"/>
        </w:rPr>
        <w:t>削减污染物排放、改善农村水环境功效的基本目标，</w:t>
      </w:r>
      <w:r>
        <w:rPr>
          <w:rFonts w:cs="Times New Roman"/>
          <w:color w:val="auto"/>
        </w:rPr>
        <w:t>加强统筹规划，突出重点区域，选择适宜模式，完善标准体系，强化管护机制，</w:t>
      </w:r>
      <w:r>
        <w:rPr>
          <w:rFonts w:cs="Times New Roman"/>
          <w:color w:val="auto"/>
          <w:lang w:val="zh-CN"/>
        </w:rPr>
        <w:t>实现</w:t>
      </w:r>
      <w:r>
        <w:rPr>
          <w:rFonts w:cs="Times New Roman"/>
          <w:color w:val="auto"/>
        </w:rPr>
        <w:t>污水减量化、分类就地治理、循环利用，确保农村生活污水治理设施正常运行、持续发挥功效，为建立生态宜居农村和高水平小康社会提供保障。</w:t>
      </w:r>
    </w:p>
    <w:p>
      <w:pPr>
        <w:pStyle w:val="4"/>
      </w:pPr>
      <w:bookmarkStart w:id="139" w:name="_Toc36126921"/>
      <w:bookmarkStart w:id="140" w:name="_Toc25705915"/>
      <w:bookmarkStart w:id="141" w:name="_Toc48640728"/>
      <w:r>
        <w:t>项目目标</w:t>
      </w:r>
      <w:bookmarkEnd w:id="138"/>
      <w:bookmarkEnd w:id="139"/>
      <w:bookmarkEnd w:id="140"/>
      <w:bookmarkEnd w:id="141"/>
    </w:p>
    <w:p>
      <w:pPr>
        <w:ind w:firstLine="482"/>
        <w:rPr>
          <w:rFonts w:cs="Times New Roman"/>
          <w:color w:val="auto"/>
        </w:rPr>
      </w:pPr>
      <w:bookmarkStart w:id="142" w:name="_Toc11663821"/>
      <w:r>
        <w:rPr>
          <w:rFonts w:cs="Times New Roman"/>
          <w:b/>
          <w:color w:val="auto"/>
        </w:rPr>
        <w:t>总体目标</w:t>
      </w:r>
      <w:r>
        <w:rPr>
          <w:rFonts w:cs="Times New Roman"/>
          <w:color w:val="auto"/>
        </w:rPr>
        <w:t>：</w:t>
      </w:r>
    </w:p>
    <w:p>
      <w:pPr>
        <w:ind w:firstLine="480"/>
        <w:rPr>
          <w:rFonts w:cs="Times New Roman"/>
          <w:color w:val="auto"/>
          <w:lang w:val="zh-CN"/>
        </w:rPr>
      </w:pPr>
      <w:r>
        <w:rPr>
          <w:rFonts w:cs="Times New Roman"/>
          <w:color w:val="auto"/>
        </w:rPr>
        <w:t>通过全面、系统、科学的分析，采取有效的治理措施对</w:t>
      </w:r>
      <w:r>
        <w:rPr>
          <w:rFonts w:hint="eastAsia" w:cs="Times New Roman"/>
          <w:color w:val="auto"/>
        </w:rPr>
        <w:t>芒市大河流域户拉断面重点</w:t>
      </w:r>
      <w:r>
        <w:rPr>
          <w:rFonts w:cs="Times New Roman"/>
          <w:color w:val="auto"/>
        </w:rPr>
        <w:t>村庄污水收集处理，解决村庄生活污水污染问题，提升村庄人居环境，有效削减排入</w:t>
      </w:r>
      <w:r>
        <w:rPr>
          <w:rFonts w:hint="eastAsia" w:cs="Times New Roman"/>
          <w:color w:val="auto"/>
        </w:rPr>
        <w:t>芒市大河</w:t>
      </w:r>
      <w:r>
        <w:rPr>
          <w:rFonts w:cs="Times New Roman"/>
          <w:color w:val="auto"/>
        </w:rPr>
        <w:t>污染负荷，</w:t>
      </w:r>
      <w:r>
        <w:rPr>
          <w:rFonts w:cs="Times New Roman"/>
          <w:color w:val="auto"/>
          <w:lang w:val="zh-CN"/>
        </w:rPr>
        <w:t>逐步</w:t>
      </w:r>
      <w:r>
        <w:rPr>
          <w:rFonts w:hint="eastAsia" w:cs="Times New Roman"/>
          <w:color w:val="auto"/>
          <w:lang w:val="zh-CN"/>
        </w:rPr>
        <w:t>提升户拉断面</w:t>
      </w:r>
      <w:r>
        <w:rPr>
          <w:rFonts w:cs="Times New Roman"/>
          <w:color w:val="auto"/>
          <w:lang w:val="zh-CN"/>
        </w:rPr>
        <w:t>水环境质量。</w:t>
      </w:r>
    </w:p>
    <w:p>
      <w:pPr>
        <w:ind w:firstLine="482"/>
        <w:rPr>
          <w:rFonts w:cs="Times New Roman"/>
          <w:b/>
          <w:color w:val="auto"/>
        </w:rPr>
      </w:pPr>
      <w:r>
        <w:rPr>
          <w:rFonts w:cs="Times New Roman"/>
          <w:b/>
          <w:color w:val="auto"/>
        </w:rPr>
        <w:t>工程目标：</w:t>
      </w:r>
    </w:p>
    <w:p>
      <w:pPr>
        <w:ind w:firstLine="480"/>
        <w:rPr>
          <w:rFonts w:cs="Times New Roman"/>
          <w:color w:val="auto"/>
          <w:kern w:val="0"/>
          <w:szCs w:val="20"/>
        </w:rPr>
      </w:pPr>
      <w:r>
        <w:rPr>
          <w:rFonts w:cs="Times New Roman"/>
          <w:color w:val="auto"/>
        </w:rPr>
        <w:t>污水收集处理率</w:t>
      </w:r>
      <w:r>
        <w:rPr>
          <w:rFonts w:cs="Times New Roman"/>
          <w:color w:val="auto"/>
          <w:kern w:val="0"/>
          <w:szCs w:val="20"/>
        </w:rPr>
        <w:t>≥80%。</w:t>
      </w:r>
    </w:p>
    <w:p>
      <w:pPr>
        <w:ind w:firstLine="482"/>
        <w:rPr>
          <w:rStyle w:val="377"/>
          <w:color w:val="auto"/>
        </w:rPr>
      </w:pPr>
      <w:r>
        <w:rPr>
          <w:rStyle w:val="377"/>
          <w:color w:val="auto"/>
        </w:rPr>
        <w:t>污染物削减目标：</w:t>
      </w:r>
    </w:p>
    <w:p>
      <w:pPr>
        <w:ind w:firstLine="480"/>
        <w:rPr>
          <w:rFonts w:cs="Times New Roman"/>
          <w:color w:val="FF0000"/>
          <w:kern w:val="0"/>
        </w:rPr>
      </w:pPr>
      <w:r>
        <w:rPr>
          <w:rFonts w:cs="Times New Roman"/>
          <w:color w:val="auto"/>
        </w:rPr>
        <w:t>预计每年削减农村生活污水污染负荷：COD</w:t>
      </w:r>
      <w:r>
        <w:rPr>
          <w:rFonts w:hint="eastAsia" w:cs="Times New Roman"/>
          <w:color w:val="auto"/>
        </w:rPr>
        <w:t>5.04</w:t>
      </w:r>
      <w:r>
        <w:rPr>
          <w:rFonts w:cs="Times New Roman"/>
          <w:color w:val="auto"/>
        </w:rPr>
        <w:t>t/a，TN</w:t>
      </w:r>
      <w:r>
        <w:rPr>
          <w:rFonts w:hint="eastAsia" w:cs="Times New Roman"/>
          <w:color w:val="auto"/>
          <w:kern w:val="0"/>
        </w:rPr>
        <w:t>0.51</w:t>
      </w:r>
      <w:r>
        <w:rPr>
          <w:rFonts w:cs="Times New Roman"/>
          <w:color w:val="auto"/>
          <w:kern w:val="0"/>
        </w:rPr>
        <w:t>t/a，TP</w:t>
      </w:r>
      <w:r>
        <w:rPr>
          <w:rFonts w:hint="eastAsia" w:cs="Times New Roman"/>
          <w:color w:val="auto"/>
          <w:kern w:val="0"/>
        </w:rPr>
        <w:t>0.05</w:t>
      </w:r>
      <w:r>
        <w:rPr>
          <w:rFonts w:cs="Times New Roman"/>
          <w:color w:val="auto"/>
          <w:kern w:val="0"/>
        </w:rPr>
        <w:t>t/a，NH</w:t>
      </w:r>
      <w:r>
        <w:rPr>
          <w:rFonts w:cs="Times New Roman"/>
          <w:color w:val="auto"/>
          <w:kern w:val="0"/>
          <w:vertAlign w:val="subscript"/>
        </w:rPr>
        <w:t>3</w:t>
      </w:r>
      <w:r>
        <w:rPr>
          <w:rFonts w:cs="Times New Roman"/>
          <w:color w:val="auto"/>
          <w:kern w:val="0"/>
        </w:rPr>
        <w:t>-N</w:t>
      </w:r>
      <w:r>
        <w:rPr>
          <w:rFonts w:hint="eastAsia" w:cs="Times New Roman"/>
          <w:color w:val="auto"/>
          <w:kern w:val="0"/>
        </w:rPr>
        <w:t>0.93</w:t>
      </w:r>
      <w:r>
        <w:rPr>
          <w:rFonts w:cs="Times New Roman"/>
          <w:color w:val="auto"/>
          <w:kern w:val="0"/>
        </w:rPr>
        <w:t>t/a。</w:t>
      </w:r>
    </w:p>
    <w:p>
      <w:pPr>
        <w:ind w:firstLine="480"/>
        <w:rPr>
          <w:rFonts w:cs="Times New Roman"/>
          <w:color w:val="auto"/>
          <w:kern w:val="0"/>
        </w:rPr>
      </w:pPr>
    </w:p>
    <w:p>
      <w:pPr>
        <w:pStyle w:val="4"/>
      </w:pPr>
      <w:bookmarkStart w:id="143" w:name="_Toc25705916"/>
      <w:bookmarkStart w:id="144" w:name="_Toc48640729"/>
      <w:bookmarkStart w:id="145" w:name="_Toc36126922"/>
      <w:r>
        <w:t>总体技术方案</w:t>
      </w:r>
      <w:bookmarkEnd w:id="142"/>
      <w:bookmarkEnd w:id="143"/>
      <w:bookmarkEnd w:id="144"/>
      <w:bookmarkEnd w:id="145"/>
    </w:p>
    <w:p>
      <w:pPr>
        <w:ind w:firstLine="480"/>
        <w:rPr>
          <w:rFonts w:cs="Times New Roman"/>
          <w:color w:val="auto"/>
          <w:kern w:val="0"/>
          <w:szCs w:val="20"/>
        </w:rPr>
      </w:pPr>
      <w:r>
        <w:rPr>
          <w:rFonts w:cs="Times New Roman"/>
          <w:color w:val="auto"/>
        </w:rPr>
        <w:t>（1）</w:t>
      </w:r>
      <w:r>
        <w:rPr>
          <w:rFonts w:cs="Times New Roman"/>
          <w:color w:val="auto"/>
          <w:kern w:val="0"/>
          <w:szCs w:val="20"/>
        </w:rPr>
        <w:t>根据流域水环境功能现状，对村庄进行敏感性分析，合理划定项目范围，确定项目目标</w:t>
      </w:r>
      <w:r>
        <w:rPr>
          <w:rFonts w:cs="Times New Roman"/>
          <w:color w:val="auto"/>
        </w:rPr>
        <w:t>和任务</w:t>
      </w:r>
      <w:r>
        <w:rPr>
          <w:rFonts w:cs="Times New Roman"/>
          <w:color w:val="auto"/>
          <w:kern w:val="0"/>
          <w:szCs w:val="20"/>
        </w:rPr>
        <w:t>；</w:t>
      </w:r>
    </w:p>
    <w:p>
      <w:pPr>
        <w:ind w:firstLine="480"/>
        <w:rPr>
          <w:rFonts w:cs="Times New Roman"/>
          <w:color w:val="auto"/>
        </w:rPr>
      </w:pPr>
      <w:r>
        <w:rPr>
          <w:rFonts w:cs="Times New Roman"/>
          <w:color w:val="auto"/>
        </w:rPr>
        <w:t>（2）根据规划区域内各自然村的地理位置、区域布局、人口数量、地形地貌、环境敏感程度、排水去向等，掌握村庄基础资料；划分自然村类别，论证村庄生活污水收集模式、治理模式；</w:t>
      </w:r>
    </w:p>
    <w:p>
      <w:pPr>
        <w:ind w:firstLine="480"/>
        <w:rPr>
          <w:rFonts w:cs="Times New Roman"/>
          <w:color w:val="auto"/>
          <w:kern w:val="0"/>
          <w:szCs w:val="20"/>
        </w:rPr>
      </w:pPr>
      <w:r>
        <w:rPr>
          <w:rFonts w:cs="Times New Roman"/>
          <w:color w:val="auto"/>
          <w:kern w:val="0"/>
          <w:szCs w:val="20"/>
        </w:rPr>
        <w:t>（3）</w:t>
      </w:r>
      <w:r>
        <w:rPr>
          <w:rFonts w:cs="Times New Roman"/>
          <w:color w:val="auto"/>
        </w:rPr>
        <w:t>结合当地经济发展、地形地貌及气候条件、居民生活习惯、原有排水设施以及污水处理和利用等因素综合考虑确定。</w:t>
      </w:r>
      <w:r>
        <w:rPr>
          <w:rFonts w:cs="Times New Roman"/>
          <w:color w:val="auto"/>
          <w:kern w:val="0"/>
          <w:szCs w:val="20"/>
        </w:rPr>
        <w:t>分析村庄生活污水</w:t>
      </w:r>
      <w:r>
        <w:rPr>
          <w:rFonts w:cs="Times New Roman"/>
          <w:color w:val="auto"/>
        </w:rPr>
        <w:t>排水体制，优化</w:t>
      </w:r>
      <w:r>
        <w:rPr>
          <w:rFonts w:cs="Times New Roman"/>
          <w:color w:val="auto"/>
          <w:kern w:val="0"/>
          <w:szCs w:val="20"/>
        </w:rPr>
        <w:t>收集平面布置、工程设计、污水处理设施选址、工艺，因地制宜的设置村庄生活污水收集、处理设施。</w:t>
      </w:r>
    </w:p>
    <w:p>
      <w:pPr>
        <w:ind w:firstLine="480"/>
        <w:rPr>
          <w:rFonts w:cs="Times New Roman"/>
          <w:color w:val="auto"/>
        </w:rPr>
      </w:pPr>
      <w:r>
        <w:rPr>
          <w:rFonts w:cs="Times New Roman"/>
          <w:color w:val="auto"/>
        </w:rPr>
        <w:t>（4）按照污水收集系统、处理设施、动力等辅助设施的运行维护和管理要求，完善污水处理设施管理措施，提出合理的运维管理措施。</w:t>
      </w: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widowControl/>
        <w:spacing w:line="240" w:lineRule="auto"/>
        <w:ind w:firstLine="0" w:firstLineChars="0"/>
        <w:jc w:val="left"/>
        <w:rPr>
          <w:rFonts w:cs="Times New Roman"/>
          <w:color w:val="auto"/>
          <w:szCs w:val="24"/>
        </w:rPr>
      </w:pPr>
      <w:r>
        <w:rPr>
          <w:rFonts w:cs="Times New Roman"/>
          <w:color w:val="auto"/>
          <w:szCs w:val="24"/>
        </w:rPr>
        <w:br w:type="page"/>
      </w:r>
    </w:p>
    <w:p>
      <w:pPr>
        <w:pStyle w:val="3"/>
        <w:rPr>
          <w:color w:val="auto"/>
          <w:kern w:val="0"/>
        </w:rPr>
      </w:pPr>
      <w:bookmarkStart w:id="146" w:name="_Toc48640730"/>
      <w:bookmarkStart w:id="147" w:name="_Toc36126923"/>
      <w:r>
        <w:rPr>
          <w:color w:val="auto"/>
          <w:kern w:val="0"/>
        </w:rPr>
        <w:t>方案论证</w:t>
      </w:r>
      <w:bookmarkEnd w:id="146"/>
      <w:bookmarkEnd w:id="147"/>
    </w:p>
    <w:p>
      <w:pPr>
        <w:pStyle w:val="4"/>
      </w:pPr>
      <w:bookmarkStart w:id="148" w:name="_Toc48640731"/>
      <w:bookmarkStart w:id="149" w:name="_Toc36126924"/>
      <w:r>
        <w:t>工程建设方案遵循原则</w:t>
      </w:r>
      <w:bookmarkEnd w:id="148"/>
      <w:bookmarkEnd w:id="149"/>
    </w:p>
    <w:p>
      <w:pPr>
        <w:ind w:firstLine="480"/>
        <w:rPr>
          <w:rFonts w:cs="Times New Roman"/>
          <w:color w:val="auto"/>
          <w:kern w:val="0"/>
        </w:rPr>
      </w:pPr>
      <w:r>
        <w:rPr>
          <w:rFonts w:cs="Times New Roman"/>
          <w:color w:val="auto"/>
          <w:kern w:val="0"/>
        </w:rPr>
        <w:t>整个工程设计基于以下原则进行：</w:t>
      </w:r>
    </w:p>
    <w:p>
      <w:pPr>
        <w:ind w:firstLine="480"/>
        <w:rPr>
          <w:rFonts w:cs="Times New Roman"/>
          <w:color w:val="auto"/>
          <w:kern w:val="0"/>
        </w:rPr>
      </w:pPr>
      <w:r>
        <w:rPr>
          <w:rFonts w:cs="Times New Roman"/>
          <w:color w:val="auto"/>
          <w:kern w:val="0"/>
        </w:rPr>
        <w:t>（1）整个系统设计遵循相关规划要求，并结合</w:t>
      </w:r>
      <w:r>
        <w:rPr>
          <w:rFonts w:hint="eastAsia" w:cs="Times New Roman"/>
          <w:color w:val="auto"/>
          <w:kern w:val="0"/>
        </w:rPr>
        <w:t>遮放镇</w:t>
      </w:r>
      <w:r>
        <w:rPr>
          <w:rFonts w:cs="Times New Roman"/>
          <w:color w:val="auto"/>
          <w:kern w:val="0"/>
        </w:rPr>
        <w:t>的实际情况，充分考虑实施的可能性；</w:t>
      </w:r>
    </w:p>
    <w:p>
      <w:pPr>
        <w:ind w:firstLine="480"/>
        <w:rPr>
          <w:rFonts w:cs="Times New Roman"/>
          <w:color w:val="auto"/>
          <w:kern w:val="0"/>
        </w:rPr>
      </w:pPr>
      <w:r>
        <w:rPr>
          <w:rFonts w:cs="Times New Roman"/>
          <w:color w:val="auto"/>
          <w:kern w:val="0"/>
        </w:rPr>
        <w:t>（</w:t>
      </w:r>
      <w:r>
        <w:rPr>
          <w:rFonts w:hint="eastAsia" w:cs="Times New Roman"/>
          <w:color w:val="auto"/>
          <w:kern w:val="0"/>
        </w:rPr>
        <w:t>2</w:t>
      </w:r>
      <w:r>
        <w:rPr>
          <w:rFonts w:cs="Times New Roman"/>
          <w:color w:val="auto"/>
          <w:kern w:val="0"/>
        </w:rPr>
        <w:t>）结合</w:t>
      </w:r>
      <w:r>
        <w:rPr>
          <w:rFonts w:hint="eastAsia" w:cs="Times New Roman"/>
          <w:color w:val="auto"/>
          <w:kern w:val="0"/>
        </w:rPr>
        <w:t>相关</w:t>
      </w:r>
      <w:r>
        <w:rPr>
          <w:rFonts w:cs="Times New Roman"/>
          <w:color w:val="auto"/>
          <w:kern w:val="0"/>
        </w:rPr>
        <w:t>规划、地形等特点及主要水系分布特点，污水处理采用集中式处理方式，在适宜位置建设污水处理站；</w:t>
      </w:r>
    </w:p>
    <w:p>
      <w:pPr>
        <w:ind w:firstLine="480"/>
        <w:rPr>
          <w:rFonts w:cs="Times New Roman"/>
          <w:color w:val="auto"/>
          <w:kern w:val="0"/>
        </w:rPr>
      </w:pPr>
      <w:r>
        <w:rPr>
          <w:rFonts w:cs="Times New Roman"/>
          <w:color w:val="auto"/>
          <w:kern w:val="0"/>
        </w:rPr>
        <w:t>（</w:t>
      </w:r>
      <w:r>
        <w:rPr>
          <w:rFonts w:hint="eastAsia" w:cs="Times New Roman"/>
          <w:color w:val="auto"/>
          <w:kern w:val="0"/>
        </w:rPr>
        <w:t>3</w:t>
      </w:r>
      <w:r>
        <w:rPr>
          <w:rFonts w:cs="Times New Roman"/>
          <w:color w:val="auto"/>
          <w:kern w:val="0"/>
        </w:rPr>
        <w:t>）科学安排管网建设计划，尽量结合近期道路实施计划，与道路同步实施；结合污水处理站位置进行合理的管网系统布局，最大限度提高污水收集率，以最短的管线尽量将</w:t>
      </w:r>
      <w:r>
        <w:rPr>
          <w:rFonts w:hint="eastAsia" w:cs="Times New Roman"/>
          <w:color w:val="auto"/>
          <w:kern w:val="0"/>
        </w:rPr>
        <w:t>设计</w:t>
      </w:r>
      <w:r>
        <w:rPr>
          <w:rFonts w:cs="Times New Roman"/>
          <w:color w:val="auto"/>
          <w:kern w:val="0"/>
        </w:rPr>
        <w:t>范围内的污水收集至污水处理站；</w:t>
      </w:r>
    </w:p>
    <w:p>
      <w:pPr>
        <w:ind w:firstLine="480"/>
        <w:rPr>
          <w:rFonts w:cs="Times New Roman"/>
          <w:color w:val="auto"/>
          <w:kern w:val="0"/>
        </w:rPr>
      </w:pPr>
      <w:r>
        <w:rPr>
          <w:rFonts w:cs="Times New Roman"/>
          <w:color w:val="auto"/>
          <w:kern w:val="0"/>
        </w:rPr>
        <w:t>（</w:t>
      </w:r>
      <w:r>
        <w:rPr>
          <w:rFonts w:hint="eastAsia" w:cs="Times New Roman"/>
          <w:color w:val="auto"/>
          <w:kern w:val="0"/>
        </w:rPr>
        <w:t>4</w:t>
      </w:r>
      <w:r>
        <w:rPr>
          <w:rFonts w:cs="Times New Roman"/>
          <w:color w:val="auto"/>
          <w:kern w:val="0"/>
        </w:rPr>
        <w:t>）考虑尽可能降低工程的总造价和经常性运行管理费用，节省投资；</w:t>
      </w:r>
    </w:p>
    <w:p>
      <w:pPr>
        <w:ind w:firstLine="480"/>
        <w:rPr>
          <w:rFonts w:cs="Times New Roman"/>
          <w:color w:val="auto"/>
          <w:kern w:val="0"/>
        </w:rPr>
      </w:pPr>
      <w:r>
        <w:rPr>
          <w:rFonts w:cs="Times New Roman"/>
          <w:color w:val="auto"/>
          <w:kern w:val="0"/>
        </w:rPr>
        <w:t>（</w:t>
      </w:r>
      <w:r>
        <w:rPr>
          <w:rFonts w:hint="eastAsia" w:cs="Times New Roman"/>
          <w:color w:val="auto"/>
          <w:kern w:val="0"/>
        </w:rPr>
        <w:t>5</w:t>
      </w:r>
      <w:r>
        <w:rPr>
          <w:rFonts w:cs="Times New Roman"/>
          <w:color w:val="auto"/>
          <w:kern w:val="0"/>
        </w:rPr>
        <w:t>）为减少对</w:t>
      </w:r>
      <w:r>
        <w:rPr>
          <w:rFonts w:hint="eastAsia" w:cs="Times New Roman"/>
          <w:color w:val="auto"/>
          <w:kern w:val="0"/>
        </w:rPr>
        <w:t>村庄</w:t>
      </w:r>
      <w:r>
        <w:rPr>
          <w:rFonts w:cs="Times New Roman"/>
          <w:color w:val="auto"/>
          <w:kern w:val="0"/>
        </w:rPr>
        <w:t>规划的影响，并便于日后的检修维护，污水管线尽量敷设于已建道路、规划道路及规划确定的绿化带下；</w:t>
      </w:r>
    </w:p>
    <w:p>
      <w:pPr>
        <w:ind w:firstLine="480"/>
        <w:rPr>
          <w:rFonts w:cs="Times New Roman"/>
          <w:color w:val="auto"/>
          <w:kern w:val="0"/>
        </w:rPr>
      </w:pPr>
      <w:r>
        <w:rPr>
          <w:rFonts w:cs="Times New Roman"/>
          <w:color w:val="auto"/>
          <w:kern w:val="0"/>
        </w:rPr>
        <w:t>（</w:t>
      </w:r>
      <w:r>
        <w:rPr>
          <w:rFonts w:hint="eastAsia" w:cs="Times New Roman"/>
          <w:color w:val="auto"/>
          <w:kern w:val="0"/>
        </w:rPr>
        <w:t>6</w:t>
      </w:r>
      <w:r>
        <w:rPr>
          <w:rFonts w:cs="Times New Roman"/>
          <w:color w:val="auto"/>
          <w:kern w:val="0"/>
        </w:rPr>
        <w:t>）为减少运行维护费用，新建污水管尽量采用重力流。</w:t>
      </w:r>
    </w:p>
    <w:p>
      <w:pPr>
        <w:pStyle w:val="4"/>
      </w:pPr>
      <w:bookmarkStart w:id="150" w:name="_Toc36126925"/>
      <w:bookmarkStart w:id="151" w:name="_Toc48640732"/>
      <w:r>
        <w:t>工程服务范围</w:t>
      </w:r>
      <w:bookmarkEnd w:id="150"/>
      <w:bookmarkEnd w:id="151"/>
    </w:p>
    <w:p>
      <w:pPr>
        <w:ind w:firstLine="480"/>
        <w:rPr>
          <w:rFonts w:cs="Times New Roman"/>
          <w:color w:val="auto"/>
        </w:rPr>
      </w:pPr>
      <w:r>
        <w:rPr>
          <w:rFonts w:hint="eastAsia" w:cs="Times New Roman"/>
          <w:color w:val="auto"/>
          <w:kern w:val="0"/>
        </w:rPr>
        <w:t>芒市大河流域</w:t>
      </w:r>
      <w:r>
        <w:rPr>
          <w:rFonts w:cs="Times New Roman"/>
          <w:color w:val="auto"/>
          <w:kern w:val="0"/>
        </w:rPr>
        <w:t>农村生活污水收集处理工程主要服务于</w:t>
      </w:r>
      <w:r>
        <w:rPr>
          <w:rFonts w:hint="eastAsia" w:cs="Times New Roman"/>
          <w:color w:val="auto"/>
        </w:rPr>
        <w:t>户拉村、芒瓦村2</w:t>
      </w:r>
      <w:r>
        <w:rPr>
          <w:rFonts w:cs="Times New Roman"/>
          <w:color w:val="auto"/>
        </w:rPr>
        <w:t>个自然村，涉及农户</w:t>
      </w:r>
      <w:r>
        <w:rPr>
          <w:rFonts w:hint="eastAsia" w:cs="Times New Roman"/>
          <w:color w:val="auto"/>
        </w:rPr>
        <w:t>287</w:t>
      </w:r>
      <w:r>
        <w:rPr>
          <w:rFonts w:cs="Times New Roman"/>
          <w:color w:val="auto"/>
        </w:rPr>
        <w:t>户，</w:t>
      </w:r>
      <w:r>
        <w:rPr>
          <w:rFonts w:hint="eastAsia" w:cs="Times New Roman"/>
          <w:color w:val="auto"/>
        </w:rPr>
        <w:t>1396</w:t>
      </w:r>
      <w:r>
        <w:rPr>
          <w:rFonts w:cs="Times New Roman"/>
          <w:color w:val="auto"/>
        </w:rPr>
        <w:t>人</w:t>
      </w:r>
      <w:r>
        <w:rPr>
          <w:rFonts w:hint="eastAsia" w:cs="Times New Roman"/>
          <w:color w:val="auto"/>
        </w:rPr>
        <w:t>。</w:t>
      </w:r>
    </w:p>
    <w:p>
      <w:pPr>
        <w:pStyle w:val="4"/>
      </w:pPr>
      <w:bookmarkStart w:id="152" w:name="_Toc36126926"/>
      <w:bookmarkStart w:id="153" w:name="_Toc48640733"/>
      <w:r>
        <w:t>设计年限</w:t>
      </w:r>
      <w:bookmarkEnd w:id="152"/>
      <w:bookmarkEnd w:id="153"/>
    </w:p>
    <w:p>
      <w:pPr>
        <w:ind w:firstLine="480"/>
        <w:rPr>
          <w:rFonts w:cs="Times New Roman"/>
          <w:color w:val="auto"/>
          <w:kern w:val="0"/>
        </w:rPr>
      </w:pPr>
      <w:r>
        <w:rPr>
          <w:rFonts w:cs="Times New Roman"/>
          <w:color w:val="auto"/>
          <w:kern w:val="0"/>
        </w:rPr>
        <w:t>根据《室外排水设计规范》规定，工程近期服务年限应为5-10 年，远期应为10-20 年；同时根据</w:t>
      </w:r>
      <w:r>
        <w:rPr>
          <w:rFonts w:cs="Times New Roman"/>
          <w:color w:val="auto"/>
          <w:szCs w:val="24"/>
        </w:rPr>
        <w:t>《关于印发〈全国农村环境连片整治工作指南（试行）〉的通知》</w:t>
      </w:r>
      <w:r>
        <w:rPr>
          <w:rFonts w:cs="Times New Roman"/>
          <w:color w:val="auto"/>
          <w:kern w:val="0"/>
        </w:rPr>
        <w:t>因此本可研的设计年限调整为：15年。</w:t>
      </w:r>
    </w:p>
    <w:p>
      <w:pPr>
        <w:pStyle w:val="4"/>
      </w:pPr>
      <w:bookmarkStart w:id="154" w:name="_Toc36126927"/>
      <w:bookmarkStart w:id="155" w:name="_Toc48640734"/>
      <w:r>
        <w:t>服务人口</w:t>
      </w:r>
      <w:bookmarkEnd w:id="154"/>
      <w:bookmarkEnd w:id="155"/>
    </w:p>
    <w:p>
      <w:pPr>
        <w:ind w:firstLine="480"/>
        <w:rPr>
          <w:rFonts w:cs="Times New Roman"/>
          <w:color w:val="auto"/>
        </w:rPr>
      </w:pPr>
      <w:r>
        <w:rPr>
          <w:rFonts w:hint="eastAsia" w:cs="Times New Roman"/>
          <w:color w:val="auto"/>
        </w:rPr>
        <w:t>芒市大河户拉断面户拉村、芒瓦村2</w:t>
      </w:r>
      <w:r>
        <w:rPr>
          <w:rFonts w:cs="Times New Roman"/>
          <w:color w:val="auto"/>
        </w:rPr>
        <w:t>个自然村，现状服务农户</w:t>
      </w:r>
      <w:r>
        <w:rPr>
          <w:rFonts w:hint="eastAsia" w:cs="Times New Roman"/>
          <w:color w:val="auto"/>
        </w:rPr>
        <w:t>287</w:t>
      </w:r>
      <w:r>
        <w:rPr>
          <w:rFonts w:cs="Times New Roman"/>
          <w:color w:val="auto"/>
        </w:rPr>
        <w:t>户，</w:t>
      </w:r>
      <w:r>
        <w:rPr>
          <w:rFonts w:hint="eastAsia" w:cs="Times New Roman"/>
          <w:color w:val="auto"/>
        </w:rPr>
        <w:t>1396</w:t>
      </w:r>
      <w:r>
        <w:rPr>
          <w:rFonts w:cs="Times New Roman"/>
          <w:color w:val="auto"/>
        </w:rPr>
        <w:t>人。人口增长率取7‰，预测人口下表：</w:t>
      </w:r>
    </w:p>
    <w:p>
      <w:pPr>
        <w:pStyle w:val="112"/>
        <w:rPr>
          <w:color w:val="auto"/>
        </w:rPr>
      </w:pPr>
    </w:p>
    <w:p>
      <w:pPr>
        <w:pStyle w:val="112"/>
        <w:rPr>
          <w:color w:val="auto"/>
        </w:rPr>
      </w:pPr>
    </w:p>
    <w:p>
      <w:pPr>
        <w:pStyle w:val="112"/>
        <w:rPr>
          <w:color w:val="auto"/>
        </w:rPr>
      </w:pP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5.4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预测人口统计表</w:t>
      </w:r>
    </w:p>
    <w:tbl>
      <w:tblPr>
        <w:tblStyle w:val="88"/>
        <w:tblW w:w="8620" w:type="dxa"/>
        <w:jc w:val="center"/>
        <w:tblLayout w:type="autofit"/>
        <w:tblCellMar>
          <w:top w:w="0" w:type="dxa"/>
          <w:left w:w="108" w:type="dxa"/>
          <w:bottom w:w="0" w:type="dxa"/>
          <w:right w:w="108" w:type="dxa"/>
        </w:tblCellMar>
      </w:tblPr>
      <w:tblGrid>
        <w:gridCol w:w="1080"/>
        <w:gridCol w:w="1344"/>
        <w:gridCol w:w="1619"/>
        <w:gridCol w:w="1276"/>
        <w:gridCol w:w="1641"/>
        <w:gridCol w:w="1660"/>
      </w:tblGrid>
      <w:tr>
        <w:tblPrEx>
          <w:tblCellMar>
            <w:top w:w="0" w:type="dxa"/>
            <w:left w:w="108" w:type="dxa"/>
            <w:bottom w:w="0" w:type="dxa"/>
            <w:right w:w="108" w:type="dxa"/>
          </w:tblCellMar>
        </w:tblPrEx>
        <w:trPr>
          <w:trHeight w:val="36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b/>
                <w:kern w:val="0"/>
                <w:szCs w:val="21"/>
              </w:rPr>
            </w:pPr>
            <w:r>
              <w:rPr>
                <w:b/>
                <w:kern w:val="0"/>
                <w:szCs w:val="21"/>
              </w:rPr>
              <w:t>乡镇</w:t>
            </w:r>
          </w:p>
        </w:tc>
        <w:tc>
          <w:tcPr>
            <w:tcW w:w="1344"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szCs w:val="21"/>
              </w:rPr>
            </w:pPr>
            <w:r>
              <w:rPr>
                <w:b/>
                <w:kern w:val="0"/>
                <w:szCs w:val="21"/>
              </w:rPr>
              <w:t>村委会</w:t>
            </w:r>
          </w:p>
        </w:tc>
        <w:tc>
          <w:tcPr>
            <w:tcW w:w="1619"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szCs w:val="21"/>
              </w:rPr>
            </w:pPr>
            <w:r>
              <w:rPr>
                <w:b/>
                <w:kern w:val="0"/>
                <w:szCs w:val="21"/>
              </w:rPr>
              <w:t>自然村</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szCs w:val="21"/>
              </w:rPr>
            </w:pPr>
            <w:r>
              <w:rPr>
                <w:b/>
                <w:kern w:val="0"/>
                <w:szCs w:val="21"/>
              </w:rPr>
              <w:t>户数（户）</w:t>
            </w:r>
          </w:p>
        </w:tc>
        <w:tc>
          <w:tcPr>
            <w:tcW w:w="1641"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szCs w:val="21"/>
              </w:rPr>
            </w:pPr>
            <w:r>
              <w:rPr>
                <w:b/>
                <w:kern w:val="0"/>
                <w:szCs w:val="21"/>
              </w:rPr>
              <w:t>现状人口（人）</w:t>
            </w:r>
          </w:p>
        </w:tc>
        <w:tc>
          <w:tcPr>
            <w:tcW w:w="166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b/>
                <w:kern w:val="0"/>
                <w:szCs w:val="21"/>
              </w:rPr>
            </w:pPr>
            <w:r>
              <w:rPr>
                <w:b/>
                <w:kern w:val="0"/>
                <w:szCs w:val="21"/>
              </w:rPr>
              <w:t>预测人口（人）</w:t>
            </w:r>
          </w:p>
        </w:tc>
      </w:tr>
      <w:tr>
        <w:tblPrEx>
          <w:tblCellMar>
            <w:top w:w="0" w:type="dxa"/>
            <w:left w:w="108" w:type="dxa"/>
            <w:bottom w:w="0" w:type="dxa"/>
            <w:right w:w="108" w:type="dxa"/>
          </w:tblCellMar>
        </w:tblPrEx>
        <w:trPr>
          <w:trHeight w:val="369" w:hRule="atLeast"/>
          <w:jc w:val="center"/>
        </w:trPr>
        <w:tc>
          <w:tcPr>
            <w:tcW w:w="1080" w:type="dxa"/>
            <w:vMerge w:val="restart"/>
            <w:tcBorders>
              <w:top w:val="nil"/>
              <w:left w:val="single" w:color="auto" w:sz="4" w:space="0"/>
              <w:bottom w:val="single" w:color="auto" w:sz="4" w:space="0"/>
              <w:right w:val="single" w:color="auto" w:sz="4" w:space="0"/>
            </w:tcBorders>
            <w:vAlign w:val="center"/>
          </w:tcPr>
          <w:p>
            <w:pPr>
              <w:pStyle w:val="114"/>
              <w:rPr>
                <w:kern w:val="0"/>
                <w:szCs w:val="21"/>
              </w:rPr>
            </w:pPr>
            <w:r>
              <w:rPr>
                <w:rFonts w:hint="eastAsia"/>
                <w:kern w:val="0"/>
                <w:szCs w:val="21"/>
              </w:rPr>
              <w:t>遮放镇</w:t>
            </w:r>
          </w:p>
        </w:tc>
        <w:tc>
          <w:tcPr>
            <w:tcW w:w="1344" w:type="dxa"/>
            <w:vMerge w:val="restart"/>
            <w:tcBorders>
              <w:top w:val="nil"/>
              <w:left w:val="single" w:color="auto" w:sz="4" w:space="0"/>
              <w:bottom w:val="single" w:color="000000" w:sz="4" w:space="0"/>
              <w:right w:val="single" w:color="000000" w:sz="4" w:space="0"/>
            </w:tcBorders>
            <w:shd w:val="clear" w:color="auto" w:fill="auto"/>
            <w:noWrap/>
            <w:vAlign w:val="center"/>
          </w:tcPr>
          <w:p>
            <w:pPr>
              <w:pStyle w:val="114"/>
              <w:rPr>
                <w:kern w:val="0"/>
                <w:szCs w:val="21"/>
              </w:rPr>
            </w:pPr>
            <w:r>
              <w:rPr>
                <w:rFonts w:hint="eastAsia"/>
                <w:kern w:val="0"/>
                <w:szCs w:val="21"/>
              </w:rPr>
              <w:t>户拉</w:t>
            </w:r>
            <w:r>
              <w:rPr>
                <w:kern w:val="0"/>
                <w:szCs w:val="21"/>
              </w:rPr>
              <w:t>村</w:t>
            </w:r>
          </w:p>
        </w:tc>
        <w:tc>
          <w:tcPr>
            <w:tcW w:w="1619"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户拉</w:t>
            </w:r>
            <w:r>
              <w:rPr>
                <w:kern w:val="0"/>
                <w:szCs w:val="21"/>
              </w:rPr>
              <w:t>村</w:t>
            </w:r>
          </w:p>
        </w:tc>
        <w:tc>
          <w:tcPr>
            <w:tcW w:w="1276"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205</w:t>
            </w:r>
          </w:p>
        </w:tc>
        <w:tc>
          <w:tcPr>
            <w:tcW w:w="1641"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948</w:t>
            </w:r>
          </w:p>
        </w:tc>
        <w:tc>
          <w:tcPr>
            <w:tcW w:w="1660" w:type="dxa"/>
            <w:tcBorders>
              <w:top w:val="nil"/>
              <w:left w:val="single" w:color="auto" w:sz="4" w:space="0"/>
              <w:bottom w:val="single" w:color="auto" w:sz="4" w:space="0"/>
              <w:right w:val="single" w:color="auto" w:sz="4" w:space="0"/>
            </w:tcBorders>
            <w:shd w:val="clear" w:color="auto" w:fill="auto"/>
            <w:noWrap/>
            <w:vAlign w:val="center"/>
          </w:tcPr>
          <w:p>
            <w:pPr>
              <w:pStyle w:val="114"/>
              <w:rPr>
                <w:szCs w:val="21"/>
              </w:rPr>
            </w:pPr>
            <w:r>
              <w:rPr>
                <w:rFonts w:hint="eastAsia"/>
                <w:szCs w:val="21"/>
              </w:rPr>
              <w:t>1053</w:t>
            </w:r>
          </w:p>
        </w:tc>
      </w:tr>
      <w:tr>
        <w:tblPrEx>
          <w:tblCellMar>
            <w:top w:w="0" w:type="dxa"/>
            <w:left w:w="108" w:type="dxa"/>
            <w:bottom w:w="0" w:type="dxa"/>
            <w:right w:w="108" w:type="dxa"/>
          </w:tblCellMar>
        </w:tblPrEx>
        <w:trPr>
          <w:trHeight w:val="369"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pStyle w:val="114"/>
              <w:rPr>
                <w:kern w:val="0"/>
                <w:szCs w:val="21"/>
              </w:rPr>
            </w:pPr>
          </w:p>
        </w:tc>
        <w:tc>
          <w:tcPr>
            <w:tcW w:w="1344" w:type="dxa"/>
            <w:vMerge w:val="continue"/>
            <w:tcBorders>
              <w:top w:val="nil"/>
              <w:left w:val="single" w:color="auto" w:sz="4" w:space="0"/>
              <w:bottom w:val="single" w:color="000000" w:sz="4" w:space="0"/>
              <w:right w:val="single" w:color="000000" w:sz="4" w:space="0"/>
            </w:tcBorders>
            <w:vAlign w:val="center"/>
          </w:tcPr>
          <w:p>
            <w:pPr>
              <w:pStyle w:val="114"/>
              <w:rPr>
                <w:kern w:val="0"/>
                <w:szCs w:val="21"/>
              </w:rPr>
            </w:pPr>
          </w:p>
        </w:tc>
        <w:tc>
          <w:tcPr>
            <w:tcW w:w="1619"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芒瓦</w:t>
            </w:r>
            <w:r>
              <w:rPr>
                <w:kern w:val="0"/>
                <w:szCs w:val="21"/>
              </w:rPr>
              <w:t>村</w:t>
            </w:r>
          </w:p>
        </w:tc>
        <w:tc>
          <w:tcPr>
            <w:tcW w:w="1276"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82</w:t>
            </w:r>
          </w:p>
        </w:tc>
        <w:tc>
          <w:tcPr>
            <w:tcW w:w="1641" w:type="dxa"/>
            <w:tcBorders>
              <w:top w:val="nil"/>
              <w:left w:val="nil"/>
              <w:bottom w:val="single" w:color="000000" w:sz="4" w:space="0"/>
              <w:right w:val="single" w:color="000000" w:sz="4" w:space="0"/>
            </w:tcBorders>
            <w:shd w:val="clear" w:color="auto" w:fill="auto"/>
            <w:noWrap/>
            <w:vAlign w:val="bottom"/>
          </w:tcPr>
          <w:p>
            <w:pPr>
              <w:pStyle w:val="114"/>
              <w:rPr>
                <w:kern w:val="0"/>
                <w:szCs w:val="21"/>
              </w:rPr>
            </w:pPr>
            <w:r>
              <w:rPr>
                <w:rFonts w:hint="eastAsia"/>
                <w:kern w:val="0"/>
                <w:szCs w:val="21"/>
              </w:rPr>
              <w:t>448</w:t>
            </w:r>
          </w:p>
        </w:tc>
        <w:tc>
          <w:tcPr>
            <w:tcW w:w="1660" w:type="dxa"/>
            <w:tcBorders>
              <w:top w:val="nil"/>
              <w:left w:val="single" w:color="auto" w:sz="4" w:space="0"/>
              <w:bottom w:val="single" w:color="auto" w:sz="4" w:space="0"/>
              <w:right w:val="single" w:color="auto" w:sz="4" w:space="0"/>
            </w:tcBorders>
            <w:shd w:val="clear" w:color="auto" w:fill="auto"/>
            <w:noWrap/>
            <w:vAlign w:val="center"/>
          </w:tcPr>
          <w:p>
            <w:pPr>
              <w:pStyle w:val="114"/>
              <w:rPr>
                <w:szCs w:val="21"/>
              </w:rPr>
            </w:pPr>
            <w:r>
              <w:rPr>
                <w:rFonts w:hint="eastAsia"/>
                <w:szCs w:val="21"/>
              </w:rPr>
              <w:t>497</w:t>
            </w:r>
          </w:p>
        </w:tc>
      </w:tr>
      <w:tr>
        <w:tblPrEx>
          <w:tblCellMar>
            <w:top w:w="0" w:type="dxa"/>
            <w:left w:w="108" w:type="dxa"/>
            <w:bottom w:w="0" w:type="dxa"/>
            <w:right w:w="108" w:type="dxa"/>
          </w:tblCellMar>
        </w:tblPrEx>
        <w:trPr>
          <w:trHeight w:val="369" w:hRule="atLeast"/>
          <w:jc w:val="center"/>
        </w:trPr>
        <w:tc>
          <w:tcPr>
            <w:tcW w:w="4043" w:type="dxa"/>
            <w:gridSpan w:val="3"/>
            <w:tcBorders>
              <w:top w:val="nil"/>
              <w:left w:val="single" w:color="auto" w:sz="4" w:space="0"/>
              <w:bottom w:val="single" w:color="auto" w:sz="4" w:space="0"/>
              <w:right w:val="single" w:color="000000" w:sz="4" w:space="0"/>
            </w:tcBorders>
            <w:shd w:val="clear" w:color="auto" w:fill="auto"/>
            <w:noWrap/>
            <w:vAlign w:val="center"/>
          </w:tcPr>
          <w:p>
            <w:pPr>
              <w:pStyle w:val="114"/>
              <w:rPr>
                <w:b/>
                <w:bCs/>
                <w:kern w:val="0"/>
                <w:szCs w:val="21"/>
              </w:rPr>
            </w:pPr>
            <w:r>
              <w:rPr>
                <w:b/>
                <w:bCs/>
                <w:kern w:val="0"/>
                <w:szCs w:val="21"/>
              </w:rPr>
              <w:t>合计</w:t>
            </w:r>
          </w:p>
        </w:tc>
        <w:tc>
          <w:tcPr>
            <w:tcW w:w="1276" w:type="dxa"/>
            <w:tcBorders>
              <w:top w:val="nil"/>
              <w:left w:val="nil"/>
              <w:bottom w:val="single" w:color="auto" w:sz="4" w:space="0"/>
              <w:right w:val="single" w:color="auto" w:sz="4" w:space="0"/>
            </w:tcBorders>
            <w:shd w:val="clear" w:color="auto" w:fill="auto"/>
            <w:noWrap/>
            <w:vAlign w:val="center"/>
          </w:tcPr>
          <w:p>
            <w:pPr>
              <w:pStyle w:val="114"/>
              <w:rPr>
                <w:b/>
                <w:bCs/>
                <w:kern w:val="0"/>
                <w:szCs w:val="21"/>
              </w:rPr>
            </w:pPr>
            <w:r>
              <w:rPr>
                <w:rFonts w:hint="eastAsia"/>
                <w:b/>
                <w:bCs/>
                <w:kern w:val="0"/>
                <w:szCs w:val="21"/>
              </w:rPr>
              <w:t>287</w:t>
            </w:r>
          </w:p>
        </w:tc>
        <w:tc>
          <w:tcPr>
            <w:tcW w:w="1641" w:type="dxa"/>
            <w:tcBorders>
              <w:top w:val="nil"/>
              <w:left w:val="nil"/>
              <w:bottom w:val="single" w:color="auto" w:sz="4" w:space="0"/>
              <w:right w:val="single" w:color="auto" w:sz="4" w:space="0"/>
            </w:tcBorders>
            <w:shd w:val="clear" w:color="auto" w:fill="auto"/>
            <w:noWrap/>
            <w:vAlign w:val="center"/>
          </w:tcPr>
          <w:p>
            <w:pPr>
              <w:pStyle w:val="114"/>
              <w:rPr>
                <w:b/>
                <w:bCs/>
                <w:kern w:val="0"/>
                <w:szCs w:val="21"/>
              </w:rPr>
            </w:pPr>
            <w:r>
              <w:rPr>
                <w:rFonts w:hint="eastAsia"/>
                <w:b/>
                <w:bCs/>
                <w:kern w:val="0"/>
                <w:szCs w:val="21"/>
              </w:rPr>
              <w:t>1396</w:t>
            </w:r>
          </w:p>
        </w:tc>
        <w:tc>
          <w:tcPr>
            <w:tcW w:w="1660" w:type="dxa"/>
            <w:tcBorders>
              <w:top w:val="nil"/>
              <w:left w:val="single" w:color="auto" w:sz="4" w:space="0"/>
              <w:bottom w:val="single" w:color="auto" w:sz="4" w:space="0"/>
              <w:right w:val="single" w:color="auto" w:sz="4" w:space="0"/>
            </w:tcBorders>
            <w:shd w:val="clear" w:color="auto" w:fill="auto"/>
            <w:noWrap/>
            <w:vAlign w:val="center"/>
          </w:tcPr>
          <w:p>
            <w:pPr>
              <w:pStyle w:val="114"/>
              <w:rPr>
                <w:b/>
                <w:bCs/>
                <w:kern w:val="0"/>
                <w:szCs w:val="21"/>
              </w:rPr>
            </w:pPr>
            <w:r>
              <w:rPr>
                <w:rFonts w:hint="eastAsia"/>
                <w:b/>
                <w:bCs/>
                <w:kern w:val="0"/>
                <w:szCs w:val="21"/>
              </w:rPr>
              <w:t>1550</w:t>
            </w:r>
          </w:p>
        </w:tc>
      </w:tr>
    </w:tbl>
    <w:p>
      <w:pPr>
        <w:pStyle w:val="4"/>
      </w:pPr>
      <w:bookmarkStart w:id="156" w:name="_Toc48640735"/>
      <w:bookmarkStart w:id="157" w:name="_Toc36126928"/>
      <w:r>
        <w:t>村庄类型与模式选择</w:t>
      </w:r>
      <w:bookmarkEnd w:id="156"/>
      <w:bookmarkEnd w:id="157"/>
    </w:p>
    <w:p>
      <w:pPr>
        <w:ind w:firstLine="480"/>
        <w:rPr>
          <w:color w:val="auto"/>
        </w:rPr>
      </w:pPr>
      <w:r>
        <w:rPr>
          <w:color w:val="auto"/>
        </w:rPr>
        <w:t>根据规划区域内自然村的地理位置、区域布局、人口数量、地形地貌、环境敏感程度、排水去向等分析，项目区村庄无可接已建、再建或规划市政管网；且村庄规模均较大，村庄密集，均为“集中型村”，适宜采用集中式处理。</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5.5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村庄分类表</w:t>
      </w:r>
    </w:p>
    <w:tbl>
      <w:tblPr>
        <w:tblStyle w:val="129"/>
        <w:tblW w:w="85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1"/>
        <w:gridCol w:w="1339"/>
        <w:gridCol w:w="1339"/>
        <w:gridCol w:w="1095"/>
        <w:gridCol w:w="1134"/>
        <w:gridCol w:w="2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191" w:type="dxa"/>
            <w:tcBorders>
              <w:left w:val="single" w:color="auto" w:sz="4" w:space="0"/>
            </w:tcBorders>
            <w:vAlign w:val="center"/>
          </w:tcPr>
          <w:p>
            <w:pPr>
              <w:pStyle w:val="108"/>
              <w:jc w:val="center"/>
              <w:rPr>
                <w:b/>
                <w:color w:val="auto"/>
                <w:sz w:val="24"/>
                <w:szCs w:val="21"/>
              </w:rPr>
            </w:pPr>
            <w:r>
              <w:rPr>
                <w:b/>
                <w:color w:val="auto"/>
                <w:sz w:val="24"/>
                <w:szCs w:val="21"/>
              </w:rPr>
              <w:t>村庄</w:t>
            </w:r>
          </w:p>
        </w:tc>
        <w:tc>
          <w:tcPr>
            <w:tcW w:w="1339" w:type="dxa"/>
            <w:vAlign w:val="center"/>
          </w:tcPr>
          <w:p>
            <w:pPr>
              <w:pStyle w:val="108"/>
              <w:rPr>
                <w:b/>
                <w:color w:val="auto"/>
                <w:sz w:val="21"/>
                <w:szCs w:val="21"/>
              </w:rPr>
            </w:pPr>
            <w:r>
              <w:rPr>
                <w:b/>
                <w:color w:val="auto"/>
                <w:sz w:val="21"/>
                <w:szCs w:val="21"/>
              </w:rPr>
              <w:t>排水去向</w:t>
            </w:r>
          </w:p>
        </w:tc>
        <w:tc>
          <w:tcPr>
            <w:tcW w:w="1339" w:type="dxa"/>
            <w:vAlign w:val="center"/>
          </w:tcPr>
          <w:p>
            <w:pPr>
              <w:pStyle w:val="108"/>
              <w:rPr>
                <w:b/>
                <w:color w:val="auto"/>
                <w:sz w:val="21"/>
                <w:szCs w:val="21"/>
              </w:rPr>
            </w:pPr>
            <w:r>
              <w:rPr>
                <w:b/>
                <w:color w:val="auto"/>
                <w:sz w:val="21"/>
                <w:szCs w:val="21"/>
              </w:rPr>
              <w:t>排放标准</w:t>
            </w:r>
          </w:p>
        </w:tc>
        <w:tc>
          <w:tcPr>
            <w:tcW w:w="1095" w:type="dxa"/>
            <w:vAlign w:val="center"/>
          </w:tcPr>
          <w:p>
            <w:pPr>
              <w:pStyle w:val="108"/>
              <w:rPr>
                <w:b/>
                <w:color w:val="auto"/>
                <w:sz w:val="21"/>
                <w:szCs w:val="21"/>
              </w:rPr>
            </w:pPr>
            <w:r>
              <w:rPr>
                <w:b/>
                <w:color w:val="auto"/>
                <w:sz w:val="21"/>
                <w:szCs w:val="21"/>
              </w:rPr>
              <w:t>收集模式</w:t>
            </w:r>
          </w:p>
        </w:tc>
        <w:tc>
          <w:tcPr>
            <w:tcW w:w="1134" w:type="dxa"/>
            <w:vAlign w:val="center"/>
          </w:tcPr>
          <w:p>
            <w:pPr>
              <w:pStyle w:val="108"/>
              <w:rPr>
                <w:b/>
                <w:color w:val="auto"/>
                <w:sz w:val="21"/>
                <w:szCs w:val="21"/>
              </w:rPr>
            </w:pPr>
            <w:r>
              <w:rPr>
                <w:b/>
                <w:color w:val="auto"/>
                <w:sz w:val="21"/>
                <w:szCs w:val="21"/>
              </w:rPr>
              <w:t>治理模式</w:t>
            </w:r>
          </w:p>
        </w:tc>
        <w:tc>
          <w:tcPr>
            <w:tcW w:w="2458" w:type="dxa"/>
            <w:vAlign w:val="center"/>
          </w:tcPr>
          <w:p>
            <w:pPr>
              <w:pStyle w:val="108"/>
              <w:rPr>
                <w:b/>
                <w:color w:val="auto"/>
                <w:sz w:val="21"/>
                <w:szCs w:val="21"/>
              </w:rPr>
            </w:pPr>
            <w:r>
              <w:rPr>
                <w:b/>
                <w:color w:val="auto"/>
                <w:sz w:val="21"/>
                <w:szCs w:val="21"/>
              </w:rPr>
              <w:t>村庄类型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91" w:type="dxa"/>
            <w:tcBorders>
              <w:left w:val="single" w:color="auto" w:sz="4" w:space="0"/>
            </w:tcBorders>
            <w:vAlign w:val="center"/>
          </w:tcPr>
          <w:p>
            <w:pPr>
              <w:pStyle w:val="114"/>
              <w:rPr>
                <w:kern w:val="0"/>
                <w:szCs w:val="21"/>
              </w:rPr>
            </w:pPr>
            <w:r>
              <w:rPr>
                <w:rFonts w:hint="eastAsia"/>
                <w:kern w:val="0"/>
                <w:szCs w:val="21"/>
              </w:rPr>
              <w:t>户拉村</w:t>
            </w:r>
          </w:p>
        </w:tc>
        <w:tc>
          <w:tcPr>
            <w:tcW w:w="1339" w:type="dxa"/>
            <w:vMerge w:val="restart"/>
            <w:vAlign w:val="center"/>
          </w:tcPr>
          <w:p>
            <w:pPr>
              <w:pStyle w:val="108"/>
              <w:rPr>
                <w:color w:val="auto"/>
                <w:sz w:val="21"/>
                <w:szCs w:val="21"/>
              </w:rPr>
            </w:pPr>
            <w:r>
              <w:rPr>
                <w:color w:val="auto"/>
                <w:sz w:val="21"/>
                <w:szCs w:val="21"/>
              </w:rPr>
              <w:t>出水直接排入</w:t>
            </w:r>
            <w:r>
              <w:rPr>
                <w:rFonts w:hint="eastAsia"/>
                <w:color w:val="auto"/>
                <w:sz w:val="21"/>
                <w:szCs w:val="21"/>
              </w:rPr>
              <w:t>芒市大河，</w:t>
            </w:r>
            <w:r>
              <w:rPr>
                <w:rFonts w:hint="eastAsia" w:ascii="宋体" w:hAnsi="宋体" w:eastAsia="宋体" w:cs="宋体"/>
                <w:color w:val="auto"/>
                <w:sz w:val="21"/>
                <w:szCs w:val="21"/>
              </w:rPr>
              <w:t>Ⅲ</w:t>
            </w:r>
            <w:r>
              <w:rPr>
                <w:color w:val="auto"/>
                <w:sz w:val="21"/>
                <w:szCs w:val="21"/>
              </w:rPr>
              <w:t>类功能水域</w:t>
            </w:r>
          </w:p>
        </w:tc>
        <w:tc>
          <w:tcPr>
            <w:tcW w:w="1339" w:type="dxa"/>
            <w:vMerge w:val="restart"/>
            <w:vAlign w:val="center"/>
          </w:tcPr>
          <w:p>
            <w:pPr>
              <w:pStyle w:val="108"/>
              <w:rPr>
                <w:color w:val="auto"/>
                <w:sz w:val="21"/>
                <w:szCs w:val="21"/>
              </w:rPr>
            </w:pPr>
            <w:r>
              <w:rPr>
                <w:color w:val="auto"/>
                <w:sz w:val="21"/>
                <w:szCs w:val="21"/>
              </w:rPr>
              <w:t>一级B标准</w:t>
            </w:r>
          </w:p>
        </w:tc>
        <w:tc>
          <w:tcPr>
            <w:tcW w:w="1095" w:type="dxa"/>
            <w:vMerge w:val="restart"/>
            <w:vAlign w:val="center"/>
          </w:tcPr>
          <w:p>
            <w:pPr>
              <w:pStyle w:val="108"/>
              <w:rPr>
                <w:color w:val="auto"/>
                <w:sz w:val="21"/>
                <w:szCs w:val="21"/>
              </w:rPr>
            </w:pPr>
            <w:r>
              <w:rPr>
                <w:color w:val="auto"/>
                <w:sz w:val="21"/>
                <w:szCs w:val="21"/>
              </w:rPr>
              <w:t>雨污分流</w:t>
            </w:r>
          </w:p>
        </w:tc>
        <w:tc>
          <w:tcPr>
            <w:tcW w:w="1134" w:type="dxa"/>
            <w:vMerge w:val="restart"/>
            <w:vAlign w:val="center"/>
          </w:tcPr>
          <w:p>
            <w:pPr>
              <w:pStyle w:val="108"/>
              <w:rPr>
                <w:color w:val="auto"/>
                <w:sz w:val="21"/>
                <w:szCs w:val="21"/>
              </w:rPr>
            </w:pPr>
            <w:r>
              <w:rPr>
                <w:color w:val="auto"/>
                <w:sz w:val="21"/>
                <w:szCs w:val="21"/>
              </w:rPr>
              <w:t>常规模式</w:t>
            </w:r>
          </w:p>
        </w:tc>
        <w:tc>
          <w:tcPr>
            <w:tcW w:w="2458" w:type="dxa"/>
            <w:vMerge w:val="restart"/>
            <w:vAlign w:val="center"/>
          </w:tcPr>
          <w:p>
            <w:pPr>
              <w:pStyle w:val="108"/>
              <w:jc w:val="center"/>
              <w:rPr>
                <w:color w:val="auto"/>
                <w:sz w:val="21"/>
                <w:szCs w:val="21"/>
              </w:rPr>
            </w:pPr>
            <w:r>
              <w:rPr>
                <w:color w:val="auto"/>
                <w:sz w:val="21"/>
                <w:szCs w:val="21"/>
              </w:rPr>
              <w:t>集中型村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91" w:type="dxa"/>
            <w:tcBorders>
              <w:left w:val="single" w:color="auto" w:sz="4" w:space="0"/>
            </w:tcBorders>
            <w:vAlign w:val="center"/>
          </w:tcPr>
          <w:p>
            <w:pPr>
              <w:pStyle w:val="114"/>
              <w:rPr>
                <w:kern w:val="0"/>
                <w:szCs w:val="21"/>
              </w:rPr>
            </w:pPr>
            <w:r>
              <w:rPr>
                <w:rFonts w:hint="eastAsia"/>
                <w:kern w:val="0"/>
                <w:szCs w:val="21"/>
              </w:rPr>
              <w:t>芒瓦村</w:t>
            </w:r>
          </w:p>
        </w:tc>
        <w:tc>
          <w:tcPr>
            <w:tcW w:w="1339" w:type="dxa"/>
            <w:vMerge w:val="continue"/>
            <w:vAlign w:val="center"/>
          </w:tcPr>
          <w:p>
            <w:pPr>
              <w:pStyle w:val="108"/>
              <w:rPr>
                <w:color w:val="auto"/>
                <w:sz w:val="24"/>
                <w:szCs w:val="21"/>
              </w:rPr>
            </w:pPr>
          </w:p>
        </w:tc>
        <w:tc>
          <w:tcPr>
            <w:tcW w:w="1339" w:type="dxa"/>
            <w:vMerge w:val="continue"/>
            <w:vAlign w:val="center"/>
          </w:tcPr>
          <w:p>
            <w:pPr>
              <w:pStyle w:val="108"/>
              <w:rPr>
                <w:color w:val="auto"/>
                <w:sz w:val="24"/>
                <w:szCs w:val="21"/>
              </w:rPr>
            </w:pPr>
          </w:p>
        </w:tc>
        <w:tc>
          <w:tcPr>
            <w:tcW w:w="1095" w:type="dxa"/>
            <w:vMerge w:val="continue"/>
            <w:vAlign w:val="center"/>
          </w:tcPr>
          <w:p>
            <w:pPr>
              <w:pStyle w:val="108"/>
              <w:rPr>
                <w:color w:val="auto"/>
                <w:sz w:val="24"/>
                <w:szCs w:val="21"/>
              </w:rPr>
            </w:pPr>
          </w:p>
        </w:tc>
        <w:tc>
          <w:tcPr>
            <w:tcW w:w="1134" w:type="dxa"/>
            <w:vMerge w:val="continue"/>
            <w:vAlign w:val="center"/>
          </w:tcPr>
          <w:p>
            <w:pPr>
              <w:pStyle w:val="108"/>
              <w:rPr>
                <w:color w:val="auto"/>
                <w:sz w:val="24"/>
                <w:szCs w:val="21"/>
              </w:rPr>
            </w:pPr>
          </w:p>
        </w:tc>
        <w:tc>
          <w:tcPr>
            <w:tcW w:w="2458" w:type="dxa"/>
            <w:vMerge w:val="continue"/>
            <w:vAlign w:val="center"/>
          </w:tcPr>
          <w:p>
            <w:pPr>
              <w:pStyle w:val="114"/>
            </w:pPr>
          </w:p>
        </w:tc>
      </w:tr>
    </w:tbl>
    <w:p>
      <w:pPr>
        <w:pStyle w:val="4"/>
      </w:pPr>
      <w:bookmarkStart w:id="158" w:name="_Toc36126929"/>
      <w:bookmarkStart w:id="159" w:name="_Toc48640736"/>
      <w:r>
        <w:t>排水体制</w:t>
      </w:r>
      <w:bookmarkEnd w:id="158"/>
      <w:bookmarkEnd w:id="159"/>
    </w:p>
    <w:p>
      <w:pPr>
        <w:pStyle w:val="5"/>
      </w:pPr>
      <w:bookmarkStart w:id="160" w:name="_Toc48640737"/>
      <w:bookmarkStart w:id="161" w:name="_Toc36126930"/>
      <w:r>
        <w:t>排水体制分析</w:t>
      </w:r>
      <w:bookmarkEnd w:id="160"/>
      <w:bookmarkEnd w:id="161"/>
    </w:p>
    <w:p>
      <w:pPr>
        <w:ind w:firstLine="480"/>
        <w:rPr>
          <w:rFonts w:cs="Times New Roman"/>
          <w:color w:val="auto"/>
          <w:kern w:val="0"/>
        </w:rPr>
      </w:pPr>
      <w:r>
        <w:rPr>
          <w:rFonts w:cs="Times New Roman"/>
          <w:color w:val="auto"/>
          <w:kern w:val="0"/>
        </w:rPr>
        <w:t>排水体制的确定要根据</w:t>
      </w:r>
      <w:r>
        <w:rPr>
          <w:rFonts w:hint="eastAsia" w:cs="Times New Roman"/>
          <w:color w:val="auto"/>
          <w:kern w:val="0"/>
        </w:rPr>
        <w:t>村庄</w:t>
      </w:r>
      <w:r>
        <w:rPr>
          <w:rFonts w:cs="Times New Roman"/>
          <w:color w:val="auto"/>
          <w:kern w:val="0"/>
        </w:rPr>
        <w:t>规划、环境保护的要求、污水处理利用情况、原有排水设施、水环境容量、地形、气候条件，从全局出发，通过技术经济比较，综合考虑确定。各种排水体制的使用条件，从环保、投资、管理等不同的角度分析如下：</w:t>
      </w:r>
    </w:p>
    <w:p>
      <w:pPr>
        <w:ind w:firstLine="480"/>
        <w:rPr>
          <w:rFonts w:cs="Times New Roman"/>
          <w:color w:val="auto"/>
          <w:kern w:val="0"/>
        </w:rPr>
      </w:pPr>
      <w:r>
        <w:rPr>
          <w:rFonts w:cs="Times New Roman"/>
          <w:color w:val="auto"/>
          <w:kern w:val="0"/>
        </w:rPr>
        <w:t>（1）从环境保护的角度：</w:t>
      </w:r>
    </w:p>
    <w:p>
      <w:pPr>
        <w:ind w:firstLine="480"/>
        <w:rPr>
          <w:rFonts w:cs="Times New Roman"/>
          <w:color w:val="auto"/>
          <w:kern w:val="0"/>
        </w:rPr>
      </w:pPr>
      <w:r>
        <w:rPr>
          <w:rFonts w:cs="Times New Roman"/>
          <w:color w:val="auto"/>
          <w:kern w:val="0"/>
        </w:rPr>
        <w:t>截流式合流制同时汇集了</w:t>
      </w:r>
      <w:r>
        <w:rPr>
          <w:rFonts w:hint="eastAsia" w:cs="Times New Roman"/>
          <w:color w:val="auto"/>
          <w:kern w:val="0"/>
        </w:rPr>
        <w:t>区域</w:t>
      </w:r>
      <w:r>
        <w:rPr>
          <w:rFonts w:cs="Times New Roman"/>
          <w:color w:val="auto"/>
          <w:kern w:val="0"/>
        </w:rPr>
        <w:t>污水和部分雨水输送到污水处理</w:t>
      </w:r>
      <w:r>
        <w:rPr>
          <w:rFonts w:hint="eastAsia" w:cs="Times New Roman"/>
          <w:color w:val="auto"/>
          <w:kern w:val="0"/>
        </w:rPr>
        <w:t>站</w:t>
      </w:r>
      <w:r>
        <w:rPr>
          <w:rFonts w:cs="Times New Roman"/>
          <w:color w:val="auto"/>
          <w:kern w:val="0"/>
        </w:rPr>
        <w:t>，对较脏的初期雨水有所作用，对防止水体污染是有利的。但该体制的截流主干管尺寸较大，污水处理厂的处理规模也增加很多，投资费用和污水</w:t>
      </w:r>
      <w:r>
        <w:rPr>
          <w:rFonts w:hint="eastAsia" w:cs="Times New Roman"/>
          <w:color w:val="auto"/>
          <w:kern w:val="0"/>
        </w:rPr>
        <w:t>设施</w:t>
      </w:r>
      <w:r>
        <w:rPr>
          <w:rFonts w:cs="Times New Roman"/>
          <w:color w:val="auto"/>
          <w:kern w:val="0"/>
        </w:rPr>
        <w:t>运行费用增大。同时，截流式合流制在暴雨时，把一部分混合污水通过溢流井泄入水体，加大了河流污染。分流制把污水全部送至污水厂进行处理，但初期雨水径流未加处理直接排入水体，对水体有一定程度的污染。但是，由于分流制比较灵活，易于适应发展，又较符合</w:t>
      </w:r>
      <w:r>
        <w:rPr>
          <w:rFonts w:hint="eastAsia" w:cs="Times New Roman"/>
          <w:color w:val="auto"/>
          <w:kern w:val="0"/>
        </w:rPr>
        <w:t>环境</w:t>
      </w:r>
      <w:r>
        <w:rPr>
          <w:rFonts w:cs="Times New Roman"/>
          <w:color w:val="auto"/>
          <w:kern w:val="0"/>
        </w:rPr>
        <w:t>卫生要求，因此是</w:t>
      </w:r>
      <w:r>
        <w:rPr>
          <w:rFonts w:hint="eastAsia" w:cs="Times New Roman"/>
          <w:color w:val="auto"/>
          <w:kern w:val="0"/>
        </w:rPr>
        <w:t>敏感水环境功能区村庄</w:t>
      </w:r>
      <w:r>
        <w:rPr>
          <w:rFonts w:cs="Times New Roman"/>
          <w:color w:val="auto"/>
          <w:kern w:val="0"/>
        </w:rPr>
        <w:t>排水系统体制发展的方向。</w:t>
      </w:r>
    </w:p>
    <w:p>
      <w:pPr>
        <w:ind w:firstLine="480"/>
        <w:rPr>
          <w:rFonts w:cs="Times New Roman"/>
          <w:color w:val="auto"/>
          <w:kern w:val="0"/>
        </w:rPr>
      </w:pPr>
      <w:r>
        <w:rPr>
          <w:rFonts w:cs="Times New Roman"/>
          <w:color w:val="auto"/>
          <w:kern w:val="0"/>
        </w:rPr>
        <w:t>（2）从工程投资的角度：</w:t>
      </w:r>
    </w:p>
    <w:p>
      <w:pPr>
        <w:ind w:firstLine="480"/>
        <w:rPr>
          <w:rFonts w:cs="Times New Roman"/>
          <w:color w:val="auto"/>
          <w:kern w:val="0"/>
        </w:rPr>
      </w:pPr>
      <w:r>
        <w:rPr>
          <w:rFonts w:cs="Times New Roman"/>
          <w:color w:val="auto"/>
          <w:kern w:val="0"/>
        </w:rPr>
        <w:t>合流制泵站和污水</w:t>
      </w:r>
      <w:r>
        <w:rPr>
          <w:rFonts w:hint="eastAsia" w:cs="Times New Roman"/>
          <w:color w:val="auto"/>
          <w:kern w:val="0"/>
        </w:rPr>
        <w:t>站</w:t>
      </w:r>
      <w:r>
        <w:rPr>
          <w:rFonts w:cs="Times New Roman"/>
          <w:color w:val="auto"/>
          <w:kern w:val="0"/>
        </w:rPr>
        <w:t>的造价比分流制高，但管渠总长度短，所以合流制的总造价要较分流制低。从初期投资看，不完全分流制初期只建污水排除系统而缓建雨水排除系统，便于分期建设，能节省初期投资费用，缩短施工期限，较快发挥建设效益，以后随城市的发展，再建雨水管渠。但是，由于该方式显然需要进行重复修建，对</w:t>
      </w:r>
      <w:r>
        <w:rPr>
          <w:rFonts w:hint="eastAsia" w:cs="Times New Roman"/>
          <w:color w:val="auto"/>
          <w:kern w:val="0"/>
        </w:rPr>
        <w:t>村庄</w:t>
      </w:r>
      <w:r>
        <w:rPr>
          <w:rFonts w:cs="Times New Roman"/>
          <w:color w:val="auto"/>
          <w:kern w:val="0"/>
        </w:rPr>
        <w:t>已形成的道路等基础设施会造成一定程度的破坏。</w:t>
      </w:r>
    </w:p>
    <w:p>
      <w:pPr>
        <w:ind w:firstLine="480"/>
        <w:rPr>
          <w:rFonts w:cs="Times New Roman"/>
          <w:color w:val="auto"/>
          <w:kern w:val="0"/>
        </w:rPr>
      </w:pPr>
      <w:r>
        <w:rPr>
          <w:rFonts w:cs="Times New Roman"/>
          <w:color w:val="auto"/>
          <w:kern w:val="0"/>
        </w:rPr>
        <w:t>（</w:t>
      </w:r>
      <w:r>
        <w:rPr>
          <w:rFonts w:hint="eastAsia" w:cs="Times New Roman"/>
          <w:color w:val="auto"/>
          <w:kern w:val="0"/>
        </w:rPr>
        <w:t>3</w:t>
      </w:r>
      <w:r>
        <w:rPr>
          <w:rFonts w:cs="Times New Roman"/>
          <w:color w:val="auto"/>
          <w:kern w:val="0"/>
        </w:rPr>
        <w:t>）从施工管理的角度：</w:t>
      </w:r>
    </w:p>
    <w:p>
      <w:pPr>
        <w:ind w:firstLine="480"/>
        <w:rPr>
          <w:rFonts w:cs="Times New Roman"/>
          <w:color w:val="auto"/>
          <w:kern w:val="0"/>
        </w:rPr>
      </w:pPr>
      <w:r>
        <w:rPr>
          <w:rFonts w:cs="Times New Roman"/>
          <w:color w:val="auto"/>
          <w:kern w:val="0"/>
        </w:rPr>
        <w:t>合流制管线单一，减少与其他地下管线、构筑物的交叉，管渠施工较简单。但是合流制管渠中流量变化较大，对水质也有一定影响，不利于污水</w:t>
      </w:r>
      <w:r>
        <w:rPr>
          <w:rFonts w:hint="eastAsia" w:cs="Times New Roman"/>
          <w:color w:val="auto"/>
          <w:kern w:val="0"/>
        </w:rPr>
        <w:t>站</w:t>
      </w:r>
      <w:r>
        <w:rPr>
          <w:rFonts w:cs="Times New Roman"/>
          <w:color w:val="auto"/>
          <w:kern w:val="0"/>
        </w:rPr>
        <w:t>的稳定运行，造成管理维护复杂，运行费用增加。而分流制水量、水质变化较小，有利于污水处理和运行管理。</w:t>
      </w:r>
    </w:p>
    <w:p>
      <w:pPr>
        <w:pStyle w:val="112"/>
        <w:rPr>
          <w:color w:val="auto"/>
          <w:kern w:val="0"/>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5.6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排水体制比选表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875"/>
        <w:gridCol w:w="3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6" w:type="pct"/>
            <w:vAlign w:val="center"/>
          </w:tcPr>
          <w:p>
            <w:pPr>
              <w:pStyle w:val="114"/>
              <w:rPr>
                <w:b/>
              </w:rPr>
            </w:pPr>
            <w:r>
              <w:rPr>
                <w:b/>
              </w:rPr>
              <w:t>项 目</w:t>
            </w:r>
          </w:p>
        </w:tc>
        <w:tc>
          <w:tcPr>
            <w:tcW w:w="2152" w:type="pct"/>
            <w:vAlign w:val="center"/>
          </w:tcPr>
          <w:p>
            <w:pPr>
              <w:pStyle w:val="114"/>
              <w:rPr>
                <w:b/>
              </w:rPr>
            </w:pPr>
            <w:r>
              <w:rPr>
                <w:b/>
              </w:rPr>
              <w:t>分  流  制</w:t>
            </w:r>
          </w:p>
        </w:tc>
        <w:tc>
          <w:tcPr>
            <w:tcW w:w="2202" w:type="pct"/>
            <w:vAlign w:val="center"/>
          </w:tcPr>
          <w:p>
            <w:pPr>
              <w:pStyle w:val="114"/>
              <w:rPr>
                <w:b/>
              </w:rPr>
            </w:pPr>
            <w:r>
              <w:rPr>
                <w:b/>
              </w:rPr>
              <w:t>合  流  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建设方式</w:t>
            </w:r>
          </w:p>
        </w:tc>
        <w:tc>
          <w:tcPr>
            <w:tcW w:w="2152" w:type="pct"/>
            <w:vAlign w:val="center"/>
          </w:tcPr>
          <w:p>
            <w:pPr>
              <w:pStyle w:val="114"/>
            </w:pPr>
            <w:r>
              <w:t>分别建设雨水收集排放系统和污水收集排放系统</w:t>
            </w:r>
          </w:p>
        </w:tc>
        <w:tc>
          <w:tcPr>
            <w:tcW w:w="2202" w:type="pct"/>
            <w:vAlign w:val="center"/>
          </w:tcPr>
          <w:p>
            <w:pPr>
              <w:pStyle w:val="114"/>
            </w:pPr>
            <w:r>
              <w:t>建设一套排水系统，雨水、污水共用系统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环境效益</w:t>
            </w:r>
          </w:p>
        </w:tc>
        <w:tc>
          <w:tcPr>
            <w:tcW w:w="2152" w:type="pct"/>
            <w:vAlign w:val="center"/>
          </w:tcPr>
          <w:p>
            <w:pPr>
              <w:pStyle w:val="114"/>
            </w:pPr>
            <w:r>
              <w:t>实现清污分流，更有利于对雨水、污水的处理，特别有利于污水处理，环境效益最佳</w:t>
            </w:r>
          </w:p>
        </w:tc>
        <w:tc>
          <w:tcPr>
            <w:tcW w:w="2202" w:type="pct"/>
            <w:vAlign w:val="center"/>
          </w:tcPr>
          <w:p>
            <w:pPr>
              <w:pStyle w:val="114"/>
            </w:pPr>
            <w:r>
              <w:t>混流，最主要是影响末端污水处理设施的污染物削减能力，环境效益相对较差。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工程投资</w:t>
            </w:r>
          </w:p>
        </w:tc>
        <w:tc>
          <w:tcPr>
            <w:tcW w:w="2152" w:type="pct"/>
            <w:vAlign w:val="center"/>
          </w:tcPr>
          <w:p>
            <w:pPr>
              <w:pStyle w:val="114"/>
            </w:pPr>
            <w:r>
              <w:t>两套排水系统，工程投资最高</w:t>
            </w:r>
          </w:p>
        </w:tc>
        <w:tc>
          <w:tcPr>
            <w:tcW w:w="2202" w:type="pct"/>
            <w:vAlign w:val="center"/>
          </w:tcPr>
          <w:p>
            <w:pPr>
              <w:pStyle w:val="114"/>
            </w:pPr>
            <w:r>
              <w:t>一套处理系统，投资相对较低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工程难易</w:t>
            </w:r>
          </w:p>
        </w:tc>
        <w:tc>
          <w:tcPr>
            <w:tcW w:w="2152" w:type="pct"/>
            <w:vAlign w:val="center"/>
          </w:tcPr>
          <w:p>
            <w:pPr>
              <w:pStyle w:val="114"/>
            </w:pPr>
            <w:r>
              <w:t>建设难度最大</w:t>
            </w:r>
          </w:p>
        </w:tc>
        <w:tc>
          <w:tcPr>
            <w:tcW w:w="2202" w:type="pct"/>
            <w:vAlign w:val="center"/>
          </w:tcPr>
          <w:p>
            <w:pPr>
              <w:pStyle w:val="114"/>
            </w:pPr>
            <w:r>
              <w:t>建设难度较小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优  点</w:t>
            </w:r>
          </w:p>
        </w:tc>
        <w:tc>
          <w:tcPr>
            <w:tcW w:w="2152" w:type="pct"/>
            <w:vAlign w:val="center"/>
          </w:tcPr>
          <w:p>
            <w:pPr>
              <w:pStyle w:val="114"/>
            </w:pPr>
            <w:r>
              <w:t>雨水和污水分开收集，对地表水环境影响较小，且水质水量稳定</w:t>
            </w:r>
          </w:p>
        </w:tc>
        <w:tc>
          <w:tcPr>
            <w:tcW w:w="2202" w:type="pct"/>
            <w:vAlign w:val="center"/>
          </w:tcPr>
          <w:p>
            <w:pPr>
              <w:pStyle w:val="114"/>
            </w:pPr>
            <w:r>
              <w:t>工程投资较低、实施难度较小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pPr>
              <w:pStyle w:val="114"/>
            </w:pPr>
            <w:r>
              <w:t>缺  点</w:t>
            </w:r>
          </w:p>
        </w:tc>
        <w:tc>
          <w:tcPr>
            <w:tcW w:w="2152" w:type="pct"/>
            <w:vAlign w:val="center"/>
          </w:tcPr>
          <w:p>
            <w:pPr>
              <w:pStyle w:val="114"/>
            </w:pPr>
            <w:r>
              <w:t>需进行入户支管排水系统建设，同时建设雨水和污水两套排水系统</w:t>
            </w:r>
          </w:p>
        </w:tc>
        <w:tc>
          <w:tcPr>
            <w:tcW w:w="2202" w:type="pct"/>
            <w:vAlign w:val="center"/>
          </w:tcPr>
          <w:p>
            <w:pPr>
              <w:pStyle w:val="114"/>
            </w:pPr>
            <w:r>
              <w:t>雨水、污水共用一套系统，增加了污水处理量，出水水质波动较大</w:t>
            </w:r>
          </w:p>
        </w:tc>
      </w:tr>
    </w:tbl>
    <w:p>
      <w:pPr>
        <w:ind w:firstLine="0" w:firstLineChars="0"/>
        <w:rPr>
          <w:rFonts w:cs="Times New Roman"/>
          <w:color w:val="auto"/>
          <w:kern w:val="0"/>
        </w:rPr>
      </w:pPr>
    </w:p>
    <w:p>
      <w:pPr>
        <w:pStyle w:val="5"/>
      </w:pPr>
      <w:bookmarkStart w:id="162" w:name="_Toc36126931"/>
      <w:bookmarkStart w:id="163" w:name="_Toc48640738"/>
      <w:r>
        <w:t>排水体制的确定</w:t>
      </w:r>
      <w:bookmarkEnd w:id="162"/>
      <w:bookmarkEnd w:id="163"/>
    </w:p>
    <w:p>
      <w:pPr>
        <w:ind w:firstLine="480"/>
        <w:rPr>
          <w:rFonts w:cs="Times New Roman"/>
          <w:color w:val="auto"/>
        </w:rPr>
      </w:pPr>
      <w:r>
        <w:rPr>
          <w:rFonts w:cs="Times New Roman"/>
          <w:color w:val="auto"/>
        </w:rPr>
        <w:t>综合以上优缺点，从保护水环境、最大化削减村落污水进入周围环境的污染负荷来看，村庄污水收集应选择雨污分流制排水系统。同时，村庄雨污分流也是今后农村生活污水治理、人居环境改善的发展方向。尤其是项目区距离河道水体近，</w:t>
      </w:r>
      <w:r>
        <w:rPr>
          <w:rFonts w:hint="eastAsia" w:cs="Times New Roman"/>
          <w:color w:val="auto"/>
        </w:rPr>
        <w:t>村内</w:t>
      </w:r>
      <w:r>
        <w:rPr>
          <w:rFonts w:cs="Times New Roman"/>
          <w:color w:val="auto"/>
        </w:rPr>
        <w:t>收集系统缺乏的村庄，更应采用污水分流的排水体制。且项目区村庄内道路几乎都建设了排水沟，虽然现状农户将生活污水和畜禽废水也排入排水沟中，再混合排入</w:t>
      </w:r>
      <w:r>
        <w:rPr>
          <w:rFonts w:hint="eastAsia" w:cs="Times New Roman"/>
          <w:color w:val="auto"/>
        </w:rPr>
        <w:t>芒市大河</w:t>
      </w:r>
      <w:r>
        <w:rPr>
          <w:rFonts w:cs="Times New Roman"/>
          <w:color w:val="auto"/>
        </w:rPr>
        <w:t>，造成一定污染，但通过对村落污水收集系统的完善建设后，雨水可随排水沟渠或地势排放进入周边农灌系统，污水用管道收集后集中处理</w:t>
      </w:r>
      <w:r>
        <w:rPr>
          <w:rFonts w:hint="eastAsia" w:cs="Times New Roman"/>
          <w:color w:val="auto"/>
        </w:rPr>
        <w:t>。</w:t>
      </w:r>
    </w:p>
    <w:p>
      <w:pPr>
        <w:ind w:firstLine="480"/>
        <w:rPr>
          <w:rFonts w:cs="Times New Roman"/>
          <w:color w:val="auto"/>
        </w:rPr>
      </w:pPr>
      <w:r>
        <w:rPr>
          <w:rFonts w:cs="Times New Roman"/>
          <w:color w:val="auto"/>
        </w:rPr>
        <w:t>故项目区具备雨污分流工程建设的基本条件，为保障长期工程的实施效果，从保护水环境、最大化削减村落污水对周边水体造成的环境压力来看，本次设计统一采用雨污分流制排水体制。</w:t>
      </w:r>
    </w:p>
    <w:p>
      <w:pPr>
        <w:pStyle w:val="4"/>
      </w:pPr>
      <w:bookmarkStart w:id="164" w:name="_Toc48640739"/>
      <w:bookmarkStart w:id="165" w:name="_Toc35615133"/>
      <w:bookmarkStart w:id="166" w:name="_Toc36126932"/>
      <w:r>
        <w:t>庭院雨污分流方案</w:t>
      </w:r>
      <w:bookmarkEnd w:id="164"/>
      <w:bookmarkEnd w:id="165"/>
      <w:bookmarkEnd w:id="166"/>
    </w:p>
    <w:p>
      <w:pPr>
        <w:pStyle w:val="116"/>
        <w:rPr>
          <w:color w:val="auto"/>
          <w:lang w:val="zh-CN"/>
        </w:rPr>
      </w:pPr>
      <w:r>
        <w:rPr>
          <w:color w:val="auto"/>
          <w:lang w:val="zh-CN"/>
        </w:rPr>
        <w:t>入户接入方案</w:t>
      </w:r>
    </w:p>
    <w:p>
      <w:pPr>
        <w:ind w:firstLine="480"/>
        <w:rPr>
          <w:rFonts w:cs="Times New Roman"/>
          <w:color w:val="auto"/>
          <w:lang w:val="zh-CN"/>
        </w:rPr>
      </w:pPr>
      <w:r>
        <w:rPr>
          <w:rFonts w:cs="Times New Roman"/>
          <w:color w:val="auto"/>
          <w:lang w:val="zh-CN"/>
        </w:rPr>
        <w:t>为了彻底从源头实现雨污分流，农户庭院内雨污分流是农村生活污水收集的重要环节。</w:t>
      </w:r>
    </w:p>
    <w:p>
      <w:pPr>
        <w:ind w:firstLine="480"/>
        <w:rPr>
          <w:rFonts w:cs="Times New Roman"/>
          <w:color w:val="auto"/>
          <w:lang w:val="zh-CN"/>
        </w:rPr>
      </w:pPr>
      <w:r>
        <w:rPr>
          <w:rFonts w:cs="Times New Roman"/>
          <w:color w:val="auto"/>
          <w:lang w:val="zh-CN"/>
        </w:rPr>
        <w:t>区域内居民以傣族为主，庭院多有围墙，院内有主体住宅、洗漱间、厨房，部分庭院内有养殖厩圈；各户洗漱间、厨房、养殖厩圈排口数量不一，汇集后统一排出庭院，也有分多个排口排出。多数农户生活污水从庭院以1个或2个排口排出。</w:t>
      </w:r>
    </w:p>
    <w:p>
      <w:pPr>
        <w:ind w:firstLine="480"/>
        <w:rPr>
          <w:rFonts w:cs="Times New Roman"/>
          <w:color w:val="auto"/>
          <w:lang w:val="zh-CN"/>
        </w:rPr>
      </w:pPr>
      <w:r>
        <w:rPr>
          <w:rFonts w:cs="Times New Roman"/>
          <w:color w:val="auto"/>
          <w:lang w:val="zh-CN"/>
        </w:rPr>
        <w:t>入户管接入方式为：在每户厨房排口及洗漱间排口交汇会处设置户用格栅井一座，将污水集中汇集中再接入到排污支管，最终进入污水主管，户用格栅井可有效拦截漂浮物、悬浮物等，且方便定期清掏，避免后续管网的堵塞。</w:t>
      </w:r>
    </w:p>
    <w:p>
      <w:pPr>
        <w:ind w:firstLine="480"/>
        <w:rPr>
          <w:rFonts w:cs="Times New Roman"/>
          <w:color w:val="auto"/>
          <w:lang w:val="zh-CN"/>
        </w:rPr>
      </w:pPr>
      <w:r>
        <w:rPr>
          <w:rFonts w:cs="Times New Roman"/>
          <w:color w:val="auto"/>
          <w:lang w:val="zh-CN"/>
        </w:rPr>
        <w:t>本设计根据不同类型农户排口采取不同的入户收集设施，通过</w:t>
      </w:r>
      <w:r>
        <w:rPr>
          <w:rFonts w:hint="eastAsia" w:cs="Times New Roman"/>
          <w:color w:val="auto"/>
          <w:lang w:val="zh-CN"/>
        </w:rPr>
        <w:t>φ</w:t>
      </w:r>
      <w:r>
        <w:rPr>
          <w:rFonts w:cs="Times New Roman"/>
          <w:color w:val="auto"/>
          <w:lang w:val="zh-CN"/>
        </w:rPr>
        <w:t xml:space="preserve">110 </w:t>
      </w:r>
      <w:r>
        <w:rPr>
          <w:rFonts w:hint="eastAsia" w:cs="Times New Roman"/>
          <w:color w:val="auto"/>
          <w:lang w:val="zh-CN"/>
        </w:rPr>
        <w:t>PVC</w:t>
      </w:r>
      <w:r>
        <w:rPr>
          <w:rFonts w:cs="Times New Roman"/>
          <w:color w:val="auto"/>
          <w:lang w:val="zh-CN"/>
        </w:rPr>
        <w:t>入户收集管接入到村庄污水收集系统，其中入户收集管的量根据村庄分散情况，参考以往类型项目工程经验，根据不同村庄暂按每户</w:t>
      </w:r>
      <w:r>
        <w:rPr>
          <w:rFonts w:hint="eastAsia" w:cs="Times New Roman"/>
          <w:color w:val="auto"/>
          <w:lang w:val="zh-CN"/>
        </w:rPr>
        <w:t>15</w:t>
      </w:r>
      <w:r>
        <w:rPr>
          <w:rFonts w:cs="Times New Roman"/>
          <w:color w:val="auto"/>
          <w:lang w:val="zh-CN"/>
        </w:rPr>
        <w:t>m进行设置。</w:t>
      </w:r>
    </w:p>
    <w:p>
      <w:pPr>
        <w:ind w:firstLine="480"/>
        <w:rPr>
          <w:rFonts w:cs="Times New Roman"/>
          <w:color w:val="auto"/>
          <w:lang w:val="zh-CN"/>
        </w:rPr>
      </w:pPr>
    </w:p>
    <w:p>
      <w:pPr>
        <w:ind w:firstLine="0" w:firstLineChars="0"/>
        <w:rPr>
          <w:rFonts w:cs="Times New Roman"/>
          <w:color w:val="auto"/>
          <w:szCs w:val="24"/>
        </w:rPr>
      </w:pPr>
      <w:r>
        <w:rPr>
          <w:rFonts w:cs="Times New Roman"/>
          <w:color w:val="auto"/>
          <w:szCs w:val="24"/>
        </w:rPr>
        <w:pict>
          <v:group id="_x0000_s1098" o:spid="_x0000_s1098" o:spt="203" style="height:192.75pt;width:432.95pt;" coordorigin="1361,6558" coordsize="8659,3855" editas="canvas">
            <o:lock v:ext="edit"/>
            <v:shape id="_x0000_s1099" o:spid="_x0000_s1099" o:spt="75" type="#_x0000_t75" style="position:absolute;left:1361;top:6558;height:3855;width:8659;" filled="f" o:preferrelative="f" stroked="f" coordsize="21600,21600">
              <v:path/>
              <v:fill on="f" focussize="0,0"/>
              <v:stroke on="f" joinstyle="miter"/>
              <v:imagedata o:title=""/>
              <o:lock v:ext="edit" text="t" aspectratio="t"/>
            </v:shape>
            <v:shape id="_x0000_s1100" o:spid="_x0000_s1100" o:spt="202" type="#_x0000_t202" style="position:absolute;left:8774;top:8049;height:601;width:992;v-text-anchor:middle;" coordsize="21600,21600">
              <v:path/>
              <v:fill focussize="0,0"/>
              <v:stroke joinstyle="miter"/>
              <v:imagedata o:title=""/>
              <o:lock v:ext="edit"/>
              <v:textbox>
                <w:txbxContent>
                  <w:p>
                    <w:pPr>
                      <w:ind w:firstLine="480"/>
                    </w:pPr>
                  </w:p>
                </w:txbxContent>
              </v:textbox>
            </v:shape>
            <v:shape id="_x0000_s1101" o:spid="_x0000_s1101" o:spt="32" type="#_x0000_t32" style="position:absolute;left:7510;top:7318;height:2190;width:1;" o:connectortype="straight" filled="f" coordsize="21600,21600">
              <v:path arrowok="t"/>
              <v:fill on="f" focussize="0,0"/>
              <v:stroke dashstyle="dashDot"/>
              <v:imagedata o:title=""/>
              <o:lock v:ext="edit"/>
            </v:shape>
            <v:rect id="_x0000_s1102" o:spid="_x0000_s1102" o:spt="1" style="position:absolute;left:1615;top:7513;height:1902;width:3288;rotation:5898240f;" coordsize="21600,21600">
              <v:path/>
              <v:fill focussize="0,0"/>
              <v:stroke/>
              <v:imagedata o:title=""/>
              <o:lock v:ext="edit"/>
            </v:rect>
            <v:shape id="_x0000_s1103" o:spid="_x0000_s1103" o:spt="202" type="#_x0000_t202" style="position:absolute;left:2771;top:8233;height:517;width:869;" stroked="f" coordsize="21600,21600">
              <v:path/>
              <v:fill focussize="0,0"/>
              <v:stroke on="f" joinstyle="miter"/>
              <v:imagedata o:title=""/>
              <o:lock v:ext="edit"/>
              <v:textbox>
                <w:txbxContent>
                  <w:p>
                    <w:pPr>
                      <w:ind w:firstLine="0" w:firstLineChars="0"/>
                      <w:rPr>
                        <w:sz w:val="21"/>
                        <w:szCs w:val="21"/>
                      </w:rPr>
                    </w:pPr>
                    <w:r>
                      <w:rPr>
                        <w:rFonts w:hint="eastAsia"/>
                        <w:sz w:val="21"/>
                        <w:szCs w:val="21"/>
                      </w:rPr>
                      <w:t>房屋</w:t>
                    </w:r>
                  </w:p>
                </w:txbxContent>
              </v:textbox>
            </v:shape>
            <v:rect id="_x0000_s1104" o:spid="_x0000_s1104" o:spt="1" style="position:absolute;left:4129;top:9035;height:829;width:1317;rotation:5898240f;" coordsize="21600,21600">
              <v:path/>
              <v:fill focussize="0,0"/>
              <v:stroke/>
              <v:imagedata o:title=""/>
              <o:lock v:ext="edit"/>
            </v:rect>
            <v:shape id="_x0000_s1105" o:spid="_x0000_s1105" o:spt="202" type="#_x0000_t202" style="position:absolute;left:4067;top:9213;height:518;width:1305;" filled="f" stroked="f" coordsize="21600,21600">
              <v:path/>
              <v:fill on="f" focussize="0,0"/>
              <v:stroke on="f" joinstyle="miter"/>
              <v:imagedata o:title=""/>
              <o:lock v:ext="edit"/>
              <v:textbox>
                <w:txbxContent>
                  <w:p>
                    <w:pPr>
                      <w:ind w:firstLine="420"/>
                      <w:rPr>
                        <w:sz w:val="21"/>
                        <w:szCs w:val="21"/>
                      </w:rPr>
                    </w:pPr>
                    <w:r>
                      <w:rPr>
                        <w:rFonts w:hint="eastAsia"/>
                        <w:sz w:val="21"/>
                        <w:szCs w:val="21"/>
                      </w:rPr>
                      <w:t>厨房</w:t>
                    </w:r>
                  </w:p>
                </w:txbxContent>
              </v:textbox>
            </v:shape>
            <v:rect id="_x0000_s1106" o:spid="_x0000_s1106" o:spt="1" style="position:absolute;left:4353;top:6840;height:897;width:938;rotation:5898240f;" coordsize="21600,21600">
              <v:path/>
              <v:fill focussize="0,0"/>
              <v:stroke/>
              <v:imagedata o:title=""/>
              <o:lock v:ext="edit"/>
            </v:rect>
            <v:shape id="_x0000_s1107" o:spid="_x0000_s1107" o:spt="202" type="#_x0000_t202" style="position:absolute;left:4347;top:6915;height:377;width:1196;" filled="f" stroked="f" coordsize="21600,21600">
              <v:path/>
              <v:fill on="f" focussize="0,0"/>
              <v:stroke on="f" joinstyle="miter"/>
              <v:imagedata o:title=""/>
              <o:lock v:ext="edit"/>
              <v:textbox>
                <w:txbxContent>
                  <w:p>
                    <w:pPr>
                      <w:ind w:firstLine="0" w:firstLineChars="0"/>
                      <w:rPr>
                        <w:sz w:val="21"/>
                        <w:szCs w:val="21"/>
                      </w:rPr>
                    </w:pPr>
                    <w:r>
                      <w:rPr>
                        <w:rFonts w:hint="eastAsia"/>
                        <w:sz w:val="21"/>
                        <w:szCs w:val="21"/>
                      </w:rPr>
                      <w:t>卫生间</w:t>
                    </w:r>
                  </w:p>
                </w:txbxContent>
              </v:textbox>
            </v:shape>
            <v:shape id="_x0000_s1108" o:spid="_x0000_s1108" o:spt="32" type="#_x0000_t32" style="position:absolute;left:5270;top:7317;height:1;width:611;" o:connectortype="straight" filled="f" coordsize="21600,21600">
              <v:path arrowok="t"/>
              <v:fill on="f" focussize="0,0"/>
              <v:stroke dashstyle="dashDot" endarrow="block"/>
              <v:imagedata o:title=""/>
              <o:lock v:ext="edit"/>
            </v:shape>
            <v:shape id="_x0000_s1109" o:spid="_x0000_s1109" o:spt="202" type="#_x0000_t202" style="position:absolute;left:5892;top:7114;height:433;width:992;v-text-anchor:middle;" coordsize="21600,21600">
              <v:path/>
              <v:fill focussize="0,0"/>
              <v:stroke dashstyle="dash"/>
              <v:imagedata o:title=""/>
              <o:lock v:ext="edit"/>
              <v:textbox>
                <w:txbxContent>
                  <w:p>
                    <w:pPr>
                      <w:ind w:firstLine="0" w:firstLineChars="0"/>
                      <w:jc w:val="center"/>
                      <w:rPr>
                        <w:sz w:val="21"/>
                        <w:szCs w:val="21"/>
                      </w:rPr>
                    </w:pPr>
                  </w:p>
                </w:txbxContent>
              </v:textbox>
            </v:shape>
            <v:shape id="_x0000_s1110" o:spid="_x0000_s1110" o:spt="202" type="#_x0000_t202" style="position:absolute;left:5883;top:7100;height:518;width:1196;" filled="f" stroked="f" coordsize="21600,21600">
              <v:path/>
              <v:fill on="f" focussize="0,0"/>
              <v:stroke on="f" joinstyle="miter"/>
              <v:imagedata o:title=""/>
              <o:lock v:ext="edit"/>
              <v:textbox>
                <w:txbxContent>
                  <w:p>
                    <w:pPr>
                      <w:ind w:firstLine="0" w:firstLineChars="0"/>
                      <w:rPr>
                        <w:sz w:val="21"/>
                        <w:szCs w:val="21"/>
                      </w:rPr>
                    </w:pPr>
                    <w:r>
                      <w:rPr>
                        <w:rFonts w:hint="eastAsia"/>
                        <w:sz w:val="21"/>
                        <w:szCs w:val="21"/>
                      </w:rPr>
                      <w:t>化粪池</w:t>
                    </w:r>
                  </w:p>
                </w:txbxContent>
              </v:textbox>
            </v:shape>
            <v:shape id="_x0000_s1111" o:spid="_x0000_s1111" o:spt="202" type="#_x0000_t202" style="position:absolute;left:7024;top:7948;height:843;width:992;v-text-anchor:middle;" coordsize="21600,21600">
              <v:path/>
              <v:fill focussize="0,0"/>
              <v:stroke joinstyle="miter"/>
              <v:imagedata o:title=""/>
              <o:lock v:ext="edit"/>
              <v:textbox>
                <w:txbxContent>
                  <w:p>
                    <w:pPr>
                      <w:ind w:firstLine="480"/>
                    </w:pPr>
                  </w:p>
                </w:txbxContent>
              </v:textbox>
            </v:shape>
            <v:shape id="_x0000_s1112" o:spid="_x0000_s1112" o:spt="202" type="#_x0000_t202" style="position:absolute;left:7024;top:8051;height:853;width:1060;" filled="f" stroked="f" coordsize="21600,21600">
              <v:path/>
              <v:fill on="f" focussize="0,0"/>
              <v:stroke on="f" joinstyle="miter"/>
              <v:imagedata o:title=""/>
              <o:lock v:ext="edit"/>
              <v:textbox>
                <w:txbxContent>
                  <w:p>
                    <w:pPr>
                      <w:spacing w:line="240" w:lineRule="auto"/>
                      <w:ind w:firstLine="0" w:firstLineChars="0"/>
                      <w:rPr>
                        <w:sz w:val="21"/>
                        <w:szCs w:val="21"/>
                      </w:rPr>
                    </w:pPr>
                    <w:r>
                      <w:rPr>
                        <w:rFonts w:hint="eastAsia"/>
                        <w:sz w:val="21"/>
                        <w:szCs w:val="21"/>
                      </w:rPr>
                      <w:t>户用格栅井</w:t>
                    </w:r>
                  </w:p>
                </w:txbxContent>
              </v:textbox>
            </v:shape>
            <v:shape id="_x0000_s1113" o:spid="_x0000_s1113" o:spt="32" type="#_x0000_t32" style="position:absolute;left:5202;top:9512;height:1;width:2295;" o:connectortype="straight" filled="f" coordsize="21600,21600">
              <v:path arrowok="t"/>
              <v:fill on="f" focussize="0,0"/>
              <v:stroke dashstyle="dashDot"/>
              <v:imagedata o:title=""/>
              <o:lock v:ext="edit"/>
            </v:shape>
            <v:rect id="_x0000_s1114" o:spid="_x0000_s1114" o:spt="1" style="position:absolute;left:1903;top:6633;height:3636;width:6469;" filled="f" coordsize="21600,21600">
              <v:path/>
              <v:fill on="f" focussize="0,0"/>
              <v:stroke dashstyle="longDashDot"/>
              <v:imagedata o:title=""/>
              <o:lock v:ext="edit"/>
            </v:rect>
            <v:shape id="_x0000_s1115" o:spid="_x0000_s1115" o:spt="32" type="#_x0000_t32" style="position:absolute;left:6884;top:7316;height:1;width:626;" o:connectortype="straight" filled="f" coordsize="21600,21600">
              <v:path arrowok="t"/>
              <v:fill on="f" focussize="0,0"/>
              <v:stroke dashstyle="dashDot"/>
              <v:imagedata o:title=""/>
              <o:lock v:ext="edit"/>
            </v:shape>
            <v:shape id="_x0000_s1116" o:spid="_x0000_s1116" o:spt="202" type="#_x0000_t202" style="position:absolute;left:8694;top:8131;height:460;width:1163;" filled="f" stroked="f" coordsize="21600,21600">
              <v:path/>
              <v:fill on="f" focussize="0,0"/>
              <v:stroke on="f" joinstyle="miter"/>
              <v:imagedata o:title=""/>
              <o:lock v:ext="edit"/>
              <v:textbox>
                <w:txbxContent>
                  <w:p>
                    <w:pPr>
                      <w:spacing w:line="240" w:lineRule="auto"/>
                      <w:ind w:firstLine="0" w:firstLineChars="0"/>
                      <w:rPr>
                        <w:sz w:val="21"/>
                        <w:szCs w:val="21"/>
                      </w:rPr>
                    </w:pPr>
                    <w:r>
                      <w:rPr>
                        <w:rFonts w:hint="eastAsia"/>
                        <w:sz w:val="21"/>
                        <w:szCs w:val="21"/>
                      </w:rPr>
                      <w:t>村庄管网</w:t>
                    </w:r>
                  </w:p>
                </w:txbxContent>
              </v:textbox>
            </v:shape>
            <v:shape id="_x0000_s1117" o:spid="_x0000_s1117" o:spt="202" type="#_x0000_t202" style="position:absolute;left:4353;top:7298;height:518;width:1196;" filled="f" stroked="f" coordsize="21600,21600">
              <v:path/>
              <v:fill on="f" focussize="0,0"/>
              <v:stroke on="f" joinstyle="miter"/>
              <v:imagedata o:title=""/>
              <o:lock v:ext="edit"/>
              <v:textbox>
                <w:txbxContent>
                  <w:p>
                    <w:pPr>
                      <w:ind w:firstLine="0" w:firstLineChars="0"/>
                      <w:rPr>
                        <w:sz w:val="21"/>
                        <w:szCs w:val="21"/>
                      </w:rPr>
                    </w:pPr>
                    <w:r>
                      <w:rPr>
                        <w:rFonts w:hint="eastAsia"/>
                        <w:sz w:val="21"/>
                        <w:szCs w:val="21"/>
                      </w:rPr>
                      <w:t>洗漱间</w:t>
                    </w:r>
                  </w:p>
                </w:txbxContent>
              </v:textbox>
            </v:shape>
            <v:shape id="_x0000_s1118" o:spid="_x0000_s1118" o:spt="32" type="#_x0000_t32" style="position:absolute;left:7988;top:8361;height:1;width:758;" o:connectortype="straight" filled="f" coordsize="21600,21600">
              <v:path arrowok="t"/>
              <v:fill on="f" focussize="0,0"/>
              <v:stroke dashstyle="dashDot" endarrow="block"/>
              <v:imagedata o:title=""/>
              <o:lock v:ext="edit"/>
            </v:shape>
            <w10:wrap type="none"/>
            <w10:anchorlock/>
          </v:group>
        </w:pict>
      </w:r>
    </w:p>
    <w:p>
      <w:pPr>
        <w:pStyle w:val="112"/>
        <w:rPr>
          <w:color w:val="auto"/>
          <w:lang w:val="zh-CN"/>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5.7</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 xml:space="preserve"> 庭院雨污分流示意图</w:t>
      </w:r>
    </w:p>
    <w:p>
      <w:pPr>
        <w:pStyle w:val="116"/>
        <w:rPr>
          <w:color w:val="auto"/>
          <w:lang w:val="zh-CN"/>
        </w:rPr>
      </w:pPr>
      <w:r>
        <w:rPr>
          <w:color w:val="auto"/>
          <w:lang w:val="zh-CN"/>
        </w:rPr>
        <w:t>畜禽尿液及粪便接入方案</w:t>
      </w:r>
    </w:p>
    <w:p>
      <w:pPr>
        <w:ind w:firstLine="480"/>
        <w:rPr>
          <w:rFonts w:cs="Times New Roman"/>
          <w:color w:val="auto"/>
          <w:lang w:val="zh-CN"/>
        </w:rPr>
      </w:pPr>
      <w:r>
        <w:rPr>
          <w:rFonts w:cs="Times New Roman"/>
          <w:color w:val="auto"/>
          <w:lang w:val="zh-CN"/>
        </w:rPr>
        <w:t>经现场踏勘，项目区基本所有村庄都存在养殖情况，单户养殖数量虽然少，但每个村养殖村民比例较大，畜禽尿液散排无法收集依然是项目区污水来源之一，现状畜禽养殖尿液主要以圈舍排口随意排至</w:t>
      </w:r>
      <w:r>
        <w:rPr>
          <w:rFonts w:hint="eastAsia" w:cs="Times New Roman"/>
          <w:color w:val="auto"/>
          <w:lang w:val="zh-CN"/>
        </w:rPr>
        <w:t>雨污合流沟</w:t>
      </w:r>
      <w:r>
        <w:rPr>
          <w:rFonts w:cs="Times New Roman"/>
          <w:color w:val="auto"/>
          <w:lang w:val="zh-CN"/>
        </w:rPr>
        <w:t>为主。根据现场踏勘，项目区村庄</w:t>
      </w:r>
      <w:r>
        <w:rPr>
          <w:rFonts w:hint="eastAsia" w:cs="Times New Roman"/>
          <w:color w:val="auto"/>
          <w:lang w:val="zh-CN"/>
        </w:rPr>
        <w:t>部分</w:t>
      </w:r>
      <w:r>
        <w:rPr>
          <w:rFonts w:cs="Times New Roman"/>
          <w:color w:val="auto"/>
          <w:lang w:val="zh-CN"/>
        </w:rPr>
        <w:t>村民使用旱厕，未建设配套设施化粪池。本方案通过在村民养殖圈舍排口建设化粪池，将化粪池上清液直接排入收集支管，以改善村庄环境。</w:t>
      </w:r>
    </w:p>
    <w:p>
      <w:pPr>
        <w:ind w:firstLine="480"/>
        <w:rPr>
          <w:rFonts w:cs="Times New Roman"/>
          <w:color w:val="auto"/>
          <w:lang w:val="zh-CN"/>
        </w:rPr>
      </w:pPr>
      <w:r>
        <w:rPr>
          <w:rFonts w:hint="eastAsia" w:cs="Times New Roman"/>
          <w:color w:val="auto"/>
          <w:lang w:val="zh-CN"/>
        </w:rPr>
        <w:t>此部分工程随“厕所革命”工作实施，不纳入本工程建设内容。</w:t>
      </w:r>
    </w:p>
    <w:p>
      <w:pPr>
        <w:pStyle w:val="4"/>
      </w:pPr>
      <w:bookmarkStart w:id="167" w:name="_Toc36126933"/>
      <w:bookmarkStart w:id="168" w:name="_Toc48640740"/>
      <w:r>
        <w:rPr>
          <w:rFonts w:hint="eastAsia"/>
        </w:rPr>
        <w:t>收集</w:t>
      </w:r>
      <w:r>
        <w:t>系统总体布置方案</w:t>
      </w:r>
      <w:bookmarkEnd w:id="167"/>
      <w:bookmarkEnd w:id="168"/>
    </w:p>
    <w:p>
      <w:pPr>
        <w:ind w:firstLine="480"/>
        <w:rPr>
          <w:rFonts w:cs="Times New Roman"/>
          <w:color w:val="auto"/>
          <w:lang w:val="zh-CN"/>
        </w:rPr>
      </w:pPr>
      <w:r>
        <w:rPr>
          <w:rFonts w:cs="Times New Roman"/>
          <w:color w:val="auto"/>
          <w:lang w:val="zh-CN"/>
        </w:rPr>
        <w:t>村庄污水收集工程按“雨污分流、接管到户”的原则，以</w:t>
      </w:r>
      <w:r>
        <w:rPr>
          <w:rFonts w:hint="eastAsia" w:cs="Times New Roman"/>
          <w:color w:val="auto"/>
          <w:lang w:val="zh-CN"/>
        </w:rPr>
        <w:t>户用格栅井</w:t>
      </w:r>
      <w:r>
        <w:rPr>
          <w:rFonts w:cs="Times New Roman"/>
          <w:color w:val="auto"/>
          <w:lang w:val="zh-CN"/>
        </w:rPr>
        <w:t>汇集农户庭院污水，再通过入户支管排出，户外则依据地形条件，新建截污管网，总体汇水地点应满足村落绝大部分居民的排水</w:t>
      </w:r>
      <w:r>
        <w:rPr>
          <w:rFonts w:hint="eastAsia" w:cs="Times New Roman"/>
          <w:color w:val="auto"/>
          <w:lang w:val="zh-CN"/>
        </w:rPr>
        <w:t>方向</w:t>
      </w:r>
      <w:r>
        <w:rPr>
          <w:rFonts w:cs="Times New Roman"/>
          <w:color w:val="auto"/>
          <w:lang w:val="zh-CN"/>
        </w:rPr>
        <w:t>。</w:t>
      </w:r>
    </w:p>
    <w:p>
      <w:pPr>
        <w:ind w:firstLine="480"/>
        <w:rPr>
          <w:rFonts w:cs="Times New Roman"/>
          <w:color w:val="auto"/>
          <w:lang w:val="zh-CN"/>
        </w:rPr>
      </w:pPr>
      <w:r>
        <w:rPr>
          <w:rFonts w:cs="Times New Roman"/>
          <w:color w:val="auto"/>
          <w:lang w:val="zh-CN"/>
        </w:rPr>
        <w:t>在污水收集方面</w:t>
      </w:r>
      <w:r>
        <w:rPr>
          <w:rFonts w:hint="eastAsia" w:cs="Times New Roman"/>
          <w:color w:val="auto"/>
          <w:lang w:val="zh-CN"/>
        </w:rPr>
        <w:t>，</w:t>
      </w:r>
      <w:r>
        <w:rPr>
          <w:rFonts w:cs="Times New Roman"/>
          <w:color w:val="auto"/>
          <w:lang w:val="zh-CN"/>
        </w:rPr>
        <w:t>设计以村内道路</w:t>
      </w:r>
      <w:r>
        <w:rPr>
          <w:rFonts w:hint="eastAsia" w:cs="Times New Roman"/>
          <w:color w:val="auto"/>
          <w:lang w:val="zh-CN"/>
        </w:rPr>
        <w:t>下面</w:t>
      </w:r>
      <w:r>
        <w:rPr>
          <w:rFonts w:cs="Times New Roman"/>
          <w:color w:val="auto"/>
          <w:lang w:val="zh-CN"/>
        </w:rPr>
        <w:t>设置排污系统为主，引至村落较低点处理，实现雨污分流后，可以完全处理旱季污水，具体根据村内的地形特征，结合村内道路情况，在主干道新建排水管网，将污水引入污水处理系统进行处置。</w:t>
      </w:r>
    </w:p>
    <w:p>
      <w:pPr>
        <w:ind w:firstLine="480"/>
        <w:rPr>
          <w:rFonts w:cs="Times New Roman"/>
          <w:color w:val="auto"/>
          <w:lang w:val="zh-CN"/>
        </w:rPr>
      </w:pPr>
      <w:r>
        <w:rPr>
          <w:rFonts w:cs="Times New Roman"/>
          <w:color w:val="auto"/>
          <w:lang w:val="zh-CN"/>
        </w:rPr>
        <w:t>根据实地调查，目前，项目区的所有村落截污系统较落后，但根据村落集中程度和各村落的地形走势，</w:t>
      </w:r>
      <w:r>
        <w:rPr>
          <w:rFonts w:hint="eastAsia" w:cs="Times New Roman"/>
          <w:color w:val="auto"/>
          <w:lang w:val="zh-CN"/>
        </w:rPr>
        <w:t>项目区</w:t>
      </w:r>
      <w:r>
        <w:rPr>
          <w:rFonts w:cs="Times New Roman"/>
          <w:color w:val="auto"/>
          <w:lang w:val="zh-CN"/>
        </w:rPr>
        <w:t>村落的污水均可通过新建截污管网收集处理，村落污水通过处理</w:t>
      </w:r>
      <w:r>
        <w:rPr>
          <w:rFonts w:hint="eastAsia" w:cs="Times New Roman"/>
          <w:color w:val="auto"/>
          <w:lang w:val="zh-CN"/>
        </w:rPr>
        <w:t>系统</w:t>
      </w:r>
      <w:r>
        <w:rPr>
          <w:rFonts w:cs="Times New Roman"/>
          <w:color w:val="auto"/>
          <w:lang w:val="zh-CN"/>
        </w:rPr>
        <w:t>净化后排入</w:t>
      </w:r>
      <w:r>
        <w:rPr>
          <w:rFonts w:hint="eastAsia" w:cs="Times New Roman"/>
          <w:color w:val="auto"/>
          <w:lang w:val="zh-CN"/>
        </w:rPr>
        <w:t>河道或</w:t>
      </w:r>
      <w:r>
        <w:rPr>
          <w:rFonts w:cs="Times New Roman"/>
          <w:color w:val="auto"/>
          <w:lang w:val="zh-CN"/>
        </w:rPr>
        <w:t>村民灌溉使用。</w:t>
      </w:r>
    </w:p>
    <w:p>
      <w:pPr>
        <w:pStyle w:val="4"/>
      </w:pPr>
      <w:bookmarkStart w:id="169" w:name="_Toc36126934"/>
      <w:bookmarkStart w:id="170" w:name="_Toc48640741"/>
      <w:r>
        <w:t>进、出水水质及排放标准确定</w:t>
      </w:r>
      <w:bookmarkEnd w:id="169"/>
      <w:bookmarkEnd w:id="170"/>
    </w:p>
    <w:p>
      <w:pPr>
        <w:pStyle w:val="5"/>
      </w:pPr>
      <w:bookmarkStart w:id="171" w:name="_Toc36126935"/>
      <w:bookmarkStart w:id="172" w:name="_Toc48640742"/>
      <w:r>
        <w:t>设计进水水质的确定</w:t>
      </w:r>
      <w:bookmarkEnd w:id="171"/>
      <w:bookmarkEnd w:id="172"/>
    </w:p>
    <w:p>
      <w:pPr>
        <w:ind w:firstLine="480"/>
        <w:rPr>
          <w:rFonts w:cs="Times New Roman"/>
          <w:color w:val="auto"/>
          <w:lang w:val="zh-CN"/>
        </w:rPr>
      </w:pPr>
      <w:bookmarkStart w:id="173" w:name="_Toc3994781"/>
      <w:bookmarkStart w:id="174" w:name="_Toc3994808"/>
      <w:r>
        <w:rPr>
          <w:rFonts w:cs="Times New Roman"/>
          <w:color w:val="auto"/>
          <w:lang w:val="zh-CN"/>
        </w:rPr>
        <w:t>根据《云南省农村生活污水治理技术指南》(征求意见稿)农村生活污水水质应根据实地调查结果确定，在没有调查数据的地区，可参考同类地区的调查数据。因此，本项目进水水质参考《云南省农村生活污水治理技术指南》(</w:t>
      </w:r>
      <w:r>
        <w:rPr>
          <w:rFonts w:hint="eastAsia" w:cs="Times New Roman"/>
          <w:color w:val="auto"/>
          <w:lang w:val="zh-CN"/>
        </w:rPr>
        <w:t>试行</w:t>
      </w:r>
      <w:r>
        <w:rPr>
          <w:rFonts w:cs="Times New Roman"/>
          <w:color w:val="auto"/>
          <w:lang w:val="zh-CN"/>
        </w:rPr>
        <w:t>)中第</w:t>
      </w:r>
      <w:r>
        <w:rPr>
          <w:rFonts w:hint="eastAsia" w:cs="Times New Roman"/>
          <w:color w:val="auto"/>
          <w:lang w:val="zh-CN"/>
        </w:rPr>
        <w:t>8</w:t>
      </w:r>
      <w:r>
        <w:rPr>
          <w:rFonts w:cs="Times New Roman"/>
          <w:color w:val="auto"/>
          <w:lang w:val="zh-CN"/>
        </w:rPr>
        <w:t>页、表2-2生活污水水质参考取值表，并根据村庄排水情况做适当调整，具体见下表。</w:t>
      </w:r>
    </w:p>
    <w:p>
      <w:pPr>
        <w:pStyle w:val="366"/>
        <w:rPr>
          <w:rFonts w:eastAsia="仿宋_GB2312"/>
        </w:rPr>
      </w:pPr>
      <w:r>
        <w:rPr>
          <w:rFonts w:eastAsia="仿宋_GB2312"/>
        </w:rPr>
        <w:t>表5.</w:t>
      </w:r>
      <w:r>
        <w:rPr>
          <w:rFonts w:hint="eastAsia" w:eastAsia="仿宋_GB2312"/>
        </w:rPr>
        <w:t>9</w:t>
      </w:r>
      <w:r>
        <w:rPr>
          <w:rFonts w:eastAsia="仿宋_GB2312"/>
        </w:rPr>
        <w:t>-1生活污水水质参考及取值表</w:t>
      </w:r>
    </w:p>
    <w:tbl>
      <w:tblPr>
        <w:tblStyle w:val="88"/>
        <w:tblW w:w="5000" w:type="pct"/>
        <w:jc w:val="center"/>
        <w:tblLayout w:type="autofit"/>
        <w:tblCellMar>
          <w:top w:w="0" w:type="dxa"/>
          <w:left w:w="108" w:type="dxa"/>
          <w:bottom w:w="0" w:type="dxa"/>
          <w:right w:w="108" w:type="dxa"/>
        </w:tblCellMar>
      </w:tblPr>
      <w:tblGrid>
        <w:gridCol w:w="2456"/>
        <w:gridCol w:w="1089"/>
        <w:gridCol w:w="1089"/>
        <w:gridCol w:w="1095"/>
        <w:gridCol w:w="1091"/>
        <w:gridCol w:w="1092"/>
        <w:gridCol w:w="1092"/>
      </w:tblGrid>
      <w:tr>
        <w:tblPrEx>
          <w:tblCellMar>
            <w:top w:w="0" w:type="dxa"/>
            <w:left w:w="108" w:type="dxa"/>
            <w:bottom w:w="0" w:type="dxa"/>
            <w:right w:w="108" w:type="dxa"/>
          </w:tblCellMar>
        </w:tblPrEx>
        <w:trPr>
          <w:trHeight w:val="397" w:hRule="atLeast"/>
          <w:jc w:val="center"/>
        </w:trPr>
        <w:tc>
          <w:tcPr>
            <w:tcW w:w="136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b/>
              </w:rPr>
            </w:pPr>
            <w:r>
              <w:rPr>
                <w:b/>
              </w:rPr>
              <w:t>主要指标</w:t>
            </w:r>
          </w:p>
        </w:tc>
        <w:tc>
          <w:tcPr>
            <w:tcW w:w="605"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SS</w:t>
            </w:r>
          </w:p>
        </w:tc>
        <w:tc>
          <w:tcPr>
            <w:tcW w:w="605"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COD</w:t>
            </w:r>
          </w:p>
        </w:tc>
        <w:tc>
          <w:tcPr>
            <w:tcW w:w="608"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NH</w:t>
            </w:r>
            <w:r>
              <w:rPr>
                <w:b/>
                <w:vertAlign w:val="subscript"/>
              </w:rPr>
              <w:t>3</w:t>
            </w:r>
            <w:r>
              <w:rPr>
                <w:b/>
              </w:rPr>
              <w:t>-N</w:t>
            </w:r>
          </w:p>
        </w:tc>
        <w:tc>
          <w:tcPr>
            <w:tcW w:w="606"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TN</w:t>
            </w:r>
          </w:p>
        </w:tc>
        <w:tc>
          <w:tcPr>
            <w:tcW w:w="606"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TP</w:t>
            </w:r>
          </w:p>
        </w:tc>
        <w:tc>
          <w:tcPr>
            <w:tcW w:w="607" w:type="pct"/>
            <w:tcBorders>
              <w:top w:val="single" w:color="auto" w:sz="4" w:space="0"/>
              <w:left w:val="nil"/>
              <w:bottom w:val="single" w:color="auto" w:sz="4" w:space="0"/>
              <w:right w:val="single" w:color="auto" w:sz="4" w:space="0"/>
            </w:tcBorders>
            <w:shd w:val="clear" w:color="auto" w:fill="auto"/>
            <w:noWrap/>
            <w:vAlign w:val="center"/>
          </w:tcPr>
          <w:p>
            <w:pPr>
              <w:pStyle w:val="114"/>
              <w:rPr>
                <w:b/>
              </w:rPr>
            </w:pPr>
            <w:r>
              <w:rPr>
                <w:b/>
              </w:rPr>
              <w:t>pH</w:t>
            </w:r>
          </w:p>
        </w:tc>
      </w:tr>
      <w:tr>
        <w:tblPrEx>
          <w:tblCellMar>
            <w:top w:w="0" w:type="dxa"/>
            <w:left w:w="108" w:type="dxa"/>
            <w:bottom w:w="0" w:type="dxa"/>
            <w:right w:w="108" w:type="dxa"/>
          </w:tblCellMar>
        </w:tblPrEx>
        <w:trPr>
          <w:trHeight w:val="397" w:hRule="atLeast"/>
          <w:jc w:val="center"/>
        </w:trPr>
        <w:tc>
          <w:tcPr>
            <w:tcW w:w="136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pPr>
            <w:r>
              <w:t>污水浓度范围</w:t>
            </w:r>
          </w:p>
        </w:tc>
        <w:tc>
          <w:tcPr>
            <w:tcW w:w="605" w:type="pct"/>
            <w:tcBorders>
              <w:top w:val="nil"/>
              <w:left w:val="nil"/>
              <w:bottom w:val="single" w:color="auto" w:sz="4" w:space="0"/>
              <w:right w:val="single" w:color="auto" w:sz="4" w:space="0"/>
            </w:tcBorders>
            <w:shd w:val="clear" w:color="auto" w:fill="auto"/>
            <w:noWrap/>
            <w:vAlign w:val="center"/>
          </w:tcPr>
          <w:p>
            <w:pPr>
              <w:pStyle w:val="114"/>
            </w:pPr>
            <w:r>
              <w:rPr>
                <w:rFonts w:hint="eastAsia"/>
              </w:rPr>
              <w:t>80</w:t>
            </w:r>
            <w:r>
              <w:t>~</w:t>
            </w:r>
            <w:r>
              <w:rPr>
                <w:rFonts w:hint="eastAsia"/>
              </w:rPr>
              <w:t>2</w:t>
            </w:r>
            <w:r>
              <w:t>00</w:t>
            </w:r>
          </w:p>
        </w:tc>
        <w:tc>
          <w:tcPr>
            <w:tcW w:w="605" w:type="pct"/>
            <w:tcBorders>
              <w:top w:val="nil"/>
              <w:left w:val="nil"/>
              <w:bottom w:val="single" w:color="auto" w:sz="4" w:space="0"/>
              <w:right w:val="single" w:color="auto" w:sz="4" w:space="0"/>
            </w:tcBorders>
            <w:shd w:val="clear" w:color="auto" w:fill="auto"/>
            <w:noWrap/>
            <w:vAlign w:val="center"/>
          </w:tcPr>
          <w:p>
            <w:pPr>
              <w:pStyle w:val="114"/>
            </w:pPr>
            <w:r>
              <w:t>1</w:t>
            </w:r>
            <w:r>
              <w:rPr>
                <w:rFonts w:hint="eastAsia"/>
              </w:rPr>
              <w:t>00</w:t>
            </w:r>
            <w:r>
              <w:t>~3</w:t>
            </w:r>
            <w:r>
              <w:rPr>
                <w:rFonts w:hint="eastAsia"/>
              </w:rPr>
              <w:t>00</w:t>
            </w:r>
          </w:p>
        </w:tc>
        <w:tc>
          <w:tcPr>
            <w:tcW w:w="608" w:type="pct"/>
            <w:tcBorders>
              <w:top w:val="nil"/>
              <w:left w:val="nil"/>
              <w:bottom w:val="single" w:color="auto" w:sz="4" w:space="0"/>
              <w:right w:val="single" w:color="auto" w:sz="4" w:space="0"/>
            </w:tcBorders>
            <w:shd w:val="clear" w:color="auto" w:fill="auto"/>
            <w:noWrap/>
            <w:vAlign w:val="center"/>
          </w:tcPr>
          <w:p>
            <w:pPr>
              <w:pStyle w:val="114"/>
            </w:pPr>
            <w:r>
              <w:rPr>
                <w:rFonts w:hint="eastAsia"/>
              </w:rPr>
              <w:t>18</w:t>
            </w:r>
            <w:r>
              <w:t>~</w:t>
            </w:r>
            <w:r>
              <w:rPr>
                <w:rFonts w:hint="eastAsia"/>
              </w:rPr>
              <w:t>5</w:t>
            </w:r>
            <w:r>
              <w:t>0</w:t>
            </w:r>
          </w:p>
        </w:tc>
        <w:tc>
          <w:tcPr>
            <w:tcW w:w="606" w:type="pct"/>
            <w:tcBorders>
              <w:top w:val="nil"/>
              <w:left w:val="nil"/>
              <w:bottom w:val="single" w:color="auto" w:sz="4" w:space="0"/>
              <w:right w:val="single" w:color="auto" w:sz="4" w:space="0"/>
            </w:tcBorders>
            <w:shd w:val="clear" w:color="auto" w:fill="auto"/>
            <w:noWrap/>
            <w:vAlign w:val="center"/>
          </w:tcPr>
          <w:p>
            <w:pPr>
              <w:pStyle w:val="114"/>
            </w:pPr>
            <w:r>
              <w:t>2</w:t>
            </w:r>
            <w:r>
              <w:rPr>
                <w:rFonts w:hint="eastAsia"/>
              </w:rPr>
              <w:t>0</w:t>
            </w:r>
            <w:r>
              <w:t>~</w:t>
            </w:r>
            <w:r>
              <w:rPr>
                <w:rFonts w:hint="eastAsia"/>
              </w:rPr>
              <w:t>6</w:t>
            </w:r>
            <w:r>
              <w:t>0</w:t>
            </w:r>
          </w:p>
        </w:tc>
        <w:tc>
          <w:tcPr>
            <w:tcW w:w="606" w:type="pct"/>
            <w:tcBorders>
              <w:top w:val="nil"/>
              <w:left w:val="nil"/>
              <w:bottom w:val="single" w:color="auto" w:sz="4" w:space="0"/>
              <w:right w:val="single" w:color="auto" w:sz="4" w:space="0"/>
            </w:tcBorders>
            <w:shd w:val="clear" w:color="auto" w:fill="auto"/>
            <w:noWrap/>
            <w:vAlign w:val="center"/>
          </w:tcPr>
          <w:p>
            <w:pPr>
              <w:pStyle w:val="114"/>
            </w:pPr>
            <w:r>
              <w:t>2.0~</w:t>
            </w:r>
            <w:r>
              <w:rPr>
                <w:rFonts w:hint="eastAsia"/>
              </w:rPr>
              <w:t>6</w:t>
            </w:r>
            <w:r>
              <w:t>.0</w:t>
            </w:r>
          </w:p>
        </w:tc>
        <w:tc>
          <w:tcPr>
            <w:tcW w:w="607" w:type="pct"/>
            <w:tcBorders>
              <w:top w:val="nil"/>
              <w:left w:val="nil"/>
              <w:bottom w:val="single" w:color="auto" w:sz="4" w:space="0"/>
              <w:right w:val="single" w:color="auto" w:sz="4" w:space="0"/>
            </w:tcBorders>
            <w:shd w:val="clear" w:color="auto" w:fill="auto"/>
            <w:noWrap/>
            <w:vAlign w:val="center"/>
          </w:tcPr>
          <w:p>
            <w:pPr>
              <w:pStyle w:val="114"/>
            </w:pPr>
            <w:r>
              <w:t>6.5~8.0</w:t>
            </w:r>
          </w:p>
        </w:tc>
      </w:tr>
      <w:tr>
        <w:tblPrEx>
          <w:tblCellMar>
            <w:top w:w="0" w:type="dxa"/>
            <w:left w:w="108" w:type="dxa"/>
            <w:bottom w:w="0" w:type="dxa"/>
            <w:right w:w="108" w:type="dxa"/>
          </w:tblCellMar>
        </w:tblPrEx>
        <w:trPr>
          <w:trHeight w:val="397" w:hRule="atLeast"/>
          <w:jc w:val="center"/>
        </w:trPr>
        <w:tc>
          <w:tcPr>
            <w:tcW w:w="1364" w:type="pct"/>
            <w:tcBorders>
              <w:top w:val="nil"/>
              <w:left w:val="single" w:color="auto" w:sz="4" w:space="0"/>
              <w:bottom w:val="single" w:color="auto" w:sz="4" w:space="0"/>
              <w:right w:val="single" w:color="auto" w:sz="4" w:space="0"/>
            </w:tcBorders>
            <w:shd w:val="clear" w:color="auto" w:fill="auto"/>
            <w:noWrap/>
            <w:vAlign w:val="center"/>
          </w:tcPr>
          <w:p>
            <w:pPr>
              <w:pStyle w:val="114"/>
            </w:pPr>
            <w:r>
              <w:t>设计进水水质</w:t>
            </w:r>
          </w:p>
        </w:tc>
        <w:tc>
          <w:tcPr>
            <w:tcW w:w="605" w:type="pct"/>
            <w:tcBorders>
              <w:top w:val="nil"/>
              <w:left w:val="nil"/>
              <w:bottom w:val="single" w:color="auto" w:sz="4" w:space="0"/>
              <w:right w:val="single" w:color="auto" w:sz="4" w:space="0"/>
            </w:tcBorders>
            <w:shd w:val="clear" w:color="auto" w:fill="auto"/>
            <w:noWrap/>
            <w:vAlign w:val="center"/>
          </w:tcPr>
          <w:p>
            <w:pPr>
              <w:pStyle w:val="114"/>
            </w:pPr>
            <w:r>
              <w:rPr>
                <w:rFonts w:hint="eastAsia"/>
              </w:rPr>
              <w:t>120</w:t>
            </w:r>
          </w:p>
        </w:tc>
        <w:tc>
          <w:tcPr>
            <w:tcW w:w="605" w:type="pct"/>
            <w:tcBorders>
              <w:top w:val="nil"/>
              <w:left w:val="nil"/>
              <w:bottom w:val="single" w:color="auto" w:sz="4" w:space="0"/>
              <w:right w:val="single" w:color="auto" w:sz="4" w:space="0"/>
            </w:tcBorders>
            <w:shd w:val="clear" w:color="auto" w:fill="auto"/>
            <w:noWrap/>
            <w:vAlign w:val="center"/>
          </w:tcPr>
          <w:p>
            <w:pPr>
              <w:pStyle w:val="114"/>
            </w:pPr>
            <w:r>
              <w:rPr>
                <w:rFonts w:hint="eastAsia"/>
              </w:rPr>
              <w:t>150</w:t>
            </w:r>
          </w:p>
        </w:tc>
        <w:tc>
          <w:tcPr>
            <w:tcW w:w="608" w:type="pct"/>
            <w:tcBorders>
              <w:top w:val="nil"/>
              <w:left w:val="nil"/>
              <w:bottom w:val="single" w:color="auto" w:sz="4" w:space="0"/>
              <w:right w:val="single" w:color="auto" w:sz="4" w:space="0"/>
            </w:tcBorders>
            <w:shd w:val="clear" w:color="auto" w:fill="auto"/>
            <w:noWrap/>
            <w:vAlign w:val="center"/>
          </w:tcPr>
          <w:p>
            <w:pPr>
              <w:pStyle w:val="114"/>
            </w:pPr>
            <w:r>
              <w:rPr>
                <w:rFonts w:hint="eastAsia"/>
              </w:rPr>
              <w:t>25</w:t>
            </w:r>
          </w:p>
        </w:tc>
        <w:tc>
          <w:tcPr>
            <w:tcW w:w="606" w:type="pct"/>
            <w:tcBorders>
              <w:top w:val="nil"/>
              <w:left w:val="nil"/>
              <w:bottom w:val="single" w:color="auto" w:sz="4" w:space="0"/>
              <w:right w:val="single" w:color="auto" w:sz="4" w:space="0"/>
            </w:tcBorders>
            <w:shd w:val="clear" w:color="auto" w:fill="auto"/>
            <w:noWrap/>
            <w:vAlign w:val="center"/>
          </w:tcPr>
          <w:p>
            <w:pPr>
              <w:pStyle w:val="114"/>
            </w:pPr>
            <w:r>
              <w:rPr>
                <w:rFonts w:hint="eastAsia"/>
              </w:rPr>
              <w:t>35</w:t>
            </w:r>
          </w:p>
        </w:tc>
        <w:tc>
          <w:tcPr>
            <w:tcW w:w="606" w:type="pct"/>
            <w:tcBorders>
              <w:top w:val="nil"/>
              <w:left w:val="nil"/>
              <w:bottom w:val="single" w:color="auto" w:sz="4" w:space="0"/>
              <w:right w:val="single" w:color="auto" w:sz="4" w:space="0"/>
            </w:tcBorders>
            <w:shd w:val="clear" w:color="auto" w:fill="auto"/>
            <w:noWrap/>
            <w:vAlign w:val="center"/>
          </w:tcPr>
          <w:p>
            <w:pPr>
              <w:pStyle w:val="114"/>
            </w:pPr>
            <w:r>
              <w:rPr>
                <w:rFonts w:hint="eastAsia"/>
              </w:rPr>
              <w:t>4.0</w:t>
            </w:r>
          </w:p>
        </w:tc>
        <w:tc>
          <w:tcPr>
            <w:tcW w:w="607" w:type="pct"/>
            <w:tcBorders>
              <w:top w:val="nil"/>
              <w:left w:val="nil"/>
              <w:bottom w:val="single" w:color="auto" w:sz="4" w:space="0"/>
              <w:right w:val="single" w:color="auto" w:sz="4" w:space="0"/>
            </w:tcBorders>
            <w:shd w:val="clear" w:color="auto" w:fill="auto"/>
            <w:noWrap/>
            <w:vAlign w:val="center"/>
          </w:tcPr>
          <w:p>
            <w:pPr>
              <w:pStyle w:val="114"/>
            </w:pPr>
            <w:r>
              <w:rPr>
                <w:rFonts w:hint="eastAsia"/>
              </w:rPr>
              <w:t>7.0</w:t>
            </w:r>
            <w:r>
              <w:t xml:space="preserve"> </w:t>
            </w:r>
          </w:p>
        </w:tc>
      </w:tr>
      <w:bookmarkEnd w:id="173"/>
      <w:bookmarkEnd w:id="174"/>
    </w:tbl>
    <w:p>
      <w:pPr>
        <w:pStyle w:val="5"/>
      </w:pPr>
      <w:bookmarkStart w:id="175" w:name="_Toc48640743"/>
      <w:bookmarkStart w:id="176" w:name="_Toc36126936"/>
      <w:r>
        <w:t>出水水质的确定</w:t>
      </w:r>
      <w:bookmarkEnd w:id="175"/>
      <w:bookmarkEnd w:id="176"/>
    </w:p>
    <w:p>
      <w:pPr>
        <w:ind w:firstLine="480"/>
        <w:rPr>
          <w:rFonts w:cs="Times New Roman"/>
          <w:color w:val="auto"/>
        </w:rPr>
      </w:pPr>
      <w:r>
        <w:rPr>
          <w:rFonts w:cs="Times New Roman"/>
          <w:color w:val="auto"/>
        </w:rPr>
        <w:t>严格执行《云南省农村生活污水处理设施水污染物排放限值》（DB/T53 953-2019）。</w:t>
      </w:r>
    </w:p>
    <w:p>
      <w:pPr>
        <w:ind w:firstLine="480"/>
        <w:rPr>
          <w:rFonts w:cs="Times New Roman"/>
          <w:color w:val="auto"/>
        </w:rPr>
      </w:pPr>
      <w:r>
        <w:rPr>
          <w:rFonts w:cs="Times New Roman"/>
          <w:color w:val="auto"/>
        </w:rPr>
        <w:t>（1）直接排放</w:t>
      </w:r>
    </w:p>
    <w:p>
      <w:pPr>
        <w:ind w:firstLine="480"/>
        <w:rPr>
          <w:rFonts w:cs="Times New Roman"/>
          <w:color w:val="auto"/>
        </w:rPr>
      </w:pPr>
      <w:r>
        <w:rPr>
          <w:rFonts w:cs="Times New Roman"/>
          <w:color w:val="auto"/>
        </w:rPr>
        <w:t>处理规模5m</w:t>
      </w:r>
      <w:r>
        <w:rPr>
          <w:rFonts w:cs="Times New Roman"/>
          <w:color w:val="auto"/>
          <w:vertAlign w:val="superscript"/>
        </w:rPr>
        <w:t>3</w:t>
      </w:r>
      <w:r>
        <w:rPr>
          <w:rFonts w:cs="Times New Roman"/>
          <w:color w:val="auto"/>
        </w:rPr>
        <w:t>/d以上（含5m</w:t>
      </w:r>
      <w:r>
        <w:rPr>
          <w:rFonts w:cs="Times New Roman"/>
          <w:color w:val="auto"/>
          <w:vertAlign w:val="superscript"/>
        </w:rPr>
        <w:t>3</w:t>
      </w:r>
      <w:r>
        <w:rPr>
          <w:rFonts w:cs="Times New Roman"/>
          <w:color w:val="auto"/>
        </w:rPr>
        <w:t>/d），出水直接排入湖泊等封闭、半封闭等环境敏感区水域的，执行一级A标准。出水直接排入《地表水环境质量标准》（GB 3838）Ⅱ、Ⅲ类功能水域的，执行一级B标准。出水直接排入《地表水环境质量标准》（GB 3838）Ⅳ、Ⅴ类功能水域的，执行二级标准。出水直接排入村庄附近池塘等环境功能未明确水体的，执行三级标准。</w:t>
      </w:r>
    </w:p>
    <w:p>
      <w:pPr>
        <w:ind w:firstLine="480"/>
        <w:rPr>
          <w:rFonts w:cs="Times New Roman"/>
          <w:color w:val="auto"/>
        </w:rPr>
      </w:pPr>
      <w:r>
        <w:rPr>
          <w:rFonts w:cs="Times New Roman"/>
          <w:color w:val="auto"/>
        </w:rPr>
        <w:t>处理规模5m</w:t>
      </w:r>
      <w:r>
        <w:rPr>
          <w:rFonts w:cs="Times New Roman"/>
          <w:color w:val="auto"/>
          <w:vertAlign w:val="superscript"/>
        </w:rPr>
        <w:t>3</w:t>
      </w:r>
      <w:r>
        <w:rPr>
          <w:rFonts w:cs="Times New Roman"/>
          <w:color w:val="auto"/>
        </w:rPr>
        <w:t>/d以下（不含5m</w:t>
      </w:r>
      <w:r>
        <w:rPr>
          <w:rFonts w:cs="Times New Roman"/>
          <w:color w:val="auto"/>
          <w:vertAlign w:val="superscript"/>
        </w:rPr>
        <w:t>3</w:t>
      </w:r>
      <w:r>
        <w:rPr>
          <w:rFonts w:cs="Times New Roman"/>
          <w:color w:val="auto"/>
        </w:rPr>
        <w:t>/d），执行三级标准。</w:t>
      </w:r>
    </w:p>
    <w:p>
      <w:pPr>
        <w:ind w:firstLine="480"/>
        <w:rPr>
          <w:rFonts w:cs="Times New Roman"/>
          <w:color w:val="auto"/>
        </w:rPr>
      </w:pPr>
      <w:r>
        <w:rPr>
          <w:rFonts w:cs="Times New Roman"/>
          <w:color w:val="auto"/>
        </w:rPr>
        <w:t>（2）间接排放</w:t>
      </w:r>
    </w:p>
    <w:p>
      <w:pPr>
        <w:ind w:firstLine="480"/>
        <w:rPr>
          <w:rFonts w:cs="Times New Roman"/>
          <w:color w:val="auto"/>
        </w:rPr>
      </w:pPr>
      <w:r>
        <w:rPr>
          <w:rFonts w:cs="Times New Roman"/>
          <w:color w:val="auto"/>
        </w:rPr>
        <w:t>出水间接排入水体的，执行三级标准，同时最终出水应满足受纳水体的污染物排放控制要求。</w:t>
      </w:r>
    </w:p>
    <w:p>
      <w:pPr>
        <w:ind w:firstLine="480"/>
        <w:rPr>
          <w:rFonts w:cs="Times New Roman"/>
          <w:color w:val="auto"/>
        </w:rPr>
      </w:pPr>
      <w:r>
        <w:rPr>
          <w:rFonts w:cs="Times New Roman"/>
          <w:color w:val="auto"/>
        </w:rPr>
        <w:t>（3）尾水资源化利用</w:t>
      </w:r>
    </w:p>
    <w:p>
      <w:pPr>
        <w:ind w:firstLine="480"/>
        <w:rPr>
          <w:rFonts w:cs="Times New Roman"/>
          <w:color w:val="auto"/>
        </w:rPr>
      </w:pPr>
      <w:r>
        <w:rPr>
          <w:rFonts w:cs="Times New Roman"/>
          <w:color w:val="auto"/>
        </w:rPr>
        <w:t>尾水利用用于农田灌溉的，相关控制指标应满足《农田灌溉水质标准》（GB 5084）规定；用于渔业的，相关控制指标应满足《渔业水质标准》（GB11607）规定；用于景观环境的，相关控制指标应满足《城市污水再生利用－景观环境用水水质》（GB/T 18921）规定；用于其他的，参照国家相关标准执行。</w:t>
      </w:r>
    </w:p>
    <w:p>
      <w:pPr>
        <w:ind w:firstLine="480"/>
        <w:rPr>
          <w:rFonts w:cs="Times New Roman"/>
          <w:color w:val="auto"/>
        </w:rPr>
      </w:pPr>
      <w:r>
        <w:rPr>
          <w:rFonts w:cs="Times New Roman"/>
          <w:color w:val="auto"/>
        </w:rPr>
        <w:t>（4）其他要求</w:t>
      </w:r>
    </w:p>
    <w:p>
      <w:pPr>
        <w:ind w:firstLine="480"/>
        <w:rPr>
          <w:rFonts w:cs="Times New Roman"/>
          <w:color w:val="auto"/>
        </w:rPr>
      </w:pPr>
      <w:r>
        <w:rPr>
          <w:rFonts w:cs="Times New Roman"/>
          <w:color w:val="auto"/>
        </w:rPr>
        <w:t>出水执行三级标准，应保证受纳水体不发生黑臭。</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5.9</w:t>
      </w:r>
      <w:r>
        <w:rPr>
          <w:color w:val="auto"/>
        </w:rPr>
        <w:fldChar w:fldCharType="end"/>
      </w:r>
      <w:r>
        <w:rPr>
          <w:color w:val="auto"/>
        </w:rPr>
        <w:noBreakHyphen/>
      </w:r>
      <w:r>
        <w:rPr>
          <w:rFonts w:hint="eastAsia"/>
          <w:color w:val="auto"/>
        </w:rPr>
        <w:t>2</w:t>
      </w:r>
      <w:r>
        <w:rPr>
          <w:color w:val="auto"/>
        </w:rPr>
        <w:t xml:space="preserve">  水污染物最高允许排放浓度</w:t>
      </w:r>
    </w:p>
    <w:tbl>
      <w:tblPr>
        <w:tblStyle w:val="88"/>
        <w:tblW w:w="5000" w:type="pct"/>
        <w:tblInd w:w="0" w:type="dxa"/>
        <w:tblLayout w:type="autofit"/>
        <w:tblCellMar>
          <w:top w:w="0" w:type="dxa"/>
          <w:left w:w="108" w:type="dxa"/>
          <w:bottom w:w="0" w:type="dxa"/>
          <w:right w:w="108" w:type="dxa"/>
        </w:tblCellMar>
      </w:tblPr>
      <w:tblGrid>
        <w:gridCol w:w="929"/>
        <w:gridCol w:w="3056"/>
        <w:gridCol w:w="1084"/>
        <w:gridCol w:w="1070"/>
        <w:gridCol w:w="1428"/>
        <w:gridCol w:w="1437"/>
      </w:tblGrid>
      <w:tr>
        <w:tblPrEx>
          <w:tblCellMar>
            <w:top w:w="0" w:type="dxa"/>
            <w:left w:w="108" w:type="dxa"/>
            <w:bottom w:w="0" w:type="dxa"/>
            <w:right w:w="108" w:type="dxa"/>
          </w:tblCellMar>
        </w:tblPrEx>
        <w:trPr>
          <w:trHeight w:val="340" w:hRule="atLeast"/>
          <w:tblHeader/>
        </w:trPr>
        <w:tc>
          <w:tcPr>
            <w:tcW w:w="516" w:type="pct"/>
            <w:vMerge w:val="restart"/>
            <w:tcBorders>
              <w:top w:val="single" w:color="auto" w:sz="4" w:space="0"/>
              <w:left w:val="single" w:color="auto" w:sz="4" w:space="0"/>
              <w:bottom w:val="single" w:color="auto" w:sz="4" w:space="0"/>
              <w:right w:val="single" w:color="auto" w:sz="4" w:space="0"/>
            </w:tcBorders>
            <w:vAlign w:val="center"/>
          </w:tcPr>
          <w:p>
            <w:pPr>
              <w:pStyle w:val="114"/>
              <w:rPr>
                <w:b/>
              </w:rPr>
            </w:pPr>
            <w:r>
              <w:rPr>
                <w:b/>
              </w:rPr>
              <w:t>序号</w:t>
            </w:r>
          </w:p>
        </w:tc>
        <w:tc>
          <w:tcPr>
            <w:tcW w:w="1697" w:type="pct"/>
            <w:vMerge w:val="restart"/>
            <w:tcBorders>
              <w:top w:val="single" w:color="auto" w:sz="4" w:space="0"/>
              <w:left w:val="single" w:color="auto" w:sz="4" w:space="0"/>
              <w:bottom w:val="single" w:color="auto" w:sz="4" w:space="0"/>
              <w:right w:val="single" w:color="auto" w:sz="4" w:space="0"/>
            </w:tcBorders>
            <w:vAlign w:val="center"/>
          </w:tcPr>
          <w:p>
            <w:pPr>
              <w:pStyle w:val="114"/>
              <w:rPr>
                <w:b/>
              </w:rPr>
            </w:pPr>
            <w:r>
              <w:rPr>
                <w:b/>
              </w:rPr>
              <w:t>控制项目名称</w:t>
            </w:r>
          </w:p>
        </w:tc>
        <w:tc>
          <w:tcPr>
            <w:tcW w:w="1196" w:type="pct"/>
            <w:gridSpan w:val="2"/>
            <w:tcBorders>
              <w:top w:val="single" w:color="auto" w:sz="4" w:space="0"/>
              <w:left w:val="nil"/>
              <w:bottom w:val="single" w:color="auto" w:sz="4" w:space="0"/>
              <w:right w:val="single" w:color="auto" w:sz="4" w:space="0"/>
            </w:tcBorders>
            <w:vAlign w:val="center"/>
          </w:tcPr>
          <w:p>
            <w:pPr>
              <w:pStyle w:val="114"/>
              <w:rPr>
                <w:b/>
              </w:rPr>
            </w:pPr>
            <w:r>
              <w:rPr>
                <w:b/>
              </w:rPr>
              <w:t>一级标准</w:t>
            </w:r>
          </w:p>
        </w:tc>
        <w:tc>
          <w:tcPr>
            <w:tcW w:w="793" w:type="pct"/>
            <w:vMerge w:val="restart"/>
            <w:tcBorders>
              <w:top w:val="single" w:color="auto" w:sz="4" w:space="0"/>
              <w:left w:val="single" w:color="auto" w:sz="4" w:space="0"/>
              <w:bottom w:val="single" w:color="000000" w:sz="4" w:space="0"/>
              <w:right w:val="single" w:color="auto" w:sz="4" w:space="0"/>
            </w:tcBorders>
            <w:vAlign w:val="center"/>
          </w:tcPr>
          <w:p>
            <w:pPr>
              <w:pStyle w:val="114"/>
              <w:rPr>
                <w:b/>
              </w:rPr>
            </w:pPr>
            <w:r>
              <w:rPr>
                <w:b/>
              </w:rPr>
              <w:t>二级标准</w:t>
            </w:r>
          </w:p>
        </w:tc>
        <w:tc>
          <w:tcPr>
            <w:tcW w:w="798" w:type="pct"/>
            <w:vMerge w:val="restart"/>
            <w:tcBorders>
              <w:top w:val="single" w:color="auto" w:sz="4" w:space="0"/>
              <w:left w:val="single" w:color="auto" w:sz="4" w:space="0"/>
              <w:bottom w:val="single" w:color="000000" w:sz="4" w:space="0"/>
              <w:right w:val="single" w:color="auto" w:sz="4" w:space="0"/>
            </w:tcBorders>
            <w:vAlign w:val="center"/>
          </w:tcPr>
          <w:p>
            <w:pPr>
              <w:pStyle w:val="114"/>
              <w:rPr>
                <w:b/>
              </w:rPr>
            </w:pPr>
            <w:r>
              <w:rPr>
                <w:b/>
              </w:rPr>
              <w:t>三级标准</w:t>
            </w:r>
          </w:p>
        </w:tc>
      </w:tr>
      <w:tr>
        <w:tblPrEx>
          <w:tblCellMar>
            <w:top w:w="0" w:type="dxa"/>
            <w:left w:w="108" w:type="dxa"/>
            <w:bottom w:w="0" w:type="dxa"/>
            <w:right w:w="108" w:type="dxa"/>
          </w:tblCellMar>
        </w:tblPrEx>
        <w:trPr>
          <w:trHeight w:val="340" w:hRule="atLeast"/>
          <w:tblHeader/>
        </w:trPr>
        <w:tc>
          <w:tcPr>
            <w:tcW w:w="516" w:type="pct"/>
            <w:vMerge w:val="continue"/>
            <w:tcBorders>
              <w:top w:val="single" w:color="auto" w:sz="4" w:space="0"/>
              <w:left w:val="single" w:color="auto" w:sz="4" w:space="0"/>
              <w:bottom w:val="single" w:color="auto" w:sz="4" w:space="0"/>
              <w:right w:val="single" w:color="auto" w:sz="4" w:space="0"/>
            </w:tcBorders>
            <w:vAlign w:val="center"/>
          </w:tcPr>
          <w:p>
            <w:pPr>
              <w:pStyle w:val="114"/>
              <w:rPr>
                <w:b/>
              </w:rPr>
            </w:pPr>
          </w:p>
        </w:tc>
        <w:tc>
          <w:tcPr>
            <w:tcW w:w="1697" w:type="pct"/>
            <w:vMerge w:val="continue"/>
            <w:tcBorders>
              <w:top w:val="single" w:color="auto" w:sz="4" w:space="0"/>
              <w:left w:val="single" w:color="auto" w:sz="4" w:space="0"/>
              <w:bottom w:val="single" w:color="auto" w:sz="4" w:space="0"/>
              <w:right w:val="single" w:color="auto" w:sz="4" w:space="0"/>
            </w:tcBorders>
            <w:vAlign w:val="center"/>
          </w:tcPr>
          <w:p>
            <w:pPr>
              <w:pStyle w:val="114"/>
              <w:rPr>
                <w:b/>
              </w:rPr>
            </w:pPr>
          </w:p>
        </w:tc>
        <w:tc>
          <w:tcPr>
            <w:tcW w:w="602" w:type="pct"/>
            <w:tcBorders>
              <w:top w:val="nil"/>
              <w:left w:val="nil"/>
              <w:bottom w:val="single" w:color="auto" w:sz="4" w:space="0"/>
              <w:right w:val="single" w:color="auto" w:sz="4" w:space="0"/>
            </w:tcBorders>
            <w:vAlign w:val="center"/>
          </w:tcPr>
          <w:p>
            <w:pPr>
              <w:pStyle w:val="114"/>
              <w:rPr>
                <w:b/>
              </w:rPr>
            </w:pPr>
            <w:r>
              <w:rPr>
                <w:b/>
              </w:rPr>
              <w:t>A标准</w:t>
            </w:r>
          </w:p>
        </w:tc>
        <w:tc>
          <w:tcPr>
            <w:tcW w:w="594" w:type="pct"/>
            <w:tcBorders>
              <w:top w:val="nil"/>
              <w:left w:val="nil"/>
              <w:bottom w:val="single" w:color="auto" w:sz="4" w:space="0"/>
              <w:right w:val="single" w:color="auto" w:sz="4" w:space="0"/>
            </w:tcBorders>
            <w:vAlign w:val="center"/>
          </w:tcPr>
          <w:p>
            <w:pPr>
              <w:pStyle w:val="114"/>
              <w:rPr>
                <w:b/>
              </w:rPr>
            </w:pPr>
            <w:r>
              <w:rPr>
                <w:b/>
              </w:rPr>
              <w:t>B标准</w:t>
            </w:r>
          </w:p>
        </w:tc>
        <w:tc>
          <w:tcPr>
            <w:tcW w:w="793" w:type="pct"/>
            <w:vMerge w:val="continue"/>
            <w:tcBorders>
              <w:top w:val="single" w:color="auto" w:sz="4" w:space="0"/>
              <w:left w:val="single" w:color="auto" w:sz="4" w:space="0"/>
              <w:bottom w:val="single" w:color="000000" w:sz="4" w:space="0"/>
              <w:right w:val="single" w:color="auto" w:sz="4" w:space="0"/>
            </w:tcBorders>
            <w:vAlign w:val="center"/>
          </w:tcPr>
          <w:p>
            <w:pPr>
              <w:pStyle w:val="114"/>
              <w:rPr>
                <w:b/>
              </w:rPr>
            </w:pPr>
          </w:p>
        </w:tc>
        <w:tc>
          <w:tcPr>
            <w:tcW w:w="798" w:type="pct"/>
            <w:vMerge w:val="continue"/>
            <w:tcBorders>
              <w:top w:val="single" w:color="auto" w:sz="4" w:space="0"/>
              <w:left w:val="single" w:color="auto" w:sz="4" w:space="0"/>
              <w:bottom w:val="single" w:color="000000" w:sz="4" w:space="0"/>
              <w:right w:val="single" w:color="auto" w:sz="4" w:space="0"/>
            </w:tcBorders>
            <w:vAlign w:val="center"/>
          </w:tcPr>
          <w:p>
            <w:pPr>
              <w:pStyle w:val="114"/>
              <w:rPr>
                <w:b/>
              </w:rPr>
            </w:pP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1</w:t>
            </w:r>
          </w:p>
        </w:tc>
        <w:tc>
          <w:tcPr>
            <w:tcW w:w="1697" w:type="pct"/>
            <w:tcBorders>
              <w:top w:val="nil"/>
              <w:left w:val="nil"/>
              <w:bottom w:val="single" w:color="auto" w:sz="4" w:space="0"/>
              <w:right w:val="single" w:color="auto" w:sz="4" w:space="0"/>
            </w:tcBorders>
            <w:vAlign w:val="center"/>
          </w:tcPr>
          <w:p>
            <w:pPr>
              <w:pStyle w:val="114"/>
            </w:pPr>
            <w:r>
              <w:t>pH值，无量纲</w:t>
            </w:r>
          </w:p>
        </w:tc>
        <w:tc>
          <w:tcPr>
            <w:tcW w:w="2787" w:type="pct"/>
            <w:gridSpan w:val="4"/>
            <w:tcBorders>
              <w:top w:val="single" w:color="auto" w:sz="4" w:space="0"/>
              <w:left w:val="nil"/>
              <w:bottom w:val="single" w:color="auto" w:sz="4" w:space="0"/>
              <w:right w:val="single" w:color="000000" w:sz="4" w:space="0"/>
            </w:tcBorders>
            <w:vAlign w:val="center"/>
          </w:tcPr>
          <w:p>
            <w:pPr>
              <w:pStyle w:val="114"/>
            </w:pPr>
            <w:r>
              <w:t>6~9</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2</w:t>
            </w:r>
          </w:p>
        </w:tc>
        <w:tc>
          <w:tcPr>
            <w:tcW w:w="1697" w:type="pct"/>
            <w:tcBorders>
              <w:top w:val="nil"/>
              <w:left w:val="nil"/>
              <w:bottom w:val="single" w:color="auto" w:sz="4" w:space="0"/>
              <w:right w:val="single" w:color="auto" w:sz="4" w:space="0"/>
            </w:tcBorders>
            <w:vAlign w:val="center"/>
          </w:tcPr>
          <w:p>
            <w:pPr>
              <w:pStyle w:val="114"/>
            </w:pPr>
            <w:r>
              <w:t>化学需氧量(COD)，mg/L</w:t>
            </w:r>
          </w:p>
        </w:tc>
        <w:tc>
          <w:tcPr>
            <w:tcW w:w="1196" w:type="pct"/>
            <w:gridSpan w:val="2"/>
            <w:tcBorders>
              <w:top w:val="nil"/>
              <w:left w:val="nil"/>
              <w:bottom w:val="single" w:color="auto" w:sz="4" w:space="0"/>
              <w:right w:val="single" w:color="auto" w:sz="4" w:space="0"/>
            </w:tcBorders>
            <w:vAlign w:val="center"/>
          </w:tcPr>
          <w:p>
            <w:pPr>
              <w:pStyle w:val="114"/>
            </w:pPr>
            <w:r>
              <w:t>60</w:t>
            </w:r>
          </w:p>
        </w:tc>
        <w:tc>
          <w:tcPr>
            <w:tcW w:w="793" w:type="pct"/>
            <w:tcBorders>
              <w:top w:val="nil"/>
              <w:left w:val="nil"/>
              <w:bottom w:val="single" w:color="auto" w:sz="4" w:space="0"/>
              <w:right w:val="single" w:color="auto" w:sz="4" w:space="0"/>
            </w:tcBorders>
            <w:vAlign w:val="center"/>
          </w:tcPr>
          <w:p>
            <w:pPr>
              <w:pStyle w:val="114"/>
            </w:pPr>
            <w:r>
              <w:t>100</w:t>
            </w:r>
          </w:p>
        </w:tc>
        <w:tc>
          <w:tcPr>
            <w:tcW w:w="798" w:type="pct"/>
            <w:tcBorders>
              <w:top w:val="nil"/>
              <w:left w:val="nil"/>
              <w:bottom w:val="single" w:color="auto" w:sz="4" w:space="0"/>
              <w:right w:val="single" w:color="auto" w:sz="4" w:space="0"/>
            </w:tcBorders>
            <w:vAlign w:val="center"/>
          </w:tcPr>
          <w:p>
            <w:pPr>
              <w:pStyle w:val="114"/>
            </w:pPr>
            <w:r>
              <w:t>120</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3</w:t>
            </w:r>
          </w:p>
        </w:tc>
        <w:tc>
          <w:tcPr>
            <w:tcW w:w="1697" w:type="pct"/>
            <w:tcBorders>
              <w:top w:val="nil"/>
              <w:left w:val="nil"/>
              <w:bottom w:val="single" w:color="auto" w:sz="4" w:space="0"/>
              <w:right w:val="single" w:color="auto" w:sz="4" w:space="0"/>
            </w:tcBorders>
            <w:vAlign w:val="center"/>
          </w:tcPr>
          <w:p>
            <w:pPr>
              <w:pStyle w:val="114"/>
            </w:pPr>
            <w:r>
              <w:t>悬浮物(SS)，mg/L</w:t>
            </w:r>
          </w:p>
        </w:tc>
        <w:tc>
          <w:tcPr>
            <w:tcW w:w="1196" w:type="pct"/>
            <w:gridSpan w:val="2"/>
            <w:tcBorders>
              <w:top w:val="nil"/>
              <w:left w:val="nil"/>
              <w:bottom w:val="single" w:color="auto" w:sz="4" w:space="0"/>
              <w:right w:val="single" w:color="auto" w:sz="4" w:space="0"/>
            </w:tcBorders>
            <w:vAlign w:val="center"/>
          </w:tcPr>
          <w:p>
            <w:pPr>
              <w:pStyle w:val="114"/>
            </w:pPr>
            <w:r>
              <w:t>20</w:t>
            </w:r>
          </w:p>
        </w:tc>
        <w:tc>
          <w:tcPr>
            <w:tcW w:w="793" w:type="pct"/>
            <w:tcBorders>
              <w:top w:val="nil"/>
              <w:left w:val="nil"/>
              <w:bottom w:val="single" w:color="auto" w:sz="4" w:space="0"/>
              <w:right w:val="single" w:color="auto" w:sz="4" w:space="0"/>
            </w:tcBorders>
            <w:vAlign w:val="center"/>
          </w:tcPr>
          <w:p>
            <w:pPr>
              <w:pStyle w:val="114"/>
            </w:pPr>
            <w:r>
              <w:t>30</w:t>
            </w:r>
          </w:p>
        </w:tc>
        <w:tc>
          <w:tcPr>
            <w:tcW w:w="798" w:type="pct"/>
            <w:tcBorders>
              <w:top w:val="nil"/>
              <w:left w:val="nil"/>
              <w:bottom w:val="single" w:color="auto" w:sz="4" w:space="0"/>
              <w:right w:val="single" w:color="auto" w:sz="4" w:space="0"/>
            </w:tcBorders>
            <w:vAlign w:val="center"/>
          </w:tcPr>
          <w:p>
            <w:pPr>
              <w:pStyle w:val="114"/>
            </w:pPr>
            <w:r>
              <w:t>50</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4</w:t>
            </w:r>
          </w:p>
        </w:tc>
        <w:tc>
          <w:tcPr>
            <w:tcW w:w="1697" w:type="pct"/>
            <w:tcBorders>
              <w:top w:val="nil"/>
              <w:left w:val="nil"/>
              <w:bottom w:val="single" w:color="auto" w:sz="4" w:space="0"/>
              <w:right w:val="single" w:color="auto" w:sz="4" w:space="0"/>
            </w:tcBorders>
            <w:vAlign w:val="center"/>
          </w:tcPr>
          <w:p>
            <w:pPr>
              <w:pStyle w:val="114"/>
            </w:pPr>
            <w:r>
              <w:t>氨氮</w:t>
            </w:r>
            <w:r>
              <w:rPr>
                <w:vertAlign w:val="superscript"/>
              </w:rPr>
              <w:t>a</w:t>
            </w:r>
            <w:r>
              <w:t>(NH</w:t>
            </w:r>
            <w:r>
              <w:rPr>
                <w:vertAlign w:val="subscript"/>
              </w:rPr>
              <w:t>3</w:t>
            </w:r>
            <w:r>
              <w:t>-N)，mg/L</w:t>
            </w:r>
          </w:p>
        </w:tc>
        <w:tc>
          <w:tcPr>
            <w:tcW w:w="1196" w:type="pct"/>
            <w:gridSpan w:val="2"/>
            <w:tcBorders>
              <w:top w:val="nil"/>
              <w:left w:val="nil"/>
              <w:bottom w:val="single" w:color="auto" w:sz="4" w:space="0"/>
              <w:right w:val="single" w:color="auto" w:sz="4" w:space="0"/>
            </w:tcBorders>
            <w:vAlign w:val="center"/>
          </w:tcPr>
          <w:p>
            <w:pPr>
              <w:pStyle w:val="114"/>
            </w:pPr>
            <w:r>
              <w:t>8（15）</w:t>
            </w:r>
          </w:p>
        </w:tc>
        <w:tc>
          <w:tcPr>
            <w:tcW w:w="793" w:type="pct"/>
            <w:tcBorders>
              <w:top w:val="nil"/>
              <w:left w:val="nil"/>
              <w:bottom w:val="single" w:color="auto" w:sz="4" w:space="0"/>
              <w:right w:val="single" w:color="auto" w:sz="4" w:space="0"/>
            </w:tcBorders>
            <w:vAlign w:val="center"/>
          </w:tcPr>
          <w:p>
            <w:pPr>
              <w:pStyle w:val="114"/>
            </w:pPr>
            <w:r>
              <w:t>25（30）</w:t>
            </w:r>
            <w:r>
              <w:rPr>
                <w:vertAlign w:val="superscript"/>
              </w:rPr>
              <w:t>c</w:t>
            </w:r>
          </w:p>
        </w:tc>
        <w:tc>
          <w:tcPr>
            <w:tcW w:w="798" w:type="pct"/>
            <w:tcBorders>
              <w:top w:val="nil"/>
              <w:left w:val="nil"/>
              <w:bottom w:val="single" w:color="auto" w:sz="4" w:space="0"/>
              <w:right w:val="single" w:color="auto" w:sz="4" w:space="0"/>
            </w:tcBorders>
            <w:vAlign w:val="center"/>
          </w:tcPr>
          <w:p>
            <w:pPr>
              <w:pStyle w:val="114"/>
            </w:pPr>
            <w:r>
              <w:t>25（30）</w:t>
            </w:r>
            <w:r>
              <w:rPr>
                <w:vertAlign w:val="superscript"/>
              </w:rPr>
              <w:t>b</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5</w:t>
            </w:r>
          </w:p>
        </w:tc>
        <w:tc>
          <w:tcPr>
            <w:tcW w:w="1697" w:type="pct"/>
            <w:tcBorders>
              <w:top w:val="nil"/>
              <w:left w:val="nil"/>
              <w:bottom w:val="single" w:color="auto" w:sz="4" w:space="0"/>
              <w:right w:val="single" w:color="auto" w:sz="4" w:space="0"/>
            </w:tcBorders>
            <w:vAlign w:val="center"/>
          </w:tcPr>
          <w:p>
            <w:pPr>
              <w:pStyle w:val="114"/>
            </w:pPr>
            <w:r>
              <w:t>总氮(以N计)，mg/L</w:t>
            </w:r>
          </w:p>
        </w:tc>
        <w:tc>
          <w:tcPr>
            <w:tcW w:w="602" w:type="pct"/>
            <w:tcBorders>
              <w:top w:val="nil"/>
              <w:left w:val="nil"/>
              <w:bottom w:val="single" w:color="auto" w:sz="4" w:space="0"/>
              <w:right w:val="single" w:color="auto" w:sz="4" w:space="0"/>
            </w:tcBorders>
            <w:vAlign w:val="center"/>
          </w:tcPr>
          <w:p>
            <w:pPr>
              <w:pStyle w:val="114"/>
            </w:pPr>
            <w:r>
              <w:t>20</w:t>
            </w:r>
          </w:p>
        </w:tc>
        <w:tc>
          <w:tcPr>
            <w:tcW w:w="594" w:type="pct"/>
            <w:tcBorders>
              <w:top w:val="nil"/>
              <w:left w:val="nil"/>
              <w:bottom w:val="single" w:color="auto" w:sz="4" w:space="0"/>
              <w:right w:val="single" w:color="auto" w:sz="4" w:space="0"/>
            </w:tcBorders>
            <w:vAlign w:val="center"/>
          </w:tcPr>
          <w:p>
            <w:pPr>
              <w:pStyle w:val="114"/>
            </w:pPr>
            <w:r>
              <w:t xml:space="preserve">20 </w:t>
            </w:r>
            <w:r>
              <w:rPr>
                <w:vertAlign w:val="superscript"/>
              </w:rPr>
              <w:t>c</w:t>
            </w:r>
          </w:p>
        </w:tc>
        <w:tc>
          <w:tcPr>
            <w:tcW w:w="793" w:type="pct"/>
            <w:tcBorders>
              <w:top w:val="nil"/>
              <w:left w:val="nil"/>
              <w:bottom w:val="single" w:color="auto" w:sz="4" w:space="0"/>
              <w:right w:val="single" w:color="auto" w:sz="4" w:space="0"/>
            </w:tcBorders>
            <w:vAlign w:val="center"/>
          </w:tcPr>
          <w:p>
            <w:pPr>
              <w:pStyle w:val="114"/>
            </w:pPr>
            <w:r>
              <w:t>-</w:t>
            </w:r>
          </w:p>
        </w:tc>
        <w:tc>
          <w:tcPr>
            <w:tcW w:w="798" w:type="pct"/>
            <w:tcBorders>
              <w:top w:val="nil"/>
              <w:left w:val="nil"/>
              <w:bottom w:val="single" w:color="auto" w:sz="4" w:space="0"/>
              <w:right w:val="single" w:color="auto" w:sz="4" w:space="0"/>
            </w:tcBorders>
            <w:vAlign w:val="center"/>
          </w:tcPr>
          <w:p>
            <w:pPr>
              <w:pStyle w:val="114"/>
            </w:pPr>
            <w:r>
              <w:t>-</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6</w:t>
            </w:r>
          </w:p>
        </w:tc>
        <w:tc>
          <w:tcPr>
            <w:tcW w:w="1697" w:type="pct"/>
            <w:tcBorders>
              <w:top w:val="nil"/>
              <w:left w:val="nil"/>
              <w:bottom w:val="single" w:color="auto" w:sz="4" w:space="0"/>
              <w:right w:val="single" w:color="auto" w:sz="4" w:space="0"/>
            </w:tcBorders>
            <w:vAlign w:val="center"/>
          </w:tcPr>
          <w:p>
            <w:pPr>
              <w:pStyle w:val="114"/>
            </w:pPr>
            <w:r>
              <w:t>总磷(以P计)，mg/L</w:t>
            </w:r>
          </w:p>
        </w:tc>
        <w:tc>
          <w:tcPr>
            <w:tcW w:w="602" w:type="pct"/>
            <w:tcBorders>
              <w:top w:val="nil"/>
              <w:left w:val="nil"/>
              <w:bottom w:val="single" w:color="auto" w:sz="4" w:space="0"/>
              <w:right w:val="single" w:color="auto" w:sz="4" w:space="0"/>
            </w:tcBorders>
            <w:vAlign w:val="center"/>
          </w:tcPr>
          <w:p>
            <w:pPr>
              <w:pStyle w:val="114"/>
            </w:pPr>
            <w:r>
              <w:t>1</w:t>
            </w:r>
          </w:p>
        </w:tc>
        <w:tc>
          <w:tcPr>
            <w:tcW w:w="594" w:type="pct"/>
            <w:tcBorders>
              <w:top w:val="nil"/>
              <w:left w:val="nil"/>
              <w:bottom w:val="single" w:color="auto" w:sz="4" w:space="0"/>
              <w:right w:val="single" w:color="auto" w:sz="4" w:space="0"/>
            </w:tcBorders>
            <w:vAlign w:val="center"/>
          </w:tcPr>
          <w:p>
            <w:pPr>
              <w:pStyle w:val="114"/>
            </w:pPr>
            <w:r>
              <w:t xml:space="preserve">1 </w:t>
            </w:r>
            <w:r>
              <w:rPr>
                <w:vertAlign w:val="superscript"/>
              </w:rPr>
              <w:t>c</w:t>
            </w:r>
          </w:p>
        </w:tc>
        <w:tc>
          <w:tcPr>
            <w:tcW w:w="793" w:type="pct"/>
            <w:tcBorders>
              <w:top w:val="nil"/>
              <w:left w:val="nil"/>
              <w:bottom w:val="single" w:color="auto" w:sz="4" w:space="0"/>
              <w:right w:val="single" w:color="auto" w:sz="4" w:space="0"/>
            </w:tcBorders>
            <w:vAlign w:val="center"/>
          </w:tcPr>
          <w:p>
            <w:pPr>
              <w:pStyle w:val="114"/>
            </w:pPr>
            <w:r>
              <w:t xml:space="preserve">3 </w:t>
            </w:r>
            <w:r>
              <w:rPr>
                <w:vertAlign w:val="superscript"/>
              </w:rPr>
              <w:t>c</w:t>
            </w:r>
          </w:p>
        </w:tc>
        <w:tc>
          <w:tcPr>
            <w:tcW w:w="798" w:type="pct"/>
            <w:tcBorders>
              <w:top w:val="nil"/>
              <w:left w:val="nil"/>
              <w:bottom w:val="single" w:color="auto" w:sz="4" w:space="0"/>
              <w:right w:val="single" w:color="auto" w:sz="4" w:space="0"/>
            </w:tcBorders>
            <w:vAlign w:val="center"/>
          </w:tcPr>
          <w:p>
            <w:pPr>
              <w:pStyle w:val="114"/>
            </w:pPr>
            <w:r>
              <w:t>-</w:t>
            </w:r>
          </w:p>
        </w:tc>
      </w:tr>
      <w:tr>
        <w:tblPrEx>
          <w:tblCellMar>
            <w:top w:w="0" w:type="dxa"/>
            <w:left w:w="108" w:type="dxa"/>
            <w:bottom w:w="0" w:type="dxa"/>
            <w:right w:w="108" w:type="dxa"/>
          </w:tblCellMar>
        </w:tblPrEx>
        <w:trPr>
          <w:trHeight w:val="340" w:hRule="atLeast"/>
        </w:trPr>
        <w:tc>
          <w:tcPr>
            <w:tcW w:w="516" w:type="pct"/>
            <w:tcBorders>
              <w:top w:val="nil"/>
              <w:left w:val="single" w:color="auto" w:sz="4" w:space="0"/>
              <w:bottom w:val="single" w:color="auto" w:sz="4" w:space="0"/>
              <w:right w:val="single" w:color="auto" w:sz="4" w:space="0"/>
            </w:tcBorders>
            <w:vAlign w:val="center"/>
          </w:tcPr>
          <w:p>
            <w:pPr>
              <w:pStyle w:val="114"/>
            </w:pPr>
            <w:r>
              <w:t>7</w:t>
            </w:r>
          </w:p>
        </w:tc>
        <w:tc>
          <w:tcPr>
            <w:tcW w:w="1697" w:type="pct"/>
            <w:tcBorders>
              <w:top w:val="nil"/>
              <w:left w:val="nil"/>
              <w:bottom w:val="single" w:color="auto" w:sz="4" w:space="0"/>
              <w:right w:val="single" w:color="auto" w:sz="4" w:space="0"/>
            </w:tcBorders>
            <w:vAlign w:val="center"/>
          </w:tcPr>
          <w:p>
            <w:pPr>
              <w:pStyle w:val="114"/>
            </w:pPr>
            <w:r>
              <w:t>动植物油</w:t>
            </w:r>
            <w:r>
              <w:rPr>
                <w:vertAlign w:val="superscript"/>
              </w:rPr>
              <w:t>d</w:t>
            </w:r>
            <w:r>
              <w:t>，mg/L</w:t>
            </w:r>
          </w:p>
        </w:tc>
        <w:tc>
          <w:tcPr>
            <w:tcW w:w="1196" w:type="pct"/>
            <w:gridSpan w:val="2"/>
            <w:tcBorders>
              <w:top w:val="single" w:color="auto" w:sz="4" w:space="0"/>
              <w:left w:val="nil"/>
              <w:bottom w:val="single" w:color="auto" w:sz="4" w:space="0"/>
              <w:right w:val="single" w:color="auto" w:sz="4" w:space="0"/>
            </w:tcBorders>
            <w:vAlign w:val="center"/>
          </w:tcPr>
          <w:p>
            <w:pPr>
              <w:pStyle w:val="114"/>
            </w:pPr>
            <w:r>
              <w:t>3</w:t>
            </w:r>
          </w:p>
        </w:tc>
        <w:tc>
          <w:tcPr>
            <w:tcW w:w="793" w:type="pct"/>
            <w:tcBorders>
              <w:top w:val="nil"/>
              <w:left w:val="nil"/>
              <w:bottom w:val="single" w:color="auto" w:sz="4" w:space="0"/>
              <w:right w:val="single" w:color="auto" w:sz="4" w:space="0"/>
            </w:tcBorders>
            <w:vAlign w:val="center"/>
          </w:tcPr>
          <w:p>
            <w:pPr>
              <w:pStyle w:val="114"/>
            </w:pPr>
            <w:r>
              <w:t>5</w:t>
            </w:r>
          </w:p>
        </w:tc>
        <w:tc>
          <w:tcPr>
            <w:tcW w:w="798" w:type="pct"/>
            <w:tcBorders>
              <w:top w:val="nil"/>
              <w:left w:val="nil"/>
              <w:bottom w:val="single" w:color="auto" w:sz="4" w:space="0"/>
              <w:right w:val="single" w:color="auto" w:sz="4" w:space="0"/>
            </w:tcBorders>
            <w:vAlign w:val="center"/>
          </w:tcPr>
          <w:p>
            <w:pPr>
              <w:pStyle w:val="114"/>
            </w:pPr>
            <w:r>
              <w:t>20</w:t>
            </w:r>
          </w:p>
        </w:tc>
      </w:tr>
      <w:tr>
        <w:tblPrEx>
          <w:tblCellMar>
            <w:top w:w="0" w:type="dxa"/>
            <w:left w:w="108" w:type="dxa"/>
            <w:bottom w:w="0" w:type="dxa"/>
            <w:right w:w="108" w:type="dxa"/>
          </w:tblCellMar>
        </w:tblPrEx>
        <w:trPr>
          <w:trHeight w:val="340"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114"/>
              <w:jc w:val="left"/>
            </w:pPr>
            <w:r>
              <w:t xml:space="preserve">注：a 括号外数值为水温＞12℃时的控制指标，括号内数值为水温≤12℃时的控制指标。 </w:t>
            </w:r>
          </w:p>
          <w:p>
            <w:pPr>
              <w:pStyle w:val="114"/>
              <w:jc w:val="left"/>
            </w:pPr>
            <w:r>
              <w:t>b 当出水直接排入村庄附近池塘等环境功能未明确水体时执行。</w:t>
            </w:r>
          </w:p>
          <w:p>
            <w:pPr>
              <w:pStyle w:val="114"/>
              <w:jc w:val="left"/>
            </w:pPr>
            <w:r>
              <w:t>c 当出水直接排入氮磷不达标水体时执行。</w:t>
            </w:r>
          </w:p>
          <w:p>
            <w:pPr>
              <w:pStyle w:val="114"/>
              <w:jc w:val="left"/>
            </w:pPr>
            <w:r>
              <w:t>d 进水含餐饮服务的农村生活污水处理设施的控制指标。</w:t>
            </w:r>
          </w:p>
        </w:tc>
      </w:tr>
    </w:tbl>
    <w:p>
      <w:pPr>
        <w:ind w:firstLine="480"/>
        <w:rPr>
          <w:rFonts w:cs="Times New Roman"/>
          <w:color w:val="auto"/>
          <w:kern w:val="0"/>
        </w:rPr>
      </w:pPr>
      <w:r>
        <w:rPr>
          <w:rFonts w:cs="Times New Roman"/>
          <w:color w:val="auto"/>
          <w:kern w:val="0"/>
        </w:rPr>
        <w:t>项目区村庄类型为集中型村，出水直接进入</w:t>
      </w:r>
      <w:r>
        <w:rPr>
          <w:rFonts w:hint="eastAsia" w:cs="Times New Roman"/>
          <w:color w:val="auto"/>
          <w:kern w:val="0"/>
        </w:rPr>
        <w:t>Ⅲ</w:t>
      </w:r>
      <w:r>
        <w:rPr>
          <w:rFonts w:cs="Times New Roman"/>
          <w:color w:val="auto"/>
          <w:kern w:val="0"/>
        </w:rPr>
        <w:t>类功能水域，收集模式拟采用雨污分流，故排放标准执行一级B标准。</w:t>
      </w:r>
    </w:p>
    <w:p>
      <w:pPr>
        <w:pStyle w:val="4"/>
      </w:pPr>
      <w:bookmarkStart w:id="177" w:name="_Toc48640744"/>
      <w:bookmarkStart w:id="178" w:name="_Toc36126937"/>
      <w:r>
        <w:t>污水处理站站址选择</w:t>
      </w:r>
      <w:bookmarkEnd w:id="177"/>
      <w:bookmarkEnd w:id="178"/>
    </w:p>
    <w:p>
      <w:pPr>
        <w:ind w:firstLine="480"/>
        <w:rPr>
          <w:rFonts w:cs="Times New Roman"/>
          <w:color w:val="auto"/>
          <w:kern w:val="0"/>
        </w:rPr>
      </w:pPr>
      <w:r>
        <w:rPr>
          <w:rFonts w:cs="Times New Roman"/>
          <w:color w:val="auto"/>
          <w:kern w:val="0"/>
        </w:rPr>
        <w:t>在制定污水处理系统方案时，确定污水处理站站址是一个重要的环节，它对周围环境卫生，处理站的基建投资及运转管理，都有很大的影响。它不是一个孤立的问题，而与村庄的总体规划、村庄的污水管道的布置、村庄的地形等都有密切关系，应通过技术经济比较而定。</w:t>
      </w:r>
    </w:p>
    <w:p>
      <w:pPr>
        <w:pStyle w:val="110"/>
        <w:numPr>
          <w:ilvl w:val="0"/>
          <w:numId w:val="18"/>
        </w:numPr>
        <w:ind w:firstLineChars="0"/>
      </w:pPr>
      <w:r>
        <w:t>站址选择应符合</w:t>
      </w:r>
      <w:r>
        <w:rPr>
          <w:rFonts w:hint="eastAsia"/>
        </w:rPr>
        <w:t>遮放</w:t>
      </w:r>
      <w:r>
        <w:t>镇总体规划及排水工程规划的要求；</w:t>
      </w:r>
    </w:p>
    <w:p>
      <w:pPr>
        <w:pStyle w:val="110"/>
        <w:numPr>
          <w:ilvl w:val="0"/>
          <w:numId w:val="18"/>
        </w:numPr>
        <w:ind w:firstLineChars="0"/>
      </w:pPr>
      <w:r>
        <w:t>符合环境保护的要求，如尽可能处于村庄水体下游，处于片区主导风向的下风向，并与周围居民区有一定的卫生防护距离；</w:t>
      </w:r>
    </w:p>
    <w:p>
      <w:pPr>
        <w:pStyle w:val="110"/>
        <w:numPr>
          <w:ilvl w:val="0"/>
          <w:numId w:val="18"/>
        </w:numPr>
        <w:ind w:firstLineChars="0"/>
      </w:pPr>
      <w:r>
        <w:t>应与选定的污水处理工艺相适应；</w:t>
      </w:r>
    </w:p>
    <w:p>
      <w:pPr>
        <w:pStyle w:val="110"/>
        <w:numPr>
          <w:ilvl w:val="0"/>
          <w:numId w:val="18"/>
        </w:numPr>
        <w:ind w:firstLineChars="0"/>
      </w:pPr>
      <w:r>
        <w:t>应尽量靠近污水排放点，以缩短排水管道长度，节省投资，便于服务区污水的收集；</w:t>
      </w:r>
    </w:p>
    <w:p>
      <w:pPr>
        <w:pStyle w:val="110"/>
        <w:numPr>
          <w:ilvl w:val="0"/>
          <w:numId w:val="18"/>
        </w:numPr>
        <w:ind w:firstLineChars="0"/>
      </w:pPr>
      <w:r>
        <w:t>有良好的工程地质条件，有扩建的余地，以适应将来城区发展的需要；</w:t>
      </w:r>
    </w:p>
    <w:p>
      <w:pPr>
        <w:pStyle w:val="110"/>
        <w:numPr>
          <w:ilvl w:val="0"/>
          <w:numId w:val="18"/>
        </w:numPr>
        <w:ind w:firstLineChars="0"/>
      </w:pPr>
      <w:r>
        <w:t>站址应不受洪涝灾害影响，防洪标准不低于城镇防洪标准，有良好的排水条件；</w:t>
      </w:r>
    </w:p>
    <w:p>
      <w:pPr>
        <w:pStyle w:val="110"/>
        <w:numPr>
          <w:ilvl w:val="0"/>
          <w:numId w:val="18"/>
        </w:numPr>
        <w:ind w:firstLineChars="0"/>
      </w:pPr>
      <w:r>
        <w:t>尽量做到少拆迁、少占农田和不占农田；</w:t>
      </w:r>
    </w:p>
    <w:p>
      <w:pPr>
        <w:pStyle w:val="110"/>
        <w:numPr>
          <w:ilvl w:val="0"/>
          <w:numId w:val="18"/>
        </w:numPr>
        <w:ind w:firstLineChars="0"/>
      </w:pPr>
      <w:r>
        <w:t>有方便的交通、运输和水、电条件；</w:t>
      </w:r>
    </w:p>
    <w:p>
      <w:pPr>
        <w:pStyle w:val="110"/>
        <w:numPr>
          <w:ilvl w:val="0"/>
          <w:numId w:val="18"/>
        </w:numPr>
        <w:ind w:firstLineChars="0"/>
      </w:pPr>
      <w:r>
        <w:t>要充分利用地形，应选择有适当坡度的地区，以满足污水处理构筑物高程布置的需要，减少土方工程量。</w:t>
      </w:r>
    </w:p>
    <w:p>
      <w:pPr>
        <w:pStyle w:val="110"/>
        <w:numPr>
          <w:ilvl w:val="0"/>
          <w:numId w:val="18"/>
        </w:numPr>
        <w:ind w:firstLineChars="0"/>
      </w:pPr>
      <w:r>
        <w:rPr>
          <w:rFonts w:hint="eastAsia"/>
        </w:rPr>
        <w:t>对于村庄规模大，地形复杂的村庄，统一收集集中建设污水处理系统难度较大的，应比选合建和分区收集建设，优化投资。</w:t>
      </w:r>
    </w:p>
    <w:p>
      <w:pPr>
        <w:pStyle w:val="4"/>
      </w:pPr>
      <w:bookmarkStart w:id="179" w:name="_Toc36126938"/>
      <w:bookmarkStart w:id="180" w:name="_Toc48640745"/>
      <w:r>
        <w:t>污水处理工艺的论证</w:t>
      </w:r>
      <w:bookmarkEnd w:id="179"/>
      <w:bookmarkEnd w:id="180"/>
    </w:p>
    <w:p>
      <w:pPr>
        <w:pStyle w:val="5"/>
        <w:rPr>
          <w:lang w:val="zh-CN"/>
        </w:rPr>
      </w:pPr>
      <w:bookmarkStart w:id="181" w:name="_Toc36126939"/>
      <w:bookmarkStart w:id="182" w:name="_Toc48640746"/>
      <w:r>
        <w:rPr>
          <w:lang w:val="zh-CN"/>
        </w:rPr>
        <w:t>污水处理工艺介绍</w:t>
      </w:r>
      <w:bookmarkEnd w:id="181"/>
      <w:bookmarkEnd w:id="182"/>
    </w:p>
    <w:p>
      <w:pPr>
        <w:ind w:firstLine="480"/>
        <w:rPr>
          <w:rFonts w:cs="Times New Roman"/>
          <w:color w:val="auto"/>
        </w:rPr>
      </w:pPr>
      <w:r>
        <w:rPr>
          <w:rFonts w:cs="Times New Roman"/>
          <w:color w:val="auto"/>
        </w:rPr>
        <w:t xml:space="preserve">农村生活污水工艺选择原则： </w:t>
      </w:r>
    </w:p>
    <w:p>
      <w:pPr>
        <w:ind w:firstLine="480"/>
        <w:rPr>
          <w:rFonts w:cs="Times New Roman"/>
          <w:color w:val="auto"/>
        </w:rPr>
      </w:pPr>
      <w:r>
        <w:rPr>
          <w:rFonts w:cs="Times New Roman"/>
          <w:color w:val="auto"/>
        </w:rPr>
        <w:t>（1）鼓励优先选择氮磷资源化与尾水利用的技术手段或途径。通过生态旱厕、化粪池、沼气池等，对厕所粪污和生活污水就地就近资源化利用。通过农田沟渠、塘堰等排灌系统生态化改造，栽植水生植物，建设植物隔离带、生态湿地等，对尾水进一步利用和净化，提高农村水环境质量。</w:t>
      </w:r>
    </w:p>
    <w:p>
      <w:pPr>
        <w:ind w:firstLine="480"/>
        <w:rPr>
          <w:rFonts w:cs="Times New Roman"/>
          <w:color w:val="auto"/>
        </w:rPr>
      </w:pPr>
      <w:r>
        <w:rPr>
          <w:rFonts w:cs="Times New Roman"/>
          <w:color w:val="auto"/>
        </w:rPr>
        <w:t>（2）对于脱氮除磷要求不高或没有要求的水域范围内村庄，尽量采用低成本、低能耗、易运行管理的生态处理技术，如人工湿地、氧化塘、生态沟等简单模式或常规模式。</w:t>
      </w:r>
    </w:p>
    <w:p>
      <w:pPr>
        <w:ind w:firstLine="480"/>
        <w:rPr>
          <w:rFonts w:cs="Times New Roman"/>
          <w:color w:val="auto"/>
        </w:rPr>
      </w:pPr>
      <w:r>
        <w:rPr>
          <w:rFonts w:cs="Times New Roman"/>
          <w:color w:val="auto"/>
        </w:rPr>
        <w:t>（3）对于封闭、半封闭及氮磷不达标的水域范围内村庄，宜采用集中处理模式。宜采用生物技术等常规或强化模式工艺技术。</w:t>
      </w:r>
    </w:p>
    <w:p>
      <w:pPr>
        <w:ind w:firstLine="480"/>
        <w:rPr>
          <w:rFonts w:cs="Times New Roman"/>
          <w:color w:val="auto"/>
        </w:rPr>
      </w:pPr>
      <w:r>
        <w:rPr>
          <w:rFonts w:cs="Times New Roman"/>
          <w:color w:val="auto"/>
        </w:rPr>
        <w:t>（4）农家乐、农家院等农村餐饮服务点、民宿等需配备隔油池（器），对污水进行预处理。</w:t>
      </w:r>
    </w:p>
    <w:p>
      <w:pPr>
        <w:ind w:firstLine="480"/>
        <w:rPr>
          <w:rFonts w:cs="Times New Roman"/>
          <w:color w:val="auto"/>
        </w:rPr>
      </w:pPr>
      <w:r>
        <w:rPr>
          <w:rFonts w:cs="Times New Roman"/>
          <w:color w:val="auto"/>
        </w:rPr>
        <w:t>工艺选择参考《云南省农村生活污水治理技术指南》，提出</w:t>
      </w:r>
      <w:r>
        <w:rPr>
          <w:rFonts w:cs="Times New Roman"/>
          <w:color w:val="auto"/>
          <w:kern w:val="0"/>
        </w:rPr>
        <w:t>简单模式、常规模式、强化模式</w:t>
      </w:r>
      <w:r>
        <w:rPr>
          <w:rFonts w:cs="Times New Roman"/>
          <w:color w:val="auto"/>
        </w:rPr>
        <w:t>三种。</w:t>
      </w:r>
    </w:p>
    <w:p>
      <w:pPr>
        <w:pStyle w:val="116"/>
        <w:rPr>
          <w:color w:val="auto"/>
        </w:rPr>
      </w:pPr>
      <w:bookmarkStart w:id="183" w:name="_Toc33085587"/>
      <w:r>
        <w:rPr>
          <w:color w:val="auto"/>
        </w:rPr>
        <w:t>简单模式</w:t>
      </w:r>
      <w:bookmarkEnd w:id="183"/>
    </w:p>
    <w:p>
      <w:pPr>
        <w:ind w:firstLine="480"/>
        <w:rPr>
          <w:rFonts w:cs="Times New Roman"/>
          <w:color w:val="auto"/>
          <w:lang w:val="de-DE"/>
        </w:rPr>
      </w:pPr>
      <w:r>
        <w:rPr>
          <w:rFonts w:cs="Times New Roman"/>
          <w:color w:val="auto"/>
          <w:lang w:val="de-DE"/>
        </w:rPr>
        <w:t>该模式主要适用于经济条件较差，居住较分散的山区、偏远农村，干旱缺水、高寒地区的农村以及有大量农田可消纳治理后污水的农村。该模式主要包括以下组合技术：（</w:t>
      </w:r>
      <w:r>
        <w:rPr>
          <w:rFonts w:cs="Times New Roman"/>
          <w:color w:val="auto"/>
        </w:rPr>
        <w:t>1</w:t>
      </w:r>
      <w:r>
        <w:rPr>
          <w:rFonts w:cs="Times New Roman"/>
          <w:color w:val="auto"/>
          <w:lang w:val="de-DE"/>
        </w:rPr>
        <w:t>）化粪池/厌氧发酵池；（</w:t>
      </w:r>
      <w:r>
        <w:rPr>
          <w:rFonts w:cs="Times New Roman"/>
          <w:color w:val="auto"/>
        </w:rPr>
        <w:t>2</w:t>
      </w:r>
      <w:r>
        <w:rPr>
          <w:rFonts w:cs="Times New Roman"/>
          <w:color w:val="auto"/>
          <w:lang w:val="de-DE"/>
        </w:rPr>
        <w:t>）化粪池-稳定塘/人工湿地/土壤渗滤等。</w:t>
      </w:r>
    </w:p>
    <w:p>
      <w:pPr>
        <w:ind w:firstLine="480"/>
        <w:rPr>
          <w:rFonts w:cs="Times New Roman"/>
          <w:color w:val="auto"/>
        </w:rPr>
      </w:pPr>
      <w:r>
        <w:rPr>
          <w:rFonts w:cs="Times New Roman"/>
          <w:color w:val="auto"/>
          <w:lang w:val="de-DE"/>
        </w:rPr>
        <w:t>上述模式出水水质基本可满足三级排放标准，当人工湿地、土壤渗滤系统运行稳定的情况下，也可以达到二级排放标准。</w:t>
      </w:r>
    </w:p>
    <w:p>
      <w:pPr>
        <w:pStyle w:val="376"/>
      </w:pPr>
      <w:r>
        <w:t>1、化粪池/厌氧发酵池技术模式</w:t>
      </w:r>
    </w:p>
    <w:p>
      <w:pPr>
        <w:ind w:firstLine="480"/>
        <w:rPr>
          <w:rFonts w:cs="Times New Roman"/>
          <w:color w:val="auto"/>
        </w:rPr>
      </w:pPr>
      <w:bookmarkStart w:id="184" w:name="_Toc14989545"/>
      <w:bookmarkStart w:id="185" w:name="_Toc19459_WPSOffice_Level3"/>
      <w:r>
        <w:rPr>
          <w:rFonts w:cs="Times New Roman"/>
          <w:color w:val="auto"/>
        </w:rPr>
        <w:t>该技术模式主要用于有大量农田可消纳治理后污水的单户或连户的分散式污水治理，如缺水地区、高寒地区等。</w:t>
      </w:r>
    </w:p>
    <w:p>
      <w:pPr>
        <w:pStyle w:val="376"/>
      </w:pPr>
      <w:r>
        <w:t>（1）化粪池</w:t>
      </w:r>
    </w:p>
    <w:p>
      <w:pPr>
        <w:ind w:firstLine="480"/>
        <w:rPr>
          <w:rFonts w:cs="Times New Roman"/>
          <w:color w:val="auto"/>
        </w:rPr>
      </w:pPr>
      <w:r>
        <w:rPr>
          <w:rFonts w:cs="Times New Roman"/>
          <w:color w:val="auto"/>
        </w:rPr>
        <w:t>农村粪便污水进入化粪池，在化粪池内通过厌氧生物分解作用去除部分有机污染物，出水农用或处理后出水可达到三级排放标准，工艺流程如下</w:t>
      </w:r>
      <w:r>
        <w:rPr>
          <w:rFonts w:hint="eastAsia" w:cs="Times New Roman"/>
          <w:color w:val="auto"/>
        </w:rPr>
        <w:t>5.11-1</w:t>
      </w:r>
      <w:r>
        <w:rPr>
          <w:rFonts w:cs="Times New Roman"/>
          <w:color w:val="auto"/>
        </w:rPr>
        <w:t>所示。污水停留时间至少12h，3~12个月清掏一次。对于三格式化粪池，粪液只能从第三格或者是双瓮式的第二瓮中取用，禁止向第三格或第二瓮倒入新鲜粪液。</w:t>
      </w:r>
    </w:p>
    <w:p>
      <w:pPr>
        <w:ind w:firstLine="480"/>
        <w:rPr>
          <w:rFonts w:cs="Times New Roman"/>
          <w:color w:val="auto"/>
        </w:rPr>
      </w:pPr>
      <w:r>
        <w:rPr>
          <w:rFonts w:cs="Times New Roman"/>
          <w:color w:val="auto"/>
        </w:rPr>
        <w:t>本模式在我省农村厕所改造中使用较多，比较适合我省目前农村的技术经济水平和生活习惯。采用本模式处理污水时，应防止雨水进入化粪池导致污水溢出。</w:t>
      </w:r>
    </w:p>
    <w:p>
      <w:pPr>
        <w:ind w:firstLine="480"/>
        <w:rPr>
          <w:rFonts w:cs="Times New Roman"/>
          <w:color w:val="auto"/>
          <w:kern w:val="0"/>
        </w:rPr>
      </w:pPr>
      <w:r>
        <w:rPr>
          <w:rFonts w:cs="Times New Roman"/>
          <w:color w:val="auto"/>
          <w:kern w:val="0"/>
        </w:rPr>
        <w:drawing>
          <wp:inline distT="0" distB="0" distL="0" distR="0">
            <wp:extent cx="4143375" cy="1606550"/>
            <wp:effectExtent l="0" t="0" r="0" b="0"/>
            <wp:docPr id="8" name="图片 39" descr="C:\Users\LWQ.lwq-PC\AppData\Roaming\Tencent\Users\151717489\QQ\WinTemp\RichOle\O1V]YXU8GZ572U`Q2UGF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 descr="C:\Users\LWQ.lwq-PC\AppData\Roaming\Tencent\Users\151717489\QQ\WinTemp\RichOle\O1V]YXU8GZ572U`Q2UGF3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84880" cy="1623179"/>
                    </a:xfrm>
                    <a:prstGeom prst="rect">
                      <a:avLst/>
                    </a:prstGeom>
                    <a:noFill/>
                    <a:ln>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 xml:space="preserve"> 化粪池处理工艺</w:t>
      </w:r>
    </w:p>
    <w:bookmarkEnd w:id="184"/>
    <w:bookmarkEnd w:id="185"/>
    <w:p>
      <w:pPr>
        <w:pStyle w:val="376"/>
      </w:pPr>
      <w:r>
        <w:t>（2）厌氧发酵池（沼气池）</w:t>
      </w:r>
    </w:p>
    <w:p>
      <w:pPr>
        <w:ind w:firstLine="480"/>
        <w:rPr>
          <w:rFonts w:cs="Times New Roman"/>
          <w:color w:val="auto"/>
        </w:rPr>
      </w:pPr>
      <w:r>
        <w:rPr>
          <w:rFonts w:cs="Times New Roman"/>
          <w:color w:val="auto"/>
        </w:rPr>
        <w:t>生活污水、养殖粪污等进入厌氧发酵池（沼气池），通过厌氧生物分解去除部分有机污染物，同时产生沼气。</w:t>
      </w:r>
    </w:p>
    <w:p>
      <w:pPr>
        <w:ind w:firstLine="480"/>
        <w:rPr>
          <w:rFonts w:cs="Times New Roman"/>
          <w:color w:val="auto"/>
        </w:rPr>
      </w:pPr>
      <w:r>
        <w:rPr>
          <w:rFonts w:cs="Times New Roman"/>
          <w:color w:val="auto"/>
        </w:rPr>
        <w:t>沼气池需定期检查（一年一次）气密性，定期维修（4-8年），经常检查输气管是否漏气或堵塞。</w:t>
      </w:r>
    </w:p>
    <w:p>
      <w:pPr>
        <w:pStyle w:val="376"/>
      </w:pPr>
      <w:bookmarkStart w:id="186" w:name="_Toc14989546"/>
      <w:bookmarkStart w:id="187" w:name="_Toc20511_WPSOffice_Level3"/>
      <w:r>
        <w:t>2、化粪池-稳定塘/人工湿地/土壤渗滤组合模式</w:t>
      </w:r>
      <w:bookmarkEnd w:id="186"/>
      <w:bookmarkEnd w:id="187"/>
    </w:p>
    <w:p>
      <w:pPr>
        <w:ind w:firstLine="480"/>
        <w:rPr>
          <w:rFonts w:cs="Times New Roman"/>
          <w:color w:val="auto"/>
          <w:lang w:val="de-DE"/>
        </w:rPr>
      </w:pPr>
      <w:r>
        <w:rPr>
          <w:rFonts w:cs="Times New Roman"/>
          <w:color w:val="auto"/>
          <w:lang w:val="de-DE"/>
        </w:rPr>
        <w:t>该组合模式主要适用于经济欠发达，环境要求一般且可利用土地充足的农村地区的单户或连户污水治理；拥有坑塘、洼地的村庄可选择化粪池-稳定塘/人工湿地组合模式，由于气候条件对稳定塘/人工湿地运行效果有一定影响，因此本模式更适合除滇西北、滇东北以外的大部分农村地区。缺水且土壤渗透性较好的地区可选择化粪池-土壤渗滤组合模式。</w:t>
      </w:r>
    </w:p>
    <w:p>
      <w:pPr>
        <w:pStyle w:val="376"/>
        <w:rPr>
          <w:lang w:val="de-DE"/>
        </w:rPr>
      </w:pPr>
      <w:r>
        <w:rPr>
          <w:lang w:val="de-DE"/>
        </w:rPr>
        <w:t>①化粪池-稳定塘组合模式</w:t>
      </w:r>
    </w:p>
    <w:p>
      <w:pPr>
        <w:ind w:firstLine="480"/>
        <w:rPr>
          <w:rFonts w:cs="Times New Roman"/>
          <w:color w:val="auto"/>
        </w:rPr>
      </w:pPr>
      <w:r>
        <w:rPr>
          <w:rFonts w:cs="Times New Roman"/>
          <w:color w:val="auto"/>
        </w:rPr>
        <w:drawing>
          <wp:inline distT="0" distB="0" distL="114300" distR="114300">
            <wp:extent cx="5162550" cy="1181100"/>
            <wp:effectExtent l="0" t="0" r="0" b="0"/>
            <wp:docPr id="1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IMG_256"/>
                    <pic:cNvPicPr>
                      <a:picLocks noChangeAspect="1"/>
                    </pic:cNvPicPr>
                  </pic:nvPicPr>
                  <pic:blipFill>
                    <a:blip r:embed="rId24" cstate="print"/>
                    <a:stretch>
                      <a:fillRect/>
                    </a:stretch>
                  </pic:blipFill>
                  <pic:spPr>
                    <a:xfrm>
                      <a:off x="0" y="0"/>
                      <a:ext cx="5162550" cy="118110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r>
        <w:rPr>
          <w:color w:val="auto"/>
        </w:rPr>
        <w:t xml:space="preserve"> 化粪池-稳定塘组合模式流程图</w:t>
      </w:r>
    </w:p>
    <w:p>
      <w:pPr>
        <w:ind w:firstLine="480"/>
        <w:rPr>
          <w:rFonts w:cs="Times New Roman"/>
          <w:color w:val="auto"/>
          <w:lang w:val="de-DE"/>
        </w:rPr>
      </w:pPr>
      <w:r>
        <w:rPr>
          <w:rFonts w:cs="Times New Roman"/>
          <w:color w:val="auto"/>
          <w:lang w:val="de-DE"/>
        </w:rPr>
        <w:t xml:space="preserve">污水经化粪池处理后进入稳定塘，化粪池停留时间不小于48 </w:t>
      </w:r>
      <w:r>
        <w:rPr>
          <w:rFonts w:cs="Times New Roman"/>
          <w:color w:val="auto"/>
        </w:rPr>
        <w:t>h</w:t>
      </w:r>
      <w:r>
        <w:rPr>
          <w:rFonts w:cs="Times New Roman"/>
          <w:color w:val="auto"/>
          <w:lang w:val="de-DE"/>
        </w:rPr>
        <w:t>；出水进入稳定塘后水力停留时间为4～10</w:t>
      </w:r>
      <w:r>
        <w:rPr>
          <w:rFonts w:cs="Times New Roman"/>
          <w:color w:val="auto"/>
        </w:rPr>
        <w:t>d</w:t>
      </w:r>
      <w:r>
        <w:rPr>
          <w:rFonts w:cs="Times New Roman"/>
          <w:color w:val="auto"/>
          <w:lang w:val="de-DE"/>
        </w:rPr>
        <w:t xml:space="preserve">，有效水深为0.5 </w:t>
      </w:r>
      <w:r>
        <w:rPr>
          <w:rFonts w:cs="Times New Roman"/>
          <w:color w:val="auto"/>
        </w:rPr>
        <w:t>m</w:t>
      </w:r>
      <w:r>
        <w:rPr>
          <w:rFonts w:cs="Times New Roman"/>
          <w:color w:val="auto"/>
          <w:lang w:val="de-DE"/>
        </w:rPr>
        <w:t>左右。</w:t>
      </w:r>
    </w:p>
    <w:p>
      <w:pPr>
        <w:pStyle w:val="376"/>
        <w:rPr>
          <w:lang w:val="de-DE"/>
        </w:rPr>
      </w:pPr>
      <w:r>
        <w:rPr>
          <w:lang w:val="de-DE"/>
        </w:rPr>
        <w:t>②化粪池-人工湿地组合模式</w:t>
      </w:r>
    </w:p>
    <w:p>
      <w:pPr>
        <w:ind w:firstLine="480"/>
        <w:rPr>
          <w:rFonts w:cs="Times New Roman"/>
          <w:color w:val="auto"/>
        </w:rPr>
      </w:pPr>
      <w:r>
        <w:rPr>
          <w:rFonts w:cs="Times New Roman"/>
          <w:color w:val="auto"/>
        </w:rPr>
        <w:drawing>
          <wp:inline distT="0" distB="0" distL="114300" distR="114300">
            <wp:extent cx="5216525" cy="922020"/>
            <wp:effectExtent l="0" t="0" r="3175" b="11430"/>
            <wp:docPr id="11"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IMG_256"/>
                    <pic:cNvPicPr>
                      <a:picLocks noChangeAspect="1"/>
                    </pic:cNvPicPr>
                  </pic:nvPicPr>
                  <pic:blipFill>
                    <a:blip r:embed="rId25" cstate="print"/>
                    <a:stretch>
                      <a:fillRect/>
                    </a:stretch>
                  </pic:blipFill>
                  <pic:spPr>
                    <a:xfrm>
                      <a:off x="0" y="0"/>
                      <a:ext cx="5216525" cy="92202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3</w:t>
      </w:r>
      <w:r>
        <w:rPr>
          <w:color w:val="auto"/>
        </w:rPr>
        <w:fldChar w:fldCharType="end"/>
      </w:r>
      <w:r>
        <w:rPr>
          <w:color w:val="auto"/>
        </w:rPr>
        <w:t xml:space="preserve"> 化粪池-人工湿地组合模式流程图</w:t>
      </w:r>
    </w:p>
    <w:p>
      <w:pPr>
        <w:ind w:firstLine="480"/>
        <w:rPr>
          <w:rFonts w:cs="Times New Roman"/>
          <w:color w:val="auto"/>
          <w:lang w:val="de-DE"/>
        </w:rPr>
      </w:pPr>
      <w:r>
        <w:rPr>
          <w:rFonts w:cs="Times New Roman"/>
          <w:color w:val="auto"/>
          <w:lang w:val="de-DE"/>
        </w:rPr>
        <w:t xml:space="preserve">污水经化粪池处理后进入人工湿地，化粪池停留时间不小于48 </w:t>
      </w:r>
      <w:r>
        <w:rPr>
          <w:rFonts w:cs="Times New Roman"/>
          <w:color w:val="auto"/>
        </w:rPr>
        <w:t>h</w:t>
      </w:r>
      <w:r>
        <w:rPr>
          <w:rFonts w:cs="Times New Roman"/>
          <w:color w:val="auto"/>
          <w:lang w:val="de-DE"/>
        </w:rPr>
        <w:t xml:space="preserve">，且出水SS≤100 </w:t>
      </w:r>
      <w:r>
        <w:rPr>
          <w:rFonts w:cs="Times New Roman"/>
          <w:color w:val="auto"/>
        </w:rPr>
        <w:t>mg/L</w:t>
      </w:r>
      <w:r>
        <w:rPr>
          <w:rFonts w:cs="Times New Roman"/>
          <w:color w:val="auto"/>
          <w:lang w:val="de-DE"/>
        </w:rPr>
        <w:t xml:space="preserve">；出水进入人工湿地后水力停留时间为4～8 </w:t>
      </w:r>
      <w:r>
        <w:rPr>
          <w:rFonts w:cs="Times New Roman"/>
          <w:color w:val="auto"/>
        </w:rPr>
        <w:t>d</w:t>
      </w:r>
      <w:r>
        <w:rPr>
          <w:rFonts w:cs="Times New Roman"/>
          <w:color w:val="auto"/>
          <w:lang w:val="de-DE"/>
        </w:rPr>
        <w:t xml:space="preserve">（表面流人工湿地），2~4 </w:t>
      </w:r>
      <w:r>
        <w:rPr>
          <w:rFonts w:cs="Times New Roman"/>
          <w:color w:val="auto"/>
        </w:rPr>
        <w:t>d</w:t>
      </w:r>
      <w:r>
        <w:rPr>
          <w:rFonts w:cs="Times New Roman"/>
          <w:color w:val="auto"/>
          <w:lang w:val="de-DE"/>
        </w:rPr>
        <w:t>（潜流人工湿地）。</w:t>
      </w:r>
    </w:p>
    <w:p>
      <w:pPr>
        <w:pStyle w:val="376"/>
        <w:rPr>
          <w:lang w:val="de-DE"/>
        </w:rPr>
      </w:pPr>
      <w:r>
        <w:rPr>
          <w:lang w:val="de-DE"/>
        </w:rPr>
        <w:t>③化粪池-土壤渗滤组合模式</w:t>
      </w:r>
    </w:p>
    <w:p>
      <w:pPr>
        <w:ind w:firstLine="480"/>
        <w:rPr>
          <w:rFonts w:cs="Times New Roman"/>
          <w:color w:val="auto"/>
          <w:lang w:val="de-DE"/>
        </w:rPr>
      </w:pPr>
      <w:r>
        <w:rPr>
          <w:rFonts w:cs="Times New Roman"/>
          <w:color w:val="auto"/>
          <w:lang w:val="de-DE"/>
        </w:rPr>
        <w:t>污水经化粪池处理后进入土壤渗滤系统，化粪池停留时间不小于48</w:t>
      </w:r>
      <w:r>
        <w:rPr>
          <w:rFonts w:cs="Times New Roman"/>
          <w:color w:val="auto"/>
        </w:rPr>
        <w:t>d</w:t>
      </w:r>
      <w:r>
        <w:rPr>
          <w:rFonts w:cs="Times New Roman"/>
          <w:color w:val="auto"/>
          <w:lang w:val="de-DE"/>
        </w:rPr>
        <w:t xml:space="preserve">，且出水SS≤100 </w:t>
      </w:r>
      <w:r>
        <w:rPr>
          <w:rFonts w:cs="Times New Roman"/>
          <w:color w:val="auto"/>
        </w:rPr>
        <w:t>mg/L</w:t>
      </w:r>
      <w:r>
        <w:rPr>
          <w:rFonts w:cs="Times New Roman"/>
          <w:color w:val="auto"/>
          <w:lang w:val="de-DE"/>
        </w:rPr>
        <w:t>；出水进入土壤渗滤系统后水力负荷应根据土壤渗透系数确定，一般为0.2~4</w:t>
      </w:r>
      <w:r>
        <w:rPr>
          <w:rFonts w:cs="Times New Roman"/>
          <w:color w:val="auto"/>
        </w:rPr>
        <w:t>cm</w:t>
      </w:r>
      <w:r>
        <w:rPr>
          <w:rFonts w:cs="Times New Roman"/>
          <w:color w:val="auto"/>
          <w:lang w:val="de-DE"/>
        </w:rPr>
        <w:t>/</w:t>
      </w:r>
      <w:r>
        <w:rPr>
          <w:rFonts w:cs="Times New Roman"/>
          <w:color w:val="auto"/>
        </w:rPr>
        <w:t>d</w:t>
      </w:r>
      <w:r>
        <w:rPr>
          <w:rFonts w:cs="Times New Roman"/>
          <w:color w:val="auto"/>
          <w:lang w:val="de-DE"/>
        </w:rPr>
        <w:t>。</w:t>
      </w:r>
    </w:p>
    <w:p>
      <w:pPr>
        <w:ind w:firstLine="480"/>
        <w:rPr>
          <w:rFonts w:cs="Times New Roman"/>
          <w:color w:val="auto"/>
        </w:rPr>
      </w:pPr>
      <w:r>
        <w:rPr>
          <w:rFonts w:cs="Times New Roman"/>
          <w:color w:val="auto"/>
        </w:rPr>
        <w:drawing>
          <wp:inline distT="0" distB="0" distL="114300" distR="114300">
            <wp:extent cx="4617085" cy="1219200"/>
            <wp:effectExtent l="19050" t="0" r="0" b="0"/>
            <wp:docPr id="12"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descr="IMG_256"/>
                    <pic:cNvPicPr>
                      <a:picLocks noChangeAspect="1"/>
                    </pic:cNvPicPr>
                  </pic:nvPicPr>
                  <pic:blipFill>
                    <a:blip r:embed="rId26" cstate="print"/>
                    <a:stretch>
                      <a:fillRect/>
                    </a:stretch>
                  </pic:blipFill>
                  <pic:spPr>
                    <a:xfrm>
                      <a:off x="0" y="0"/>
                      <a:ext cx="4632273" cy="1223125"/>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4</w:t>
      </w:r>
      <w:r>
        <w:rPr>
          <w:color w:val="auto"/>
        </w:rPr>
        <w:fldChar w:fldCharType="end"/>
      </w:r>
      <w:r>
        <w:rPr>
          <w:color w:val="auto"/>
        </w:rPr>
        <w:t xml:space="preserve"> 化粪池-土壤渗滤组合模式流程图</w:t>
      </w:r>
    </w:p>
    <w:p>
      <w:pPr>
        <w:pStyle w:val="116"/>
        <w:rPr>
          <w:color w:val="auto"/>
        </w:rPr>
      </w:pPr>
      <w:bookmarkStart w:id="188" w:name="_Toc33085588"/>
      <w:bookmarkStart w:id="189" w:name="_Toc17808581"/>
      <w:bookmarkStart w:id="190" w:name="_Toc14989547"/>
      <w:bookmarkStart w:id="191" w:name="_Toc16725_WPSOffice_Level2"/>
      <w:r>
        <w:rPr>
          <w:color w:val="auto"/>
        </w:rPr>
        <w:t>常规模式</w:t>
      </w:r>
      <w:bookmarkEnd w:id="188"/>
      <w:bookmarkEnd w:id="189"/>
      <w:bookmarkEnd w:id="190"/>
      <w:bookmarkEnd w:id="191"/>
    </w:p>
    <w:p>
      <w:pPr>
        <w:ind w:firstLine="480"/>
        <w:rPr>
          <w:rFonts w:cs="Times New Roman"/>
          <w:color w:val="auto"/>
          <w:lang w:val="de-DE"/>
        </w:rPr>
      </w:pPr>
      <w:r>
        <w:rPr>
          <w:rFonts w:cs="Times New Roman"/>
          <w:color w:val="auto"/>
          <w:lang w:val="de-DE"/>
        </w:rPr>
        <w:t>该模式主要适用于经济一般或较好，环境要求较高的农村地区的集中式污水治理。该模式主要包括以下组合模式：（1）预处理-厌氧池-人工湿地/稳定塘/土壤渗滤等；（2）预处理-生物稳定塘/强化人工快渗-人工湿地；（3）预处理-生物接触氧化池/生物滤池等。</w:t>
      </w:r>
    </w:p>
    <w:p>
      <w:pPr>
        <w:ind w:firstLine="480"/>
        <w:rPr>
          <w:rFonts w:cs="Times New Roman"/>
          <w:color w:val="auto"/>
          <w:lang w:val="de-DE"/>
        </w:rPr>
      </w:pPr>
      <w:r>
        <w:rPr>
          <w:rFonts w:cs="Times New Roman"/>
          <w:color w:val="auto"/>
          <w:lang w:val="de-DE"/>
        </w:rPr>
        <w:t>上述模式出水水质可满足二级排放标准的要求，系统运行良好的情况下，出水可达到一级</w:t>
      </w:r>
      <w:r>
        <w:rPr>
          <w:rFonts w:cs="Times New Roman"/>
          <w:color w:val="auto"/>
        </w:rPr>
        <w:t>B排放标准</w:t>
      </w:r>
      <w:r>
        <w:rPr>
          <w:rFonts w:cs="Times New Roman"/>
          <w:color w:val="auto"/>
          <w:lang w:val="de-DE"/>
        </w:rPr>
        <w:t>。</w:t>
      </w:r>
    </w:p>
    <w:p>
      <w:pPr>
        <w:pStyle w:val="376"/>
      </w:pPr>
      <w:bookmarkStart w:id="192" w:name="_Toc14989548"/>
      <w:bookmarkStart w:id="193" w:name="_Toc24323_WPSOffice_Level3"/>
      <w:r>
        <w:t>1、预处理-厌氧池-稳定塘/人工湿地/土壤渗滤组合模式</w:t>
      </w:r>
      <w:bookmarkEnd w:id="192"/>
      <w:bookmarkEnd w:id="193"/>
    </w:p>
    <w:p>
      <w:pPr>
        <w:ind w:firstLine="480"/>
        <w:rPr>
          <w:rFonts w:cs="Times New Roman"/>
          <w:color w:val="auto"/>
          <w:lang w:val="de-DE"/>
        </w:rPr>
      </w:pPr>
      <w:r>
        <w:rPr>
          <w:rFonts w:cs="Times New Roman"/>
          <w:color w:val="auto"/>
          <w:lang w:val="de-DE"/>
        </w:rPr>
        <w:t>该组合模式适用于土地较为充裕的农村地区。</w:t>
      </w:r>
    </w:p>
    <w:p>
      <w:pPr>
        <w:pStyle w:val="376"/>
        <w:rPr>
          <w:lang w:val="de-DE"/>
        </w:rPr>
      </w:pPr>
      <w:r>
        <w:rPr>
          <w:lang w:val="de-DE"/>
        </w:rPr>
        <w:t>①预处理-厌氧池-稳定塘组合模式</w:t>
      </w:r>
    </w:p>
    <w:p>
      <w:pPr>
        <w:ind w:firstLine="640"/>
        <w:rPr>
          <w:rFonts w:cs="Times New Roman"/>
          <w:color w:val="auto"/>
          <w:kern w:val="0"/>
          <w:sz w:val="32"/>
          <w:szCs w:val="32"/>
        </w:rPr>
      </w:pPr>
      <w:r>
        <w:rPr>
          <w:rFonts w:cs="Times New Roman"/>
          <w:color w:val="auto"/>
          <w:sz w:val="32"/>
          <w:szCs w:val="32"/>
        </w:rPr>
        <w:drawing>
          <wp:inline distT="0" distB="0" distL="0" distR="0">
            <wp:extent cx="5124450" cy="1061085"/>
            <wp:effectExtent l="0" t="0" r="0" b="5715"/>
            <wp:docPr id="13" name="图片 3" descr="E:\项目\2019\云南省生活污水治理\农村污水治理技术\污水治理单页\污水治理技术修改图\污水治理技术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E:\项目\2019\云南省生活污水治理\农村污水治理技术\污水治理单页\污水治理技术修改图\污水治理技术12-01.jpg"/>
                    <pic:cNvPicPr>
                      <a:picLocks noChangeAspect="1" noChangeArrowheads="1"/>
                    </pic:cNvPicPr>
                  </pic:nvPicPr>
                  <pic:blipFill>
                    <a:blip r:embed="rId27" cstate="print"/>
                    <a:srcRect l="8399" t="16357" r="10499" b="59851"/>
                    <a:stretch>
                      <a:fillRect/>
                    </a:stretch>
                  </pic:blipFill>
                  <pic:spPr>
                    <a:xfrm>
                      <a:off x="0" y="0"/>
                      <a:ext cx="5128236" cy="1062159"/>
                    </a:xfrm>
                    <a:prstGeom prst="rect">
                      <a:avLst/>
                    </a:prstGeom>
                    <a:noFill/>
                    <a:ln w="9525">
                      <a:noFill/>
                      <a:miter lim="800000"/>
                      <a:headEnd/>
                      <a:tailEnd/>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5</w:t>
      </w:r>
      <w:r>
        <w:rPr>
          <w:color w:val="auto"/>
        </w:rPr>
        <w:fldChar w:fldCharType="end"/>
      </w:r>
      <w:r>
        <w:rPr>
          <w:color w:val="auto"/>
        </w:rPr>
        <w:t xml:space="preserve"> 厌氧池-稳定塘组合模式流程图</w:t>
      </w:r>
    </w:p>
    <w:p>
      <w:pPr>
        <w:ind w:firstLine="480"/>
        <w:rPr>
          <w:rFonts w:cs="Times New Roman"/>
          <w:color w:val="auto"/>
          <w:lang w:val="de-DE"/>
        </w:rPr>
      </w:pPr>
      <w:r>
        <w:rPr>
          <w:rFonts w:cs="Times New Roman"/>
          <w:color w:val="auto"/>
          <w:lang w:val="de-DE"/>
        </w:rPr>
        <w:t>生活污水首先进入化粪池，在化粪池停留时间宜为12~36</w:t>
      </w:r>
      <w:r>
        <w:rPr>
          <w:rFonts w:cs="Times New Roman"/>
          <w:color w:val="auto"/>
        </w:rPr>
        <w:t>h</w:t>
      </w:r>
      <w:r>
        <w:rPr>
          <w:rFonts w:cs="Times New Roman"/>
          <w:color w:val="auto"/>
          <w:lang w:val="de-DE"/>
        </w:rPr>
        <w:t>；出水进入厌氧池（厌氧池可与化粪池合建），厌氧池水力停留时间宜取2~5</w:t>
      </w:r>
      <w:r>
        <w:rPr>
          <w:rFonts w:cs="Times New Roman"/>
          <w:color w:val="auto"/>
        </w:rPr>
        <w:t>d</w:t>
      </w:r>
      <w:r>
        <w:rPr>
          <w:rFonts w:cs="Times New Roman"/>
          <w:color w:val="auto"/>
          <w:lang w:val="de-DE"/>
        </w:rPr>
        <w:t>，排泥间隔时间约为3个月~1年；本组合模式中稳定塘一般为好氧塘，深度一般在0.5</w:t>
      </w:r>
      <w:r>
        <w:rPr>
          <w:rFonts w:cs="Times New Roman"/>
          <w:color w:val="auto"/>
        </w:rPr>
        <w:t>m</w:t>
      </w:r>
      <w:r>
        <w:rPr>
          <w:rFonts w:cs="Times New Roman"/>
          <w:color w:val="auto"/>
          <w:lang w:val="de-DE"/>
        </w:rPr>
        <w:t>左右。</w:t>
      </w:r>
    </w:p>
    <w:p>
      <w:pPr>
        <w:pStyle w:val="376"/>
        <w:rPr>
          <w:lang w:val="de-DE"/>
        </w:rPr>
      </w:pPr>
      <w:r>
        <w:rPr>
          <w:lang w:val="de-DE"/>
        </w:rPr>
        <w:t>②预处理-厌氧池-人工湿地组合模式</w:t>
      </w:r>
    </w:p>
    <w:p>
      <w:pPr>
        <w:ind w:firstLine="480"/>
        <w:rPr>
          <w:rFonts w:cs="Times New Roman"/>
          <w:color w:val="auto"/>
          <w:kern w:val="0"/>
        </w:rPr>
      </w:pPr>
      <w:r>
        <w:rPr>
          <w:rFonts w:cs="Times New Roman"/>
          <w:color w:val="auto"/>
        </w:rPr>
        <w:drawing>
          <wp:inline distT="0" distB="0" distL="0" distR="0">
            <wp:extent cx="5224780" cy="1000125"/>
            <wp:effectExtent l="0" t="0" r="13970" b="9525"/>
            <wp:docPr id="14" name="图片 4" descr="E:\项目\2019\云南省生活污水治理\农村污水治理技术\污水治理单页\污水治理技术修改图\污水治理技术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E:\项目\2019\云南省生活污水治理\农村污水治理技术\污水治理单页\污水治理技术修改图\污水治理技术12-01.jpg"/>
                    <pic:cNvPicPr>
                      <a:picLocks noChangeAspect="1" noChangeArrowheads="1"/>
                    </pic:cNvPicPr>
                  </pic:nvPicPr>
                  <pic:blipFill>
                    <a:blip r:embed="rId27" cstate="print"/>
                    <a:srcRect l="8661" t="42007" r="11811" b="36432"/>
                    <a:stretch>
                      <a:fillRect/>
                    </a:stretch>
                  </pic:blipFill>
                  <pic:spPr>
                    <a:xfrm>
                      <a:off x="0" y="0"/>
                      <a:ext cx="5224793" cy="1000125"/>
                    </a:xfrm>
                    <a:prstGeom prst="rect">
                      <a:avLst/>
                    </a:prstGeom>
                    <a:noFill/>
                    <a:ln w="9525">
                      <a:noFill/>
                      <a:miter lim="800000"/>
                      <a:headEnd/>
                      <a:tailEnd/>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6</w:t>
      </w:r>
      <w:r>
        <w:rPr>
          <w:color w:val="auto"/>
        </w:rPr>
        <w:fldChar w:fldCharType="end"/>
      </w:r>
      <w:r>
        <w:rPr>
          <w:color w:val="auto"/>
        </w:rPr>
        <w:t xml:space="preserve"> 厌氧池-人工湿地组合模式流程图</w:t>
      </w:r>
    </w:p>
    <w:p>
      <w:pPr>
        <w:ind w:firstLine="480"/>
        <w:rPr>
          <w:rFonts w:cs="Times New Roman"/>
          <w:color w:val="auto"/>
          <w:lang w:val="de-DE"/>
        </w:rPr>
      </w:pPr>
      <w:r>
        <w:rPr>
          <w:rFonts w:cs="Times New Roman"/>
          <w:color w:val="auto"/>
          <w:lang w:val="de-DE"/>
        </w:rPr>
        <w:t>化粪池与厌氧池相关要求同上，且出水SS≤100</w:t>
      </w:r>
      <w:r>
        <w:rPr>
          <w:rFonts w:cs="Times New Roman"/>
          <w:color w:val="auto"/>
        </w:rPr>
        <w:t xml:space="preserve"> mg/L</w:t>
      </w:r>
      <w:r>
        <w:rPr>
          <w:rFonts w:cs="Times New Roman"/>
          <w:color w:val="auto"/>
          <w:lang w:val="de-DE"/>
        </w:rPr>
        <w:t xml:space="preserve">；本组合模式中人工湿地一般为水平潜流或垂直潜流人工湿地。 </w:t>
      </w:r>
    </w:p>
    <w:p>
      <w:pPr>
        <w:pStyle w:val="376"/>
        <w:rPr>
          <w:lang w:val="de-DE"/>
        </w:rPr>
      </w:pPr>
      <w:r>
        <w:rPr>
          <w:lang w:val="de-DE"/>
        </w:rPr>
        <w:t>③预处理-厌氧池-土壤渗滤组合模式</w:t>
      </w:r>
    </w:p>
    <w:p>
      <w:pPr>
        <w:pStyle w:val="366"/>
        <w:rPr>
          <w:rFonts w:eastAsia="仿宋_GB2312"/>
          <w:kern w:val="0"/>
        </w:rPr>
      </w:pPr>
      <w:r>
        <w:rPr>
          <w:rFonts w:eastAsia="仿宋_GB2312"/>
        </w:rPr>
        <w:drawing>
          <wp:inline distT="0" distB="0" distL="0" distR="0">
            <wp:extent cx="5143500" cy="1134745"/>
            <wp:effectExtent l="0" t="0" r="0" b="8255"/>
            <wp:docPr id="15" name="图片 5" descr="E:\项目\2019\云南省生活污水治理\农村污水治理技术\污水治理单页\污水治理技术修改图\污水治理技术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E:\项目\2019\云南省生活污水治理\农村污水治理技术\污水治理单页\污水治理技术修改图\污水治理技术12-01.jpg"/>
                    <pic:cNvPicPr>
                      <a:picLocks noChangeAspect="1" noChangeArrowheads="1"/>
                    </pic:cNvPicPr>
                  </pic:nvPicPr>
                  <pic:blipFill>
                    <a:blip r:embed="rId27" cstate="print"/>
                    <a:srcRect l="7612" t="63569" r="18635" b="13383"/>
                    <a:stretch>
                      <a:fillRect/>
                    </a:stretch>
                  </pic:blipFill>
                  <pic:spPr>
                    <a:xfrm>
                      <a:off x="0" y="0"/>
                      <a:ext cx="5143500" cy="1134865"/>
                    </a:xfrm>
                    <a:prstGeom prst="rect">
                      <a:avLst/>
                    </a:prstGeom>
                    <a:noFill/>
                    <a:ln w="9525">
                      <a:noFill/>
                      <a:miter lim="800000"/>
                      <a:headEnd/>
                      <a:tailEnd/>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7</w:t>
      </w:r>
      <w:r>
        <w:rPr>
          <w:color w:val="auto"/>
        </w:rPr>
        <w:fldChar w:fldCharType="end"/>
      </w:r>
      <w:r>
        <w:rPr>
          <w:color w:val="auto"/>
        </w:rPr>
        <w:t xml:space="preserve"> 厌氧池-土壤渗滤组合模式流程图</w:t>
      </w:r>
    </w:p>
    <w:p>
      <w:pPr>
        <w:ind w:firstLine="480"/>
        <w:rPr>
          <w:rFonts w:cs="Times New Roman"/>
          <w:color w:val="auto"/>
          <w:lang w:val="de-DE"/>
        </w:rPr>
      </w:pPr>
      <w:r>
        <w:rPr>
          <w:rFonts w:cs="Times New Roman"/>
          <w:color w:val="auto"/>
          <w:lang w:val="de-DE"/>
        </w:rPr>
        <w:t>化粪池与厌氧池相关要求同上，且出水SS≤100</w:t>
      </w:r>
      <w:r>
        <w:rPr>
          <w:rFonts w:cs="Times New Roman"/>
          <w:color w:val="auto"/>
        </w:rPr>
        <w:t xml:space="preserve"> mg/L</w:t>
      </w:r>
      <w:r>
        <w:rPr>
          <w:rFonts w:cs="Times New Roman"/>
          <w:color w:val="auto"/>
          <w:lang w:val="de-DE"/>
        </w:rPr>
        <w:t>；本组合模式中土壤渗滤一般为快速渗滤和地下渗滤，土壤渗滤床的面积可根据渗透速率、所需治理的污水量而定。</w:t>
      </w:r>
    </w:p>
    <w:p>
      <w:pPr>
        <w:pStyle w:val="376"/>
      </w:pPr>
      <w:bookmarkStart w:id="194" w:name="_Toc9015_WPSOffice_Level3"/>
      <w:bookmarkStart w:id="195" w:name="_Toc14989549"/>
      <w:r>
        <w:t>2、预处理-生物稳定塘/强化人工快渗-人工湿地组合模式</w:t>
      </w:r>
      <w:bookmarkEnd w:id="194"/>
      <w:bookmarkEnd w:id="195"/>
    </w:p>
    <w:p>
      <w:pPr>
        <w:ind w:firstLine="480"/>
        <w:rPr>
          <w:rFonts w:cs="Times New Roman"/>
          <w:color w:val="auto"/>
          <w:lang w:val="de-DE"/>
        </w:rPr>
      </w:pPr>
      <w:r>
        <w:rPr>
          <w:rFonts w:cs="Times New Roman"/>
          <w:color w:val="auto"/>
          <w:lang w:val="de-DE"/>
        </w:rPr>
        <w:t>该组合模式主要适用于土地较为充裕的农村地区，尤其适用于干旱缺水地区，对于高寒地区采用本组合模式需做好冬季保温及储水工作。</w:t>
      </w:r>
    </w:p>
    <w:p>
      <w:pPr>
        <w:pStyle w:val="376"/>
        <w:rPr>
          <w:lang w:val="de-DE"/>
        </w:rPr>
      </w:pPr>
      <w:r>
        <w:rPr>
          <w:lang w:val="de-DE"/>
        </w:rPr>
        <w:t>①预处理-生物稳定塘-人工湿地组合模式</w:t>
      </w:r>
    </w:p>
    <w:p>
      <w:pPr>
        <w:ind w:firstLine="480"/>
        <w:rPr>
          <w:rFonts w:cs="Times New Roman"/>
          <w:color w:val="auto"/>
        </w:rPr>
      </w:pPr>
      <w:r>
        <w:rPr>
          <w:rFonts w:cs="Times New Roman"/>
          <w:color w:val="auto"/>
        </w:rPr>
        <w:drawing>
          <wp:inline distT="0" distB="0" distL="114300" distR="114300">
            <wp:extent cx="5274310" cy="1013460"/>
            <wp:effectExtent l="19050" t="0" r="2540" b="0"/>
            <wp:docPr id="1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56"/>
                    <pic:cNvPicPr>
                      <a:picLocks noChangeAspect="1"/>
                    </pic:cNvPicPr>
                  </pic:nvPicPr>
                  <pic:blipFill>
                    <a:blip r:embed="rId28" cstate="print"/>
                    <a:stretch>
                      <a:fillRect/>
                    </a:stretch>
                  </pic:blipFill>
                  <pic:spPr>
                    <a:xfrm>
                      <a:off x="0" y="0"/>
                      <a:ext cx="5274310" cy="101374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8</w:t>
      </w:r>
      <w:r>
        <w:rPr>
          <w:color w:val="auto"/>
        </w:rPr>
        <w:fldChar w:fldCharType="end"/>
      </w:r>
      <w:r>
        <w:rPr>
          <w:color w:val="auto"/>
        </w:rPr>
        <w:t xml:space="preserve"> 生物稳定塘-人工湿地组合模式流程图</w:t>
      </w:r>
    </w:p>
    <w:p>
      <w:pPr>
        <w:ind w:firstLine="480"/>
        <w:rPr>
          <w:rFonts w:cs="Times New Roman"/>
          <w:color w:val="auto"/>
          <w:lang w:val="de-DE"/>
        </w:rPr>
      </w:pPr>
      <w:r>
        <w:rPr>
          <w:rFonts w:cs="Times New Roman"/>
          <w:color w:val="auto"/>
          <w:lang w:val="de-DE"/>
        </w:rPr>
        <w:t xml:space="preserve">该组合模式的预处理一般为化粪池，在化粪池中停留时间宜为12~36 </w:t>
      </w:r>
      <w:r>
        <w:rPr>
          <w:rFonts w:cs="Times New Roman"/>
          <w:color w:val="auto"/>
        </w:rPr>
        <w:t>h</w:t>
      </w:r>
      <w:r>
        <w:rPr>
          <w:rFonts w:cs="Times New Roman"/>
          <w:color w:val="auto"/>
          <w:lang w:val="de-DE"/>
        </w:rPr>
        <w:t>；生物稳定塘深度一般为0.5</w:t>
      </w:r>
      <w:r>
        <w:rPr>
          <w:rFonts w:cs="Times New Roman"/>
          <w:color w:val="auto"/>
        </w:rPr>
        <w:t>m</w:t>
      </w:r>
      <w:r>
        <w:rPr>
          <w:rFonts w:cs="Times New Roman"/>
          <w:color w:val="auto"/>
          <w:lang w:val="de-DE"/>
        </w:rPr>
        <w:t xml:space="preserve">左右，人工湿地可以为表面流、水平潜流或垂直潜流人工湿地，表面流人工湿地水深一般为20~80 </w:t>
      </w:r>
      <w:r>
        <w:rPr>
          <w:rFonts w:cs="Times New Roman"/>
          <w:color w:val="auto"/>
        </w:rPr>
        <w:t>cm</w:t>
      </w:r>
      <w:r>
        <w:rPr>
          <w:rFonts w:cs="Times New Roman"/>
          <w:color w:val="auto"/>
          <w:lang w:val="de-DE"/>
        </w:rPr>
        <w:t xml:space="preserve">，水平潜流人工湿地水位一般保持在基质表面下方5~20 </w:t>
      </w:r>
      <w:r>
        <w:rPr>
          <w:rFonts w:cs="Times New Roman"/>
          <w:color w:val="auto"/>
        </w:rPr>
        <w:t>cm</w:t>
      </w:r>
      <w:r>
        <w:rPr>
          <w:rFonts w:cs="Times New Roman"/>
          <w:color w:val="auto"/>
          <w:lang w:val="de-DE"/>
        </w:rPr>
        <w:t>，并根据待治理的污水量进行调节。</w:t>
      </w:r>
    </w:p>
    <w:p>
      <w:pPr>
        <w:pStyle w:val="376"/>
        <w:rPr>
          <w:lang w:val="de-DE"/>
        </w:rPr>
      </w:pPr>
      <w:r>
        <w:rPr>
          <w:lang w:val="de-DE"/>
        </w:rPr>
        <w:t>②预处理-强化人工快渗-人工湿地组合模式</w:t>
      </w:r>
    </w:p>
    <w:p>
      <w:pPr>
        <w:pStyle w:val="366"/>
        <w:rPr>
          <w:rFonts w:eastAsia="仿宋_GB2312"/>
        </w:rPr>
      </w:pPr>
      <w:r>
        <w:rPr>
          <w:rFonts w:eastAsia="仿宋_GB2312"/>
        </w:rPr>
        <w:drawing>
          <wp:inline distT="0" distB="0" distL="114300" distR="114300">
            <wp:extent cx="5274310" cy="1330325"/>
            <wp:effectExtent l="19050" t="0" r="2540" b="0"/>
            <wp:docPr id="17"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descr="IMG_256"/>
                    <pic:cNvPicPr>
                      <a:picLocks noChangeAspect="1"/>
                    </pic:cNvPicPr>
                  </pic:nvPicPr>
                  <pic:blipFill>
                    <a:blip r:embed="rId29" cstate="print"/>
                    <a:stretch>
                      <a:fillRect/>
                    </a:stretch>
                  </pic:blipFill>
                  <pic:spPr>
                    <a:xfrm>
                      <a:off x="0" y="0"/>
                      <a:ext cx="5274310" cy="1330483"/>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9</w:t>
      </w:r>
      <w:r>
        <w:rPr>
          <w:color w:val="auto"/>
        </w:rPr>
        <w:fldChar w:fldCharType="end"/>
      </w:r>
      <w:r>
        <w:rPr>
          <w:color w:val="auto"/>
        </w:rPr>
        <w:t xml:space="preserve"> 强化人工快渗-人工湿地组合模式流程图</w:t>
      </w:r>
    </w:p>
    <w:p>
      <w:pPr>
        <w:ind w:firstLine="480"/>
        <w:rPr>
          <w:rFonts w:cs="Times New Roman"/>
          <w:color w:val="auto"/>
          <w:lang w:val="de-DE"/>
        </w:rPr>
      </w:pPr>
      <w:r>
        <w:rPr>
          <w:rFonts w:cs="Times New Roman"/>
          <w:color w:val="auto"/>
          <w:lang w:val="de-DE"/>
        </w:rPr>
        <w:t>该组合模式的预处理一般为化粪池和沉淀池，在化粪池中停留时间宜为12~36</w:t>
      </w:r>
      <w:r>
        <w:rPr>
          <w:rFonts w:cs="Times New Roman"/>
          <w:color w:val="auto"/>
        </w:rPr>
        <w:t>h</w:t>
      </w:r>
      <w:r>
        <w:rPr>
          <w:rFonts w:cs="Times New Roman"/>
          <w:color w:val="auto"/>
          <w:lang w:val="de-DE"/>
        </w:rPr>
        <w:t>，且保证沉淀出水SS≤100</w:t>
      </w:r>
      <w:r>
        <w:rPr>
          <w:rFonts w:cs="Times New Roman"/>
          <w:color w:val="auto"/>
        </w:rPr>
        <w:t xml:space="preserve"> mg/L</w:t>
      </w:r>
      <w:r>
        <w:rPr>
          <w:rFonts w:cs="Times New Roman"/>
          <w:color w:val="auto"/>
          <w:lang w:val="de-DE"/>
        </w:rPr>
        <w:t xml:space="preserve">。人工快渗土壤渗透系数0.45~0.6 </w:t>
      </w:r>
      <w:r>
        <w:rPr>
          <w:rFonts w:cs="Times New Roman"/>
          <w:color w:val="auto"/>
        </w:rPr>
        <w:t>m/d</w:t>
      </w:r>
      <w:r>
        <w:rPr>
          <w:rFonts w:cs="Times New Roman"/>
          <w:color w:val="auto"/>
          <w:lang w:val="de-DE"/>
        </w:rPr>
        <w:t xml:space="preserve">，滤层最佳深度为2 </w:t>
      </w:r>
      <w:r>
        <w:rPr>
          <w:rFonts w:cs="Times New Roman"/>
          <w:color w:val="auto"/>
        </w:rPr>
        <w:t>m</w:t>
      </w:r>
      <w:r>
        <w:rPr>
          <w:rFonts w:cs="Times New Roman"/>
          <w:color w:val="auto"/>
          <w:lang w:val="de-DE"/>
        </w:rPr>
        <w:t>左右，1</w:t>
      </w:r>
      <w:r>
        <w:rPr>
          <w:rFonts w:cs="Times New Roman"/>
          <w:color w:val="auto"/>
        </w:rPr>
        <w:t>m</w:t>
      </w:r>
      <w:r>
        <w:rPr>
          <w:rFonts w:cs="Times New Roman"/>
          <w:color w:val="auto"/>
          <w:vertAlign w:val="superscript"/>
        </w:rPr>
        <w:t>3</w:t>
      </w:r>
      <w:r>
        <w:rPr>
          <w:rFonts w:cs="Times New Roman"/>
          <w:color w:val="auto"/>
          <w:lang w:val="de-DE"/>
        </w:rPr>
        <w:t>的体积可以处理2</w:t>
      </w:r>
      <w:r>
        <w:rPr>
          <w:rFonts w:cs="Times New Roman"/>
          <w:color w:val="auto"/>
        </w:rPr>
        <w:t>m</w:t>
      </w:r>
      <w:r>
        <w:rPr>
          <w:rFonts w:cs="Times New Roman"/>
          <w:color w:val="auto"/>
          <w:vertAlign w:val="superscript"/>
        </w:rPr>
        <w:t>3</w:t>
      </w:r>
      <w:r>
        <w:rPr>
          <w:rFonts w:cs="Times New Roman"/>
          <w:color w:val="auto"/>
          <w:lang w:val="de-DE"/>
        </w:rPr>
        <w:t>以上污水。人工湿地可以为表面流、水平潜流或垂直潜流人工湿地，表面流人工湿地水深一般为20~80</w:t>
      </w:r>
      <w:r>
        <w:rPr>
          <w:rFonts w:cs="Times New Roman"/>
          <w:color w:val="auto"/>
        </w:rPr>
        <w:t>cm</w:t>
      </w:r>
      <w:r>
        <w:rPr>
          <w:rFonts w:cs="Times New Roman"/>
          <w:color w:val="auto"/>
          <w:lang w:val="de-DE"/>
        </w:rPr>
        <w:t>，水平潜流人工湿地水位一般保持在基质表面下方5~20</w:t>
      </w:r>
      <w:r>
        <w:rPr>
          <w:rFonts w:cs="Times New Roman"/>
          <w:color w:val="auto"/>
        </w:rPr>
        <w:t>cm</w:t>
      </w:r>
      <w:r>
        <w:rPr>
          <w:rFonts w:cs="Times New Roman"/>
          <w:color w:val="auto"/>
          <w:lang w:val="de-DE"/>
        </w:rPr>
        <w:t>，并根据待处理的污水水量等情况进行调节。</w:t>
      </w:r>
    </w:p>
    <w:p>
      <w:pPr>
        <w:pStyle w:val="376"/>
      </w:pPr>
      <w:bookmarkStart w:id="196" w:name="_Toc14989550"/>
      <w:bookmarkStart w:id="197" w:name="_Toc16400_WPSOffice_Level3"/>
      <w:r>
        <w:t>3、预处理-生物接触氧化池/生物滤池组合模式</w:t>
      </w:r>
      <w:bookmarkEnd w:id="196"/>
      <w:bookmarkEnd w:id="197"/>
    </w:p>
    <w:p>
      <w:pPr>
        <w:ind w:firstLine="480"/>
        <w:rPr>
          <w:rFonts w:cs="Times New Roman"/>
          <w:color w:val="auto"/>
          <w:lang w:val="de-DE"/>
        </w:rPr>
      </w:pPr>
      <w:r>
        <w:rPr>
          <w:rFonts w:cs="Times New Roman"/>
          <w:color w:val="auto"/>
          <w:lang w:val="de-DE"/>
        </w:rPr>
        <w:t>该组合模式适用于所有经济条件好，用地紧张且出水要求较高（有脱氮除磷要求）的农村地区。接触池（滤池）是污水处理的核心构筑物，污水中的大部分有机物在微生物的作用下得到氧化分解，污水达到排放要求后排出处理系统。</w:t>
      </w:r>
    </w:p>
    <w:p>
      <w:pPr>
        <w:pStyle w:val="376"/>
        <w:rPr>
          <w:lang w:val="de-DE"/>
        </w:rPr>
      </w:pPr>
      <w:r>
        <w:rPr>
          <w:lang w:val="de-DE"/>
        </w:rPr>
        <w:t>①预处理-生物接触氧化池组合模式</w:t>
      </w:r>
    </w:p>
    <w:p>
      <w:pPr>
        <w:pStyle w:val="366"/>
        <w:rPr>
          <w:rFonts w:eastAsia="仿宋_GB2312"/>
        </w:rPr>
      </w:pPr>
      <w:r>
        <w:rPr>
          <w:rFonts w:eastAsia="仿宋_GB2312"/>
        </w:rPr>
        <w:drawing>
          <wp:inline distT="0" distB="0" distL="114300" distR="114300">
            <wp:extent cx="4067810" cy="1412240"/>
            <wp:effectExtent l="0" t="0" r="8890" b="16510"/>
            <wp:docPr id="6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descr="IMG_256"/>
                    <pic:cNvPicPr>
                      <a:picLocks noChangeAspect="1"/>
                    </pic:cNvPicPr>
                  </pic:nvPicPr>
                  <pic:blipFill>
                    <a:blip r:embed="rId30" cstate="print"/>
                    <a:stretch>
                      <a:fillRect/>
                    </a:stretch>
                  </pic:blipFill>
                  <pic:spPr>
                    <a:xfrm>
                      <a:off x="0" y="0"/>
                      <a:ext cx="4067810" cy="141224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10</w:t>
      </w:r>
      <w:r>
        <w:rPr>
          <w:color w:val="auto"/>
        </w:rPr>
        <w:fldChar w:fldCharType="end"/>
      </w:r>
      <w:r>
        <w:rPr>
          <w:color w:val="auto"/>
        </w:rPr>
        <w:t xml:space="preserve"> 预处理-生物接触氧化池组合模式流程图</w:t>
      </w:r>
    </w:p>
    <w:p>
      <w:pPr>
        <w:ind w:firstLine="480"/>
        <w:rPr>
          <w:rFonts w:cs="Times New Roman"/>
          <w:color w:val="auto"/>
          <w:lang w:val="de-DE"/>
        </w:rPr>
      </w:pPr>
      <w:r>
        <w:rPr>
          <w:rFonts w:cs="Times New Roman"/>
          <w:color w:val="auto"/>
          <w:lang w:val="de-DE"/>
        </w:rPr>
        <w:t>该组合模式适用于处理规模在200</w:t>
      </w:r>
      <w:r>
        <w:rPr>
          <w:rFonts w:cs="Times New Roman"/>
          <w:color w:val="auto"/>
        </w:rPr>
        <w:t>m</w:t>
      </w:r>
      <w:r>
        <w:rPr>
          <w:rFonts w:cs="Times New Roman"/>
          <w:color w:val="auto"/>
          <w:vertAlign w:val="superscript"/>
        </w:rPr>
        <w:t>3</w:t>
      </w:r>
      <w:r>
        <w:rPr>
          <w:rFonts w:cs="Times New Roman"/>
          <w:color w:val="auto"/>
        </w:rPr>
        <w:t>/d</w:t>
      </w:r>
      <w:r>
        <w:rPr>
          <w:rFonts w:cs="Times New Roman"/>
          <w:color w:val="auto"/>
          <w:lang w:val="de-DE"/>
        </w:rPr>
        <w:t xml:space="preserve">以下的污水处理，预处理一般为格栅和沉淀池，保证接触氧化池进水SS浓度不高于100 </w:t>
      </w:r>
      <w:r>
        <w:rPr>
          <w:rFonts w:cs="Times New Roman"/>
          <w:color w:val="auto"/>
        </w:rPr>
        <w:t>mg/L</w:t>
      </w:r>
      <w:r>
        <w:rPr>
          <w:rFonts w:cs="Times New Roman"/>
          <w:color w:val="auto"/>
          <w:lang w:val="de-DE"/>
        </w:rPr>
        <w:t>，以免造成系统堵塞；当有餐饮业废水进入时，可增设隔油池；接触氧化池好氧区的DO浓度宜控制在2.0~3.5</w:t>
      </w:r>
      <w:r>
        <w:rPr>
          <w:rFonts w:cs="Times New Roman"/>
          <w:color w:val="auto"/>
        </w:rPr>
        <w:t>mg/L</w:t>
      </w:r>
      <w:r>
        <w:rPr>
          <w:rFonts w:cs="Times New Roman"/>
          <w:color w:val="auto"/>
          <w:lang w:val="de-DE"/>
        </w:rPr>
        <w:t>，可采用鼓风曝气或在丘陵、山地等地区，利用地形高差，采用跌水曝气。</w:t>
      </w:r>
    </w:p>
    <w:p>
      <w:pPr>
        <w:pStyle w:val="376"/>
        <w:rPr>
          <w:lang w:val="de-DE"/>
        </w:rPr>
      </w:pPr>
      <w:r>
        <w:rPr>
          <w:lang w:val="de-DE"/>
        </w:rPr>
        <w:t>②预处理-生物滤池组合模式</w:t>
      </w:r>
    </w:p>
    <w:p>
      <w:pPr>
        <w:pStyle w:val="366"/>
        <w:rPr>
          <w:rFonts w:eastAsia="仿宋_GB2312"/>
        </w:rPr>
      </w:pPr>
      <w:r>
        <w:rPr>
          <w:rFonts w:eastAsia="仿宋_GB2312"/>
        </w:rPr>
        <w:drawing>
          <wp:inline distT="0" distB="0" distL="114300" distR="114300">
            <wp:extent cx="4496435" cy="1584325"/>
            <wp:effectExtent l="0" t="0" r="18415" b="15875"/>
            <wp:docPr id="6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descr="IMG_256"/>
                    <pic:cNvPicPr>
                      <a:picLocks noChangeAspect="1"/>
                    </pic:cNvPicPr>
                  </pic:nvPicPr>
                  <pic:blipFill>
                    <a:blip r:embed="rId31" cstate="print"/>
                    <a:stretch>
                      <a:fillRect/>
                    </a:stretch>
                  </pic:blipFill>
                  <pic:spPr>
                    <a:xfrm>
                      <a:off x="0" y="0"/>
                      <a:ext cx="4496435" cy="1584325"/>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11</w:t>
      </w:r>
      <w:r>
        <w:rPr>
          <w:color w:val="auto"/>
        </w:rPr>
        <w:fldChar w:fldCharType="end"/>
      </w:r>
      <w:r>
        <w:rPr>
          <w:color w:val="auto"/>
        </w:rPr>
        <w:t xml:space="preserve"> 预处理-生物滤池组合模式流程图</w:t>
      </w:r>
    </w:p>
    <w:p>
      <w:pPr>
        <w:ind w:firstLine="480"/>
        <w:rPr>
          <w:rFonts w:cs="Times New Roman"/>
          <w:color w:val="auto"/>
          <w:lang w:val="de-DE"/>
        </w:rPr>
      </w:pPr>
      <w:r>
        <w:rPr>
          <w:rFonts w:cs="Times New Roman"/>
          <w:color w:val="auto"/>
          <w:lang w:val="de-DE"/>
        </w:rPr>
        <w:t>该组合模式的预处理设施一般为格栅和沉淀池，尽可能降低进水中SS浓度，避免造成系统堵塞。BOD</w:t>
      </w:r>
      <w:r>
        <w:rPr>
          <w:rFonts w:cs="Times New Roman"/>
          <w:color w:val="auto"/>
          <w:vertAlign w:val="subscript"/>
          <w:lang w:val="de-DE"/>
        </w:rPr>
        <w:t>5</w:t>
      </w:r>
      <w:r>
        <w:rPr>
          <w:rFonts w:cs="Times New Roman"/>
          <w:color w:val="auto"/>
          <w:lang w:val="de-DE"/>
        </w:rPr>
        <w:t>浓度低于200</w:t>
      </w:r>
      <w:r>
        <w:rPr>
          <w:rFonts w:cs="Times New Roman"/>
          <w:color w:val="auto"/>
        </w:rPr>
        <w:t>mg/L</w:t>
      </w:r>
      <w:r>
        <w:rPr>
          <w:rFonts w:cs="Times New Roman"/>
          <w:color w:val="auto"/>
          <w:lang w:val="de-DE"/>
        </w:rPr>
        <w:t>可选择低负荷生物滤池，低于500</w:t>
      </w:r>
      <w:r>
        <w:rPr>
          <w:rFonts w:cs="Times New Roman"/>
          <w:color w:val="auto"/>
        </w:rPr>
        <w:t>mg/L</w:t>
      </w:r>
      <w:r>
        <w:rPr>
          <w:rFonts w:cs="Times New Roman"/>
          <w:color w:val="auto"/>
          <w:lang w:val="de-DE"/>
        </w:rPr>
        <w:t>可选择高负荷生物滤池或塔式生物滤池；选择曝气生物滤池时，要确保进水SS浓度低于60</w:t>
      </w:r>
      <w:r>
        <w:rPr>
          <w:rFonts w:cs="Times New Roman"/>
          <w:color w:val="auto"/>
        </w:rPr>
        <w:t>mg/L</w:t>
      </w:r>
      <w:r>
        <w:rPr>
          <w:rFonts w:cs="Times New Roman"/>
          <w:color w:val="auto"/>
          <w:lang w:val="de-DE"/>
        </w:rPr>
        <w:t>。</w:t>
      </w:r>
    </w:p>
    <w:p>
      <w:pPr>
        <w:pStyle w:val="116"/>
        <w:rPr>
          <w:color w:val="auto"/>
        </w:rPr>
      </w:pPr>
      <w:bookmarkStart w:id="198" w:name="_Toc30585_WPSOffice_Level2"/>
      <w:bookmarkStart w:id="199" w:name="_Toc17808582"/>
      <w:bookmarkStart w:id="200" w:name="_Toc33085589"/>
      <w:bookmarkStart w:id="201" w:name="_Toc14989551"/>
      <w:r>
        <w:rPr>
          <w:color w:val="auto"/>
        </w:rPr>
        <w:t>强化模式</w:t>
      </w:r>
      <w:bookmarkEnd w:id="198"/>
      <w:bookmarkEnd w:id="199"/>
      <w:bookmarkEnd w:id="200"/>
      <w:bookmarkEnd w:id="201"/>
    </w:p>
    <w:p>
      <w:pPr>
        <w:ind w:firstLine="480"/>
        <w:rPr>
          <w:rFonts w:cs="Times New Roman"/>
          <w:color w:val="auto"/>
          <w:lang w:val="de-DE"/>
        </w:rPr>
      </w:pPr>
      <w:bookmarkStart w:id="202" w:name="_Toc14989552"/>
      <w:bookmarkStart w:id="203" w:name="_Toc20064_WPSOffice_Level3"/>
      <w:r>
        <w:rPr>
          <w:rFonts w:cs="Times New Roman"/>
          <w:color w:val="auto"/>
          <w:lang w:val="de-DE"/>
        </w:rPr>
        <w:t>该模式主要适用于水环境保护要求高的农村地区，如饮用水水源地、重要湖库集水区等执行相对严格标准的区域。该模式主要包括以下组合模式：（1）预处理-A</w:t>
      </w:r>
      <w:r>
        <w:rPr>
          <w:rFonts w:cs="Times New Roman"/>
          <w:color w:val="auto"/>
          <w:vertAlign w:val="superscript"/>
          <w:lang w:val="de-DE"/>
        </w:rPr>
        <w:t>2</w:t>
      </w:r>
      <w:r>
        <w:rPr>
          <w:rFonts w:cs="Times New Roman"/>
          <w:color w:val="auto"/>
          <w:lang w:val="de-DE"/>
        </w:rPr>
        <w:t>/O组合模式；（2）预处理-生物接触氧化池-人工湿地/土地渗滤组合模式。</w:t>
      </w:r>
    </w:p>
    <w:p>
      <w:pPr>
        <w:ind w:firstLine="480"/>
        <w:rPr>
          <w:rFonts w:cs="Times New Roman"/>
          <w:color w:val="auto"/>
          <w:lang w:val="de-DE"/>
        </w:rPr>
      </w:pPr>
      <w:r>
        <w:rPr>
          <w:rFonts w:cs="Times New Roman"/>
          <w:color w:val="auto"/>
          <w:lang w:val="de-DE"/>
        </w:rPr>
        <w:t>该模式出水水质可满足一级A排放标准的要求。</w:t>
      </w:r>
    </w:p>
    <w:p>
      <w:pPr>
        <w:pStyle w:val="376"/>
      </w:pPr>
      <w:r>
        <w:t>1、预处理-A</w:t>
      </w:r>
      <w:r>
        <w:rPr>
          <w:vertAlign w:val="superscript"/>
        </w:rPr>
        <w:t>2</w:t>
      </w:r>
      <w:r>
        <w:t>/O组合模式</w:t>
      </w:r>
      <w:bookmarkEnd w:id="202"/>
      <w:bookmarkEnd w:id="203"/>
    </w:p>
    <w:p>
      <w:pPr>
        <w:ind w:firstLine="480"/>
        <w:rPr>
          <w:rFonts w:cs="Times New Roman"/>
          <w:color w:val="auto"/>
          <w:lang w:val="de-DE"/>
        </w:rPr>
      </w:pPr>
      <w:r>
        <w:rPr>
          <w:rFonts w:cs="Times New Roman"/>
          <w:color w:val="auto"/>
          <w:lang w:val="de-DE"/>
        </w:rPr>
        <w:t>该组合模式适用于环境要求高，且用地紧张的地区。</w:t>
      </w:r>
    </w:p>
    <w:p>
      <w:pPr>
        <w:pStyle w:val="366"/>
        <w:rPr>
          <w:rFonts w:eastAsia="仿宋_GB2312"/>
        </w:rPr>
      </w:pPr>
      <w:bookmarkStart w:id="204" w:name="_Toc14989553"/>
      <w:bookmarkStart w:id="205" w:name="_Toc10300_WPSOffice_Level3"/>
      <w:r>
        <w:rPr>
          <w:rFonts w:eastAsia="仿宋_GB2312"/>
          <w:kern w:val="0"/>
        </w:rPr>
        <w:drawing>
          <wp:inline distT="0" distB="0" distL="114300" distR="114300">
            <wp:extent cx="5210810" cy="2246630"/>
            <wp:effectExtent l="0" t="0" r="8890" b="1270"/>
            <wp:docPr id="6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IMG_256"/>
                    <pic:cNvPicPr>
                      <a:picLocks noChangeAspect="1"/>
                    </pic:cNvPicPr>
                  </pic:nvPicPr>
                  <pic:blipFill>
                    <a:blip r:embed="rId32" cstate="print"/>
                    <a:stretch>
                      <a:fillRect/>
                    </a:stretch>
                  </pic:blipFill>
                  <pic:spPr>
                    <a:xfrm>
                      <a:off x="0" y="0"/>
                      <a:ext cx="5210810" cy="224663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12</w:t>
      </w:r>
      <w:r>
        <w:rPr>
          <w:color w:val="auto"/>
        </w:rPr>
        <w:fldChar w:fldCharType="end"/>
      </w:r>
      <w:r>
        <w:rPr>
          <w:color w:val="auto"/>
        </w:rPr>
        <w:t xml:space="preserve"> 预处理+A</w:t>
      </w:r>
      <w:r>
        <w:rPr>
          <w:color w:val="auto"/>
          <w:vertAlign w:val="superscript"/>
        </w:rPr>
        <w:t>2</w:t>
      </w:r>
      <w:r>
        <w:rPr>
          <w:color w:val="auto"/>
        </w:rPr>
        <w:t>/O组合工艺</w:t>
      </w:r>
    </w:p>
    <w:p>
      <w:pPr>
        <w:ind w:firstLine="480"/>
        <w:rPr>
          <w:rFonts w:cs="Times New Roman"/>
          <w:color w:val="auto"/>
          <w:lang w:val="de-DE"/>
        </w:rPr>
      </w:pPr>
      <w:r>
        <w:rPr>
          <w:rFonts w:cs="Times New Roman"/>
          <w:color w:val="auto"/>
          <w:lang w:val="de-DE"/>
        </w:rPr>
        <w:t>预处理设施包括格栅和沉淀池，根据实际运行情况确定污泥回流比（一般为40~100%）和混合液回流比（一般为100~400%）；好氧区曝气宜根据污水处理设施规模确定，大中型污水处理设施宜选择鼓风式中、微孔水下曝气系统，小型污水处理设施可根据实际情况选择。</w:t>
      </w:r>
    </w:p>
    <w:p>
      <w:pPr>
        <w:ind w:firstLine="480"/>
        <w:rPr>
          <w:rFonts w:cs="Times New Roman"/>
          <w:color w:val="auto"/>
        </w:rPr>
      </w:pPr>
      <w:r>
        <w:rPr>
          <w:rFonts w:cs="Times New Roman"/>
          <w:color w:val="auto"/>
        </w:rPr>
        <w:t>当处理效果还无法满足出水要求时，在A</w:t>
      </w:r>
      <w:r>
        <w:rPr>
          <w:rFonts w:cs="Times New Roman"/>
          <w:color w:val="auto"/>
          <w:vertAlign w:val="superscript"/>
        </w:rPr>
        <w:t>2</w:t>
      </w:r>
      <w:r>
        <w:rPr>
          <w:rFonts w:cs="Times New Roman"/>
          <w:color w:val="auto"/>
        </w:rPr>
        <w:t>/O后增加MBR池或人工湿地或土壤渗滤，加强各污染物的处理效果。</w:t>
      </w:r>
    </w:p>
    <w:p>
      <w:pPr>
        <w:pStyle w:val="366"/>
        <w:rPr>
          <w:rFonts w:eastAsia="仿宋_GB2312"/>
        </w:rPr>
      </w:pPr>
      <w:r>
        <w:rPr>
          <w:rFonts w:eastAsia="仿宋_GB2312"/>
          <w:kern w:val="0"/>
        </w:rPr>
        <w:drawing>
          <wp:inline distT="0" distB="0" distL="114300" distR="114300">
            <wp:extent cx="5354320" cy="1233170"/>
            <wp:effectExtent l="0" t="0" r="17780" b="5080"/>
            <wp:docPr id="6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descr="IMG_256"/>
                    <pic:cNvPicPr>
                      <a:picLocks noChangeAspect="1"/>
                    </pic:cNvPicPr>
                  </pic:nvPicPr>
                  <pic:blipFill>
                    <a:blip r:embed="rId33" cstate="print"/>
                    <a:stretch>
                      <a:fillRect/>
                    </a:stretch>
                  </pic:blipFill>
                  <pic:spPr>
                    <a:xfrm>
                      <a:off x="0" y="0"/>
                      <a:ext cx="5354320" cy="123317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13</w:t>
      </w:r>
      <w:r>
        <w:rPr>
          <w:color w:val="auto"/>
        </w:rPr>
        <w:fldChar w:fldCharType="end"/>
      </w:r>
      <w:r>
        <w:rPr>
          <w:color w:val="auto"/>
        </w:rPr>
        <w:t xml:space="preserve"> A</w:t>
      </w:r>
      <w:r>
        <w:rPr>
          <w:color w:val="auto"/>
          <w:vertAlign w:val="superscript"/>
        </w:rPr>
        <w:t>2</w:t>
      </w:r>
      <w:r>
        <w:rPr>
          <w:color w:val="auto"/>
        </w:rPr>
        <w:t>/O+MBR组合工艺</w:t>
      </w:r>
    </w:p>
    <w:p>
      <w:pPr>
        <w:pStyle w:val="366"/>
        <w:rPr>
          <w:rFonts w:eastAsia="仿宋_GB2312"/>
        </w:rPr>
      </w:pPr>
      <w:r>
        <w:rPr>
          <w:rFonts w:eastAsia="仿宋_GB2312"/>
          <w:kern w:val="0"/>
        </w:rPr>
        <w:drawing>
          <wp:inline distT="0" distB="0" distL="114300" distR="114300">
            <wp:extent cx="5528310" cy="1102360"/>
            <wp:effectExtent l="0" t="0" r="15240" b="2540"/>
            <wp:docPr id="6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descr="IMG_256"/>
                    <pic:cNvPicPr>
                      <a:picLocks noChangeAspect="1"/>
                    </pic:cNvPicPr>
                  </pic:nvPicPr>
                  <pic:blipFill>
                    <a:blip r:embed="rId34" cstate="print"/>
                    <a:stretch>
                      <a:fillRect/>
                    </a:stretch>
                  </pic:blipFill>
                  <pic:spPr>
                    <a:xfrm>
                      <a:off x="0" y="0"/>
                      <a:ext cx="5528310" cy="110236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14</w:t>
      </w:r>
      <w:r>
        <w:rPr>
          <w:color w:val="auto"/>
        </w:rPr>
        <w:fldChar w:fldCharType="end"/>
      </w:r>
      <w:r>
        <w:rPr>
          <w:color w:val="auto"/>
        </w:rPr>
        <w:t xml:space="preserve"> A</w:t>
      </w:r>
      <w:r>
        <w:rPr>
          <w:color w:val="auto"/>
          <w:vertAlign w:val="superscript"/>
        </w:rPr>
        <w:t>2</w:t>
      </w:r>
      <w:r>
        <w:rPr>
          <w:color w:val="auto"/>
        </w:rPr>
        <w:t>/O+人工湿地组合工艺</w:t>
      </w:r>
    </w:p>
    <w:p>
      <w:pPr>
        <w:pStyle w:val="366"/>
        <w:rPr>
          <w:rFonts w:eastAsia="仿宋_GB2312"/>
        </w:rPr>
      </w:pPr>
      <w:r>
        <w:rPr>
          <w:rFonts w:eastAsia="仿宋_GB2312"/>
          <w:kern w:val="0"/>
        </w:rPr>
        <w:drawing>
          <wp:inline distT="0" distB="0" distL="114300" distR="114300">
            <wp:extent cx="5554980" cy="1184910"/>
            <wp:effectExtent l="0" t="0" r="7620" b="15240"/>
            <wp:docPr id="6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IMG_256"/>
                    <pic:cNvPicPr>
                      <a:picLocks noChangeAspect="1"/>
                    </pic:cNvPicPr>
                  </pic:nvPicPr>
                  <pic:blipFill>
                    <a:blip r:embed="rId35" cstate="print"/>
                    <a:stretch>
                      <a:fillRect/>
                    </a:stretch>
                  </pic:blipFill>
                  <pic:spPr>
                    <a:xfrm>
                      <a:off x="0" y="0"/>
                      <a:ext cx="5554980" cy="1184910"/>
                    </a:xfrm>
                    <a:prstGeom prst="rect">
                      <a:avLst/>
                    </a:prstGeom>
                    <a:noFill/>
                    <a:ln w="9525">
                      <a:noFill/>
                    </a:ln>
                  </pic:spPr>
                </pic:pic>
              </a:graphicData>
            </a:graphic>
          </wp:inline>
        </w:drawing>
      </w:r>
    </w:p>
    <w:p>
      <w:pPr>
        <w:pStyle w:val="112"/>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15</w:t>
      </w:r>
      <w:r>
        <w:rPr>
          <w:color w:val="auto"/>
        </w:rPr>
        <w:fldChar w:fldCharType="end"/>
      </w:r>
      <w:r>
        <w:rPr>
          <w:color w:val="auto"/>
        </w:rPr>
        <w:t xml:space="preserve"> A</w:t>
      </w:r>
      <w:r>
        <w:rPr>
          <w:color w:val="auto"/>
          <w:vertAlign w:val="superscript"/>
        </w:rPr>
        <w:t>2</w:t>
      </w:r>
      <w:r>
        <w:rPr>
          <w:color w:val="auto"/>
        </w:rPr>
        <w:t>/O+土地渗滤组合工艺</w:t>
      </w:r>
    </w:p>
    <w:p>
      <w:pPr>
        <w:pStyle w:val="376"/>
      </w:pPr>
      <w:r>
        <w:t>2、预处理-生物接触氧化池-人工湿地</w:t>
      </w:r>
      <w:bookmarkEnd w:id="204"/>
      <w:bookmarkEnd w:id="205"/>
      <w:r>
        <w:t>/土地渗滤组合模式</w:t>
      </w:r>
    </w:p>
    <w:p>
      <w:pPr>
        <w:ind w:firstLine="480"/>
        <w:rPr>
          <w:rFonts w:cs="Times New Roman"/>
          <w:color w:val="auto"/>
          <w:lang w:val="de-DE"/>
        </w:rPr>
      </w:pPr>
      <w:r>
        <w:rPr>
          <w:rFonts w:cs="Times New Roman"/>
          <w:color w:val="auto"/>
          <w:lang w:val="de-DE"/>
        </w:rPr>
        <w:t>该组合模式适用于环境要求高，且有可利用土地的地区。</w:t>
      </w:r>
    </w:p>
    <w:p>
      <w:pPr>
        <w:pStyle w:val="366"/>
        <w:rPr>
          <w:rFonts w:eastAsia="仿宋_GB2312"/>
        </w:rPr>
      </w:pPr>
      <w:r>
        <w:rPr>
          <w:rFonts w:eastAsia="仿宋_GB2312"/>
          <w:kern w:val="0"/>
        </w:rPr>
        <w:drawing>
          <wp:inline distT="0" distB="0" distL="114300" distR="114300">
            <wp:extent cx="5363210" cy="1155065"/>
            <wp:effectExtent l="0" t="0" r="8890" b="6985"/>
            <wp:docPr id="6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descr="IMG_256"/>
                    <pic:cNvPicPr>
                      <a:picLocks noChangeAspect="1"/>
                    </pic:cNvPicPr>
                  </pic:nvPicPr>
                  <pic:blipFill>
                    <a:blip r:embed="rId36" cstate="print"/>
                    <a:stretch>
                      <a:fillRect/>
                    </a:stretch>
                  </pic:blipFill>
                  <pic:spPr>
                    <a:xfrm>
                      <a:off x="0" y="0"/>
                      <a:ext cx="5363210" cy="1155065"/>
                    </a:xfrm>
                    <a:prstGeom prst="rect">
                      <a:avLst/>
                    </a:prstGeom>
                    <a:noFill/>
                    <a:ln w="9525">
                      <a:noFill/>
                    </a:ln>
                  </pic:spPr>
                </pic:pic>
              </a:graphicData>
            </a:graphic>
          </wp:inline>
        </w:drawing>
      </w:r>
    </w:p>
    <w:p>
      <w:pPr>
        <w:ind w:firstLine="480"/>
        <w:rPr>
          <w:rFonts w:cs="Times New Roman"/>
          <w:color w:val="auto"/>
          <w:kern w:val="0"/>
        </w:rPr>
      </w:pPr>
    </w:p>
    <w:p>
      <w:pPr>
        <w:pStyle w:val="366"/>
        <w:rPr>
          <w:rFonts w:eastAsia="仿宋_GB2312"/>
        </w:rPr>
      </w:pPr>
      <w:r>
        <w:rPr>
          <w:rFonts w:eastAsia="仿宋_GB2312"/>
        </w:rPr>
        <w:t xml:space="preserve">图 </w:t>
      </w:r>
      <w:r>
        <w:rPr>
          <w:rFonts w:eastAsia="仿宋_GB2312"/>
        </w:rPr>
        <w:fldChar w:fldCharType="begin"/>
      </w:r>
      <w:r>
        <w:rPr>
          <w:rFonts w:eastAsia="仿宋_GB2312"/>
        </w:rPr>
        <w:instrText xml:space="preserve"> STYLEREF 2 \s </w:instrText>
      </w:r>
      <w:r>
        <w:rPr>
          <w:rFonts w:eastAsia="仿宋_GB2312"/>
        </w:rPr>
        <w:fldChar w:fldCharType="separate"/>
      </w:r>
      <w:r>
        <w:rPr>
          <w:rFonts w:eastAsia="仿宋_GB2312"/>
        </w:rPr>
        <w:t>5.11</w:t>
      </w:r>
      <w:r>
        <w:rPr>
          <w:rFonts w:eastAsia="仿宋_GB2312"/>
        </w:rPr>
        <w:fldChar w:fldCharType="end"/>
      </w:r>
      <w:r>
        <w:rPr>
          <w:rFonts w:eastAsia="仿宋_GB2312"/>
        </w:rPr>
        <w:noBreakHyphen/>
      </w:r>
      <w:r>
        <w:rPr>
          <w:rFonts w:eastAsia="仿宋_GB2312"/>
        </w:rPr>
        <w:fldChar w:fldCharType="begin"/>
      </w:r>
      <w:r>
        <w:rPr>
          <w:rFonts w:eastAsia="仿宋_GB2312"/>
        </w:rPr>
        <w:instrText xml:space="preserve"> SEQ 图 \* ARABIC \s 2 </w:instrText>
      </w:r>
      <w:r>
        <w:rPr>
          <w:rFonts w:eastAsia="仿宋_GB2312"/>
        </w:rPr>
        <w:fldChar w:fldCharType="separate"/>
      </w:r>
      <w:r>
        <w:rPr>
          <w:rFonts w:eastAsia="仿宋_GB2312"/>
        </w:rPr>
        <w:t>16</w:t>
      </w:r>
      <w:r>
        <w:rPr>
          <w:rFonts w:eastAsia="仿宋_GB2312"/>
        </w:rPr>
        <w:fldChar w:fldCharType="end"/>
      </w:r>
      <w:r>
        <w:rPr>
          <w:rFonts w:eastAsia="仿宋_GB2312"/>
        </w:rPr>
        <w:t xml:space="preserve"> 生物接触氧化+人工湿地组合工艺</w:t>
      </w:r>
    </w:p>
    <w:p>
      <w:pPr>
        <w:pStyle w:val="366"/>
        <w:rPr>
          <w:rFonts w:eastAsia="仿宋_GB2312"/>
        </w:rPr>
      </w:pPr>
      <w:r>
        <w:rPr>
          <w:rFonts w:eastAsia="仿宋_GB2312"/>
          <w:kern w:val="0"/>
        </w:rPr>
        <w:drawing>
          <wp:inline distT="0" distB="0" distL="114300" distR="114300">
            <wp:extent cx="5487035" cy="1464310"/>
            <wp:effectExtent l="0" t="0" r="18415" b="2540"/>
            <wp:docPr id="7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descr="IMG_256"/>
                    <pic:cNvPicPr>
                      <a:picLocks noChangeAspect="1"/>
                    </pic:cNvPicPr>
                  </pic:nvPicPr>
                  <pic:blipFill>
                    <a:blip r:embed="rId37" cstate="print"/>
                    <a:stretch>
                      <a:fillRect/>
                    </a:stretch>
                  </pic:blipFill>
                  <pic:spPr>
                    <a:xfrm>
                      <a:off x="0" y="0"/>
                      <a:ext cx="5487035" cy="1464310"/>
                    </a:xfrm>
                    <a:prstGeom prst="rect">
                      <a:avLst/>
                    </a:prstGeom>
                    <a:noFill/>
                    <a:ln w="9525">
                      <a:noFill/>
                    </a:ln>
                  </pic:spPr>
                </pic:pic>
              </a:graphicData>
            </a:graphic>
          </wp:inline>
        </w:drawing>
      </w:r>
    </w:p>
    <w:p>
      <w:pPr>
        <w:pStyle w:val="112"/>
        <w:rPr>
          <w:color w:val="auto"/>
          <w:lang w:val="de-DE"/>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17</w:t>
      </w:r>
      <w:r>
        <w:rPr>
          <w:color w:val="auto"/>
        </w:rPr>
        <w:fldChar w:fldCharType="end"/>
      </w:r>
      <w:r>
        <w:rPr>
          <w:color w:val="auto"/>
        </w:rPr>
        <w:t xml:space="preserve"> </w:t>
      </w:r>
      <w:r>
        <w:rPr>
          <w:color w:val="auto"/>
          <w:lang w:val="de-DE"/>
        </w:rPr>
        <w:t>生物接触氧化+土壤渗滤组合工艺</w:t>
      </w:r>
    </w:p>
    <w:p>
      <w:pPr>
        <w:ind w:firstLine="480"/>
        <w:rPr>
          <w:rFonts w:cs="Times New Roman"/>
          <w:color w:val="auto"/>
        </w:rPr>
      </w:pPr>
      <w:r>
        <w:rPr>
          <w:rFonts w:cs="Times New Roman"/>
          <w:color w:val="auto"/>
        </w:rPr>
        <w:t>该组合模式预处理设施为格栅和初沉池，保证接触氧化池进水SS浓度不高于100mg/L，以免造成系统堵塞；当有餐饮业废水进入时，可增设隔油池；接触氧化池好氧区的DO浓度宜控制在2.0~3.5 mg/L，可采用鼓风曝气或在丘陵、山地等地区，可利用地形高差，采用跌水曝气；人工湿地作为深度处理设施，可以选择表面流或潜流人工湿地。</w:t>
      </w:r>
    </w:p>
    <w:p>
      <w:pPr>
        <w:pStyle w:val="5"/>
      </w:pPr>
      <w:bookmarkStart w:id="206" w:name="_Toc48640747"/>
      <w:bookmarkStart w:id="207" w:name="_Toc36126940"/>
      <w:r>
        <w:t>污水处理工艺确定</w:t>
      </w:r>
      <w:bookmarkEnd w:id="206"/>
      <w:bookmarkEnd w:id="207"/>
    </w:p>
    <w:p>
      <w:pPr>
        <w:ind w:firstLine="480"/>
        <w:rPr>
          <w:rFonts w:cs="Times New Roman"/>
          <w:color w:val="auto"/>
          <w:lang w:val="de-DE"/>
        </w:rPr>
      </w:pPr>
      <w:r>
        <w:rPr>
          <w:rFonts w:cs="Times New Roman"/>
          <w:color w:val="auto"/>
        </w:rPr>
        <w:t>根据村庄类型和《农村生活污水处理设施水污染物排放标准》（DB53/T 953-2019）和《云南省农村生活污水治理模式及技术指南》，项目区村庄类型为集中型村，出水直接进入Ⅲ类功能水域，收集模式拟采用雨污分流，排放标准执行一级B标准，宜采用常规模式。包括</w:t>
      </w:r>
      <w:r>
        <w:rPr>
          <w:rFonts w:cs="Times New Roman"/>
          <w:color w:val="auto"/>
          <w:lang w:val="de-DE"/>
        </w:rPr>
        <w:t>以下组合模式：（1）预处理-厌氧池-人工湿地/稳定塘/土壤渗滤等；（2）预处理-生物稳定塘/强化人工快渗-人工湿地；（3）预处理-生物接触氧化池/生物滤池等。</w:t>
      </w:r>
    </w:p>
    <w:p>
      <w:pPr>
        <w:pStyle w:val="112"/>
        <w:rPr>
          <w:color w:val="auto"/>
          <w:lang w:val="de-DE"/>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5.11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color w:val="auto"/>
          <w:lang w:val="de-DE"/>
        </w:rPr>
        <w:t>常规污水处理工艺比选</w:t>
      </w:r>
    </w:p>
    <w:tbl>
      <w:tblPr>
        <w:tblStyle w:val="89"/>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410"/>
        <w:gridCol w:w="231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242" w:type="dxa"/>
            <w:vAlign w:val="center"/>
          </w:tcPr>
          <w:p>
            <w:pPr>
              <w:pStyle w:val="114"/>
              <w:spacing w:line="240" w:lineRule="auto"/>
              <w:rPr>
                <w:b/>
                <w:kern w:val="0"/>
              </w:rPr>
            </w:pPr>
            <w:r>
              <w:rPr>
                <w:b/>
                <w:kern w:val="0"/>
              </w:rPr>
              <w:t>项目</w:t>
            </w:r>
          </w:p>
        </w:tc>
        <w:tc>
          <w:tcPr>
            <w:tcW w:w="2410" w:type="dxa"/>
            <w:vAlign w:val="center"/>
          </w:tcPr>
          <w:p>
            <w:pPr>
              <w:pStyle w:val="114"/>
              <w:spacing w:line="240" w:lineRule="auto"/>
              <w:rPr>
                <w:b/>
                <w:kern w:val="0"/>
              </w:rPr>
            </w:pPr>
            <w:r>
              <w:rPr>
                <w:b/>
                <w:kern w:val="0"/>
                <w:lang w:val="de-DE"/>
              </w:rPr>
              <w:t>预处理-厌氧池-人工湿地/稳定塘/土壤渗滤等</w:t>
            </w:r>
          </w:p>
        </w:tc>
        <w:tc>
          <w:tcPr>
            <w:tcW w:w="2310" w:type="dxa"/>
            <w:vAlign w:val="center"/>
          </w:tcPr>
          <w:p>
            <w:pPr>
              <w:pStyle w:val="114"/>
              <w:spacing w:line="240" w:lineRule="auto"/>
              <w:rPr>
                <w:b/>
                <w:kern w:val="0"/>
              </w:rPr>
            </w:pPr>
            <w:r>
              <w:rPr>
                <w:b/>
                <w:kern w:val="0"/>
                <w:lang w:val="de-DE"/>
              </w:rPr>
              <w:t>预处理-生物稳定塘/强化人工快渗-人工湿地</w:t>
            </w:r>
          </w:p>
        </w:tc>
        <w:tc>
          <w:tcPr>
            <w:tcW w:w="2835" w:type="dxa"/>
            <w:vAlign w:val="center"/>
          </w:tcPr>
          <w:p>
            <w:pPr>
              <w:pStyle w:val="114"/>
              <w:spacing w:line="240" w:lineRule="auto"/>
              <w:jc w:val="left"/>
              <w:rPr>
                <w:b/>
                <w:kern w:val="0"/>
              </w:rPr>
            </w:pPr>
            <w:r>
              <w:rPr>
                <w:b/>
                <w:kern w:val="0"/>
                <w:lang w:val="de-DE"/>
              </w:rPr>
              <w:t>预处理-生物接触氧化池/生物滤池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曝气设备</w:t>
            </w:r>
          </w:p>
        </w:tc>
        <w:tc>
          <w:tcPr>
            <w:tcW w:w="2410" w:type="dxa"/>
            <w:vAlign w:val="center"/>
          </w:tcPr>
          <w:p>
            <w:pPr>
              <w:pStyle w:val="114"/>
              <w:spacing w:line="240" w:lineRule="auto"/>
              <w:jc w:val="left"/>
              <w:rPr>
                <w:kern w:val="0"/>
              </w:rPr>
            </w:pPr>
            <w:r>
              <w:rPr>
                <w:kern w:val="0"/>
              </w:rPr>
              <w:t>无</w:t>
            </w:r>
          </w:p>
        </w:tc>
        <w:tc>
          <w:tcPr>
            <w:tcW w:w="2310" w:type="dxa"/>
            <w:vAlign w:val="center"/>
          </w:tcPr>
          <w:p>
            <w:pPr>
              <w:pStyle w:val="114"/>
              <w:spacing w:line="240" w:lineRule="auto"/>
              <w:jc w:val="left"/>
              <w:rPr>
                <w:kern w:val="0"/>
              </w:rPr>
            </w:pPr>
            <w:r>
              <w:rPr>
                <w:kern w:val="0"/>
              </w:rPr>
              <w:t>无</w:t>
            </w:r>
          </w:p>
        </w:tc>
        <w:tc>
          <w:tcPr>
            <w:tcW w:w="2835" w:type="dxa"/>
            <w:vAlign w:val="center"/>
          </w:tcPr>
          <w:p>
            <w:pPr>
              <w:pStyle w:val="114"/>
              <w:spacing w:line="240" w:lineRule="auto"/>
              <w:jc w:val="left"/>
              <w:rPr>
                <w:kern w:val="0"/>
              </w:rPr>
            </w:pPr>
            <w:r>
              <w:rPr>
                <w:kern w:val="0"/>
              </w:rPr>
              <w:t>接触氧化单元需要,根据运行情况可间歇运行,需气量少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污泥处理</w:t>
            </w:r>
          </w:p>
        </w:tc>
        <w:tc>
          <w:tcPr>
            <w:tcW w:w="2410" w:type="dxa"/>
            <w:vAlign w:val="center"/>
          </w:tcPr>
          <w:p>
            <w:pPr>
              <w:pStyle w:val="114"/>
              <w:spacing w:line="240" w:lineRule="auto"/>
              <w:jc w:val="left"/>
              <w:rPr>
                <w:kern w:val="0"/>
              </w:rPr>
            </w:pPr>
            <w:r>
              <w:rPr>
                <w:kern w:val="0"/>
              </w:rPr>
              <w:t>主要为厌氧池污泥,污泥龄长, 污泥量少,易处理</w:t>
            </w:r>
          </w:p>
        </w:tc>
        <w:tc>
          <w:tcPr>
            <w:tcW w:w="2310" w:type="dxa"/>
            <w:vAlign w:val="center"/>
          </w:tcPr>
          <w:p>
            <w:pPr>
              <w:pStyle w:val="114"/>
              <w:spacing w:line="240" w:lineRule="auto"/>
              <w:jc w:val="left"/>
              <w:rPr>
                <w:kern w:val="0"/>
              </w:rPr>
            </w:pPr>
            <w:r>
              <w:rPr>
                <w:kern w:val="0"/>
              </w:rPr>
              <w:t>主要为稳定塘污泥, 污泥量少,易处理</w:t>
            </w:r>
          </w:p>
        </w:tc>
        <w:tc>
          <w:tcPr>
            <w:tcW w:w="2835" w:type="dxa"/>
            <w:vAlign w:val="center"/>
          </w:tcPr>
          <w:p>
            <w:pPr>
              <w:pStyle w:val="114"/>
              <w:spacing w:line="240" w:lineRule="auto"/>
              <w:jc w:val="left"/>
              <w:rPr>
                <w:kern w:val="0"/>
              </w:rPr>
            </w:pPr>
            <w:r>
              <w:rPr>
                <w:kern w:val="0"/>
              </w:rPr>
              <w:t>主要为接触氧化池污泥,污泥龄长, 污泥量少,易处理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能耗</w:t>
            </w:r>
          </w:p>
        </w:tc>
        <w:tc>
          <w:tcPr>
            <w:tcW w:w="2410" w:type="dxa"/>
            <w:vAlign w:val="center"/>
          </w:tcPr>
          <w:p>
            <w:pPr>
              <w:pStyle w:val="114"/>
              <w:spacing w:line="240" w:lineRule="auto"/>
              <w:jc w:val="left"/>
              <w:rPr>
                <w:kern w:val="0"/>
              </w:rPr>
            </w:pPr>
            <w:r>
              <w:rPr>
                <w:kern w:val="0"/>
              </w:rPr>
              <w:t>可能需要泵站提升，能耗低</w:t>
            </w:r>
          </w:p>
        </w:tc>
        <w:tc>
          <w:tcPr>
            <w:tcW w:w="2310" w:type="dxa"/>
            <w:vAlign w:val="center"/>
          </w:tcPr>
          <w:p>
            <w:pPr>
              <w:pStyle w:val="114"/>
              <w:spacing w:line="240" w:lineRule="auto"/>
              <w:jc w:val="left"/>
              <w:rPr>
                <w:kern w:val="0"/>
              </w:rPr>
            </w:pPr>
            <w:r>
              <w:rPr>
                <w:kern w:val="0"/>
              </w:rPr>
              <w:t>可能需要泵站提升，能耗低</w:t>
            </w:r>
          </w:p>
        </w:tc>
        <w:tc>
          <w:tcPr>
            <w:tcW w:w="2835" w:type="dxa"/>
            <w:vAlign w:val="center"/>
          </w:tcPr>
          <w:p>
            <w:pPr>
              <w:pStyle w:val="114"/>
              <w:spacing w:line="240" w:lineRule="auto"/>
              <w:jc w:val="left"/>
              <w:rPr>
                <w:kern w:val="0"/>
              </w:rPr>
            </w:pPr>
            <w:r>
              <w:rPr>
                <w:kern w:val="0"/>
              </w:rPr>
              <w:t>仅接触氧化池的曝气设备,电耗小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地形要求</w:t>
            </w:r>
          </w:p>
        </w:tc>
        <w:tc>
          <w:tcPr>
            <w:tcW w:w="2410" w:type="dxa"/>
            <w:vAlign w:val="center"/>
          </w:tcPr>
          <w:p>
            <w:pPr>
              <w:pStyle w:val="114"/>
              <w:spacing w:line="240" w:lineRule="auto"/>
              <w:jc w:val="left"/>
              <w:rPr>
                <w:kern w:val="0"/>
              </w:rPr>
            </w:pPr>
            <w:r>
              <w:rPr>
                <w:kern w:val="0"/>
              </w:rPr>
              <w:t>对地形要求高，需要一定水头</w:t>
            </w:r>
          </w:p>
        </w:tc>
        <w:tc>
          <w:tcPr>
            <w:tcW w:w="2310" w:type="dxa"/>
            <w:vAlign w:val="center"/>
          </w:tcPr>
          <w:p>
            <w:pPr>
              <w:pStyle w:val="114"/>
              <w:spacing w:line="240" w:lineRule="auto"/>
              <w:jc w:val="left"/>
              <w:rPr>
                <w:kern w:val="0"/>
              </w:rPr>
            </w:pPr>
            <w:r>
              <w:rPr>
                <w:kern w:val="0"/>
              </w:rPr>
              <w:t>对地形要求高，需要一定水头</w:t>
            </w:r>
          </w:p>
        </w:tc>
        <w:tc>
          <w:tcPr>
            <w:tcW w:w="2835" w:type="dxa"/>
            <w:vAlign w:val="center"/>
          </w:tcPr>
          <w:p>
            <w:pPr>
              <w:pStyle w:val="114"/>
              <w:spacing w:line="240" w:lineRule="auto"/>
              <w:jc w:val="left"/>
              <w:rPr>
                <w:kern w:val="0"/>
              </w:rPr>
            </w:pPr>
            <w:r>
              <w:rPr>
                <w:kern w:val="0"/>
              </w:rPr>
              <w:t>对地形要求低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抗冲击负荷</w:t>
            </w:r>
          </w:p>
        </w:tc>
        <w:tc>
          <w:tcPr>
            <w:tcW w:w="2410" w:type="dxa"/>
            <w:vAlign w:val="center"/>
          </w:tcPr>
          <w:p>
            <w:pPr>
              <w:pStyle w:val="114"/>
              <w:spacing w:line="240" w:lineRule="auto"/>
              <w:jc w:val="left"/>
              <w:rPr>
                <w:kern w:val="0"/>
              </w:rPr>
            </w:pPr>
            <w:r>
              <w:rPr>
                <w:kern w:val="0"/>
              </w:rPr>
              <w:t>抗冲击负荷能力强, 整个湿地系统就是一个调蓄池, ,对水质水量波动适应能力强</w:t>
            </w:r>
          </w:p>
        </w:tc>
        <w:tc>
          <w:tcPr>
            <w:tcW w:w="2310" w:type="dxa"/>
            <w:vAlign w:val="center"/>
          </w:tcPr>
          <w:p>
            <w:pPr>
              <w:pStyle w:val="114"/>
              <w:spacing w:line="240" w:lineRule="auto"/>
              <w:jc w:val="left"/>
              <w:rPr>
                <w:kern w:val="0"/>
              </w:rPr>
            </w:pPr>
            <w:r>
              <w:rPr>
                <w:kern w:val="0"/>
              </w:rPr>
              <w:t>抗冲击负荷能力强, 整个湿地系统就是一个调蓄池, 对水质水量波动适应能力强</w:t>
            </w:r>
          </w:p>
        </w:tc>
        <w:tc>
          <w:tcPr>
            <w:tcW w:w="2835" w:type="dxa"/>
            <w:vAlign w:val="center"/>
          </w:tcPr>
          <w:p>
            <w:pPr>
              <w:pStyle w:val="114"/>
              <w:spacing w:line="240" w:lineRule="auto"/>
              <w:jc w:val="left"/>
              <w:rPr>
                <w:kern w:val="0"/>
              </w:rPr>
            </w:pPr>
            <w:r>
              <w:rPr>
                <w:kern w:val="0"/>
              </w:rPr>
              <w:t>抗冲击负荷能力强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占地</w:t>
            </w:r>
          </w:p>
        </w:tc>
        <w:tc>
          <w:tcPr>
            <w:tcW w:w="2410" w:type="dxa"/>
            <w:vAlign w:val="center"/>
          </w:tcPr>
          <w:p>
            <w:pPr>
              <w:pStyle w:val="114"/>
              <w:spacing w:line="240" w:lineRule="auto"/>
              <w:jc w:val="left"/>
              <w:rPr>
                <w:kern w:val="0"/>
              </w:rPr>
            </w:pPr>
            <w:r>
              <w:rPr>
                <w:kern w:val="0"/>
              </w:rPr>
              <w:t>占地面积较大</w:t>
            </w:r>
          </w:p>
        </w:tc>
        <w:tc>
          <w:tcPr>
            <w:tcW w:w="2310" w:type="dxa"/>
            <w:vAlign w:val="center"/>
          </w:tcPr>
          <w:p>
            <w:pPr>
              <w:pStyle w:val="114"/>
              <w:spacing w:line="240" w:lineRule="auto"/>
              <w:jc w:val="left"/>
              <w:rPr>
                <w:kern w:val="0"/>
              </w:rPr>
            </w:pPr>
            <w:r>
              <w:rPr>
                <w:kern w:val="0"/>
              </w:rPr>
              <w:t>占地面积大</w:t>
            </w:r>
          </w:p>
        </w:tc>
        <w:tc>
          <w:tcPr>
            <w:tcW w:w="2835" w:type="dxa"/>
            <w:vAlign w:val="center"/>
          </w:tcPr>
          <w:p>
            <w:pPr>
              <w:pStyle w:val="114"/>
              <w:spacing w:line="240" w:lineRule="auto"/>
              <w:jc w:val="left"/>
              <w:rPr>
                <w:kern w:val="0"/>
              </w:rPr>
            </w:pPr>
            <w:r>
              <w:rPr>
                <w:kern w:val="0"/>
              </w:rPr>
              <w:t>占地面积较大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除臭</w:t>
            </w:r>
          </w:p>
        </w:tc>
        <w:tc>
          <w:tcPr>
            <w:tcW w:w="2410" w:type="dxa"/>
            <w:vAlign w:val="center"/>
          </w:tcPr>
          <w:p>
            <w:pPr>
              <w:pStyle w:val="114"/>
              <w:spacing w:line="240" w:lineRule="auto"/>
              <w:jc w:val="left"/>
              <w:rPr>
                <w:kern w:val="0"/>
              </w:rPr>
            </w:pPr>
            <w:r>
              <w:rPr>
                <w:kern w:val="0"/>
              </w:rPr>
              <w:t>厌氧池易产生臭味</w:t>
            </w:r>
          </w:p>
        </w:tc>
        <w:tc>
          <w:tcPr>
            <w:tcW w:w="2310" w:type="dxa"/>
            <w:vAlign w:val="center"/>
          </w:tcPr>
          <w:p>
            <w:pPr>
              <w:pStyle w:val="114"/>
              <w:spacing w:line="240" w:lineRule="auto"/>
              <w:jc w:val="left"/>
              <w:rPr>
                <w:kern w:val="0"/>
              </w:rPr>
            </w:pPr>
            <w:r>
              <w:rPr>
                <w:kern w:val="0"/>
              </w:rPr>
              <w:t>管理不善稳定塘易产生臭味</w:t>
            </w:r>
          </w:p>
        </w:tc>
        <w:tc>
          <w:tcPr>
            <w:tcW w:w="2835" w:type="dxa"/>
            <w:vAlign w:val="center"/>
          </w:tcPr>
          <w:p>
            <w:pPr>
              <w:pStyle w:val="114"/>
              <w:spacing w:line="240" w:lineRule="auto"/>
              <w:jc w:val="left"/>
              <w:rPr>
                <w:kern w:val="0"/>
              </w:rPr>
            </w:pPr>
            <w:r>
              <w:rPr>
                <w:kern w:val="0"/>
              </w:rPr>
              <w:t>上层可以绿化,感观效果很好无臭气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运行管理</w:t>
            </w:r>
          </w:p>
        </w:tc>
        <w:tc>
          <w:tcPr>
            <w:tcW w:w="2410" w:type="dxa"/>
            <w:vAlign w:val="center"/>
          </w:tcPr>
          <w:p>
            <w:pPr>
              <w:pStyle w:val="114"/>
              <w:spacing w:line="240" w:lineRule="auto"/>
              <w:jc w:val="left"/>
              <w:rPr>
                <w:kern w:val="0"/>
              </w:rPr>
            </w:pPr>
            <w:r>
              <w:rPr>
                <w:kern w:val="0"/>
              </w:rPr>
              <w:t>故障率低,管理简单,无人值守</w:t>
            </w:r>
          </w:p>
        </w:tc>
        <w:tc>
          <w:tcPr>
            <w:tcW w:w="2310" w:type="dxa"/>
            <w:vAlign w:val="center"/>
          </w:tcPr>
          <w:p>
            <w:pPr>
              <w:pStyle w:val="114"/>
              <w:spacing w:line="240" w:lineRule="auto"/>
              <w:jc w:val="left"/>
              <w:rPr>
                <w:kern w:val="0"/>
              </w:rPr>
            </w:pPr>
            <w:r>
              <w:rPr>
                <w:kern w:val="0"/>
              </w:rPr>
              <w:t>故障率低,管理简单,无人值守</w:t>
            </w:r>
          </w:p>
        </w:tc>
        <w:tc>
          <w:tcPr>
            <w:tcW w:w="2835" w:type="dxa"/>
            <w:vAlign w:val="center"/>
          </w:tcPr>
          <w:p>
            <w:pPr>
              <w:pStyle w:val="114"/>
              <w:spacing w:line="240" w:lineRule="auto"/>
              <w:jc w:val="left"/>
              <w:rPr>
                <w:kern w:val="0"/>
              </w:rPr>
            </w:pPr>
            <w:r>
              <w:rPr>
                <w:kern w:val="0"/>
              </w:rPr>
              <w:t>故障率低,管理简单,无人值守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2" w:type="dxa"/>
            <w:vAlign w:val="center"/>
          </w:tcPr>
          <w:p>
            <w:pPr>
              <w:pStyle w:val="114"/>
              <w:spacing w:line="240" w:lineRule="auto"/>
              <w:rPr>
                <w:kern w:val="0"/>
              </w:rPr>
            </w:pPr>
            <w:r>
              <w:rPr>
                <w:kern w:val="0"/>
              </w:rPr>
              <w:t>投资</w:t>
            </w:r>
          </w:p>
        </w:tc>
        <w:tc>
          <w:tcPr>
            <w:tcW w:w="2410" w:type="dxa"/>
            <w:vAlign w:val="center"/>
          </w:tcPr>
          <w:p>
            <w:pPr>
              <w:pStyle w:val="114"/>
              <w:spacing w:line="240" w:lineRule="auto"/>
              <w:jc w:val="left"/>
              <w:rPr>
                <w:kern w:val="0"/>
              </w:rPr>
            </w:pPr>
            <w:r>
              <w:rPr>
                <w:kern w:val="0"/>
              </w:rPr>
              <w:t>低</w:t>
            </w:r>
          </w:p>
        </w:tc>
        <w:tc>
          <w:tcPr>
            <w:tcW w:w="2310" w:type="dxa"/>
            <w:vAlign w:val="center"/>
          </w:tcPr>
          <w:p>
            <w:pPr>
              <w:pStyle w:val="114"/>
              <w:spacing w:line="240" w:lineRule="auto"/>
              <w:jc w:val="left"/>
              <w:rPr>
                <w:kern w:val="0"/>
              </w:rPr>
            </w:pPr>
            <w:r>
              <w:rPr>
                <w:kern w:val="0"/>
              </w:rPr>
              <w:t>低</w:t>
            </w:r>
          </w:p>
        </w:tc>
        <w:tc>
          <w:tcPr>
            <w:tcW w:w="2835" w:type="dxa"/>
            <w:vAlign w:val="center"/>
          </w:tcPr>
          <w:p>
            <w:pPr>
              <w:pStyle w:val="114"/>
              <w:spacing w:line="240" w:lineRule="auto"/>
              <w:jc w:val="left"/>
              <w:rPr>
                <w:kern w:val="0"/>
              </w:rPr>
            </w:pPr>
            <w:r>
              <w:rPr>
                <w:kern w:val="0"/>
              </w:rPr>
              <w:t>低</w:t>
            </w:r>
          </w:p>
        </w:tc>
      </w:tr>
    </w:tbl>
    <w:p>
      <w:pPr>
        <w:ind w:firstLine="480"/>
        <w:rPr>
          <w:rFonts w:cs="Times New Roman"/>
          <w:color w:val="auto"/>
          <w:lang w:val="de-DE"/>
        </w:rPr>
      </w:pPr>
      <w:r>
        <w:rPr>
          <w:rFonts w:cs="Times New Roman"/>
          <w:color w:val="auto"/>
        </w:rPr>
        <w:t>综上，预处理-厌氧池-稳定塘/人工湿地/土壤渗滤组合模式，</w:t>
      </w:r>
      <w:r>
        <w:rPr>
          <w:rFonts w:cs="Times New Roman"/>
          <w:color w:val="auto"/>
          <w:lang w:val="de-DE"/>
        </w:rPr>
        <w:t>适用于土地较为充裕的农村地区。</w:t>
      </w:r>
    </w:p>
    <w:p>
      <w:pPr>
        <w:ind w:firstLine="480"/>
        <w:rPr>
          <w:rFonts w:cs="Times New Roman"/>
          <w:color w:val="auto"/>
          <w:lang w:val="de-DE"/>
        </w:rPr>
      </w:pPr>
      <w:r>
        <w:rPr>
          <w:rFonts w:cs="Times New Roman"/>
          <w:color w:val="auto"/>
        </w:rPr>
        <w:t>预处理-生物稳定塘/强化人工快渗-人工湿地组合模式</w:t>
      </w:r>
      <w:r>
        <w:rPr>
          <w:rFonts w:cs="Times New Roman"/>
          <w:color w:val="auto"/>
          <w:lang w:val="de-DE"/>
        </w:rPr>
        <w:t>主要适用于土地较为充裕的农村地区，尤其适用于干旱缺水地区，对于高寒地区采用本组合模式需做好冬季保温及储水工作。</w:t>
      </w:r>
    </w:p>
    <w:p>
      <w:pPr>
        <w:ind w:firstLine="480"/>
        <w:rPr>
          <w:rFonts w:cs="Times New Roman"/>
          <w:color w:val="auto"/>
          <w:lang w:val="de-DE"/>
        </w:rPr>
      </w:pPr>
      <w:r>
        <w:rPr>
          <w:rFonts w:cs="Times New Roman"/>
          <w:color w:val="auto"/>
        </w:rPr>
        <w:t>预处理-生物接触氧化池/生物滤池组合模式，</w:t>
      </w:r>
      <w:r>
        <w:rPr>
          <w:rFonts w:cs="Times New Roman"/>
          <w:color w:val="auto"/>
          <w:lang w:val="de-DE"/>
        </w:rPr>
        <w:t>适用于所有经济条件好，用地紧张且出水要求较高（有脱氮除磷要求）的农村地区。</w:t>
      </w:r>
    </w:p>
    <w:p>
      <w:pPr>
        <w:ind w:firstLine="480"/>
        <w:rPr>
          <w:rFonts w:cs="Times New Roman"/>
          <w:color w:val="auto"/>
          <w:lang w:val="de-DE"/>
        </w:rPr>
      </w:pPr>
      <w:r>
        <w:rPr>
          <w:rFonts w:hint="eastAsia"/>
          <w:lang w:val="de-DE"/>
        </w:rPr>
        <w:t>根据以上工艺介绍，并结合项目实际情况，为保证污水处理系统运行效果及出水水质，本可研对常规模式进行强化</w:t>
      </w:r>
      <w:r>
        <w:rPr>
          <w:rFonts w:cs="Times New Roman"/>
          <w:color w:val="auto"/>
          <w:lang w:val="de-DE"/>
        </w:rPr>
        <w:t>。</w:t>
      </w:r>
      <w:r>
        <w:rPr>
          <w:rFonts w:cs="Times New Roman"/>
          <w:color w:val="auto"/>
          <w:kern w:val="0"/>
        </w:rPr>
        <w:t>所以综合考虑，</w:t>
      </w:r>
      <w:r>
        <w:rPr>
          <w:rFonts w:cs="Times New Roman"/>
          <w:color w:val="auto"/>
          <w:lang w:val="de-DE"/>
        </w:rPr>
        <w:t>本可研拟采用“</w:t>
      </w:r>
      <w:r>
        <w:rPr>
          <w:rFonts w:cs="Times New Roman"/>
          <w:b/>
          <w:color w:val="auto"/>
        </w:rPr>
        <w:t>预处理-生物接触氧化池</w:t>
      </w:r>
      <w:r>
        <w:rPr>
          <w:rFonts w:hint="eastAsia" w:cs="Times New Roman"/>
          <w:b/>
          <w:color w:val="auto"/>
        </w:rPr>
        <w:t>-碎石滤床</w:t>
      </w:r>
      <w:r>
        <w:rPr>
          <w:rFonts w:cs="Times New Roman"/>
          <w:b/>
          <w:color w:val="auto"/>
          <w:lang w:val="de-DE"/>
        </w:rPr>
        <w:t>”</w:t>
      </w:r>
      <w:r>
        <w:rPr>
          <w:rFonts w:cs="Times New Roman"/>
          <w:color w:val="auto"/>
        </w:rPr>
        <w:t>的污水处理工艺。</w:t>
      </w:r>
    </w:p>
    <w:p>
      <w:pPr>
        <w:widowControl/>
        <w:spacing w:line="240" w:lineRule="auto"/>
        <w:ind w:firstLine="0" w:firstLineChars="0"/>
        <w:jc w:val="left"/>
        <w:rPr>
          <w:rFonts w:cs="Times New Roman"/>
          <w:color w:val="auto"/>
        </w:rPr>
      </w:pPr>
      <w:r>
        <w:rPr>
          <w:rFonts w:cs="Times New Roman"/>
          <w:color w:val="auto"/>
        </w:rPr>
        <w:br w:type="page"/>
      </w:r>
    </w:p>
    <w:p>
      <w:pPr>
        <w:pStyle w:val="3"/>
        <w:rPr>
          <w:color w:val="auto"/>
        </w:rPr>
      </w:pPr>
      <w:bookmarkStart w:id="208" w:name="_Toc36126941"/>
      <w:bookmarkStart w:id="209" w:name="_Toc48640748"/>
      <w:r>
        <w:rPr>
          <w:color w:val="auto"/>
        </w:rPr>
        <w:t>工程设计</w:t>
      </w:r>
      <w:bookmarkEnd w:id="208"/>
      <w:bookmarkEnd w:id="209"/>
    </w:p>
    <w:p>
      <w:pPr>
        <w:pStyle w:val="4"/>
      </w:pPr>
      <w:bookmarkStart w:id="210" w:name="_Toc48640749"/>
      <w:bookmarkStart w:id="211" w:name="_Toc36126942"/>
      <w:r>
        <w:t>污水收集工程</w:t>
      </w:r>
      <w:bookmarkEnd w:id="210"/>
      <w:bookmarkEnd w:id="211"/>
    </w:p>
    <w:p>
      <w:pPr>
        <w:pStyle w:val="5"/>
      </w:pPr>
      <w:bookmarkStart w:id="212" w:name="_Toc48640750"/>
      <w:bookmarkStart w:id="213" w:name="_Toc36126943"/>
      <w:r>
        <w:t>收集系统平面布置</w:t>
      </w:r>
      <w:bookmarkEnd w:id="212"/>
      <w:bookmarkEnd w:id="213"/>
    </w:p>
    <w:p>
      <w:pPr>
        <w:ind w:firstLine="480"/>
        <w:rPr>
          <w:rFonts w:cs="Times New Roman"/>
          <w:bCs/>
          <w:color w:val="auto"/>
        </w:rPr>
      </w:pPr>
      <w:r>
        <w:rPr>
          <w:rFonts w:cs="Times New Roman"/>
          <w:bCs/>
          <w:color w:val="auto"/>
        </w:rPr>
        <w:t>对于排水系统，正确的定线和布置是合理、经济设计的先决条件，是排水系统设计中的重要环节，因此本项目遵循以下原则进行污水收集工程平面布置。</w:t>
      </w:r>
    </w:p>
    <w:p>
      <w:pPr>
        <w:pStyle w:val="110"/>
        <w:numPr>
          <w:ilvl w:val="0"/>
          <w:numId w:val="19"/>
        </w:numPr>
        <w:ind w:firstLineChars="0"/>
        <w:rPr>
          <w:bCs/>
        </w:rPr>
      </w:pPr>
      <w:r>
        <w:rPr>
          <w:bCs/>
        </w:rPr>
        <w:t>排水系统沿村庄道路铺设，收集沿程生活污水；</w:t>
      </w:r>
    </w:p>
    <w:p>
      <w:pPr>
        <w:pStyle w:val="110"/>
        <w:numPr>
          <w:ilvl w:val="0"/>
          <w:numId w:val="19"/>
        </w:numPr>
        <w:ind w:firstLineChars="0"/>
        <w:rPr>
          <w:bCs/>
        </w:rPr>
      </w:pPr>
      <w:r>
        <w:rPr>
          <w:bCs/>
        </w:rPr>
        <w:t>排水系统尽可能平行于村庄道路的路肩布设，尽可能布设于路肩以外；</w:t>
      </w:r>
    </w:p>
    <w:p>
      <w:pPr>
        <w:pStyle w:val="110"/>
        <w:numPr>
          <w:ilvl w:val="0"/>
          <w:numId w:val="19"/>
        </w:numPr>
        <w:ind w:firstLineChars="0"/>
        <w:rPr>
          <w:bCs/>
        </w:rPr>
      </w:pPr>
      <w:r>
        <w:rPr>
          <w:bCs/>
        </w:rPr>
        <w:t>村庄内排水系统需要与村庄内的给水管道保持卫生防护距离，鉴于现状给水管道直接放置于路边的现状，设计工程实施后，给水管线放置于排水渠盖板下，位于污水水面以上；</w:t>
      </w:r>
    </w:p>
    <w:p>
      <w:pPr>
        <w:pStyle w:val="110"/>
        <w:numPr>
          <w:ilvl w:val="0"/>
          <w:numId w:val="19"/>
        </w:numPr>
        <w:ind w:firstLineChars="0"/>
        <w:rPr>
          <w:bCs/>
        </w:rPr>
      </w:pPr>
      <w:r>
        <w:rPr>
          <w:bCs/>
        </w:rPr>
        <w:t>尽量避免或减少排水系统穿越不容易通过的地带或构筑物；</w:t>
      </w:r>
    </w:p>
    <w:p>
      <w:pPr>
        <w:pStyle w:val="110"/>
        <w:numPr>
          <w:ilvl w:val="0"/>
          <w:numId w:val="19"/>
        </w:numPr>
        <w:ind w:firstLineChars="0"/>
      </w:pPr>
      <w:r>
        <w:t>应尽可能在管线较短和埋深较浅的情况，让最大区域的污水自流排出，经济合理，使用安全；</w:t>
      </w:r>
    </w:p>
    <w:p>
      <w:pPr>
        <w:pStyle w:val="110"/>
        <w:numPr>
          <w:ilvl w:val="0"/>
          <w:numId w:val="19"/>
        </w:numPr>
        <w:ind w:firstLineChars="0"/>
      </w:pPr>
      <w:r>
        <w:t>污水量按其服务面积的比流量确定，污水变化系数根据管道的平均流量按规范选取；</w:t>
      </w:r>
    </w:p>
    <w:p>
      <w:pPr>
        <w:pStyle w:val="110"/>
        <w:numPr>
          <w:ilvl w:val="0"/>
          <w:numId w:val="19"/>
        </w:numPr>
        <w:ind w:firstLineChars="0"/>
        <w:rPr>
          <w:bCs/>
        </w:rPr>
      </w:pPr>
      <w:r>
        <w:t>贯彻经济性和可靠性并行的设计原则，在保证工程效果的前提下，最大且限度降低工程造价和运营管理费用，同时合理兼顾管理维护条件。选少设或不设提升泵站，并避免穿越障碍地，尽量采用自流方式；</w:t>
      </w:r>
    </w:p>
    <w:p>
      <w:pPr>
        <w:pStyle w:val="110"/>
        <w:numPr>
          <w:ilvl w:val="0"/>
          <w:numId w:val="19"/>
        </w:numPr>
        <w:ind w:firstLineChars="0"/>
        <w:rPr>
          <w:bCs/>
        </w:rPr>
      </w:pPr>
      <w:r>
        <w:rPr>
          <w:bCs/>
        </w:rPr>
        <w:t>充分考虑工程区域相关规划，尽可能利用现有的村庄排水系统，安排好控制点和连接点。</w:t>
      </w:r>
    </w:p>
    <w:p>
      <w:pPr>
        <w:ind w:firstLine="480"/>
        <w:rPr>
          <w:rFonts w:cs="Times New Roman"/>
          <w:color w:val="auto"/>
        </w:rPr>
      </w:pPr>
      <w:r>
        <w:rPr>
          <w:rFonts w:cs="Times New Roman"/>
          <w:color w:val="auto"/>
        </w:rPr>
        <w:t>详见各村庄污水收集管网平面布置图。</w:t>
      </w:r>
    </w:p>
    <w:p>
      <w:pPr>
        <w:pStyle w:val="5"/>
      </w:pPr>
      <w:bookmarkStart w:id="214" w:name="_Toc36126944"/>
      <w:bookmarkStart w:id="215" w:name="_Toc48640751"/>
      <w:r>
        <w:t>水量及水力计算</w:t>
      </w:r>
      <w:bookmarkEnd w:id="214"/>
      <w:bookmarkEnd w:id="215"/>
    </w:p>
    <w:p>
      <w:pPr>
        <w:pStyle w:val="376"/>
      </w:pPr>
      <w:r>
        <w:t>（1）水量计算</w:t>
      </w:r>
    </w:p>
    <w:p>
      <w:pPr>
        <w:spacing w:line="240" w:lineRule="auto"/>
        <w:ind w:firstLine="480"/>
        <w:rPr>
          <w:rFonts w:cs="Times New Roman"/>
          <w:color w:val="auto"/>
        </w:rPr>
      </w:pPr>
      <w:r>
        <w:rPr>
          <w:rFonts w:cs="Times New Roman"/>
          <w:color w:val="auto"/>
        </w:rPr>
        <w:t>1）居住区生活污水设计流量</w:t>
      </w:r>
    </w:p>
    <w:p>
      <w:pPr>
        <w:spacing w:line="240" w:lineRule="auto"/>
        <w:ind w:firstLine="480"/>
        <w:rPr>
          <w:rFonts w:cs="Times New Roman"/>
          <w:color w:val="auto"/>
        </w:rPr>
      </w:pPr>
      <w:r>
        <w:rPr>
          <w:rFonts w:cs="Times New Roman"/>
          <w:color w:val="auto"/>
        </w:rPr>
        <w:object>
          <v:shape id="_x0000_i1025" o:spt="75" type="#_x0000_t75" style="height:26.25pt;width:102pt;" o:ole="t" filled="f" o:preferrelative="t" stroked="f" coordsize="21600,21600">
            <v:path/>
            <v:fill on="f" focussize="0,0"/>
            <v:stroke on="f" joinstyle="miter"/>
            <v:imagedata r:id="rId39" o:title=""/>
            <o:lock v:ext="edit" aspectratio="t"/>
            <w10:wrap type="none"/>
            <w10:anchorlock/>
          </v:shape>
          <o:OLEObject Type="Embed" ProgID="Equation.DSMT4" ShapeID="_x0000_i1025" DrawAspect="Content" ObjectID="_1468075725" r:id="rId38">
            <o:LockedField>false</o:LockedField>
          </o:OLEObject>
        </w:object>
      </w:r>
    </w:p>
    <w:p>
      <w:pPr>
        <w:ind w:firstLine="480"/>
        <w:rPr>
          <w:rFonts w:cs="Times New Roman"/>
          <w:color w:val="auto"/>
        </w:rPr>
      </w:pPr>
      <w:r>
        <w:rPr>
          <w:rFonts w:cs="Times New Roman"/>
          <w:color w:val="auto"/>
        </w:rPr>
        <w:t>式中：Q</w:t>
      </w:r>
      <w:r>
        <w:rPr>
          <w:rFonts w:cs="Times New Roman"/>
          <w:color w:val="auto"/>
          <w:vertAlign w:val="subscript"/>
        </w:rPr>
        <w:t>1</w:t>
      </w:r>
      <w:r>
        <w:rPr>
          <w:rFonts w:cs="Times New Roman"/>
          <w:color w:val="auto"/>
        </w:rPr>
        <w:t>—居住区生活污水设计流量（L/s）；</w:t>
      </w:r>
    </w:p>
    <w:p>
      <w:pPr>
        <w:ind w:firstLine="1200" w:firstLineChars="500"/>
        <w:rPr>
          <w:rFonts w:cs="Times New Roman"/>
          <w:color w:val="auto"/>
        </w:rPr>
      </w:pPr>
      <w:r>
        <w:rPr>
          <w:rFonts w:cs="Times New Roman"/>
          <w:color w:val="auto"/>
        </w:rPr>
        <w:t>q—居住区生活污水量标准（L/（人·d））；</w:t>
      </w:r>
    </w:p>
    <w:p>
      <w:pPr>
        <w:ind w:firstLine="1200" w:firstLineChars="500"/>
        <w:rPr>
          <w:rFonts w:cs="Times New Roman"/>
          <w:color w:val="auto"/>
        </w:rPr>
      </w:pPr>
      <w:r>
        <w:rPr>
          <w:rFonts w:cs="Times New Roman"/>
          <w:color w:val="auto"/>
        </w:rPr>
        <w:t>N—设计人口数；</w:t>
      </w:r>
    </w:p>
    <w:p>
      <w:pPr>
        <w:ind w:firstLine="1200" w:firstLineChars="500"/>
        <w:rPr>
          <w:rFonts w:cs="Times New Roman"/>
          <w:color w:val="auto"/>
        </w:rPr>
      </w:pPr>
      <w:r>
        <w:rPr>
          <w:rFonts w:cs="Times New Roman"/>
          <w:color w:val="auto"/>
        </w:rPr>
        <w:t>Kz—总变化系数。</w:t>
      </w:r>
    </w:p>
    <w:p>
      <w:pPr>
        <w:ind w:firstLine="480"/>
        <w:rPr>
          <w:rFonts w:cs="Times New Roman"/>
          <w:color w:val="auto"/>
        </w:rPr>
      </w:pPr>
      <w:r>
        <w:rPr>
          <w:rFonts w:cs="Times New Roman"/>
          <w:color w:val="auto"/>
        </w:rPr>
        <w:t>按照《室外排水设计规范》（GB50014-2014），总变化系数宜按下表6.1-1采用：</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生活污水量总变化系数值</w:t>
      </w:r>
    </w:p>
    <w:tbl>
      <w:tblPr>
        <w:tblStyle w:val="89"/>
        <w:tblW w:w="4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748"/>
        <w:gridCol w:w="753"/>
        <w:gridCol w:w="793"/>
        <w:gridCol w:w="853"/>
        <w:gridCol w:w="746"/>
        <w:gridCol w:w="798"/>
        <w:gridCol w:w="788"/>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pct"/>
            <w:vAlign w:val="center"/>
          </w:tcPr>
          <w:p>
            <w:pPr>
              <w:pStyle w:val="108"/>
              <w:ind w:firstLine="0" w:firstLineChars="0"/>
              <w:jc w:val="center"/>
              <w:rPr>
                <w:color w:val="auto"/>
                <w:kern w:val="0"/>
                <w:sz w:val="20"/>
                <w:szCs w:val="20"/>
              </w:rPr>
            </w:pPr>
            <w:r>
              <w:rPr>
                <w:color w:val="auto"/>
                <w:kern w:val="0"/>
                <w:sz w:val="20"/>
                <w:szCs w:val="20"/>
              </w:rPr>
              <w:t>污水平均日流量</w:t>
            </w:r>
          </w:p>
        </w:tc>
        <w:tc>
          <w:tcPr>
            <w:tcW w:w="465" w:type="pct"/>
            <w:vAlign w:val="center"/>
          </w:tcPr>
          <w:p>
            <w:pPr>
              <w:pStyle w:val="108"/>
              <w:ind w:firstLine="0" w:firstLineChars="0"/>
              <w:jc w:val="center"/>
              <w:rPr>
                <w:color w:val="auto"/>
                <w:kern w:val="0"/>
                <w:sz w:val="20"/>
                <w:szCs w:val="20"/>
              </w:rPr>
            </w:pPr>
            <w:r>
              <w:rPr>
                <w:color w:val="auto"/>
                <w:kern w:val="0"/>
                <w:sz w:val="20"/>
                <w:szCs w:val="20"/>
              </w:rPr>
              <w:t>5</w:t>
            </w:r>
          </w:p>
        </w:tc>
        <w:tc>
          <w:tcPr>
            <w:tcW w:w="468" w:type="pct"/>
            <w:vAlign w:val="center"/>
          </w:tcPr>
          <w:p>
            <w:pPr>
              <w:pStyle w:val="108"/>
              <w:ind w:firstLine="0" w:firstLineChars="0"/>
              <w:jc w:val="center"/>
              <w:rPr>
                <w:color w:val="auto"/>
                <w:kern w:val="0"/>
                <w:sz w:val="20"/>
                <w:szCs w:val="20"/>
              </w:rPr>
            </w:pPr>
            <w:r>
              <w:rPr>
                <w:color w:val="auto"/>
                <w:kern w:val="0"/>
                <w:sz w:val="20"/>
                <w:szCs w:val="20"/>
              </w:rPr>
              <w:t>15</w:t>
            </w:r>
          </w:p>
        </w:tc>
        <w:tc>
          <w:tcPr>
            <w:tcW w:w="493" w:type="pct"/>
            <w:vAlign w:val="center"/>
          </w:tcPr>
          <w:p>
            <w:pPr>
              <w:pStyle w:val="108"/>
              <w:ind w:firstLine="0" w:firstLineChars="0"/>
              <w:jc w:val="center"/>
              <w:rPr>
                <w:color w:val="auto"/>
                <w:kern w:val="0"/>
                <w:sz w:val="20"/>
                <w:szCs w:val="20"/>
              </w:rPr>
            </w:pPr>
            <w:r>
              <w:rPr>
                <w:color w:val="auto"/>
                <w:kern w:val="0"/>
                <w:sz w:val="20"/>
                <w:szCs w:val="20"/>
              </w:rPr>
              <w:t>40</w:t>
            </w:r>
          </w:p>
        </w:tc>
        <w:tc>
          <w:tcPr>
            <w:tcW w:w="530" w:type="pct"/>
            <w:vAlign w:val="center"/>
          </w:tcPr>
          <w:p>
            <w:pPr>
              <w:pStyle w:val="108"/>
              <w:ind w:firstLine="0" w:firstLineChars="0"/>
              <w:jc w:val="center"/>
              <w:rPr>
                <w:color w:val="auto"/>
                <w:kern w:val="0"/>
                <w:sz w:val="20"/>
                <w:szCs w:val="20"/>
              </w:rPr>
            </w:pPr>
            <w:r>
              <w:rPr>
                <w:color w:val="auto"/>
                <w:kern w:val="0"/>
                <w:sz w:val="20"/>
                <w:szCs w:val="20"/>
              </w:rPr>
              <w:t>70</w:t>
            </w:r>
          </w:p>
        </w:tc>
        <w:tc>
          <w:tcPr>
            <w:tcW w:w="464" w:type="pct"/>
            <w:vAlign w:val="center"/>
          </w:tcPr>
          <w:p>
            <w:pPr>
              <w:pStyle w:val="108"/>
              <w:ind w:firstLine="0" w:firstLineChars="0"/>
              <w:jc w:val="center"/>
              <w:rPr>
                <w:color w:val="auto"/>
                <w:kern w:val="0"/>
                <w:sz w:val="20"/>
                <w:szCs w:val="20"/>
              </w:rPr>
            </w:pPr>
            <w:r>
              <w:rPr>
                <w:color w:val="auto"/>
                <w:kern w:val="0"/>
                <w:sz w:val="20"/>
                <w:szCs w:val="20"/>
              </w:rPr>
              <w:t>100</w:t>
            </w:r>
          </w:p>
        </w:tc>
        <w:tc>
          <w:tcPr>
            <w:tcW w:w="496" w:type="pct"/>
            <w:vAlign w:val="center"/>
          </w:tcPr>
          <w:p>
            <w:pPr>
              <w:pStyle w:val="108"/>
              <w:ind w:firstLine="0" w:firstLineChars="0"/>
              <w:jc w:val="center"/>
              <w:rPr>
                <w:color w:val="auto"/>
                <w:kern w:val="0"/>
                <w:sz w:val="20"/>
                <w:szCs w:val="20"/>
              </w:rPr>
            </w:pPr>
            <w:r>
              <w:rPr>
                <w:color w:val="auto"/>
                <w:kern w:val="0"/>
                <w:sz w:val="20"/>
                <w:szCs w:val="20"/>
              </w:rPr>
              <w:t>200</w:t>
            </w:r>
          </w:p>
        </w:tc>
        <w:tc>
          <w:tcPr>
            <w:tcW w:w="490" w:type="pct"/>
            <w:vAlign w:val="center"/>
          </w:tcPr>
          <w:p>
            <w:pPr>
              <w:pStyle w:val="108"/>
              <w:ind w:firstLine="0" w:firstLineChars="0"/>
              <w:jc w:val="center"/>
              <w:rPr>
                <w:color w:val="auto"/>
                <w:kern w:val="0"/>
                <w:sz w:val="20"/>
                <w:szCs w:val="20"/>
              </w:rPr>
            </w:pPr>
            <w:r>
              <w:rPr>
                <w:color w:val="auto"/>
                <w:kern w:val="0"/>
                <w:sz w:val="20"/>
                <w:szCs w:val="20"/>
              </w:rPr>
              <w:t>500</w:t>
            </w:r>
          </w:p>
        </w:tc>
        <w:tc>
          <w:tcPr>
            <w:tcW w:w="509" w:type="pct"/>
            <w:vAlign w:val="center"/>
          </w:tcPr>
          <w:p>
            <w:pPr>
              <w:pStyle w:val="108"/>
              <w:ind w:firstLine="0" w:firstLineChars="0"/>
              <w:jc w:val="center"/>
              <w:rPr>
                <w:color w:val="auto"/>
                <w:kern w:val="0"/>
                <w:sz w:val="20"/>
                <w:szCs w:val="20"/>
              </w:rPr>
            </w:pPr>
            <w:r>
              <w:rPr>
                <w:color w:val="auto"/>
                <w:kern w:val="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pct"/>
            <w:vAlign w:val="center"/>
          </w:tcPr>
          <w:p>
            <w:pPr>
              <w:pStyle w:val="108"/>
              <w:ind w:firstLine="0" w:firstLineChars="0"/>
              <w:jc w:val="center"/>
              <w:rPr>
                <w:color w:val="auto"/>
                <w:kern w:val="0"/>
                <w:sz w:val="20"/>
                <w:szCs w:val="20"/>
              </w:rPr>
            </w:pPr>
            <w:r>
              <w:rPr>
                <w:color w:val="auto"/>
                <w:kern w:val="0"/>
                <w:sz w:val="20"/>
                <w:szCs w:val="20"/>
              </w:rPr>
              <w:t>总变化系数Kz</w:t>
            </w:r>
          </w:p>
        </w:tc>
        <w:tc>
          <w:tcPr>
            <w:tcW w:w="465" w:type="pct"/>
            <w:vAlign w:val="center"/>
          </w:tcPr>
          <w:p>
            <w:pPr>
              <w:pStyle w:val="108"/>
              <w:ind w:firstLine="0" w:firstLineChars="0"/>
              <w:jc w:val="center"/>
              <w:rPr>
                <w:color w:val="auto"/>
                <w:kern w:val="0"/>
                <w:sz w:val="20"/>
                <w:szCs w:val="20"/>
              </w:rPr>
            </w:pPr>
            <w:r>
              <w:rPr>
                <w:color w:val="auto"/>
                <w:kern w:val="0"/>
                <w:sz w:val="20"/>
                <w:szCs w:val="20"/>
              </w:rPr>
              <w:t>2.3</w:t>
            </w:r>
          </w:p>
        </w:tc>
        <w:tc>
          <w:tcPr>
            <w:tcW w:w="468" w:type="pct"/>
            <w:vAlign w:val="center"/>
          </w:tcPr>
          <w:p>
            <w:pPr>
              <w:pStyle w:val="108"/>
              <w:ind w:firstLine="0" w:firstLineChars="0"/>
              <w:jc w:val="center"/>
              <w:rPr>
                <w:color w:val="auto"/>
                <w:kern w:val="0"/>
                <w:sz w:val="20"/>
                <w:szCs w:val="20"/>
              </w:rPr>
            </w:pPr>
            <w:r>
              <w:rPr>
                <w:color w:val="auto"/>
                <w:kern w:val="0"/>
                <w:sz w:val="20"/>
                <w:szCs w:val="20"/>
              </w:rPr>
              <w:t>2.0</w:t>
            </w:r>
          </w:p>
        </w:tc>
        <w:tc>
          <w:tcPr>
            <w:tcW w:w="493" w:type="pct"/>
            <w:vAlign w:val="center"/>
          </w:tcPr>
          <w:p>
            <w:pPr>
              <w:pStyle w:val="108"/>
              <w:ind w:firstLine="0" w:firstLineChars="0"/>
              <w:jc w:val="center"/>
              <w:rPr>
                <w:color w:val="auto"/>
                <w:kern w:val="0"/>
                <w:sz w:val="20"/>
                <w:szCs w:val="20"/>
              </w:rPr>
            </w:pPr>
            <w:r>
              <w:rPr>
                <w:color w:val="auto"/>
                <w:kern w:val="0"/>
                <w:sz w:val="20"/>
                <w:szCs w:val="20"/>
              </w:rPr>
              <w:t>1.8</w:t>
            </w:r>
          </w:p>
        </w:tc>
        <w:tc>
          <w:tcPr>
            <w:tcW w:w="530" w:type="pct"/>
            <w:vAlign w:val="center"/>
          </w:tcPr>
          <w:p>
            <w:pPr>
              <w:pStyle w:val="108"/>
              <w:ind w:firstLine="0" w:firstLineChars="0"/>
              <w:jc w:val="center"/>
              <w:rPr>
                <w:color w:val="auto"/>
                <w:kern w:val="0"/>
                <w:sz w:val="20"/>
                <w:szCs w:val="20"/>
              </w:rPr>
            </w:pPr>
            <w:r>
              <w:rPr>
                <w:color w:val="auto"/>
                <w:kern w:val="0"/>
                <w:sz w:val="20"/>
                <w:szCs w:val="20"/>
              </w:rPr>
              <w:t>1.7</w:t>
            </w:r>
          </w:p>
        </w:tc>
        <w:tc>
          <w:tcPr>
            <w:tcW w:w="464" w:type="pct"/>
            <w:vAlign w:val="center"/>
          </w:tcPr>
          <w:p>
            <w:pPr>
              <w:pStyle w:val="108"/>
              <w:ind w:firstLine="0" w:firstLineChars="0"/>
              <w:jc w:val="center"/>
              <w:rPr>
                <w:color w:val="auto"/>
                <w:kern w:val="0"/>
                <w:sz w:val="20"/>
                <w:szCs w:val="20"/>
              </w:rPr>
            </w:pPr>
            <w:r>
              <w:rPr>
                <w:color w:val="auto"/>
                <w:kern w:val="0"/>
                <w:sz w:val="20"/>
                <w:szCs w:val="20"/>
              </w:rPr>
              <w:t>1.6</w:t>
            </w:r>
          </w:p>
        </w:tc>
        <w:tc>
          <w:tcPr>
            <w:tcW w:w="496" w:type="pct"/>
            <w:vAlign w:val="center"/>
          </w:tcPr>
          <w:p>
            <w:pPr>
              <w:pStyle w:val="108"/>
              <w:ind w:firstLine="0" w:firstLineChars="0"/>
              <w:jc w:val="center"/>
              <w:rPr>
                <w:color w:val="auto"/>
                <w:kern w:val="0"/>
                <w:sz w:val="20"/>
                <w:szCs w:val="20"/>
              </w:rPr>
            </w:pPr>
            <w:r>
              <w:rPr>
                <w:color w:val="auto"/>
                <w:kern w:val="0"/>
                <w:sz w:val="20"/>
                <w:szCs w:val="20"/>
              </w:rPr>
              <w:t>1.5</w:t>
            </w:r>
          </w:p>
        </w:tc>
        <w:tc>
          <w:tcPr>
            <w:tcW w:w="490" w:type="pct"/>
            <w:vAlign w:val="center"/>
          </w:tcPr>
          <w:p>
            <w:pPr>
              <w:pStyle w:val="108"/>
              <w:ind w:firstLine="0" w:firstLineChars="0"/>
              <w:jc w:val="center"/>
              <w:rPr>
                <w:color w:val="auto"/>
                <w:kern w:val="0"/>
                <w:sz w:val="20"/>
                <w:szCs w:val="20"/>
              </w:rPr>
            </w:pPr>
            <w:r>
              <w:rPr>
                <w:color w:val="auto"/>
                <w:kern w:val="0"/>
                <w:sz w:val="20"/>
                <w:szCs w:val="20"/>
              </w:rPr>
              <w:t>1.4</w:t>
            </w:r>
          </w:p>
        </w:tc>
        <w:tc>
          <w:tcPr>
            <w:tcW w:w="509" w:type="pct"/>
            <w:vAlign w:val="center"/>
          </w:tcPr>
          <w:p>
            <w:pPr>
              <w:pStyle w:val="108"/>
              <w:ind w:firstLine="0" w:firstLineChars="0"/>
              <w:jc w:val="center"/>
              <w:rPr>
                <w:color w:val="auto"/>
                <w:kern w:val="0"/>
                <w:sz w:val="20"/>
                <w:szCs w:val="20"/>
              </w:rPr>
            </w:pPr>
            <w:r>
              <w:rPr>
                <w:color w:val="auto"/>
                <w:kern w:val="0"/>
                <w:sz w:val="20"/>
                <w:szCs w:val="20"/>
              </w:rPr>
              <w:t>1.3</w:t>
            </w:r>
          </w:p>
        </w:tc>
      </w:tr>
    </w:tbl>
    <w:p>
      <w:pPr>
        <w:ind w:firstLine="480"/>
        <w:rPr>
          <w:rFonts w:cs="Times New Roman"/>
          <w:color w:val="auto"/>
        </w:rPr>
      </w:pPr>
      <w:r>
        <w:rPr>
          <w:rFonts w:cs="Times New Roman"/>
          <w:color w:val="auto"/>
        </w:rPr>
        <w:t>在管道计算时，管道设计流量按生活污水流量的10％考虑地下水的渗入量。</w:t>
      </w:r>
    </w:p>
    <w:p>
      <w:pPr>
        <w:ind w:firstLine="480"/>
        <w:rPr>
          <w:rFonts w:cs="Times New Roman"/>
          <w:color w:val="auto"/>
        </w:rPr>
      </w:pPr>
      <w:r>
        <w:rPr>
          <w:rFonts w:cs="Times New Roman"/>
          <w:color w:val="auto"/>
        </w:rPr>
        <w:t>2）设计管段的本段流量</w:t>
      </w:r>
    </w:p>
    <w:p>
      <w:pPr>
        <w:ind w:firstLine="480"/>
        <w:rPr>
          <w:rFonts w:cs="Times New Roman"/>
          <w:color w:val="auto"/>
        </w:rPr>
      </w:pPr>
      <w:r>
        <w:rPr>
          <w:rFonts w:cs="Times New Roman"/>
          <w:color w:val="auto"/>
        </w:rPr>
        <w:object>
          <v:shape id="_x0000_i1026" o:spt="75" type="#_x0000_t75" style="height:18.75pt;width:74.25pt;" o:ole="t" filled="f" o:preferrelative="t" stroked="f" coordsize="21600,21600">
            <v:path/>
            <v:fill on="f" focussize="0,0"/>
            <v:stroke on="f" joinstyle="miter"/>
            <v:imagedata r:id="rId41" o:title=""/>
            <o:lock v:ext="edit" aspectratio="t"/>
            <w10:wrap type="none"/>
            <w10:anchorlock/>
          </v:shape>
          <o:OLEObject Type="Embed" ProgID="Equation.DSMT4" ShapeID="_x0000_i1026" DrawAspect="Content" ObjectID="_1468075726" r:id="rId40">
            <o:LockedField>false</o:LockedField>
          </o:OLEObject>
        </w:object>
      </w:r>
    </w:p>
    <w:p>
      <w:pPr>
        <w:ind w:firstLine="480"/>
        <w:rPr>
          <w:rFonts w:cs="Times New Roman"/>
          <w:color w:val="auto"/>
        </w:rPr>
      </w:pPr>
      <w:r>
        <w:rPr>
          <w:rFonts w:cs="Times New Roman"/>
          <w:color w:val="auto"/>
        </w:rPr>
        <w:t>式中：q1—设计管段的本段流量（L/s）；</w:t>
      </w:r>
    </w:p>
    <w:p>
      <w:pPr>
        <w:ind w:firstLine="1320" w:firstLineChars="550"/>
        <w:rPr>
          <w:rFonts w:cs="Times New Roman"/>
          <w:color w:val="auto"/>
        </w:rPr>
      </w:pPr>
      <w:r>
        <w:rPr>
          <w:rFonts w:cs="Times New Roman"/>
          <w:color w:val="auto"/>
        </w:rPr>
        <w:t>F—设计管段服务的街坊面积（10</w:t>
      </w:r>
      <w:r>
        <w:rPr>
          <w:rFonts w:cs="Times New Roman"/>
          <w:color w:val="auto"/>
          <w:vertAlign w:val="superscript"/>
        </w:rPr>
        <w:t>4</w:t>
      </w:r>
      <w:r>
        <w:rPr>
          <w:rFonts w:cs="Times New Roman"/>
          <w:color w:val="auto"/>
        </w:rPr>
        <w:t>m</w:t>
      </w:r>
      <w:r>
        <w:rPr>
          <w:rFonts w:cs="Times New Roman"/>
          <w:color w:val="auto"/>
          <w:vertAlign w:val="superscript"/>
        </w:rPr>
        <w:t>2</w:t>
      </w:r>
      <w:r>
        <w:rPr>
          <w:rFonts w:cs="Times New Roman"/>
          <w:color w:val="auto"/>
        </w:rPr>
        <w:t>）；</w:t>
      </w:r>
    </w:p>
    <w:p>
      <w:pPr>
        <w:ind w:firstLine="1200" w:firstLineChars="500"/>
        <w:rPr>
          <w:rFonts w:cs="Times New Roman"/>
          <w:color w:val="auto"/>
        </w:rPr>
      </w:pPr>
      <w:r>
        <w:rPr>
          <w:rFonts w:cs="Times New Roman"/>
          <w:color w:val="auto"/>
        </w:rPr>
        <w:t>K</w:t>
      </w:r>
      <w:r>
        <w:rPr>
          <w:rFonts w:cs="Times New Roman"/>
          <w:color w:val="auto"/>
          <w:vertAlign w:val="subscript"/>
        </w:rPr>
        <w:t>Z</w:t>
      </w:r>
      <w:r>
        <w:rPr>
          <w:rFonts w:cs="Times New Roman"/>
          <w:color w:val="auto"/>
        </w:rPr>
        <w:t>—生活污水量总变化系数；</w:t>
      </w:r>
    </w:p>
    <w:p>
      <w:pPr>
        <w:ind w:firstLine="1200" w:firstLineChars="500"/>
        <w:rPr>
          <w:rFonts w:cs="Times New Roman"/>
          <w:color w:val="auto"/>
        </w:rPr>
      </w:pPr>
      <w:r>
        <w:rPr>
          <w:rFonts w:cs="Times New Roman"/>
          <w:color w:val="auto"/>
        </w:rPr>
        <w:t>q</w:t>
      </w:r>
      <w:r>
        <w:rPr>
          <w:rFonts w:cs="Times New Roman"/>
          <w:color w:val="auto"/>
          <w:vertAlign w:val="subscript"/>
        </w:rPr>
        <w:t>0</w:t>
      </w:r>
      <w:r>
        <w:rPr>
          <w:rFonts w:cs="Times New Roman"/>
          <w:color w:val="auto"/>
        </w:rPr>
        <w:t>—比流量（L/s·10</w:t>
      </w:r>
      <w:r>
        <w:rPr>
          <w:rFonts w:cs="Times New Roman"/>
          <w:color w:val="auto"/>
          <w:vertAlign w:val="superscript"/>
        </w:rPr>
        <w:t>4</w:t>
      </w:r>
      <w:r>
        <w:rPr>
          <w:rFonts w:cs="Times New Roman"/>
          <w:color w:val="auto"/>
        </w:rPr>
        <w:t>m</w:t>
      </w:r>
      <w:r>
        <w:rPr>
          <w:rFonts w:cs="Times New Roman"/>
          <w:color w:val="auto"/>
          <w:vertAlign w:val="superscript"/>
        </w:rPr>
        <w:t>2</w:t>
      </w:r>
      <w:r>
        <w:rPr>
          <w:rFonts w:cs="Times New Roman"/>
          <w:color w:val="auto"/>
        </w:rPr>
        <w:t>）：</w:t>
      </w:r>
    </w:p>
    <w:p>
      <w:pPr>
        <w:ind w:firstLine="480"/>
        <w:rPr>
          <w:rFonts w:cs="Times New Roman"/>
          <w:color w:val="auto"/>
        </w:rPr>
      </w:pPr>
      <w:r>
        <w:rPr>
          <w:rFonts w:cs="Times New Roman"/>
          <w:color w:val="auto"/>
        </w:rPr>
        <w:t>q</w:t>
      </w:r>
      <w:r>
        <w:rPr>
          <w:rFonts w:cs="Times New Roman"/>
          <w:color w:val="auto"/>
          <w:vertAlign w:val="subscript"/>
        </w:rPr>
        <w:t>0</w:t>
      </w:r>
      <w:r>
        <w:rPr>
          <w:rFonts w:cs="Times New Roman"/>
          <w:color w:val="auto"/>
        </w:rPr>
        <w:t>＝np/86400</w:t>
      </w:r>
    </w:p>
    <w:p>
      <w:pPr>
        <w:ind w:firstLine="480"/>
        <w:rPr>
          <w:rFonts w:cs="Times New Roman"/>
          <w:color w:val="auto"/>
        </w:rPr>
      </w:pPr>
      <w:r>
        <w:rPr>
          <w:rFonts w:cs="Times New Roman"/>
          <w:color w:val="auto"/>
        </w:rPr>
        <w:t>其中：n—污水量标准（L/人·d）；</w:t>
      </w:r>
    </w:p>
    <w:p>
      <w:pPr>
        <w:ind w:firstLine="1200" w:firstLineChars="500"/>
        <w:rPr>
          <w:rFonts w:cs="Times New Roman"/>
          <w:color w:val="auto"/>
        </w:rPr>
      </w:pPr>
      <w:r>
        <w:rPr>
          <w:rFonts w:cs="Times New Roman"/>
          <w:color w:val="auto"/>
        </w:rPr>
        <w:t>p—人口密度（人/10</w:t>
      </w:r>
      <w:r>
        <w:rPr>
          <w:rFonts w:cs="Times New Roman"/>
          <w:color w:val="auto"/>
          <w:vertAlign w:val="superscript"/>
        </w:rPr>
        <w:t>4</w:t>
      </w:r>
      <w:r>
        <w:rPr>
          <w:rFonts w:cs="Times New Roman"/>
          <w:color w:val="auto"/>
        </w:rPr>
        <w:t>m</w:t>
      </w:r>
      <w:r>
        <w:rPr>
          <w:rFonts w:cs="Times New Roman"/>
          <w:color w:val="auto"/>
          <w:vertAlign w:val="superscript"/>
        </w:rPr>
        <w:t>2</w:t>
      </w:r>
      <w:r>
        <w:rPr>
          <w:rFonts w:cs="Times New Roman"/>
          <w:color w:val="auto"/>
        </w:rPr>
        <w:t>）。</w:t>
      </w:r>
    </w:p>
    <w:p>
      <w:pPr>
        <w:pStyle w:val="376"/>
      </w:pPr>
      <w:bookmarkStart w:id="216" w:name="_Toc465796223"/>
      <w:r>
        <w:t>（2）水力计算</w:t>
      </w:r>
      <w:bookmarkEnd w:id="216"/>
    </w:p>
    <w:p>
      <w:pPr>
        <w:spacing w:line="240" w:lineRule="auto"/>
        <w:ind w:firstLine="480"/>
        <w:rPr>
          <w:rFonts w:cs="Times New Roman"/>
          <w:color w:val="auto"/>
        </w:rPr>
      </w:pPr>
      <w:r>
        <w:rPr>
          <w:rFonts w:cs="Times New Roman"/>
          <w:color w:val="auto"/>
        </w:rPr>
        <w:t>水流有效断面计算公式：</w:t>
      </w:r>
    </w:p>
    <w:p>
      <w:pPr>
        <w:spacing w:line="240" w:lineRule="auto"/>
        <w:ind w:firstLine="480"/>
        <w:rPr>
          <w:rFonts w:cs="Times New Roman"/>
          <w:color w:val="auto"/>
        </w:rPr>
      </w:pPr>
      <w:r>
        <w:rPr>
          <w:rFonts w:cs="Times New Roman"/>
          <w:color w:val="auto"/>
        </w:rPr>
        <w:object>
          <v:shape id="_x0000_i1027" o:spt="75" type="#_x0000_t75" style="height:23.25pt;width:42pt;" o:ole="t" filled="f" o:preferrelative="t" stroked="f" coordsize="21600,21600">
            <v:path/>
            <v:fill on="f" focussize="0,0"/>
            <v:stroke on="f" joinstyle="miter"/>
            <v:imagedata r:id="rId43" o:title=""/>
            <o:lock v:ext="edit" aspectratio="t"/>
            <w10:wrap type="none"/>
            <w10:anchorlock/>
          </v:shape>
          <o:OLEObject Type="Embed" ProgID="Equation.DSMT4" ShapeID="_x0000_i1027" DrawAspect="Content" ObjectID="_1468075727" r:id="rId42">
            <o:LockedField>false</o:LockedField>
          </o:OLEObject>
        </w:object>
      </w:r>
    </w:p>
    <w:p>
      <w:pPr>
        <w:ind w:firstLine="480"/>
        <w:rPr>
          <w:rFonts w:cs="Times New Roman"/>
          <w:color w:val="auto"/>
        </w:rPr>
      </w:pPr>
      <w:r>
        <w:rPr>
          <w:rFonts w:cs="Times New Roman"/>
          <w:color w:val="auto"/>
        </w:rPr>
        <w:t>式中：A－水流有效断面积，m</w:t>
      </w:r>
      <w:r>
        <w:rPr>
          <w:rFonts w:cs="Times New Roman"/>
          <w:color w:val="auto"/>
          <w:vertAlign w:val="superscript"/>
        </w:rPr>
        <w:t>2</w:t>
      </w:r>
      <w:r>
        <w:rPr>
          <w:rFonts w:cs="Times New Roman"/>
          <w:color w:val="auto"/>
        </w:rPr>
        <w:t>；</w:t>
      </w:r>
    </w:p>
    <w:p>
      <w:pPr>
        <w:ind w:firstLine="1200" w:firstLineChars="500"/>
        <w:rPr>
          <w:rFonts w:cs="Times New Roman"/>
          <w:color w:val="auto"/>
        </w:rPr>
      </w:pPr>
      <w:r>
        <w:rPr>
          <w:rFonts w:cs="Times New Roman"/>
          <w:color w:val="auto"/>
        </w:rPr>
        <w:t>Q－设计流量，m</w:t>
      </w:r>
      <w:r>
        <w:rPr>
          <w:rFonts w:cs="Times New Roman"/>
          <w:color w:val="auto"/>
          <w:vertAlign w:val="superscript"/>
        </w:rPr>
        <w:t>3</w:t>
      </w:r>
      <w:r>
        <w:rPr>
          <w:rFonts w:cs="Times New Roman"/>
          <w:color w:val="auto"/>
        </w:rPr>
        <w:t>/s；</w:t>
      </w:r>
    </w:p>
    <w:p>
      <w:pPr>
        <w:ind w:firstLine="1200" w:firstLineChars="500"/>
        <w:rPr>
          <w:rFonts w:cs="Times New Roman"/>
          <w:color w:val="auto"/>
        </w:rPr>
      </w:pPr>
      <w:r>
        <w:rPr>
          <w:rFonts w:cs="Times New Roman"/>
          <w:color w:val="auto"/>
        </w:rPr>
        <w:t>V－流速，m/s。</w:t>
      </w:r>
    </w:p>
    <w:p>
      <w:pPr>
        <w:spacing w:line="240" w:lineRule="auto"/>
        <w:ind w:firstLine="480"/>
        <w:rPr>
          <w:rFonts w:cs="Times New Roman"/>
          <w:color w:val="auto"/>
        </w:rPr>
      </w:pPr>
      <w:r>
        <w:rPr>
          <w:rFonts w:cs="Times New Roman"/>
          <w:color w:val="auto"/>
        </w:rPr>
        <w:t>流速计算公式：</w:t>
      </w:r>
    </w:p>
    <w:p>
      <w:pPr>
        <w:spacing w:line="240" w:lineRule="auto"/>
        <w:ind w:firstLine="480"/>
        <w:rPr>
          <w:rFonts w:cs="Times New Roman"/>
          <w:color w:val="auto"/>
        </w:rPr>
      </w:pPr>
      <w:r>
        <w:rPr>
          <w:rFonts w:cs="Times New Roman"/>
          <w:color w:val="auto"/>
        </w:rPr>
        <w:object>
          <v:shape id="_x0000_i1028" o:spt="75" type="#_x0000_t75" style="height:24pt;width:69.75pt;" o:ole="t" filled="f" o:preferrelative="t" stroked="f" coordsize="21600,21600">
            <v:path/>
            <v:fill on="f" focussize="0,0"/>
            <v:stroke on="f" joinstyle="miter"/>
            <v:imagedata r:id="rId45" o:title=""/>
            <o:lock v:ext="edit" aspectratio="t"/>
            <w10:wrap type="none"/>
            <w10:anchorlock/>
          </v:shape>
          <o:OLEObject Type="Embed" ProgID="Equation.DSMT4" ShapeID="_x0000_i1028" DrawAspect="Content" ObjectID="_1468075728" r:id="rId44">
            <o:LockedField>false</o:LockedField>
          </o:OLEObject>
        </w:object>
      </w:r>
    </w:p>
    <w:p>
      <w:pPr>
        <w:ind w:firstLine="480"/>
        <w:rPr>
          <w:rFonts w:cs="Times New Roman"/>
          <w:color w:val="auto"/>
        </w:rPr>
      </w:pPr>
      <w:r>
        <w:rPr>
          <w:rFonts w:cs="Times New Roman"/>
          <w:color w:val="auto"/>
        </w:rPr>
        <w:t>式中：n－粗糙系数；</w:t>
      </w:r>
    </w:p>
    <w:p>
      <w:pPr>
        <w:spacing w:line="240" w:lineRule="auto"/>
        <w:ind w:firstLine="1200" w:firstLineChars="500"/>
        <w:rPr>
          <w:rFonts w:cs="Times New Roman"/>
          <w:color w:val="auto"/>
        </w:rPr>
      </w:pPr>
      <w:r>
        <w:rPr>
          <w:rFonts w:cs="Times New Roman"/>
          <w:color w:val="auto"/>
        </w:rPr>
        <w:t>R－水力半径，m，</w:t>
      </w:r>
    </w:p>
    <w:p>
      <w:pPr>
        <w:spacing w:line="240" w:lineRule="auto"/>
        <w:ind w:firstLine="1200" w:firstLineChars="500"/>
        <w:rPr>
          <w:rFonts w:cs="Times New Roman"/>
          <w:color w:val="auto"/>
        </w:rPr>
      </w:pPr>
      <w:r>
        <w:rPr>
          <w:rFonts w:cs="Times New Roman"/>
          <w:color w:val="auto"/>
        </w:rPr>
        <w:object>
          <v:shape id="_x0000_i1029" o:spt="75" type="#_x0000_t75" style="height:22.5pt;width:34.5pt;" o:ole="t" filled="f" o:preferrelative="t" stroked="f" coordsize="21600,21600">
            <v:path/>
            <v:fill on="f" focussize="0,0"/>
            <v:stroke on="f" joinstyle="miter"/>
            <v:imagedata r:id="rId47" o:title=""/>
            <o:lock v:ext="edit" aspectratio="t"/>
            <w10:wrap type="none"/>
            <w10:anchorlock/>
          </v:shape>
          <o:OLEObject Type="Embed" ProgID="Equation.DSMT4" ShapeID="_x0000_i1029" DrawAspect="Content" ObjectID="_1468075729" r:id="rId46">
            <o:LockedField>false</o:LockedField>
          </o:OLEObject>
        </w:object>
      </w:r>
      <w:r>
        <w:rPr>
          <w:rFonts w:cs="Times New Roman"/>
          <w:color w:val="auto"/>
        </w:rPr>
        <w:t>，P为湿周，m；</w:t>
      </w:r>
    </w:p>
    <w:p>
      <w:pPr>
        <w:ind w:firstLine="1200" w:firstLineChars="500"/>
        <w:rPr>
          <w:rFonts w:cs="Times New Roman"/>
          <w:color w:val="auto"/>
        </w:rPr>
      </w:pPr>
      <w:r>
        <w:rPr>
          <w:rFonts w:cs="Times New Roman"/>
          <w:color w:val="auto"/>
        </w:rPr>
        <w:t>i－水力坡降。</w:t>
      </w:r>
    </w:p>
    <w:p>
      <w:pPr>
        <w:pStyle w:val="5"/>
      </w:pPr>
      <w:bookmarkStart w:id="217" w:name="_Toc465796224"/>
      <w:bookmarkStart w:id="218" w:name="_Toc48640752"/>
      <w:bookmarkStart w:id="219" w:name="_Toc36126945"/>
      <w:r>
        <w:t>管道参数</w:t>
      </w:r>
      <w:bookmarkEnd w:id="217"/>
      <w:bookmarkEnd w:id="218"/>
      <w:bookmarkEnd w:id="219"/>
    </w:p>
    <w:p>
      <w:pPr>
        <w:ind w:firstLine="480"/>
        <w:rPr>
          <w:rFonts w:cs="Times New Roman"/>
          <w:color w:val="auto"/>
        </w:rPr>
      </w:pPr>
      <w:r>
        <w:rPr>
          <w:rFonts w:cs="Times New Roman"/>
          <w:color w:val="auto"/>
        </w:rPr>
        <w:t>1、管道参数计算过程：</w:t>
      </w:r>
    </w:p>
    <w:p>
      <w:pPr>
        <w:ind w:firstLine="480"/>
        <w:rPr>
          <w:rFonts w:cs="Times New Roman"/>
          <w:color w:val="auto"/>
        </w:rPr>
      </w:pPr>
      <w:r>
        <w:rPr>
          <w:rFonts w:cs="Times New Roman"/>
          <w:color w:val="auto"/>
        </w:rPr>
        <w:t>（1）确定计算管段的服务面积、人口及接入该管段的生活污水与畜禽废水量，确定总变化系数；</w:t>
      </w:r>
    </w:p>
    <w:p>
      <w:pPr>
        <w:ind w:firstLine="480"/>
        <w:rPr>
          <w:rFonts w:cs="Times New Roman"/>
          <w:color w:val="auto"/>
        </w:rPr>
      </w:pPr>
      <w:r>
        <w:rPr>
          <w:rFonts w:cs="Times New Roman"/>
          <w:color w:val="auto"/>
        </w:rPr>
        <w:t>（2）根据地形确定管段纵向坡度；</w:t>
      </w:r>
    </w:p>
    <w:p>
      <w:pPr>
        <w:ind w:firstLine="480"/>
        <w:rPr>
          <w:rFonts w:cs="Times New Roman"/>
          <w:color w:val="auto"/>
        </w:rPr>
      </w:pPr>
      <w:r>
        <w:rPr>
          <w:rFonts w:cs="Times New Roman"/>
          <w:color w:val="auto"/>
        </w:rPr>
        <w:t>（3）查水力计算表，确定管径、流速等参数。</w:t>
      </w:r>
    </w:p>
    <w:p>
      <w:pPr>
        <w:ind w:firstLine="480"/>
        <w:rPr>
          <w:rFonts w:cs="Times New Roman"/>
          <w:color w:val="auto"/>
        </w:rPr>
      </w:pPr>
      <w:r>
        <w:rPr>
          <w:rFonts w:cs="Times New Roman"/>
          <w:color w:val="auto"/>
        </w:rPr>
        <w:t>2、参数确定</w:t>
      </w:r>
    </w:p>
    <w:p>
      <w:pPr>
        <w:ind w:firstLine="480"/>
        <w:rPr>
          <w:rFonts w:cs="Times New Roman"/>
          <w:color w:val="auto"/>
        </w:rPr>
      </w:pPr>
      <w:r>
        <w:rPr>
          <w:rFonts w:cs="Times New Roman"/>
          <w:color w:val="auto"/>
        </w:rPr>
        <w:t>（1）污水管道按非满流计算，最大充满度见表6.1-</w:t>
      </w:r>
      <w:r>
        <w:rPr>
          <w:rFonts w:hint="eastAsia" w:cs="Times New Roman"/>
          <w:color w:val="auto"/>
        </w:rPr>
        <w:t>2</w:t>
      </w:r>
      <w:r>
        <w:rPr>
          <w:rFonts w:cs="Times New Roman"/>
          <w:color w:val="auto"/>
        </w:rPr>
        <w:t>：</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管道最大设计充满度</w:t>
      </w:r>
    </w:p>
    <w:tbl>
      <w:tblPr>
        <w:tblStyle w:val="89"/>
        <w:tblW w:w="47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1823"/>
        <w:gridCol w:w="1787"/>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34" w:type="pct"/>
            <w:vAlign w:val="center"/>
          </w:tcPr>
          <w:p>
            <w:pPr>
              <w:pStyle w:val="108"/>
              <w:ind w:firstLine="0" w:firstLineChars="0"/>
              <w:jc w:val="center"/>
              <w:rPr>
                <w:color w:val="auto"/>
                <w:kern w:val="0"/>
                <w:sz w:val="20"/>
                <w:szCs w:val="20"/>
              </w:rPr>
            </w:pPr>
            <w:r>
              <w:rPr>
                <w:color w:val="auto"/>
                <w:kern w:val="0"/>
                <w:sz w:val="20"/>
                <w:szCs w:val="20"/>
              </w:rPr>
              <w:t>管径DN（mm）</w:t>
            </w:r>
          </w:p>
        </w:tc>
        <w:tc>
          <w:tcPr>
            <w:tcW w:w="1070" w:type="pct"/>
            <w:vAlign w:val="center"/>
          </w:tcPr>
          <w:p>
            <w:pPr>
              <w:pStyle w:val="108"/>
              <w:ind w:firstLine="0" w:firstLineChars="0"/>
              <w:jc w:val="center"/>
              <w:rPr>
                <w:color w:val="auto"/>
                <w:kern w:val="0"/>
                <w:sz w:val="20"/>
                <w:szCs w:val="20"/>
              </w:rPr>
            </w:pPr>
            <w:r>
              <w:rPr>
                <w:color w:val="auto"/>
                <w:kern w:val="0"/>
                <w:sz w:val="20"/>
                <w:szCs w:val="20"/>
              </w:rPr>
              <w:t>200~300</w:t>
            </w:r>
          </w:p>
        </w:tc>
        <w:tc>
          <w:tcPr>
            <w:tcW w:w="1049" w:type="pct"/>
            <w:vAlign w:val="center"/>
          </w:tcPr>
          <w:p>
            <w:pPr>
              <w:pStyle w:val="108"/>
              <w:ind w:firstLine="0" w:firstLineChars="0"/>
              <w:jc w:val="center"/>
              <w:rPr>
                <w:color w:val="auto"/>
                <w:kern w:val="0"/>
                <w:sz w:val="20"/>
                <w:szCs w:val="20"/>
              </w:rPr>
            </w:pPr>
            <w:r>
              <w:rPr>
                <w:color w:val="auto"/>
                <w:kern w:val="0"/>
                <w:sz w:val="20"/>
                <w:szCs w:val="20"/>
              </w:rPr>
              <w:t>350~450</w:t>
            </w:r>
          </w:p>
        </w:tc>
        <w:tc>
          <w:tcPr>
            <w:tcW w:w="1047" w:type="pct"/>
            <w:vAlign w:val="center"/>
          </w:tcPr>
          <w:p>
            <w:pPr>
              <w:pStyle w:val="108"/>
              <w:ind w:firstLine="0" w:firstLineChars="0"/>
              <w:jc w:val="center"/>
              <w:rPr>
                <w:color w:val="auto"/>
                <w:kern w:val="0"/>
                <w:sz w:val="20"/>
                <w:szCs w:val="20"/>
              </w:rPr>
            </w:pPr>
            <w:r>
              <w:rPr>
                <w:color w:val="auto"/>
                <w:kern w:val="0"/>
                <w:sz w:val="20"/>
                <w:szCs w:val="20"/>
              </w:rPr>
              <w:t>500~900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34" w:type="pct"/>
            <w:vAlign w:val="center"/>
          </w:tcPr>
          <w:p>
            <w:pPr>
              <w:pStyle w:val="108"/>
              <w:ind w:firstLine="0" w:firstLineChars="0"/>
              <w:jc w:val="center"/>
              <w:rPr>
                <w:color w:val="auto"/>
                <w:kern w:val="0"/>
                <w:sz w:val="20"/>
                <w:szCs w:val="20"/>
              </w:rPr>
            </w:pPr>
            <w:r>
              <w:rPr>
                <w:color w:val="auto"/>
                <w:kern w:val="0"/>
                <w:sz w:val="20"/>
                <w:szCs w:val="20"/>
              </w:rPr>
              <w:t>设计最大充满度（h/D）</w:t>
            </w:r>
          </w:p>
        </w:tc>
        <w:tc>
          <w:tcPr>
            <w:tcW w:w="1070" w:type="pct"/>
            <w:vAlign w:val="center"/>
          </w:tcPr>
          <w:p>
            <w:pPr>
              <w:pStyle w:val="108"/>
              <w:ind w:firstLine="0" w:firstLineChars="0"/>
              <w:jc w:val="center"/>
              <w:rPr>
                <w:color w:val="auto"/>
                <w:kern w:val="0"/>
                <w:sz w:val="20"/>
                <w:szCs w:val="20"/>
              </w:rPr>
            </w:pPr>
            <w:r>
              <w:rPr>
                <w:color w:val="auto"/>
                <w:kern w:val="0"/>
                <w:sz w:val="20"/>
                <w:szCs w:val="20"/>
              </w:rPr>
              <w:t>0.6</w:t>
            </w:r>
          </w:p>
        </w:tc>
        <w:tc>
          <w:tcPr>
            <w:tcW w:w="1049" w:type="pct"/>
            <w:vAlign w:val="center"/>
          </w:tcPr>
          <w:p>
            <w:pPr>
              <w:pStyle w:val="108"/>
              <w:ind w:firstLine="0" w:firstLineChars="0"/>
              <w:jc w:val="center"/>
              <w:rPr>
                <w:color w:val="auto"/>
                <w:kern w:val="0"/>
                <w:sz w:val="20"/>
                <w:szCs w:val="20"/>
              </w:rPr>
            </w:pPr>
            <w:r>
              <w:rPr>
                <w:color w:val="auto"/>
                <w:kern w:val="0"/>
                <w:sz w:val="20"/>
                <w:szCs w:val="20"/>
              </w:rPr>
              <w:t>0.7</w:t>
            </w:r>
          </w:p>
        </w:tc>
        <w:tc>
          <w:tcPr>
            <w:tcW w:w="1047" w:type="pct"/>
            <w:vAlign w:val="center"/>
          </w:tcPr>
          <w:p>
            <w:pPr>
              <w:pStyle w:val="108"/>
              <w:ind w:firstLine="0" w:firstLineChars="0"/>
              <w:jc w:val="center"/>
              <w:rPr>
                <w:color w:val="auto"/>
                <w:kern w:val="0"/>
                <w:sz w:val="20"/>
                <w:szCs w:val="20"/>
              </w:rPr>
            </w:pPr>
            <w:r>
              <w:rPr>
                <w:color w:val="auto"/>
                <w:kern w:val="0"/>
                <w:sz w:val="20"/>
                <w:szCs w:val="20"/>
              </w:rPr>
              <w:t>0.75</w:t>
            </w:r>
          </w:p>
        </w:tc>
      </w:tr>
    </w:tbl>
    <w:p>
      <w:pPr>
        <w:ind w:firstLine="480"/>
        <w:rPr>
          <w:rFonts w:cs="Times New Roman"/>
          <w:color w:val="auto"/>
        </w:rPr>
      </w:pPr>
      <w:r>
        <w:rPr>
          <w:rFonts w:cs="Times New Roman"/>
          <w:color w:val="auto"/>
        </w:rPr>
        <w:t>（2）管道最小设计坡度，排水管尽量与道路坡度相同，最小管道坡度见下表：</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管道最小坡度</w:t>
      </w:r>
    </w:p>
    <w:tbl>
      <w:tblPr>
        <w:tblStyle w:val="89"/>
        <w:tblW w:w="46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2261"/>
        <w:gridCol w:w="178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52" w:type="pct"/>
            <w:vAlign w:val="center"/>
          </w:tcPr>
          <w:p>
            <w:pPr>
              <w:pStyle w:val="114"/>
              <w:rPr>
                <w:b/>
                <w:kern w:val="0"/>
              </w:rPr>
            </w:pPr>
            <w:r>
              <w:rPr>
                <w:b/>
                <w:kern w:val="0"/>
              </w:rPr>
              <w:t>管径（mm）</w:t>
            </w:r>
          </w:p>
        </w:tc>
        <w:tc>
          <w:tcPr>
            <w:tcW w:w="1338" w:type="pct"/>
            <w:vAlign w:val="center"/>
          </w:tcPr>
          <w:p>
            <w:pPr>
              <w:pStyle w:val="114"/>
              <w:rPr>
                <w:b/>
                <w:kern w:val="0"/>
              </w:rPr>
            </w:pPr>
            <w:r>
              <w:rPr>
                <w:b/>
                <w:kern w:val="0"/>
              </w:rPr>
              <w:t>最小坡度（‰）</w:t>
            </w:r>
          </w:p>
        </w:tc>
        <w:tc>
          <w:tcPr>
            <w:tcW w:w="1057" w:type="pct"/>
            <w:vAlign w:val="center"/>
          </w:tcPr>
          <w:p>
            <w:pPr>
              <w:pStyle w:val="114"/>
              <w:rPr>
                <w:b/>
                <w:kern w:val="0"/>
              </w:rPr>
            </w:pPr>
            <w:r>
              <w:rPr>
                <w:b/>
                <w:kern w:val="0"/>
              </w:rPr>
              <w:t>管径（mm）</w:t>
            </w:r>
          </w:p>
        </w:tc>
        <w:tc>
          <w:tcPr>
            <w:tcW w:w="1253" w:type="pct"/>
            <w:vAlign w:val="center"/>
          </w:tcPr>
          <w:p>
            <w:pPr>
              <w:pStyle w:val="114"/>
              <w:rPr>
                <w:b/>
                <w:kern w:val="0"/>
              </w:rPr>
            </w:pPr>
            <w:r>
              <w:rPr>
                <w:b/>
                <w:kern w:val="0"/>
              </w:rPr>
              <w:t>最小坡度（‰）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52" w:type="pct"/>
            <w:vAlign w:val="center"/>
          </w:tcPr>
          <w:p>
            <w:pPr>
              <w:pStyle w:val="114"/>
              <w:rPr>
                <w:kern w:val="0"/>
              </w:rPr>
            </w:pPr>
            <w:r>
              <w:rPr>
                <w:kern w:val="0"/>
              </w:rPr>
              <w:t>300</w:t>
            </w:r>
          </w:p>
        </w:tc>
        <w:tc>
          <w:tcPr>
            <w:tcW w:w="1338" w:type="pct"/>
            <w:vAlign w:val="center"/>
          </w:tcPr>
          <w:p>
            <w:pPr>
              <w:pStyle w:val="114"/>
              <w:rPr>
                <w:kern w:val="0"/>
              </w:rPr>
            </w:pPr>
            <w:r>
              <w:rPr>
                <w:kern w:val="0"/>
              </w:rPr>
              <w:t>塑料管2，其他管3</w:t>
            </w:r>
          </w:p>
        </w:tc>
        <w:tc>
          <w:tcPr>
            <w:tcW w:w="1057" w:type="pct"/>
            <w:vAlign w:val="center"/>
          </w:tcPr>
          <w:p>
            <w:pPr>
              <w:pStyle w:val="114"/>
              <w:rPr>
                <w:kern w:val="0"/>
              </w:rPr>
            </w:pPr>
            <w:r>
              <w:rPr>
                <w:kern w:val="0"/>
              </w:rPr>
              <w:t>1000</w:t>
            </w:r>
          </w:p>
        </w:tc>
        <w:tc>
          <w:tcPr>
            <w:tcW w:w="1253" w:type="pct"/>
            <w:vAlign w:val="center"/>
          </w:tcPr>
          <w:p>
            <w:pPr>
              <w:pStyle w:val="114"/>
              <w:rPr>
                <w:kern w:val="0"/>
              </w:rPr>
            </w:pPr>
            <w:r>
              <w:rPr>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52" w:type="pct"/>
            <w:vAlign w:val="center"/>
          </w:tcPr>
          <w:p>
            <w:pPr>
              <w:pStyle w:val="114"/>
              <w:rPr>
                <w:kern w:val="0"/>
              </w:rPr>
            </w:pPr>
            <w:r>
              <w:rPr>
                <w:kern w:val="0"/>
              </w:rPr>
              <w:t>400</w:t>
            </w:r>
          </w:p>
        </w:tc>
        <w:tc>
          <w:tcPr>
            <w:tcW w:w="1338" w:type="pct"/>
            <w:vAlign w:val="center"/>
          </w:tcPr>
          <w:p>
            <w:pPr>
              <w:pStyle w:val="114"/>
              <w:rPr>
                <w:kern w:val="0"/>
              </w:rPr>
            </w:pPr>
            <w:r>
              <w:rPr>
                <w:kern w:val="0"/>
              </w:rPr>
              <w:t>2.22</w:t>
            </w:r>
          </w:p>
        </w:tc>
        <w:tc>
          <w:tcPr>
            <w:tcW w:w="1057" w:type="pct"/>
            <w:vAlign w:val="center"/>
          </w:tcPr>
          <w:p>
            <w:pPr>
              <w:pStyle w:val="114"/>
              <w:rPr>
                <w:kern w:val="0"/>
              </w:rPr>
            </w:pPr>
            <w:r>
              <w:rPr>
                <w:kern w:val="0"/>
              </w:rPr>
              <w:t>1200</w:t>
            </w:r>
          </w:p>
        </w:tc>
        <w:tc>
          <w:tcPr>
            <w:tcW w:w="1253" w:type="pct"/>
            <w:vAlign w:val="center"/>
          </w:tcPr>
          <w:p>
            <w:pPr>
              <w:pStyle w:val="114"/>
              <w:rPr>
                <w:kern w:val="0"/>
              </w:rPr>
            </w:pPr>
            <w:r>
              <w:rPr>
                <w:kern w:val="0"/>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52" w:type="pct"/>
            <w:vAlign w:val="center"/>
          </w:tcPr>
          <w:p>
            <w:pPr>
              <w:pStyle w:val="114"/>
              <w:rPr>
                <w:kern w:val="0"/>
              </w:rPr>
            </w:pPr>
            <w:r>
              <w:rPr>
                <w:kern w:val="0"/>
              </w:rPr>
              <w:t>500</w:t>
            </w:r>
          </w:p>
        </w:tc>
        <w:tc>
          <w:tcPr>
            <w:tcW w:w="1338" w:type="pct"/>
            <w:vAlign w:val="center"/>
          </w:tcPr>
          <w:p>
            <w:pPr>
              <w:pStyle w:val="114"/>
              <w:rPr>
                <w:kern w:val="0"/>
              </w:rPr>
            </w:pPr>
            <w:r>
              <w:rPr>
                <w:kern w:val="0"/>
              </w:rPr>
              <w:t>1.67</w:t>
            </w:r>
          </w:p>
        </w:tc>
        <w:tc>
          <w:tcPr>
            <w:tcW w:w="1057" w:type="pct"/>
            <w:vAlign w:val="center"/>
          </w:tcPr>
          <w:p>
            <w:pPr>
              <w:pStyle w:val="114"/>
              <w:rPr>
                <w:kern w:val="0"/>
              </w:rPr>
            </w:pPr>
            <w:r>
              <w:rPr>
                <w:kern w:val="0"/>
              </w:rPr>
              <w:t>1350</w:t>
            </w:r>
          </w:p>
        </w:tc>
        <w:tc>
          <w:tcPr>
            <w:tcW w:w="1253" w:type="pct"/>
            <w:vAlign w:val="center"/>
          </w:tcPr>
          <w:p>
            <w:pPr>
              <w:pStyle w:val="114"/>
              <w:rPr>
                <w:kern w:val="0"/>
              </w:rPr>
            </w:pPr>
            <w:r>
              <w:rPr>
                <w:kern w:val="0"/>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52" w:type="pct"/>
            <w:vAlign w:val="center"/>
          </w:tcPr>
          <w:p>
            <w:pPr>
              <w:pStyle w:val="114"/>
              <w:rPr>
                <w:kern w:val="0"/>
              </w:rPr>
            </w:pPr>
            <w:r>
              <w:rPr>
                <w:kern w:val="0"/>
              </w:rPr>
              <w:t>600</w:t>
            </w:r>
          </w:p>
        </w:tc>
        <w:tc>
          <w:tcPr>
            <w:tcW w:w="1338" w:type="pct"/>
            <w:vAlign w:val="center"/>
          </w:tcPr>
          <w:p>
            <w:pPr>
              <w:pStyle w:val="114"/>
              <w:rPr>
                <w:kern w:val="0"/>
              </w:rPr>
            </w:pPr>
            <w:r>
              <w:rPr>
                <w:kern w:val="0"/>
              </w:rPr>
              <w:t>1.25</w:t>
            </w:r>
          </w:p>
        </w:tc>
        <w:tc>
          <w:tcPr>
            <w:tcW w:w="1057" w:type="pct"/>
            <w:vAlign w:val="center"/>
          </w:tcPr>
          <w:p>
            <w:pPr>
              <w:pStyle w:val="114"/>
              <w:rPr>
                <w:kern w:val="0"/>
              </w:rPr>
            </w:pPr>
            <w:r>
              <w:rPr>
                <w:kern w:val="0"/>
              </w:rPr>
              <w:t>1500</w:t>
            </w:r>
          </w:p>
        </w:tc>
        <w:tc>
          <w:tcPr>
            <w:tcW w:w="1253" w:type="pct"/>
            <w:vAlign w:val="center"/>
          </w:tcPr>
          <w:p>
            <w:pPr>
              <w:pStyle w:val="114"/>
              <w:rPr>
                <w:kern w:val="0"/>
              </w:rPr>
            </w:pPr>
            <w:r>
              <w:rPr>
                <w:kern w:val="0"/>
              </w:rPr>
              <w:t>0.7</w:t>
            </w:r>
          </w:p>
        </w:tc>
      </w:tr>
    </w:tbl>
    <w:p>
      <w:pPr>
        <w:pStyle w:val="112"/>
        <w:rPr>
          <w:color w:val="auto"/>
        </w:rPr>
      </w:pPr>
    </w:p>
    <w:p>
      <w:pPr>
        <w:ind w:firstLine="480"/>
        <w:rPr>
          <w:rFonts w:cs="Times New Roman"/>
          <w:color w:val="auto"/>
          <w:kern w:val="0"/>
        </w:rPr>
      </w:pPr>
      <w:r>
        <w:rPr>
          <w:rFonts w:cs="Times New Roman"/>
          <w:color w:val="auto"/>
          <w:kern w:val="0"/>
        </w:rPr>
        <w:t>（3）设计流速</w:t>
      </w:r>
    </w:p>
    <w:p>
      <w:pPr>
        <w:ind w:firstLine="480"/>
        <w:rPr>
          <w:rFonts w:cs="Times New Roman"/>
          <w:color w:val="auto"/>
          <w:kern w:val="0"/>
        </w:rPr>
      </w:pPr>
      <w:r>
        <w:rPr>
          <w:rFonts w:cs="Times New Roman"/>
          <w:color w:val="auto"/>
          <w:kern w:val="0"/>
        </w:rPr>
        <w:t>最大设计流速为5m/s，最小流速为0.6m/s。本工程最大设计流速4.5m/s，设计充满度下的最小流速1.1m/s。</w:t>
      </w:r>
    </w:p>
    <w:p>
      <w:pPr>
        <w:ind w:firstLine="480"/>
        <w:rPr>
          <w:rFonts w:cs="Times New Roman"/>
          <w:color w:val="auto"/>
          <w:kern w:val="0"/>
        </w:rPr>
      </w:pPr>
      <w:r>
        <w:rPr>
          <w:rFonts w:cs="Times New Roman"/>
          <w:color w:val="auto"/>
        </w:rPr>
        <w:t>合流制管道按满流计算，并校核旱季流量时管道流速不小于0.2～0.5m/s。</w:t>
      </w:r>
      <w:r>
        <w:rPr>
          <w:rFonts w:cs="Times New Roman"/>
          <w:color w:val="auto"/>
          <w:kern w:val="0"/>
        </w:rPr>
        <w:t>（6）最小管径</w:t>
      </w:r>
    </w:p>
    <w:p>
      <w:pPr>
        <w:ind w:firstLine="480"/>
        <w:rPr>
          <w:rFonts w:cs="Times New Roman"/>
          <w:color w:val="auto"/>
          <w:kern w:val="0"/>
        </w:rPr>
      </w:pPr>
      <w:r>
        <w:rPr>
          <w:rFonts w:cs="Times New Roman"/>
          <w:color w:val="auto"/>
          <w:kern w:val="0"/>
        </w:rPr>
        <w:t>（4）设计埋深</w:t>
      </w:r>
    </w:p>
    <w:p>
      <w:pPr>
        <w:ind w:firstLine="480"/>
        <w:rPr>
          <w:rFonts w:cs="Times New Roman"/>
          <w:color w:val="auto"/>
          <w:kern w:val="0"/>
        </w:rPr>
      </w:pPr>
      <w:r>
        <w:rPr>
          <w:rFonts w:cs="Times New Roman"/>
          <w:color w:val="auto"/>
          <w:kern w:val="0"/>
        </w:rPr>
        <w:t>管道的埋深满足冰冻和冻土、地面荷载、街区连接管衔接等三个因素的要求。因不存在冻土现象，因此在设计埋深时，不考虑冻土因素。</w:t>
      </w:r>
    </w:p>
    <w:p>
      <w:pPr>
        <w:ind w:firstLine="480"/>
        <w:rPr>
          <w:rFonts w:cs="Times New Roman"/>
          <w:color w:val="auto"/>
          <w:kern w:val="0"/>
        </w:rPr>
      </w:pPr>
      <w:r>
        <w:rPr>
          <w:rFonts w:cs="Times New Roman"/>
          <w:color w:val="auto"/>
          <w:kern w:val="0"/>
        </w:rPr>
        <w:t>根据现行《室外排水设计规范》的规定，对于污水管道，在车行道下时，管顶最小覆土不小于0.7m</w:t>
      </w:r>
      <w:r>
        <w:rPr>
          <w:rFonts w:hint="eastAsia" w:cs="Times New Roman"/>
          <w:color w:val="auto"/>
          <w:kern w:val="0"/>
        </w:rPr>
        <w:t>；庭院内入户管道埋深不小于0.3m</w:t>
      </w:r>
      <w:r>
        <w:rPr>
          <w:rFonts w:cs="Times New Roman"/>
          <w:color w:val="auto"/>
          <w:kern w:val="0"/>
        </w:rPr>
        <w:t>。</w:t>
      </w:r>
    </w:p>
    <w:p>
      <w:pPr>
        <w:ind w:firstLine="480"/>
        <w:rPr>
          <w:rFonts w:cs="Times New Roman"/>
          <w:color w:val="auto"/>
          <w:kern w:val="0"/>
        </w:rPr>
      </w:pPr>
      <w:r>
        <w:rPr>
          <w:rFonts w:cs="Times New Roman"/>
          <w:color w:val="auto"/>
          <w:kern w:val="0"/>
        </w:rPr>
        <w:t>（5）检查井间距</w:t>
      </w:r>
    </w:p>
    <w:p>
      <w:pPr>
        <w:ind w:firstLine="480"/>
        <w:rPr>
          <w:rFonts w:cs="Times New Roman"/>
          <w:color w:val="auto"/>
          <w:kern w:val="0"/>
        </w:rPr>
      </w:pPr>
      <w:r>
        <w:rPr>
          <w:rFonts w:cs="Times New Roman"/>
          <w:color w:val="auto"/>
          <w:kern w:val="0"/>
        </w:rPr>
        <w:t>在管渠交汇、转弯、管渠尺寸或坡度改变等处以及相隔一定距离的直线管渠段上应设检查井，检查井井底材料采用低标号混凝土，井底设沉泥槽。检查井设置间距见表</w:t>
      </w:r>
      <w:r>
        <w:rPr>
          <w:rFonts w:hint="eastAsia" w:cs="Times New Roman"/>
          <w:color w:val="auto"/>
          <w:kern w:val="0"/>
        </w:rPr>
        <w:t>6.1-4</w:t>
      </w:r>
      <w:r>
        <w:rPr>
          <w:rFonts w:cs="Times New Roman"/>
          <w:color w:val="auto"/>
          <w:kern w:val="0"/>
        </w:rPr>
        <w:t>。</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color w:val="auto"/>
        </w:rPr>
        <w:t xml:space="preserve"> 检查井的设置间距</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3001"/>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18" w:type="dxa"/>
            <w:vMerge w:val="restart"/>
            <w:vAlign w:val="center"/>
          </w:tcPr>
          <w:p>
            <w:pPr>
              <w:pStyle w:val="114"/>
              <w:rPr>
                <w:b/>
                <w:kern w:val="0"/>
              </w:rPr>
            </w:pPr>
            <w:r>
              <w:rPr>
                <w:b/>
                <w:kern w:val="0"/>
              </w:rPr>
              <w:t>管径或暗渠净高（mm）</w:t>
            </w:r>
          </w:p>
        </w:tc>
        <w:tc>
          <w:tcPr>
            <w:tcW w:w="5387" w:type="dxa"/>
            <w:gridSpan w:val="2"/>
            <w:vAlign w:val="center"/>
          </w:tcPr>
          <w:p>
            <w:pPr>
              <w:pStyle w:val="114"/>
              <w:rPr>
                <w:b/>
                <w:kern w:val="0"/>
              </w:rPr>
            </w:pPr>
            <w:r>
              <w:rPr>
                <w:b/>
                <w:kern w:val="0"/>
              </w:rPr>
              <w:t>最大间距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518" w:type="dxa"/>
            <w:vMerge w:val="continue"/>
            <w:vAlign w:val="center"/>
          </w:tcPr>
          <w:p>
            <w:pPr>
              <w:pStyle w:val="114"/>
              <w:rPr>
                <w:b/>
                <w:kern w:val="0"/>
              </w:rPr>
            </w:pPr>
          </w:p>
        </w:tc>
        <w:tc>
          <w:tcPr>
            <w:tcW w:w="3001" w:type="dxa"/>
            <w:vAlign w:val="center"/>
          </w:tcPr>
          <w:p>
            <w:pPr>
              <w:pStyle w:val="114"/>
              <w:rPr>
                <w:b/>
                <w:kern w:val="0"/>
              </w:rPr>
            </w:pPr>
            <w:r>
              <w:rPr>
                <w:b/>
                <w:kern w:val="0"/>
              </w:rPr>
              <w:t>污水管道</w:t>
            </w:r>
          </w:p>
        </w:tc>
        <w:tc>
          <w:tcPr>
            <w:tcW w:w="2386" w:type="dxa"/>
            <w:vAlign w:val="center"/>
          </w:tcPr>
          <w:p>
            <w:pPr>
              <w:pStyle w:val="114"/>
              <w:rPr>
                <w:b/>
                <w:kern w:val="0"/>
              </w:rPr>
            </w:pPr>
            <w:r>
              <w:rPr>
                <w:b/>
                <w:kern w:val="0"/>
              </w:rPr>
              <w:t>雨污合流管道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&lt;300</w:t>
            </w:r>
          </w:p>
        </w:tc>
        <w:tc>
          <w:tcPr>
            <w:tcW w:w="3001" w:type="dxa"/>
            <w:vAlign w:val="center"/>
          </w:tcPr>
          <w:p>
            <w:pPr>
              <w:pStyle w:val="114"/>
              <w:rPr>
                <w:kern w:val="0"/>
              </w:rPr>
            </w:pPr>
            <w:r>
              <w:rPr>
                <w:kern w:val="0"/>
              </w:rPr>
              <w:t>30</w:t>
            </w:r>
          </w:p>
        </w:tc>
        <w:tc>
          <w:tcPr>
            <w:tcW w:w="2386" w:type="dxa"/>
            <w:vAlign w:val="center"/>
          </w:tcPr>
          <w:p>
            <w:pPr>
              <w:pStyle w:val="114"/>
              <w:rPr>
                <w:kern w:val="0"/>
              </w:rPr>
            </w:pP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300</w:t>
            </w:r>
          </w:p>
        </w:tc>
        <w:tc>
          <w:tcPr>
            <w:tcW w:w="3001" w:type="dxa"/>
            <w:vAlign w:val="center"/>
          </w:tcPr>
          <w:p>
            <w:pPr>
              <w:pStyle w:val="114"/>
              <w:rPr>
                <w:kern w:val="0"/>
              </w:rPr>
            </w:pPr>
            <w:r>
              <w:rPr>
                <w:kern w:val="0"/>
              </w:rPr>
              <w:t>30</w:t>
            </w:r>
          </w:p>
        </w:tc>
        <w:tc>
          <w:tcPr>
            <w:tcW w:w="2386" w:type="dxa"/>
            <w:vAlign w:val="center"/>
          </w:tcPr>
          <w:p>
            <w:pPr>
              <w:pStyle w:val="114"/>
              <w:rPr>
                <w:kern w:val="0"/>
              </w:rPr>
            </w:pPr>
            <w:r>
              <w:rPr>
                <w:kern w:val="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400</w:t>
            </w:r>
          </w:p>
        </w:tc>
        <w:tc>
          <w:tcPr>
            <w:tcW w:w="3001" w:type="dxa"/>
            <w:vAlign w:val="center"/>
          </w:tcPr>
          <w:p>
            <w:pPr>
              <w:pStyle w:val="114"/>
              <w:rPr>
                <w:kern w:val="0"/>
              </w:rPr>
            </w:pPr>
            <w:r>
              <w:rPr>
                <w:kern w:val="0"/>
              </w:rPr>
              <w:t>40</w:t>
            </w:r>
          </w:p>
        </w:tc>
        <w:tc>
          <w:tcPr>
            <w:tcW w:w="2386" w:type="dxa"/>
            <w:vAlign w:val="center"/>
          </w:tcPr>
          <w:p>
            <w:pPr>
              <w:pStyle w:val="114"/>
              <w:rPr>
                <w:kern w:val="0"/>
              </w:rPr>
            </w:pPr>
            <w:r>
              <w:rPr>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500-700</w:t>
            </w:r>
          </w:p>
        </w:tc>
        <w:tc>
          <w:tcPr>
            <w:tcW w:w="3001" w:type="dxa"/>
            <w:vAlign w:val="center"/>
          </w:tcPr>
          <w:p>
            <w:pPr>
              <w:pStyle w:val="114"/>
              <w:rPr>
                <w:kern w:val="0"/>
              </w:rPr>
            </w:pPr>
            <w:r>
              <w:rPr>
                <w:kern w:val="0"/>
              </w:rPr>
              <w:t>60</w:t>
            </w:r>
          </w:p>
        </w:tc>
        <w:tc>
          <w:tcPr>
            <w:tcW w:w="2386" w:type="dxa"/>
            <w:vAlign w:val="center"/>
          </w:tcPr>
          <w:p>
            <w:pPr>
              <w:pStyle w:val="114"/>
              <w:rPr>
                <w:kern w:val="0"/>
              </w:rPr>
            </w:pPr>
            <w:r>
              <w:rPr>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800-1000</w:t>
            </w:r>
          </w:p>
        </w:tc>
        <w:tc>
          <w:tcPr>
            <w:tcW w:w="3001" w:type="dxa"/>
            <w:vAlign w:val="center"/>
          </w:tcPr>
          <w:p>
            <w:pPr>
              <w:pStyle w:val="114"/>
              <w:rPr>
                <w:kern w:val="0"/>
              </w:rPr>
            </w:pPr>
            <w:r>
              <w:rPr>
                <w:kern w:val="0"/>
              </w:rPr>
              <w:t>80</w:t>
            </w:r>
          </w:p>
        </w:tc>
        <w:tc>
          <w:tcPr>
            <w:tcW w:w="2386" w:type="dxa"/>
            <w:vAlign w:val="center"/>
          </w:tcPr>
          <w:p>
            <w:pPr>
              <w:pStyle w:val="114"/>
              <w:rPr>
                <w:kern w:val="0"/>
              </w:rPr>
            </w:pPr>
            <w:r>
              <w:rPr>
                <w:kern w:val="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1100-1500</w:t>
            </w:r>
          </w:p>
        </w:tc>
        <w:tc>
          <w:tcPr>
            <w:tcW w:w="3001" w:type="dxa"/>
            <w:vAlign w:val="center"/>
          </w:tcPr>
          <w:p>
            <w:pPr>
              <w:pStyle w:val="114"/>
              <w:rPr>
                <w:kern w:val="0"/>
              </w:rPr>
            </w:pPr>
            <w:r>
              <w:rPr>
                <w:kern w:val="0"/>
              </w:rPr>
              <w:t>100</w:t>
            </w:r>
          </w:p>
        </w:tc>
        <w:tc>
          <w:tcPr>
            <w:tcW w:w="2386" w:type="dxa"/>
            <w:vAlign w:val="center"/>
          </w:tcPr>
          <w:p>
            <w:pPr>
              <w:pStyle w:val="114"/>
              <w:rPr>
                <w:kern w:val="0"/>
              </w:rPr>
            </w:pPr>
            <w:r>
              <w:rPr>
                <w:kern w:val="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Align w:val="center"/>
          </w:tcPr>
          <w:p>
            <w:pPr>
              <w:pStyle w:val="114"/>
              <w:rPr>
                <w:kern w:val="0"/>
              </w:rPr>
            </w:pPr>
            <w:r>
              <w:rPr>
                <w:kern w:val="0"/>
              </w:rPr>
              <w:t>1600-2000</w:t>
            </w:r>
          </w:p>
        </w:tc>
        <w:tc>
          <w:tcPr>
            <w:tcW w:w="3001" w:type="dxa"/>
            <w:vAlign w:val="center"/>
          </w:tcPr>
          <w:p>
            <w:pPr>
              <w:pStyle w:val="114"/>
              <w:rPr>
                <w:kern w:val="0"/>
              </w:rPr>
            </w:pPr>
            <w:r>
              <w:rPr>
                <w:kern w:val="0"/>
              </w:rPr>
              <w:t>120</w:t>
            </w:r>
          </w:p>
        </w:tc>
        <w:tc>
          <w:tcPr>
            <w:tcW w:w="2386" w:type="dxa"/>
            <w:vAlign w:val="center"/>
          </w:tcPr>
          <w:p>
            <w:pPr>
              <w:pStyle w:val="114"/>
              <w:rPr>
                <w:kern w:val="0"/>
              </w:rPr>
            </w:pPr>
            <w:r>
              <w:rPr>
                <w:kern w:val="0"/>
              </w:rPr>
              <w:t>120</w:t>
            </w:r>
          </w:p>
        </w:tc>
      </w:tr>
    </w:tbl>
    <w:p>
      <w:pPr>
        <w:pStyle w:val="5"/>
      </w:pPr>
      <w:bookmarkStart w:id="220" w:name="_Toc36126946"/>
      <w:bookmarkStart w:id="221" w:name="_Toc48640753"/>
      <w:r>
        <w:t>管材选用</w:t>
      </w:r>
      <w:bookmarkEnd w:id="220"/>
      <w:bookmarkEnd w:id="221"/>
    </w:p>
    <w:p>
      <w:pPr>
        <w:ind w:firstLine="480"/>
        <w:rPr>
          <w:rFonts w:cs="Times New Roman"/>
          <w:color w:val="auto"/>
          <w:kern w:val="0"/>
        </w:rPr>
      </w:pPr>
      <w:r>
        <w:rPr>
          <w:rFonts w:cs="Times New Roman"/>
          <w:color w:val="auto"/>
          <w:kern w:val="0"/>
        </w:rPr>
        <w:t>在排水工程中，管道工程投资在工程总投资中占有很大比例，而管道工程总投资中，管材费用约占50%左右。排水管道属于城市地下永久性隐藏工程设施，要求具有很高的安全可靠性。因此，合理选择管材非常重要。</w:t>
      </w:r>
    </w:p>
    <w:p>
      <w:pPr>
        <w:ind w:firstLine="480"/>
        <w:rPr>
          <w:rFonts w:cs="Times New Roman"/>
          <w:color w:val="auto"/>
          <w:kern w:val="0"/>
        </w:rPr>
      </w:pPr>
      <w:r>
        <w:rPr>
          <w:rFonts w:cs="Times New Roman"/>
          <w:color w:val="auto"/>
          <w:kern w:val="0"/>
        </w:rPr>
        <w:t>1、管材选择原则</w:t>
      </w:r>
    </w:p>
    <w:p>
      <w:pPr>
        <w:ind w:firstLine="480"/>
        <w:rPr>
          <w:rFonts w:cs="Times New Roman"/>
          <w:color w:val="auto"/>
          <w:kern w:val="0"/>
        </w:rPr>
      </w:pPr>
      <w:r>
        <w:rPr>
          <w:rFonts w:cs="Times New Roman"/>
          <w:color w:val="auto"/>
          <w:kern w:val="0"/>
        </w:rPr>
        <w:t>（1）排水管道的管材必须满足正常的排水使用功能；</w:t>
      </w:r>
    </w:p>
    <w:p>
      <w:pPr>
        <w:ind w:firstLine="480"/>
        <w:rPr>
          <w:rFonts w:cs="Times New Roman"/>
          <w:color w:val="auto"/>
          <w:kern w:val="0"/>
        </w:rPr>
      </w:pPr>
      <w:r>
        <w:rPr>
          <w:rFonts w:cs="Times New Roman"/>
          <w:color w:val="auto"/>
          <w:kern w:val="0"/>
        </w:rPr>
        <w:t>（2）排水管道必须具有足够的强度，以承受外部的荷载和内部的水压；</w:t>
      </w:r>
    </w:p>
    <w:p>
      <w:pPr>
        <w:ind w:firstLine="480"/>
        <w:rPr>
          <w:rFonts w:cs="Times New Roman"/>
          <w:color w:val="auto"/>
          <w:kern w:val="0"/>
        </w:rPr>
      </w:pPr>
      <w:r>
        <w:rPr>
          <w:rFonts w:cs="Times New Roman"/>
          <w:color w:val="auto"/>
          <w:kern w:val="0"/>
        </w:rPr>
        <w:t>（3）排水管道必须具有抵抗污水中杂质的冲刷和磨损的作用，也应有抗腐蚀的性能，特别是对一些有腐蚀性的工业废水；</w:t>
      </w:r>
    </w:p>
    <w:p>
      <w:pPr>
        <w:ind w:firstLine="480"/>
        <w:rPr>
          <w:rFonts w:cs="Times New Roman"/>
          <w:color w:val="auto"/>
          <w:kern w:val="0"/>
        </w:rPr>
      </w:pPr>
      <w:r>
        <w:rPr>
          <w:rFonts w:cs="Times New Roman"/>
          <w:color w:val="auto"/>
          <w:kern w:val="0"/>
        </w:rPr>
        <w:t>（4）排水管道必须不透水，以防止污水渗出或地下水渗入，而污染地下水或腐蚀其它管线和建筑物基础；</w:t>
      </w:r>
    </w:p>
    <w:p>
      <w:pPr>
        <w:ind w:firstLine="480"/>
        <w:rPr>
          <w:rFonts w:cs="Times New Roman"/>
          <w:color w:val="auto"/>
          <w:kern w:val="0"/>
        </w:rPr>
      </w:pPr>
      <w:r>
        <w:rPr>
          <w:rFonts w:cs="Times New Roman"/>
          <w:color w:val="auto"/>
          <w:kern w:val="0"/>
        </w:rPr>
        <w:t>（5）排水管道的内壁应尽量光滑，使水流阻力尽量减小；</w:t>
      </w:r>
    </w:p>
    <w:p>
      <w:pPr>
        <w:ind w:firstLine="480"/>
        <w:rPr>
          <w:rFonts w:cs="Times New Roman"/>
          <w:color w:val="auto"/>
          <w:kern w:val="0"/>
        </w:rPr>
      </w:pPr>
      <w:r>
        <w:rPr>
          <w:rFonts w:cs="Times New Roman"/>
          <w:color w:val="auto"/>
          <w:kern w:val="0"/>
        </w:rPr>
        <w:t>（6）排水管道应尽量就地取材，并考虑到预制管件及快速施工的可能，减少施工和运输的费用。</w:t>
      </w:r>
    </w:p>
    <w:p>
      <w:pPr>
        <w:ind w:firstLine="480"/>
        <w:rPr>
          <w:rFonts w:cs="Times New Roman"/>
          <w:color w:val="auto"/>
          <w:kern w:val="0"/>
        </w:rPr>
      </w:pPr>
      <w:r>
        <w:rPr>
          <w:rFonts w:cs="Times New Roman"/>
          <w:color w:val="auto"/>
          <w:kern w:val="0"/>
        </w:rPr>
        <w:t>2、管材比较</w:t>
      </w:r>
    </w:p>
    <w:p>
      <w:pPr>
        <w:ind w:firstLine="480"/>
        <w:rPr>
          <w:color w:val="auto"/>
        </w:rPr>
      </w:pPr>
      <w:r>
        <w:rPr>
          <w:rFonts w:cs="Times New Roman"/>
          <w:color w:val="auto"/>
          <w:kern w:val="0"/>
        </w:rPr>
        <w:t>排水工程中常用的非金属管材主要有：钢筋混凝土管、硬聚氯乙烯管(UPVC)、钢带增强聚乙烯（PE）螺旋波纹管、玻璃钢夹砂管（FRP）、预应力钢筒混凝土管（PCCP）；金属管材有铸铁管和钢管。目前，排水铸铁管因其价格高、重量大而正逐渐退出市场；钢管因其价格高、须做特别防腐措施，故仅在特别需要时采用。顶管管材施工中常用的管材为钢筋混凝土管或玻璃钢夹砂管，施工方法成熟。</w:t>
      </w:r>
      <w:r>
        <w:rPr>
          <w:color w:val="auto"/>
        </w:rPr>
        <w:t>根据省建设厅文件“云建法[2004]247号一关于转发国家建设部第 218 号公告《关于发布＜建设部推广应用和限制禁止使用技术＞的公告＝的通知”文件精神，结合国内生产的、可采用的污水管道主要有：高密度聚乙烯（HDPE）波纹管及缠绕管、钢筋混凝土管、玻璃钢夹砂管、高密度聚氯乙烯双壁波纹管等。</w:t>
      </w:r>
    </w:p>
    <w:p>
      <w:pPr>
        <w:ind w:firstLine="480"/>
        <w:rPr>
          <w:color w:val="auto"/>
        </w:rPr>
      </w:pPr>
      <w:r>
        <w:rPr>
          <w:color w:val="auto"/>
        </w:rPr>
        <w:t>现国家积极推广新型管材，包括高密度聚乙烯双壁波纹管、硬聚氯乙稀双壁波纹管、高密度聚乙烯缠绕管、玻璃钢夹砂管等，该类管材优点：管壁光滑、水力条件优越，耐酸碱腐蚀，接口密封性能好，抗渗漏性能好，抗震性能突出，使用寿命长，开挖沟槽断面小，重量轻、施工方便；缺点：大口径（ D&gt;500mm 以上）管材及配件价格高，综合造价较高。</w:t>
      </w:r>
    </w:p>
    <w:p>
      <w:pPr>
        <w:ind w:firstLine="480"/>
        <w:rPr>
          <w:color w:val="auto"/>
        </w:rPr>
      </w:pPr>
      <w:r>
        <w:rPr>
          <w:color w:val="auto"/>
        </w:rPr>
        <w:t>根据云建发[2004]247号文件精神，2005 年1月1日起平口、企口混凝土排水管（ D≤500mm）不得用于城镇市政污水、雨水排水管道系统。结合有关规定及本工程实际，从建设投资的经济合理性，减少污水在管道输送过程中出现渗漏污染。</w:t>
      </w:r>
    </w:p>
    <w:p>
      <w:pPr>
        <w:ind w:firstLine="480"/>
        <w:rPr>
          <w:rFonts w:cs="Times New Roman"/>
          <w:color w:val="auto"/>
          <w:kern w:val="0"/>
          <w:sz w:val="20"/>
          <w:szCs w:val="20"/>
        </w:rPr>
      </w:pPr>
      <w:r>
        <w:rPr>
          <w:rFonts w:cs="Times New Roman"/>
          <w:color w:val="auto"/>
          <w:kern w:val="0"/>
        </w:rPr>
        <w:t>下面将几种常用管材做比较，见下表：</w:t>
      </w:r>
    </w:p>
    <w:p>
      <w:pPr>
        <w:pStyle w:val="112"/>
        <w:rPr>
          <w:color w:val="auto"/>
          <w:kern w:val="0"/>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r>
        <w:rPr>
          <w:color w:val="auto"/>
        </w:rPr>
        <w:t xml:space="preserve"> 管道材料比较表</w:t>
      </w:r>
    </w:p>
    <w:tbl>
      <w:tblPr>
        <w:tblStyle w:val="88"/>
        <w:tblW w:w="8274" w:type="dxa"/>
        <w:jc w:val="center"/>
        <w:tblLayout w:type="autofit"/>
        <w:tblCellMar>
          <w:top w:w="0" w:type="dxa"/>
          <w:left w:w="108" w:type="dxa"/>
          <w:bottom w:w="0" w:type="dxa"/>
          <w:right w:w="108" w:type="dxa"/>
        </w:tblCellMar>
      </w:tblPr>
      <w:tblGrid>
        <w:gridCol w:w="1213"/>
        <w:gridCol w:w="1402"/>
        <w:gridCol w:w="1437"/>
        <w:gridCol w:w="1260"/>
        <w:gridCol w:w="1407"/>
        <w:gridCol w:w="1555"/>
      </w:tblGrid>
      <w:tr>
        <w:tblPrEx>
          <w:tblCellMar>
            <w:top w:w="0" w:type="dxa"/>
            <w:left w:w="108" w:type="dxa"/>
            <w:bottom w:w="0" w:type="dxa"/>
            <w:right w:w="108" w:type="dxa"/>
          </w:tblCellMar>
        </w:tblPrEx>
        <w:trPr>
          <w:trHeight w:val="369" w:hRule="atLeast"/>
          <w:tblHeader/>
          <w:jc w:val="center"/>
        </w:trPr>
        <w:tc>
          <w:tcPr>
            <w:tcW w:w="12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b/>
                <w:kern w:val="0"/>
                <w:sz w:val="18"/>
                <w:szCs w:val="18"/>
              </w:rPr>
              <w:t>管材性能</w:t>
            </w:r>
          </w:p>
        </w:tc>
        <w:tc>
          <w:tcPr>
            <w:tcW w:w="1402" w:type="dxa"/>
            <w:tcBorders>
              <w:top w:val="single" w:color="auto" w:sz="4" w:space="0"/>
              <w:left w:val="nil"/>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b/>
                <w:kern w:val="0"/>
                <w:sz w:val="18"/>
                <w:szCs w:val="18"/>
              </w:rPr>
              <w:t>钢筋混凝</w:t>
            </w:r>
          </w:p>
        </w:tc>
        <w:tc>
          <w:tcPr>
            <w:tcW w:w="1437" w:type="dxa"/>
            <w:tcBorders>
              <w:top w:val="single" w:color="auto" w:sz="4" w:space="0"/>
              <w:left w:val="nil"/>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b/>
                <w:kern w:val="0"/>
                <w:sz w:val="18"/>
                <w:szCs w:val="18"/>
              </w:rPr>
              <w:t>硬聚氯乙聚管（UPVC）</w:t>
            </w:r>
          </w:p>
        </w:tc>
        <w:tc>
          <w:tcPr>
            <w:tcW w:w="1260" w:type="dxa"/>
            <w:tcBorders>
              <w:top w:val="single" w:color="auto" w:sz="4" w:space="0"/>
              <w:left w:val="nil"/>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b/>
                <w:kern w:val="0"/>
                <w:sz w:val="18"/>
                <w:szCs w:val="18"/>
              </w:rPr>
              <w:t xml:space="preserve">预应力钢筒混凝土管 </w:t>
            </w:r>
          </w:p>
        </w:tc>
        <w:tc>
          <w:tcPr>
            <w:tcW w:w="1407" w:type="dxa"/>
            <w:tcBorders>
              <w:top w:val="single" w:color="auto" w:sz="4" w:space="0"/>
              <w:left w:val="nil"/>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b/>
                <w:kern w:val="0"/>
                <w:sz w:val="18"/>
                <w:szCs w:val="18"/>
              </w:rPr>
              <w:t>玻璃钢夹砂（FRP)</w:t>
            </w:r>
          </w:p>
        </w:tc>
        <w:tc>
          <w:tcPr>
            <w:tcW w:w="1555" w:type="dxa"/>
            <w:tcBorders>
              <w:top w:val="single" w:color="auto" w:sz="4" w:space="0"/>
              <w:left w:val="nil"/>
              <w:bottom w:val="single" w:color="auto" w:sz="4" w:space="0"/>
              <w:right w:val="single" w:color="auto" w:sz="4" w:space="0"/>
            </w:tcBorders>
            <w:shd w:val="clear" w:color="auto" w:fill="auto"/>
            <w:vAlign w:val="center"/>
          </w:tcPr>
          <w:p>
            <w:pPr>
              <w:pStyle w:val="114"/>
              <w:spacing w:line="240" w:lineRule="auto"/>
              <w:jc w:val="both"/>
              <w:rPr>
                <w:b/>
                <w:kern w:val="0"/>
                <w:sz w:val="18"/>
                <w:szCs w:val="18"/>
              </w:rPr>
            </w:pPr>
            <w:r>
              <w:rPr>
                <w:rFonts w:hint="eastAsia"/>
                <w:b/>
                <w:kern w:val="0"/>
                <w:sz w:val="18"/>
                <w:szCs w:val="18"/>
              </w:rPr>
              <w:t>HDPE管</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止水性能较好</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较好</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较好</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施工场地</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较大</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较小</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较大</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较大</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小</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质量保证</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管材属刚性，易受不良地质影响</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管材属刚性，易受不良地质影响</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施工进度</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连接不方便，施工维护周期长</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连接方便，施工</w:t>
            </w:r>
            <w:r>
              <w:rPr>
                <w:kern w:val="0"/>
                <w:szCs w:val="21"/>
              </w:rPr>
              <w:t>快</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慢</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连接方便，施工</w:t>
            </w:r>
            <w:r>
              <w:rPr>
                <w:kern w:val="0"/>
                <w:szCs w:val="21"/>
              </w:rPr>
              <w:t>快</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连接方便，施工</w:t>
            </w:r>
            <w:r>
              <w:rPr>
                <w:kern w:val="0"/>
                <w:szCs w:val="21"/>
              </w:rPr>
              <w:t>快</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验收试验</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容易</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使用寿命较长</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较长</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较长</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长</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长</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长</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摩阻系数一般</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小</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小</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小</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造价</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管材单价低，管道综合单价低</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无大口径管道，小口径综合单价较高</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无小口径管道，综合单价较高</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管材单价高，综合单价高，无小口径管道</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管材规格齐全综合单价稍高</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管材运输</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重量重，</w:t>
            </w:r>
            <w:r>
              <w:rPr>
                <w:kern w:val="0"/>
                <w:szCs w:val="21"/>
              </w:rPr>
              <w:t>较难</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方便</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较难</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方便</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t>重量轻，搬运简便</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防腐性能</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好</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施工设备</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复杂</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简单</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复杂</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简单</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简单</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承受压力</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较大</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一般</w:t>
            </w:r>
          </w:p>
        </w:tc>
      </w:tr>
      <w:tr>
        <w:tblPrEx>
          <w:tblCellMar>
            <w:top w:w="0" w:type="dxa"/>
            <w:left w:w="108" w:type="dxa"/>
            <w:bottom w:w="0" w:type="dxa"/>
            <w:right w:w="108" w:type="dxa"/>
          </w:tblCellMar>
        </w:tblPrEx>
        <w:trPr>
          <w:trHeight w:val="369" w:hRule="atLeast"/>
          <w:jc w:val="center"/>
        </w:trPr>
        <w:tc>
          <w:tcPr>
            <w:tcW w:w="1213"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施工方案、适应性</w:t>
            </w:r>
          </w:p>
        </w:tc>
        <w:tc>
          <w:tcPr>
            <w:tcW w:w="1402"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开槽、顶管</w:t>
            </w:r>
          </w:p>
        </w:tc>
        <w:tc>
          <w:tcPr>
            <w:tcW w:w="143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开槽</w:t>
            </w:r>
          </w:p>
        </w:tc>
        <w:tc>
          <w:tcPr>
            <w:tcW w:w="1260"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开槽、顶管</w:t>
            </w:r>
          </w:p>
        </w:tc>
        <w:tc>
          <w:tcPr>
            <w:tcW w:w="1407"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开槽、顶管</w:t>
            </w:r>
          </w:p>
        </w:tc>
        <w:tc>
          <w:tcPr>
            <w:tcW w:w="1555" w:type="dxa"/>
            <w:tcBorders>
              <w:top w:val="nil"/>
              <w:left w:val="nil"/>
              <w:bottom w:val="single" w:color="auto" w:sz="4" w:space="0"/>
              <w:right w:val="single" w:color="auto" w:sz="4" w:space="0"/>
            </w:tcBorders>
            <w:shd w:val="clear" w:color="auto" w:fill="auto"/>
            <w:vAlign w:val="center"/>
          </w:tcPr>
          <w:p>
            <w:pPr>
              <w:pStyle w:val="114"/>
              <w:spacing w:line="240" w:lineRule="auto"/>
              <w:jc w:val="both"/>
              <w:rPr>
                <w:kern w:val="0"/>
                <w:szCs w:val="21"/>
              </w:rPr>
            </w:pPr>
            <w:r>
              <w:rPr>
                <w:kern w:val="0"/>
                <w:szCs w:val="21"/>
              </w:rPr>
              <w:t>开槽、牵引</w:t>
            </w:r>
          </w:p>
        </w:tc>
      </w:tr>
    </w:tbl>
    <w:p>
      <w:pPr>
        <w:ind w:firstLine="480"/>
        <w:rPr>
          <w:rFonts w:cs="Times New Roman"/>
          <w:color w:val="auto"/>
          <w:kern w:val="0"/>
        </w:rPr>
      </w:pPr>
      <w:r>
        <w:rPr>
          <w:rFonts w:cs="Times New Roman"/>
          <w:color w:val="auto"/>
          <w:kern w:val="0"/>
        </w:rPr>
        <w:t>3、管材确定</w:t>
      </w:r>
    </w:p>
    <w:p>
      <w:pPr>
        <w:ind w:firstLine="480"/>
        <w:rPr>
          <w:rFonts w:cs="Times New Roman"/>
          <w:color w:val="auto"/>
          <w:kern w:val="0"/>
        </w:rPr>
      </w:pPr>
      <w:r>
        <w:rPr>
          <w:rFonts w:cs="Times New Roman"/>
          <w:color w:val="auto"/>
          <w:kern w:val="0"/>
        </w:rPr>
        <w:t>综合以上比较可知，钢带增强聚乙烯（PE）螺旋波纹管由于其自身的优点，目前在市政排水领域得到了广泛的运用，从防止污染、提高施工效率、延长使用寿命等方面考虑，宜选用</w:t>
      </w:r>
      <w:r>
        <w:rPr>
          <w:rFonts w:hint="eastAsia" w:cs="Times New Roman"/>
          <w:color w:val="auto"/>
          <w:kern w:val="0"/>
        </w:rPr>
        <w:t>HDPE</w:t>
      </w:r>
      <w:r>
        <w:rPr>
          <w:rFonts w:cs="Times New Roman"/>
          <w:color w:val="auto"/>
          <w:kern w:val="0"/>
        </w:rPr>
        <w:t>管。</w:t>
      </w:r>
    </w:p>
    <w:p>
      <w:pPr>
        <w:ind w:firstLine="480"/>
        <w:rPr>
          <w:rFonts w:cs="Times New Roman"/>
          <w:color w:val="auto"/>
          <w:kern w:val="0"/>
        </w:rPr>
      </w:pPr>
      <w:r>
        <w:rPr>
          <w:rFonts w:cs="Times New Roman"/>
          <w:color w:val="auto"/>
          <w:kern w:val="0"/>
        </w:rPr>
        <w:t>本项目管材选择如下：</w:t>
      </w:r>
    </w:p>
    <w:p>
      <w:pPr>
        <w:ind w:firstLine="480"/>
        <w:rPr>
          <w:rFonts w:cs="Times New Roman"/>
          <w:color w:val="auto"/>
          <w:kern w:val="0"/>
        </w:rPr>
      </w:pPr>
      <w:r>
        <w:rPr>
          <w:rFonts w:hint="eastAsia" w:cs="Times New Roman"/>
          <w:color w:val="auto"/>
          <w:kern w:val="0"/>
        </w:rPr>
        <w:t>（1）村内庭院外污水收集管采用HDPE</w:t>
      </w:r>
      <w:r>
        <w:rPr>
          <w:rFonts w:cs="Times New Roman"/>
          <w:color w:val="auto"/>
          <w:kern w:val="0"/>
        </w:rPr>
        <w:t>管</w:t>
      </w:r>
      <w:r>
        <w:rPr>
          <w:rFonts w:hint="eastAsia" w:cs="Times New Roman"/>
          <w:color w:val="auto"/>
          <w:kern w:val="0"/>
        </w:rPr>
        <w:t>；</w:t>
      </w:r>
      <w:r>
        <w:rPr>
          <w:rFonts w:cs="Times New Roman"/>
          <w:color w:val="auto"/>
          <w:kern w:val="0"/>
        </w:rPr>
        <w:t>污水管道上游部分由于设计污水流量较小，根据流量计算，管径很小，极易堵塞。本设计为主要道路下的截污干管系统，需要考虑部分雨水量，因此，支管</w:t>
      </w:r>
      <w:r>
        <w:rPr>
          <w:rFonts w:hint="eastAsia" w:cs="Times New Roman"/>
          <w:color w:val="auto"/>
          <w:kern w:val="0"/>
        </w:rPr>
        <w:t>、次支管管径</w:t>
      </w:r>
      <w:r>
        <w:rPr>
          <w:rFonts w:cs="Times New Roman"/>
          <w:color w:val="auto"/>
          <w:kern w:val="0"/>
        </w:rPr>
        <w:t>采用DN</w:t>
      </w:r>
      <w:r>
        <w:rPr>
          <w:rFonts w:hint="eastAsia" w:cs="Times New Roman"/>
          <w:color w:val="auto"/>
          <w:kern w:val="0"/>
        </w:rPr>
        <w:t>2</w:t>
      </w:r>
      <w:r>
        <w:rPr>
          <w:rFonts w:cs="Times New Roman"/>
          <w:color w:val="auto"/>
          <w:kern w:val="0"/>
        </w:rPr>
        <w:t>00。</w:t>
      </w:r>
      <w:r>
        <w:rPr>
          <w:rFonts w:hint="eastAsia" w:cs="Times New Roman"/>
          <w:color w:val="auto"/>
          <w:kern w:val="0"/>
        </w:rPr>
        <w:t>主管</w:t>
      </w:r>
      <w:r>
        <w:rPr>
          <w:rFonts w:cs="Times New Roman"/>
          <w:color w:val="auto"/>
          <w:kern w:val="0"/>
        </w:rPr>
        <w:t>管径采用DN</w:t>
      </w:r>
      <w:r>
        <w:rPr>
          <w:rFonts w:hint="eastAsia" w:cs="Times New Roman"/>
          <w:color w:val="auto"/>
          <w:kern w:val="0"/>
        </w:rPr>
        <w:t>3</w:t>
      </w:r>
      <w:r>
        <w:rPr>
          <w:rFonts w:cs="Times New Roman"/>
          <w:color w:val="auto"/>
          <w:kern w:val="0"/>
        </w:rPr>
        <w:t>00</w:t>
      </w:r>
      <w:r>
        <w:rPr>
          <w:rFonts w:hint="eastAsia" w:cs="Times New Roman"/>
          <w:color w:val="auto"/>
          <w:kern w:val="0"/>
        </w:rPr>
        <w:t>、</w:t>
      </w:r>
      <w:r>
        <w:rPr>
          <w:rFonts w:cs="Times New Roman"/>
          <w:color w:val="auto"/>
          <w:kern w:val="0"/>
        </w:rPr>
        <w:t>DN</w:t>
      </w:r>
      <w:r>
        <w:rPr>
          <w:rFonts w:hint="eastAsia" w:cs="Times New Roman"/>
          <w:color w:val="auto"/>
          <w:kern w:val="0"/>
        </w:rPr>
        <w:t>4</w:t>
      </w:r>
      <w:r>
        <w:rPr>
          <w:rFonts w:cs="Times New Roman"/>
          <w:color w:val="auto"/>
          <w:kern w:val="0"/>
        </w:rPr>
        <w:t>00</w:t>
      </w:r>
      <w:r>
        <w:rPr>
          <w:rFonts w:hint="eastAsia" w:cs="Times New Roman"/>
          <w:color w:val="auto"/>
          <w:kern w:val="0"/>
        </w:rPr>
        <w:t>。</w:t>
      </w:r>
      <w:r>
        <w:rPr>
          <w:rFonts w:cs="Times New Roman"/>
          <w:color w:val="auto"/>
          <w:kern w:val="0"/>
        </w:rPr>
        <w:t xml:space="preserve"> </w:t>
      </w:r>
    </w:p>
    <w:p>
      <w:pPr>
        <w:ind w:firstLine="480"/>
        <w:rPr>
          <w:rFonts w:cs="Times New Roman"/>
          <w:color w:val="auto"/>
          <w:kern w:val="0"/>
        </w:rPr>
      </w:pPr>
      <w:r>
        <w:rPr>
          <w:rFonts w:hint="eastAsia" w:cs="Times New Roman"/>
          <w:color w:val="auto"/>
          <w:kern w:val="0"/>
        </w:rPr>
        <w:t>（2）</w:t>
      </w:r>
      <w:r>
        <w:rPr>
          <w:rFonts w:cs="Times New Roman"/>
          <w:color w:val="auto"/>
          <w:kern w:val="0"/>
        </w:rPr>
        <w:t>庭院内户用收集管管径较小，采用PVC管。</w:t>
      </w:r>
    </w:p>
    <w:p>
      <w:pPr>
        <w:ind w:firstLine="480"/>
        <w:rPr>
          <w:rFonts w:cs="Times New Roman"/>
          <w:color w:val="auto"/>
          <w:kern w:val="0"/>
        </w:rPr>
      </w:pPr>
      <w:r>
        <w:rPr>
          <w:rFonts w:hint="eastAsia" w:cs="Times New Roman"/>
          <w:color w:val="auto"/>
          <w:kern w:val="0"/>
        </w:rPr>
        <w:t>（3）</w:t>
      </w:r>
      <w:r>
        <w:rPr>
          <w:rFonts w:cs="Times New Roman"/>
          <w:color w:val="auto"/>
          <w:kern w:val="0"/>
        </w:rPr>
        <w:t>当遇地质条件较差、地下水位较高、施工困难时、穿越河道、穿越障碍物或遇特殊地段时；地形坡度较大时，采用球墨铸铁管或钢管，承插接口或焊接。但施工中应注意：产品性能应符合相应的国家标准要求，施工应严格执行相应国家标准或行业标准，保证工程质量。</w:t>
      </w:r>
    </w:p>
    <w:p>
      <w:pPr>
        <w:ind w:firstLine="480"/>
        <w:rPr>
          <w:rFonts w:cs="Times New Roman"/>
          <w:color w:val="auto"/>
          <w:kern w:val="0"/>
        </w:rPr>
      </w:pPr>
      <w:r>
        <w:rPr>
          <w:rFonts w:hint="eastAsia" w:cs="Times New Roman"/>
          <w:color w:val="auto"/>
          <w:kern w:val="0"/>
        </w:rPr>
        <w:t>4、</w:t>
      </w:r>
      <w:r>
        <w:rPr>
          <w:rFonts w:cs="Times New Roman"/>
          <w:color w:val="auto"/>
          <w:kern w:val="0"/>
        </w:rPr>
        <w:t>管材参数具体如下：</w:t>
      </w:r>
    </w:p>
    <w:p>
      <w:pPr>
        <w:ind w:firstLine="480"/>
        <w:rPr>
          <w:rFonts w:cs="Times New Roman"/>
          <w:color w:val="auto"/>
          <w:kern w:val="0"/>
        </w:rPr>
      </w:pPr>
      <w:r>
        <w:rPr>
          <w:rFonts w:cs="Times New Roman"/>
          <w:color w:val="auto"/>
          <w:kern w:val="0"/>
        </w:rPr>
        <w:t>（1）污水主</w:t>
      </w:r>
      <w:r>
        <w:rPr>
          <w:rFonts w:hint="eastAsia" w:cs="Times New Roman"/>
          <w:color w:val="auto"/>
          <w:kern w:val="0"/>
        </w:rPr>
        <w:t>管</w:t>
      </w:r>
      <w:r>
        <w:rPr>
          <w:rFonts w:cs="Times New Roman"/>
          <w:color w:val="auto"/>
          <w:kern w:val="0"/>
        </w:rPr>
        <w:t>、支管（DN400、DN300</w:t>
      </w:r>
      <w:r>
        <w:rPr>
          <w:rFonts w:hint="eastAsia" w:cs="Times New Roman"/>
          <w:color w:val="auto"/>
          <w:kern w:val="0"/>
        </w:rPr>
        <w:t>、DN200</w:t>
      </w:r>
      <w:r>
        <w:rPr>
          <w:rFonts w:cs="Times New Roman"/>
          <w:color w:val="auto"/>
          <w:kern w:val="0"/>
        </w:rPr>
        <w:t>）均采用</w:t>
      </w:r>
      <w:r>
        <w:rPr>
          <w:rFonts w:hint="eastAsia" w:cs="Times New Roman"/>
          <w:color w:val="auto"/>
          <w:kern w:val="0"/>
        </w:rPr>
        <w:t>HDPE</w:t>
      </w:r>
      <w:r>
        <w:rPr>
          <w:rFonts w:cs="Times New Roman"/>
          <w:color w:val="auto"/>
          <w:kern w:val="0"/>
        </w:rPr>
        <w:t>管，环刚度SN≥8KN/m</w:t>
      </w:r>
      <w:r>
        <w:rPr>
          <w:rFonts w:cs="Times New Roman"/>
          <w:color w:val="auto"/>
          <w:kern w:val="0"/>
          <w:vertAlign w:val="superscript"/>
        </w:rPr>
        <w:t>2</w:t>
      </w:r>
      <w:r>
        <w:rPr>
          <w:rFonts w:cs="Times New Roman"/>
          <w:color w:val="auto"/>
          <w:kern w:val="0"/>
        </w:rPr>
        <w:t>，热收缩带连接；</w:t>
      </w:r>
    </w:p>
    <w:p>
      <w:pPr>
        <w:ind w:firstLine="480"/>
        <w:rPr>
          <w:rFonts w:cs="Times New Roman"/>
          <w:color w:val="auto"/>
          <w:kern w:val="0"/>
        </w:rPr>
      </w:pPr>
      <w:r>
        <w:rPr>
          <w:rFonts w:cs="Times New Roman"/>
          <w:color w:val="auto"/>
          <w:kern w:val="0"/>
        </w:rPr>
        <w:t>（</w:t>
      </w:r>
      <w:r>
        <w:rPr>
          <w:rFonts w:hint="eastAsia" w:cs="Times New Roman"/>
          <w:color w:val="auto"/>
          <w:kern w:val="0"/>
        </w:rPr>
        <w:t>2</w:t>
      </w:r>
      <w:r>
        <w:rPr>
          <w:rFonts w:cs="Times New Roman"/>
          <w:color w:val="auto"/>
          <w:kern w:val="0"/>
        </w:rPr>
        <w:t>）污水接户管采用PVC排水管，胶粘剂连接，管径</w:t>
      </w:r>
      <w:r>
        <w:rPr>
          <w:rFonts w:hint="eastAsia" w:cs="Times New Roman"/>
          <w:color w:val="auto"/>
          <w:kern w:val="0"/>
        </w:rPr>
        <w:t>φ</w:t>
      </w:r>
      <w:r>
        <w:rPr>
          <w:rFonts w:cs="Times New Roman"/>
          <w:color w:val="auto"/>
          <w:kern w:val="0"/>
        </w:rPr>
        <w:t>110（壁厚</w:t>
      </w:r>
      <w:r>
        <w:rPr>
          <w:rFonts w:hint="eastAsia" w:cs="Times New Roman"/>
          <w:color w:val="auto"/>
          <w:kern w:val="0"/>
        </w:rPr>
        <w:t>3</w:t>
      </w:r>
      <w:r>
        <w:rPr>
          <w:rFonts w:cs="Times New Roman"/>
          <w:color w:val="auto"/>
          <w:kern w:val="0"/>
        </w:rPr>
        <w:t>.2mm），其性能应满足《无压埋地排污、排水用硬聚氯乙烯（PVC-U）管材</w:t>
      </w:r>
      <w:r>
        <w:rPr>
          <w:rFonts w:hint="eastAsia" w:cs="Times New Roman"/>
          <w:color w:val="auto"/>
          <w:kern w:val="0"/>
        </w:rPr>
        <w:t>》</w:t>
      </w:r>
      <w:r>
        <w:rPr>
          <w:rFonts w:cs="Times New Roman"/>
          <w:color w:val="auto"/>
          <w:kern w:val="0"/>
        </w:rPr>
        <w:t xml:space="preserve"> GB/T20221-2006。</w:t>
      </w:r>
    </w:p>
    <w:p>
      <w:pPr>
        <w:pStyle w:val="5"/>
      </w:pPr>
      <w:bookmarkStart w:id="222" w:name="_Toc48640754"/>
      <w:bookmarkStart w:id="223" w:name="_Toc36126947"/>
      <w:r>
        <w:rPr>
          <w:rFonts w:hint="eastAsia"/>
        </w:rPr>
        <w:t>管道结构设计</w:t>
      </w:r>
      <w:bookmarkEnd w:id="222"/>
      <w:bookmarkEnd w:id="223"/>
    </w:p>
    <w:p>
      <w:pPr>
        <w:ind w:firstLine="480"/>
        <w:rPr>
          <w:rFonts w:cs="Times New Roman"/>
          <w:color w:val="auto"/>
          <w:kern w:val="0"/>
        </w:rPr>
      </w:pPr>
      <w:r>
        <w:rPr>
          <w:rFonts w:cs="Times New Roman"/>
          <w:color w:val="auto"/>
          <w:kern w:val="0"/>
        </w:rPr>
        <w:t>芒市地区抗震设防烈度为8度，设计基本地震加速度为0.3g。根据《建筑工程抗震设防分类标准》（GB50223-2004）第6.1.4 条规定本工程污水干管抗震类别为乙类，按高于抗震烈度一度的要求采取抗震构造措施。建(构)筑物的抗震等级为二级。</w:t>
      </w:r>
    </w:p>
    <w:p>
      <w:pPr>
        <w:ind w:firstLine="480"/>
        <w:rPr>
          <w:rFonts w:cs="Times New Roman"/>
          <w:color w:val="auto"/>
          <w:kern w:val="0"/>
        </w:rPr>
      </w:pPr>
      <w:r>
        <w:rPr>
          <w:rFonts w:cs="Times New Roman"/>
          <w:color w:val="auto"/>
          <w:kern w:val="0"/>
        </w:rPr>
        <w:t>1、结构设计主要参照</w:t>
      </w:r>
      <w:r>
        <w:rPr>
          <w:color w:val="auto"/>
        </w:rPr>
        <w:t>《埋地排水用钢带增强聚乙烯（PE）螺旋波纹管》（CJ/T 225-2011）</w:t>
      </w:r>
      <w:r>
        <w:rPr>
          <w:rFonts w:cs="Times New Roman"/>
          <w:color w:val="auto"/>
          <w:kern w:val="0"/>
        </w:rPr>
        <w:t>进行设计。</w:t>
      </w:r>
    </w:p>
    <w:p>
      <w:pPr>
        <w:ind w:firstLine="480"/>
        <w:rPr>
          <w:rFonts w:cs="Times New Roman"/>
          <w:color w:val="auto"/>
          <w:kern w:val="0"/>
        </w:rPr>
      </w:pPr>
      <w:r>
        <w:rPr>
          <w:rFonts w:cs="Times New Roman"/>
          <w:color w:val="auto"/>
          <w:kern w:val="0"/>
        </w:rPr>
        <w:t>2、正常使用极限状态计算时，其裂缝开展宽度不大于0.2mm。</w:t>
      </w:r>
    </w:p>
    <w:p>
      <w:pPr>
        <w:ind w:firstLine="480"/>
        <w:rPr>
          <w:rFonts w:cs="Times New Roman"/>
          <w:color w:val="auto"/>
          <w:kern w:val="0"/>
        </w:rPr>
      </w:pPr>
      <w:r>
        <w:rPr>
          <w:rFonts w:cs="Times New Roman"/>
          <w:color w:val="auto"/>
          <w:kern w:val="0"/>
        </w:rPr>
        <w:t>3、永久作用标准值：砼重度取25kN/m</w:t>
      </w:r>
      <w:r>
        <w:rPr>
          <w:rFonts w:cs="Times New Roman"/>
          <w:color w:val="auto"/>
          <w:kern w:val="0"/>
          <w:vertAlign w:val="superscript"/>
        </w:rPr>
        <w:t>3</w:t>
      </w:r>
      <w:r>
        <w:rPr>
          <w:rFonts w:hAnsi="仿宋_GB2312" w:cs="Times New Roman"/>
          <w:color w:val="auto"/>
          <w:kern w:val="0"/>
        </w:rPr>
        <w:t>，管顶回填土重力密度</w:t>
      </w:r>
      <w:r>
        <w:rPr>
          <w:rFonts w:cs="Times New Roman"/>
          <w:color w:val="auto"/>
          <w:kern w:val="0"/>
        </w:rPr>
        <w:t>取18kN/m³</w:t>
      </w:r>
      <w:r>
        <w:rPr>
          <w:rFonts w:hAnsi="仿宋_GB2312" w:cs="Times New Roman"/>
          <w:color w:val="auto"/>
          <w:kern w:val="0"/>
        </w:rPr>
        <w:t>。</w:t>
      </w:r>
    </w:p>
    <w:p>
      <w:pPr>
        <w:ind w:firstLine="480"/>
        <w:rPr>
          <w:rFonts w:cs="Times New Roman"/>
          <w:color w:val="auto"/>
          <w:kern w:val="0"/>
        </w:rPr>
      </w:pPr>
      <w:r>
        <w:rPr>
          <w:rFonts w:cs="Times New Roman"/>
          <w:color w:val="auto"/>
          <w:kern w:val="0"/>
        </w:rPr>
        <w:t>4、可变荷载标准值取下列二者作用中大者计算</w:t>
      </w:r>
      <w:r>
        <w:rPr>
          <w:rFonts w:hint="eastAsia" w:cs="Times New Roman"/>
          <w:color w:val="auto"/>
          <w:kern w:val="0"/>
        </w:rPr>
        <w:t>。</w:t>
      </w:r>
    </w:p>
    <w:p>
      <w:pPr>
        <w:ind w:firstLine="480"/>
        <w:rPr>
          <w:rFonts w:cs="Times New Roman"/>
          <w:color w:val="auto"/>
          <w:kern w:val="0"/>
        </w:rPr>
      </w:pPr>
      <w:r>
        <w:rPr>
          <w:rFonts w:cs="Times New Roman"/>
          <w:color w:val="auto"/>
          <w:kern w:val="0"/>
        </w:rPr>
        <w:t>（1）车辆荷载按《城市桥梁设计荷载标准》（CJJ77-98）城A 级取值。</w:t>
      </w:r>
    </w:p>
    <w:p>
      <w:pPr>
        <w:ind w:firstLine="480"/>
        <w:rPr>
          <w:rFonts w:cs="Times New Roman"/>
          <w:color w:val="auto"/>
          <w:kern w:val="0"/>
        </w:rPr>
      </w:pPr>
      <w:r>
        <w:rPr>
          <w:rFonts w:cs="Times New Roman"/>
          <w:color w:val="auto"/>
          <w:kern w:val="0"/>
        </w:rPr>
        <w:t>（2）地面堆积荷载：10kN/m</w:t>
      </w:r>
      <w:r>
        <w:rPr>
          <w:rFonts w:hint="eastAsia" w:cs="Times New Roman"/>
          <w:color w:val="auto"/>
          <w:kern w:val="0"/>
          <w:vertAlign w:val="superscript"/>
        </w:rPr>
        <w:t>2</w:t>
      </w:r>
      <w:r>
        <w:rPr>
          <w:rFonts w:cs="Times New Roman"/>
          <w:color w:val="auto"/>
          <w:kern w:val="0"/>
        </w:rPr>
        <w:t>。</w:t>
      </w:r>
    </w:p>
    <w:p>
      <w:pPr>
        <w:ind w:firstLine="480"/>
        <w:rPr>
          <w:rFonts w:cs="Times New Roman"/>
          <w:color w:val="auto"/>
          <w:kern w:val="0"/>
        </w:rPr>
      </w:pPr>
      <w:r>
        <w:rPr>
          <w:rFonts w:cs="Times New Roman"/>
          <w:color w:val="auto"/>
          <w:kern w:val="0"/>
        </w:rPr>
        <w:t>5、地下水位按地面下0.5</w:t>
      </w:r>
      <w:r>
        <w:rPr>
          <w:rFonts w:hint="eastAsia" w:cs="Times New Roman"/>
          <w:color w:val="auto"/>
          <w:kern w:val="0"/>
        </w:rPr>
        <w:t>-</w:t>
      </w:r>
      <w:r>
        <w:rPr>
          <w:rFonts w:cs="Times New Roman"/>
          <w:color w:val="auto"/>
          <w:kern w:val="0"/>
        </w:rPr>
        <w:t>1.0m计算</w:t>
      </w:r>
      <w:r>
        <w:rPr>
          <w:rFonts w:hint="eastAsia" w:cs="Times New Roman"/>
          <w:color w:val="auto"/>
          <w:kern w:val="0"/>
        </w:rPr>
        <w:t>，</w:t>
      </w:r>
      <w:r>
        <w:rPr>
          <w:rFonts w:cs="Times New Roman"/>
          <w:color w:val="auto"/>
          <w:kern w:val="0"/>
        </w:rPr>
        <w:t>无腐蚀性。</w:t>
      </w:r>
    </w:p>
    <w:p>
      <w:pPr>
        <w:ind w:firstLine="480"/>
        <w:rPr>
          <w:rFonts w:cs="Times New Roman"/>
          <w:color w:val="auto"/>
          <w:kern w:val="0"/>
        </w:rPr>
      </w:pPr>
      <w:r>
        <w:rPr>
          <w:rFonts w:cs="Times New Roman"/>
          <w:color w:val="auto"/>
          <w:kern w:val="0"/>
        </w:rPr>
        <w:t>6、管道抗浮稳定性抗力系数K＝1.10。</w:t>
      </w:r>
    </w:p>
    <w:p>
      <w:pPr>
        <w:ind w:firstLine="480"/>
        <w:rPr>
          <w:rFonts w:cs="Times New Roman"/>
          <w:color w:val="auto"/>
          <w:kern w:val="0"/>
        </w:rPr>
      </w:pPr>
      <w:r>
        <w:rPr>
          <w:rFonts w:cs="Times New Roman"/>
          <w:color w:val="auto"/>
          <w:kern w:val="0"/>
        </w:rPr>
        <w:t>7、本工程设计使用年限为50 年。</w:t>
      </w:r>
    </w:p>
    <w:p>
      <w:pPr>
        <w:ind w:firstLine="480"/>
        <w:rPr>
          <w:rFonts w:cs="Times New Roman"/>
          <w:color w:val="auto"/>
          <w:kern w:val="0"/>
        </w:rPr>
      </w:pPr>
      <w:r>
        <w:rPr>
          <w:rFonts w:cs="Times New Roman"/>
          <w:color w:val="auto"/>
          <w:kern w:val="0"/>
        </w:rPr>
        <w:t>8、本工程建(构)筑物结构安全等级为二级。</w:t>
      </w:r>
    </w:p>
    <w:p>
      <w:pPr>
        <w:ind w:firstLine="480"/>
        <w:rPr>
          <w:rFonts w:cs="Times New Roman"/>
          <w:color w:val="auto"/>
          <w:kern w:val="0"/>
        </w:rPr>
      </w:pPr>
      <w:r>
        <w:rPr>
          <w:rFonts w:cs="Times New Roman"/>
          <w:color w:val="auto"/>
          <w:kern w:val="0"/>
        </w:rPr>
        <w:t>9、本工程地基基础设计等级为乙级。</w:t>
      </w:r>
    </w:p>
    <w:p>
      <w:pPr>
        <w:pStyle w:val="5"/>
      </w:pPr>
      <w:bookmarkStart w:id="224" w:name="_Toc48640755"/>
      <w:bookmarkStart w:id="225" w:name="_Toc36126948"/>
      <w:r>
        <w:t>管道施工方法及基础处理</w:t>
      </w:r>
      <w:bookmarkEnd w:id="224"/>
      <w:bookmarkEnd w:id="225"/>
    </w:p>
    <w:p>
      <w:pPr>
        <w:ind w:firstLine="480"/>
        <w:rPr>
          <w:rFonts w:cs="Times New Roman"/>
          <w:color w:val="auto"/>
          <w:kern w:val="0"/>
        </w:rPr>
      </w:pPr>
      <w:r>
        <w:rPr>
          <w:rFonts w:cs="Times New Roman"/>
          <w:color w:val="auto"/>
          <w:kern w:val="0"/>
        </w:rPr>
        <w:t>1、管道施工方法</w:t>
      </w:r>
    </w:p>
    <w:p>
      <w:pPr>
        <w:ind w:firstLine="480"/>
        <w:rPr>
          <w:rFonts w:cs="Times New Roman"/>
          <w:color w:val="auto"/>
          <w:kern w:val="0"/>
        </w:rPr>
      </w:pPr>
      <w:r>
        <w:rPr>
          <w:rFonts w:cs="Times New Roman"/>
          <w:color w:val="auto"/>
          <w:kern w:val="0"/>
        </w:rPr>
        <w:t>选择施工方法时，需根据拟建工程所在位置的地层构造情况、地下水位高低、地面建构筑的分布和交通状况、施工进度、施工的难易程度、施工对环境的影响以及施工费用等多种因素分析比较，综合考虑确定。</w:t>
      </w:r>
    </w:p>
    <w:p>
      <w:pPr>
        <w:ind w:firstLine="480"/>
        <w:rPr>
          <w:rFonts w:cs="Times New Roman"/>
          <w:color w:val="auto"/>
        </w:rPr>
      </w:pPr>
      <w:r>
        <w:rPr>
          <w:rFonts w:cs="Times New Roman"/>
          <w:color w:val="auto"/>
        </w:rPr>
        <w:t>本工程拟建管道最大管径为DN</w:t>
      </w:r>
      <w:r>
        <w:rPr>
          <w:rFonts w:hint="eastAsia" w:cs="Times New Roman"/>
          <w:color w:val="auto"/>
        </w:rPr>
        <w:t>4</w:t>
      </w:r>
      <w:r>
        <w:rPr>
          <w:rFonts w:cs="Times New Roman"/>
          <w:color w:val="auto"/>
        </w:rPr>
        <w:t>00，管顶覆土厚度为0.5～1.5米。管道大多敷设于已建道路、规划道路及绿化带上，地质情况一般，具备开挖施工条件，采用开完施工方案可节约投资。因此，本工程管线施工方案推荐采用</w:t>
      </w:r>
      <w:r>
        <w:rPr>
          <w:rFonts w:cs="Times New Roman"/>
          <w:b/>
          <w:color w:val="auto"/>
        </w:rPr>
        <w:t>管槽开挖</w:t>
      </w:r>
      <w:r>
        <w:rPr>
          <w:rFonts w:cs="Times New Roman"/>
          <w:color w:val="auto"/>
        </w:rPr>
        <w:t>。</w:t>
      </w:r>
    </w:p>
    <w:p>
      <w:pPr>
        <w:ind w:firstLine="480"/>
        <w:rPr>
          <w:rFonts w:cs="Times New Roman"/>
          <w:color w:val="auto"/>
        </w:rPr>
      </w:pPr>
      <w:r>
        <w:rPr>
          <w:rFonts w:cs="Times New Roman"/>
          <w:color w:val="auto"/>
        </w:rPr>
        <w:t>本工程采用开槽埋管施工的方式进行污水管的敷设。对于管道埋深小于2.0m的污水管道，可采用放坡开槽埋管施工；对于埋深大于2.0m的污水管道，为减少开挖横断面减轻对交通的影响，可采用打钢管桩支护垂直开挖。</w:t>
      </w:r>
    </w:p>
    <w:p>
      <w:pPr>
        <w:ind w:firstLine="480"/>
        <w:rPr>
          <w:rFonts w:cs="Times New Roman"/>
          <w:color w:val="auto"/>
        </w:rPr>
      </w:pPr>
      <w:r>
        <w:rPr>
          <w:rFonts w:cs="Times New Roman"/>
          <w:color w:val="auto"/>
        </w:rPr>
        <w:t>管槽明挖法适用于：</w:t>
      </w:r>
    </w:p>
    <w:p>
      <w:pPr>
        <w:ind w:firstLine="480"/>
        <w:rPr>
          <w:rFonts w:cs="Times New Roman"/>
          <w:color w:val="auto"/>
        </w:rPr>
      </w:pPr>
      <w:r>
        <w:rPr>
          <w:rFonts w:cs="Times New Roman"/>
          <w:color w:val="auto"/>
        </w:rPr>
        <w:t>（1）管道埋设深度较浅，具有满足施工要求的场地；</w:t>
      </w:r>
    </w:p>
    <w:p>
      <w:pPr>
        <w:ind w:firstLine="480"/>
        <w:rPr>
          <w:rFonts w:cs="Times New Roman"/>
          <w:color w:val="auto"/>
        </w:rPr>
      </w:pPr>
      <w:r>
        <w:rPr>
          <w:rFonts w:cs="Times New Roman"/>
          <w:color w:val="auto"/>
        </w:rPr>
        <w:t>（2）土层的透水性较差，地下水位低或无地下水；</w:t>
      </w:r>
    </w:p>
    <w:p>
      <w:pPr>
        <w:ind w:firstLine="480"/>
        <w:rPr>
          <w:rFonts w:cs="Times New Roman"/>
          <w:color w:val="auto"/>
        </w:rPr>
      </w:pPr>
      <w:r>
        <w:rPr>
          <w:rFonts w:cs="Times New Roman"/>
          <w:color w:val="auto"/>
        </w:rPr>
        <w:t>（3）具备放坡开挖条件；</w:t>
      </w:r>
    </w:p>
    <w:p>
      <w:pPr>
        <w:ind w:firstLine="480"/>
        <w:rPr>
          <w:rFonts w:cs="Times New Roman"/>
          <w:color w:val="auto"/>
        </w:rPr>
      </w:pPr>
      <w:r>
        <w:rPr>
          <w:rFonts w:cs="Times New Roman"/>
          <w:color w:val="auto"/>
        </w:rPr>
        <w:t>主要优点：</w:t>
      </w:r>
    </w:p>
    <w:p>
      <w:pPr>
        <w:ind w:firstLine="480"/>
        <w:rPr>
          <w:rFonts w:cs="Times New Roman"/>
          <w:color w:val="auto"/>
        </w:rPr>
      </w:pPr>
      <w:r>
        <w:rPr>
          <w:rFonts w:cs="Times New Roman"/>
          <w:color w:val="auto"/>
        </w:rPr>
        <w:t>（1）只要进行简单的坑槽支护就能进行开挖；</w:t>
      </w:r>
    </w:p>
    <w:p>
      <w:pPr>
        <w:ind w:firstLine="480"/>
        <w:rPr>
          <w:rFonts w:cs="Times New Roman"/>
          <w:color w:val="auto"/>
        </w:rPr>
      </w:pPr>
      <w:r>
        <w:rPr>
          <w:rFonts w:cs="Times New Roman"/>
          <w:color w:val="auto"/>
        </w:rPr>
        <w:t>（2）人工开挖或机械开挖均可，无需专用设备；</w:t>
      </w:r>
    </w:p>
    <w:p>
      <w:pPr>
        <w:ind w:firstLine="480"/>
        <w:rPr>
          <w:rFonts w:cs="Times New Roman"/>
          <w:color w:val="auto"/>
        </w:rPr>
      </w:pPr>
      <w:r>
        <w:rPr>
          <w:rFonts w:cs="Times New Roman"/>
          <w:color w:val="auto"/>
        </w:rPr>
        <w:t>（3）施工费用低，节约投资；</w:t>
      </w:r>
    </w:p>
    <w:p>
      <w:pPr>
        <w:ind w:firstLine="480"/>
        <w:rPr>
          <w:rFonts w:cs="Times New Roman"/>
          <w:color w:val="auto"/>
        </w:rPr>
      </w:pPr>
      <w:r>
        <w:rPr>
          <w:rFonts w:cs="Times New Roman"/>
          <w:color w:val="auto"/>
        </w:rPr>
        <w:t>（4）施工速度快，可以根据进度要求确定施工人数和挖掘机数量。</w:t>
      </w:r>
    </w:p>
    <w:p>
      <w:pPr>
        <w:ind w:firstLine="480"/>
        <w:rPr>
          <w:rFonts w:cs="Times New Roman"/>
          <w:color w:val="auto"/>
        </w:rPr>
      </w:pPr>
      <w:r>
        <w:rPr>
          <w:rFonts w:cs="Times New Roman"/>
          <w:color w:val="auto"/>
        </w:rPr>
        <w:t>采用开槽施工，沟槽断面形式有直槽、梯形槽、混合槽、联合槽等。形式分别如下图所示：</w:t>
      </w:r>
    </w:p>
    <w:p>
      <w:pPr>
        <w:pStyle w:val="34"/>
        <w:ind w:firstLine="560"/>
      </w:pPr>
      <w:r>
        <w:drawing>
          <wp:inline distT="0" distB="0" distL="0" distR="0">
            <wp:extent cx="5267325" cy="1352550"/>
            <wp:effectExtent l="0" t="0" r="0" b="0"/>
            <wp:docPr id="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67325" cy="1352550"/>
                    </a:xfrm>
                    <a:prstGeom prst="rect">
                      <a:avLst/>
                    </a:prstGeom>
                    <a:noFill/>
                    <a:ln>
                      <a:noFill/>
                    </a:ln>
                  </pic:spPr>
                </pic:pic>
              </a:graphicData>
            </a:graphic>
          </wp:inline>
        </w:drawing>
      </w:r>
    </w:p>
    <w:p>
      <w:pPr>
        <w:ind w:firstLine="482"/>
        <w:jc w:val="center"/>
        <w:rPr>
          <w:rFonts w:cs="Times New Roman"/>
          <w:b/>
          <w:color w:val="auto"/>
        </w:rPr>
      </w:pPr>
      <w:r>
        <w:rPr>
          <w:rFonts w:cs="Times New Roman"/>
          <w:b/>
          <w:color w:val="auto"/>
        </w:rPr>
        <w:t>图</w:t>
      </w:r>
      <w:r>
        <w:rPr>
          <w:rFonts w:hint="eastAsia" w:cs="Times New Roman"/>
          <w:b/>
          <w:color w:val="auto"/>
        </w:rPr>
        <w:t>6.1</w:t>
      </w:r>
      <w:r>
        <w:rPr>
          <w:rFonts w:cs="Times New Roman"/>
          <w:b/>
          <w:color w:val="auto"/>
        </w:rPr>
        <w:t>-</w:t>
      </w:r>
      <w:r>
        <w:rPr>
          <w:rFonts w:hint="eastAsia" w:cs="Times New Roman"/>
          <w:b/>
          <w:color w:val="auto"/>
        </w:rPr>
        <w:t>1</w:t>
      </w:r>
      <w:r>
        <w:rPr>
          <w:rFonts w:cs="Times New Roman"/>
          <w:b/>
          <w:color w:val="auto"/>
        </w:rPr>
        <w:t>沟槽断面形式</w:t>
      </w:r>
    </w:p>
    <w:p>
      <w:pPr>
        <w:ind w:firstLine="480"/>
        <w:rPr>
          <w:rFonts w:cs="Times New Roman"/>
          <w:color w:val="auto"/>
        </w:rPr>
      </w:pPr>
      <w:r>
        <w:rPr>
          <w:rFonts w:cs="Times New Roman"/>
          <w:color w:val="auto"/>
        </w:rPr>
        <w:t>正确选用沟槽形式可以为管道施工创造便利条件和保证施工安全。沟槽底部的开槽深度可按下式确定：</w:t>
      </w:r>
    </w:p>
    <w:p>
      <w:pPr>
        <w:ind w:firstLine="480"/>
        <w:rPr>
          <w:rFonts w:cs="Times New Roman"/>
          <w:color w:val="auto"/>
        </w:rPr>
      </w:pPr>
      <w:r>
        <w:rPr>
          <w:rFonts w:cs="Times New Roman"/>
          <w:color w:val="auto"/>
        </w:rPr>
        <w:t>B=D1+2×（b1+b2+b3）</w:t>
      </w:r>
    </w:p>
    <w:p>
      <w:pPr>
        <w:ind w:firstLine="480"/>
        <w:rPr>
          <w:rFonts w:cs="Times New Roman"/>
          <w:color w:val="auto"/>
        </w:rPr>
      </w:pPr>
      <w:r>
        <w:rPr>
          <w:rFonts w:cs="Times New Roman"/>
          <w:color w:val="auto"/>
        </w:rPr>
        <w:t>其中：B—沟槽底宽（mm）；</w:t>
      </w:r>
    </w:p>
    <w:p>
      <w:pPr>
        <w:ind w:firstLine="480"/>
        <w:rPr>
          <w:rFonts w:cs="Times New Roman"/>
          <w:color w:val="auto"/>
        </w:rPr>
      </w:pPr>
      <w:r>
        <w:rPr>
          <w:rFonts w:cs="Times New Roman"/>
          <w:color w:val="auto"/>
        </w:rPr>
        <w:t>D1—管道结构的外缘宽度（mm）；</w:t>
      </w:r>
    </w:p>
    <w:p>
      <w:pPr>
        <w:ind w:firstLine="480"/>
        <w:rPr>
          <w:rFonts w:cs="Times New Roman"/>
          <w:color w:val="auto"/>
        </w:rPr>
      </w:pPr>
      <w:r>
        <w:rPr>
          <w:rFonts w:cs="Times New Roman"/>
          <w:color w:val="auto"/>
        </w:rPr>
        <w:t>b1—管道一侧的工作面宽度（mm）；</w:t>
      </w:r>
    </w:p>
    <w:p>
      <w:pPr>
        <w:ind w:firstLine="480"/>
        <w:rPr>
          <w:rFonts w:cs="Times New Roman"/>
          <w:color w:val="auto"/>
        </w:rPr>
      </w:pPr>
      <w:r>
        <w:rPr>
          <w:rFonts w:cs="Times New Roman"/>
          <w:color w:val="auto"/>
        </w:rPr>
        <w:t>b2—管道一侧的支撑宽度（mm），一般可取150~200mm;</w:t>
      </w:r>
    </w:p>
    <w:p>
      <w:pPr>
        <w:ind w:firstLine="480"/>
        <w:rPr>
          <w:rFonts w:cs="Times New Roman"/>
          <w:color w:val="auto"/>
        </w:rPr>
      </w:pPr>
      <w:r>
        <w:rPr>
          <w:rFonts w:cs="Times New Roman"/>
          <w:color w:val="auto"/>
        </w:rPr>
        <w:t>b3—现场浇筑混凝土或钢筋混凝土管道一侧模板的厚度（mm）。</w:t>
      </w:r>
    </w:p>
    <w:p>
      <w:pPr>
        <w:ind w:firstLine="480"/>
        <w:rPr>
          <w:rFonts w:cs="Times New Roman"/>
          <w:color w:val="auto"/>
        </w:rPr>
      </w:pPr>
      <w:r>
        <w:rPr>
          <w:rFonts w:cs="Times New Roman"/>
          <w:color w:val="auto"/>
        </w:rPr>
        <w:t>沟槽开挖应合理组织，对于埋深较深，距离较长，直径较大的管道，如本项工程的干管部分，由于土方量多，管道穿越地段的水文地质和工程地质变化较大，在施工前应采取挖探和钻探的方法查明与施工相关的地下情况，如各管段的地下水位和土质情况，现况地下管线情况等以便采取相应措施。采用何种开挖方式应依据沟槽的断面形式、地下管线的复杂程度、土质的坚硬程度、工作量和施工场地的大小以及机械设备、劳动力等条件确定。</w:t>
      </w:r>
    </w:p>
    <w:p>
      <w:pPr>
        <w:ind w:firstLine="480"/>
        <w:rPr>
          <w:rFonts w:cs="Times New Roman"/>
          <w:color w:val="auto"/>
        </w:rPr>
      </w:pPr>
      <w:r>
        <w:rPr>
          <w:rFonts w:cs="Times New Roman"/>
          <w:color w:val="auto"/>
        </w:rPr>
        <w:t>在未建的规划道路上敷设的污水管，在道路建设过程中，可随道路的建设同步敷设污水管道。</w:t>
      </w:r>
    </w:p>
    <w:p>
      <w:pPr>
        <w:ind w:firstLine="480"/>
        <w:rPr>
          <w:rFonts w:cs="Times New Roman"/>
          <w:color w:val="auto"/>
          <w:kern w:val="0"/>
        </w:rPr>
      </w:pPr>
      <w:r>
        <w:rPr>
          <w:rFonts w:cs="Times New Roman"/>
          <w:color w:val="auto"/>
          <w:kern w:val="0"/>
        </w:rPr>
        <w:t>2、管道基础处理</w:t>
      </w:r>
    </w:p>
    <w:p>
      <w:pPr>
        <w:ind w:firstLine="480"/>
        <w:rPr>
          <w:rFonts w:cs="Times New Roman"/>
          <w:color w:val="auto"/>
          <w:kern w:val="0"/>
        </w:rPr>
      </w:pPr>
      <w:r>
        <w:rPr>
          <w:rFonts w:cs="Times New Roman"/>
          <w:color w:val="auto"/>
          <w:kern w:val="0"/>
        </w:rPr>
        <w:t>本项目管道区域地震时可能存在轻微液化和软土震陷，其震害后果对管道而言是不均匀沉降引起管道接口漏水。根据《室外给水排水和燃气热力工程抗震设计规范》GB50032 第4.3.6 条，对一般配管可不采取抗液化措施，对输水干管以提高管道结构适应不均匀沉降能力。本工程管道采用热收缩带连接，一般讲管道具有较好的适应不均匀沉降的能力。为保证管道可靠的工作安全，根据沟埋式管道的工作特性—管土整体共同工作原理，认真的做好管道基础的设计和施工是确保本工程管道安全的关键。为此，针对本工程管道处于不同土质条件下，采取不同的管道基础及地基处理：</w:t>
      </w:r>
    </w:p>
    <w:p>
      <w:pPr>
        <w:ind w:firstLine="480"/>
        <w:rPr>
          <w:rFonts w:cs="Times New Roman"/>
          <w:color w:val="auto"/>
          <w:kern w:val="0"/>
        </w:rPr>
      </w:pPr>
      <w:r>
        <w:rPr>
          <w:rFonts w:cs="Times New Roman"/>
          <w:color w:val="auto"/>
          <w:kern w:val="0"/>
        </w:rPr>
        <w:t>1、管道位于一般地段（地基土的承载力特征值fak≥80kPa 时，采用120°土弧基础。</w:t>
      </w:r>
    </w:p>
    <w:p>
      <w:pPr>
        <w:ind w:firstLine="480"/>
        <w:rPr>
          <w:rFonts w:cs="Times New Roman"/>
          <w:color w:val="auto"/>
          <w:kern w:val="0"/>
          <w:sz w:val="20"/>
          <w:szCs w:val="20"/>
        </w:rPr>
      </w:pPr>
      <w:r>
        <w:rPr>
          <w:rFonts w:hint="eastAsia" w:cs="Times New Roman"/>
          <w:color w:val="auto"/>
          <w:kern w:val="0"/>
        </w:rPr>
        <w:t>HDPE</w:t>
      </w:r>
      <w:r>
        <w:rPr>
          <w:rFonts w:cs="Times New Roman"/>
          <w:color w:val="auto"/>
          <w:kern w:val="0"/>
        </w:rPr>
        <w:t>管管道垫层采用150mm厚的砂石(7:3)垫层，管道基础以上至管顶50cm以下范围内采用中粗砂或石面砂回填，管顶50cm以上至路面车行道采用碎石土或满足道路要求的原土，具体做法详回填示意图。</w:t>
      </w:r>
    </w:p>
    <w:p>
      <w:pPr>
        <w:pStyle w:val="366"/>
        <w:rPr>
          <w:rFonts w:eastAsia="仿宋_GB2312"/>
          <w:kern w:val="0"/>
        </w:rPr>
      </w:pPr>
      <w:r>
        <w:rPr>
          <w:kern w:val="0"/>
        </w:rPr>
        <w:drawing>
          <wp:inline distT="0" distB="0" distL="0" distR="0">
            <wp:extent cx="2628265" cy="1934845"/>
            <wp:effectExtent l="19050" t="0" r="165"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0"/>
                    <pic:cNvPicPr>
                      <a:picLocks noChangeAspect="1" noChangeArrowheads="1"/>
                    </pic:cNvPicPr>
                  </pic:nvPicPr>
                  <pic:blipFill>
                    <a:blip r:embed="rId49" cstate="print"/>
                    <a:srcRect/>
                    <a:stretch>
                      <a:fillRect/>
                    </a:stretch>
                  </pic:blipFill>
                  <pic:spPr>
                    <a:xfrm>
                      <a:off x="0" y="0"/>
                      <a:ext cx="2633150" cy="1938218"/>
                    </a:xfrm>
                    <a:prstGeom prst="rect">
                      <a:avLst/>
                    </a:prstGeom>
                    <a:noFill/>
                    <a:ln w="9525">
                      <a:noFill/>
                      <a:miter lim="800000"/>
                      <a:headEnd/>
                      <a:tailEnd/>
                    </a:ln>
                  </pic:spPr>
                </pic:pic>
              </a:graphicData>
            </a:graphic>
          </wp:inline>
        </w:drawing>
      </w:r>
      <w:r>
        <w:rPr>
          <w:b w:val="0"/>
          <w:kern w:val="0"/>
        </w:rPr>
        <w:t xml:space="preserve"> </w:t>
      </w:r>
      <w:r>
        <w:rPr>
          <w:b w:val="0"/>
          <w:kern w:val="0"/>
        </w:rPr>
        <w:drawing>
          <wp:inline distT="0" distB="0" distL="0" distR="0">
            <wp:extent cx="2682875" cy="1963420"/>
            <wp:effectExtent l="19050" t="0" r="2666" b="0"/>
            <wp:docPr id="2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pic:cNvPicPr>
                      <a:picLocks noChangeAspect="1" noChangeArrowheads="1"/>
                    </pic:cNvPicPr>
                  </pic:nvPicPr>
                  <pic:blipFill>
                    <a:blip r:embed="rId50" cstate="print"/>
                    <a:srcRect/>
                    <a:stretch>
                      <a:fillRect/>
                    </a:stretch>
                  </pic:blipFill>
                  <pic:spPr>
                    <a:xfrm>
                      <a:off x="0" y="0"/>
                      <a:ext cx="2684819" cy="1965022"/>
                    </a:xfrm>
                    <a:prstGeom prst="rect">
                      <a:avLst/>
                    </a:prstGeom>
                    <a:noFill/>
                    <a:ln w="9525">
                      <a:noFill/>
                      <a:miter lim="800000"/>
                      <a:headEnd/>
                      <a:tailEnd/>
                    </a:ln>
                  </pic:spPr>
                </pic:pic>
              </a:graphicData>
            </a:graphic>
          </wp:inline>
        </w:drawing>
      </w:r>
    </w:p>
    <w:p>
      <w:pPr>
        <w:pStyle w:val="112"/>
        <w:spacing w:line="240" w:lineRule="auto"/>
        <w:jc w:val="left"/>
        <w:rPr>
          <w:color w:val="auto"/>
          <w:sz w:val="18"/>
          <w:szCs w:val="18"/>
        </w:rPr>
      </w:pPr>
      <w:r>
        <w:rPr>
          <w:color w:val="auto"/>
          <w:sz w:val="18"/>
          <w:szCs w:val="18"/>
        </w:rPr>
        <w:t>注：左侧</w:t>
      </w:r>
      <w:r>
        <w:rPr>
          <w:color w:val="auto"/>
          <w:kern w:val="0"/>
          <w:sz w:val="18"/>
          <w:szCs w:val="18"/>
        </w:rPr>
        <w:t>在地面或绿化带下、右侧在道路下</w:t>
      </w:r>
    </w:p>
    <w:p>
      <w:pPr>
        <w:pStyle w:val="112"/>
        <w:rPr>
          <w:color w:val="auto"/>
          <w:kern w:val="0"/>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rFonts w:hint="eastAsia"/>
          <w:color w:val="auto"/>
        </w:rPr>
        <w:t>2</w:t>
      </w:r>
      <w:r>
        <w:rPr>
          <w:color w:val="auto"/>
        </w:rPr>
        <w:t xml:space="preserve"> </w:t>
      </w:r>
      <w:r>
        <w:rPr>
          <w:color w:val="auto"/>
          <w:kern w:val="0"/>
        </w:rPr>
        <w:t>管道开槽回填示意图</w:t>
      </w:r>
    </w:p>
    <w:p>
      <w:pPr>
        <w:ind w:firstLine="480"/>
        <w:rPr>
          <w:rFonts w:cs="Times New Roman"/>
          <w:color w:val="auto"/>
          <w:kern w:val="0"/>
        </w:rPr>
      </w:pPr>
      <w:r>
        <w:rPr>
          <w:rFonts w:cs="Times New Roman"/>
          <w:color w:val="auto"/>
          <w:kern w:val="0"/>
        </w:rPr>
        <w:t>2、若管基下为淤泥或软弱的淤泥质土，这些软弱地基处应采用夯填的200mm 粗砂碎石的方法进行处理。</w:t>
      </w:r>
    </w:p>
    <w:p>
      <w:pPr>
        <w:ind w:firstLine="480"/>
        <w:rPr>
          <w:rFonts w:cs="Times New Roman"/>
          <w:color w:val="auto"/>
          <w:kern w:val="0"/>
        </w:rPr>
      </w:pPr>
      <w:r>
        <w:rPr>
          <w:rFonts w:cs="Times New Roman"/>
          <w:color w:val="auto"/>
          <w:kern w:val="0"/>
        </w:rPr>
        <w:t>3、开槽施工的软土地段采用压实换填的方案进行处理。管道位于流塑状的淤泥，泥碳土地段采用水泥搅拌桩（淤泥），或低标号砼桩进行处理，其复合地基承载力特征值fak≥80kPa。</w:t>
      </w:r>
    </w:p>
    <w:p>
      <w:pPr>
        <w:ind w:firstLine="480"/>
        <w:rPr>
          <w:rFonts w:cs="Times New Roman"/>
          <w:color w:val="auto"/>
          <w:kern w:val="0"/>
        </w:rPr>
      </w:pPr>
      <w:r>
        <w:rPr>
          <w:rFonts w:cs="Times New Roman"/>
          <w:color w:val="auto"/>
          <w:kern w:val="0"/>
        </w:rPr>
        <w:t>4、管道位于砂土，粉土液化地段时采用碎石桩进行地基处理。</w:t>
      </w:r>
    </w:p>
    <w:p>
      <w:pPr>
        <w:ind w:firstLine="480"/>
        <w:rPr>
          <w:rFonts w:cs="Times New Roman"/>
          <w:color w:val="auto"/>
          <w:kern w:val="0"/>
        </w:rPr>
      </w:pPr>
      <w:r>
        <w:rPr>
          <w:rFonts w:cs="Times New Roman"/>
          <w:color w:val="auto"/>
          <w:kern w:val="0"/>
        </w:rPr>
        <w:t>本工程污水管道管材均为</w:t>
      </w:r>
      <w:r>
        <w:rPr>
          <w:rFonts w:hint="eastAsia" w:cs="Times New Roman"/>
          <w:color w:val="auto"/>
          <w:kern w:val="0"/>
        </w:rPr>
        <w:t>HDPE</w:t>
      </w:r>
      <w:r>
        <w:rPr>
          <w:rFonts w:cs="Times New Roman"/>
          <w:color w:val="auto"/>
          <w:kern w:val="0"/>
        </w:rPr>
        <w:t>管，采用150mm 厚的砂石垫层，特殊地段须进行地基处理。</w:t>
      </w:r>
    </w:p>
    <w:p>
      <w:pPr>
        <w:ind w:firstLine="480"/>
        <w:rPr>
          <w:rFonts w:cs="Times New Roman"/>
          <w:color w:val="auto"/>
          <w:kern w:val="0"/>
        </w:rPr>
      </w:pPr>
      <w:r>
        <w:rPr>
          <w:rFonts w:hint="eastAsia" w:cs="Times New Roman"/>
          <w:color w:val="auto"/>
          <w:kern w:val="0"/>
        </w:rPr>
        <w:t>HDPE</w:t>
      </w:r>
      <w:r>
        <w:rPr>
          <w:rFonts w:cs="Times New Roman"/>
          <w:color w:val="auto"/>
          <w:kern w:val="0"/>
        </w:rPr>
        <w:t>管采用热收缩带连接。管顶覆土应大于0.7m。如果局部地区无法满足，应采用如混凝土包裹等措施予以加强。</w:t>
      </w:r>
    </w:p>
    <w:p>
      <w:pPr>
        <w:pStyle w:val="5"/>
      </w:pPr>
      <w:bookmarkStart w:id="226" w:name="_Toc36126949"/>
      <w:bookmarkStart w:id="227" w:name="_Toc48640756"/>
      <w:r>
        <w:t>防腐设计</w:t>
      </w:r>
      <w:bookmarkEnd w:id="226"/>
      <w:bookmarkEnd w:id="227"/>
    </w:p>
    <w:p>
      <w:pPr>
        <w:ind w:firstLine="480"/>
        <w:rPr>
          <w:rFonts w:cs="Times New Roman"/>
          <w:color w:val="auto"/>
          <w:kern w:val="0"/>
        </w:rPr>
      </w:pPr>
      <w:r>
        <w:rPr>
          <w:rFonts w:cs="Times New Roman"/>
          <w:color w:val="auto"/>
          <w:kern w:val="0"/>
        </w:rPr>
        <w:t>1、防腐工作的重要性</w:t>
      </w:r>
    </w:p>
    <w:p>
      <w:pPr>
        <w:ind w:firstLine="480"/>
        <w:rPr>
          <w:rFonts w:cs="Times New Roman"/>
          <w:color w:val="auto"/>
          <w:kern w:val="0"/>
        </w:rPr>
      </w:pPr>
      <w:r>
        <w:rPr>
          <w:rFonts w:cs="Times New Roman"/>
          <w:color w:val="auto"/>
          <w:kern w:val="0"/>
        </w:rPr>
        <w:t>防腐工作具有重要意义，它可以消除腐蚀事故和环境污染，增产节约。</w:t>
      </w:r>
    </w:p>
    <w:p>
      <w:pPr>
        <w:ind w:firstLine="480"/>
        <w:rPr>
          <w:rFonts w:cs="Times New Roman"/>
          <w:color w:val="auto"/>
          <w:kern w:val="0"/>
        </w:rPr>
      </w:pPr>
      <w:r>
        <w:rPr>
          <w:rFonts w:cs="Times New Roman"/>
          <w:color w:val="auto"/>
          <w:kern w:val="0"/>
        </w:rPr>
        <w:t>2、构筑物防腐</w:t>
      </w:r>
    </w:p>
    <w:p>
      <w:pPr>
        <w:ind w:firstLine="480"/>
        <w:rPr>
          <w:rFonts w:cs="Times New Roman"/>
          <w:color w:val="auto"/>
          <w:kern w:val="0"/>
        </w:rPr>
      </w:pPr>
      <w:r>
        <w:rPr>
          <w:rFonts w:cs="Times New Roman"/>
          <w:color w:val="auto"/>
          <w:kern w:val="0"/>
        </w:rPr>
        <w:t>（1）为提高混凝土抗污水浸蚀的能力，有针对性地选择混凝土外加剂，使其与水泥的水化产物形成不溶凝胶，阻塞混凝土的毛细通道，提高混凝土的密实度，达到混凝土的防腐和钢筋防锈蚀的目的。</w:t>
      </w:r>
    </w:p>
    <w:p>
      <w:pPr>
        <w:ind w:firstLine="480"/>
        <w:rPr>
          <w:rFonts w:cs="Times New Roman"/>
          <w:color w:val="auto"/>
          <w:kern w:val="0"/>
        </w:rPr>
      </w:pPr>
      <w:r>
        <w:rPr>
          <w:rFonts w:cs="Times New Roman"/>
          <w:color w:val="auto"/>
          <w:kern w:val="0"/>
        </w:rPr>
        <w:t>（2）外露锈件除锈后刷无毒还氧防腐涂料二遍。</w:t>
      </w:r>
    </w:p>
    <w:p>
      <w:pPr>
        <w:ind w:firstLine="480"/>
        <w:rPr>
          <w:rFonts w:cs="Times New Roman"/>
          <w:color w:val="auto"/>
          <w:kern w:val="0"/>
        </w:rPr>
      </w:pPr>
      <w:r>
        <w:rPr>
          <w:rFonts w:cs="Times New Roman"/>
          <w:color w:val="auto"/>
          <w:kern w:val="0"/>
        </w:rPr>
        <w:t>本工程构筑物的防腐主要是钢筋混凝土检查井的防腐。</w:t>
      </w:r>
    </w:p>
    <w:p>
      <w:pPr>
        <w:ind w:firstLine="480"/>
        <w:rPr>
          <w:rFonts w:cs="Times New Roman"/>
          <w:color w:val="auto"/>
          <w:kern w:val="0"/>
        </w:rPr>
      </w:pPr>
      <w:r>
        <w:rPr>
          <w:rFonts w:cs="Times New Roman"/>
          <w:color w:val="auto"/>
          <w:kern w:val="0"/>
        </w:rPr>
        <w:t>3、管道防腐</w:t>
      </w:r>
    </w:p>
    <w:p>
      <w:pPr>
        <w:ind w:firstLine="480"/>
        <w:rPr>
          <w:rFonts w:cs="Times New Roman"/>
          <w:color w:val="auto"/>
          <w:kern w:val="0"/>
        </w:rPr>
      </w:pPr>
      <w:r>
        <w:rPr>
          <w:rFonts w:cs="Times New Roman"/>
          <w:color w:val="auto"/>
          <w:kern w:val="0"/>
        </w:rPr>
        <w:t>本工程采用的塑料管可不需要防腐。</w:t>
      </w:r>
    </w:p>
    <w:p>
      <w:pPr>
        <w:ind w:firstLine="480"/>
        <w:rPr>
          <w:rFonts w:cs="Times New Roman"/>
          <w:color w:val="auto"/>
          <w:kern w:val="0"/>
        </w:rPr>
      </w:pPr>
      <w:r>
        <w:rPr>
          <w:rFonts w:cs="Times New Roman"/>
          <w:color w:val="auto"/>
          <w:kern w:val="0"/>
        </w:rPr>
        <w:t>金属管道必须进行内、外防腐，钢管防腐参考《给水排水管道工程施工及验收规范》GB50268-2008，防腐做法见表：</w:t>
      </w:r>
    </w:p>
    <w:p>
      <w:pPr>
        <w:pStyle w:val="112"/>
        <w:rPr>
          <w:color w:val="auto"/>
          <w:kern w:val="0"/>
          <w:sz w:val="20"/>
          <w:szCs w:val="20"/>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6</w:t>
      </w:r>
      <w:r>
        <w:rPr>
          <w:color w:val="auto"/>
        </w:rPr>
        <w:fldChar w:fldCharType="end"/>
      </w:r>
      <w:r>
        <w:rPr>
          <w:color w:val="auto"/>
        </w:rPr>
        <w:t xml:space="preserve"> </w:t>
      </w:r>
      <w:r>
        <w:rPr>
          <w:color w:val="auto"/>
          <w:kern w:val="0"/>
        </w:rPr>
        <w:t>管道防腐做法表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3231"/>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0" w:type="dxa"/>
            <w:vAlign w:val="center"/>
          </w:tcPr>
          <w:p>
            <w:pPr>
              <w:pStyle w:val="114"/>
              <w:rPr>
                <w:b/>
                <w:kern w:val="0"/>
                <w:szCs w:val="20"/>
              </w:rPr>
            </w:pPr>
            <w:r>
              <w:rPr>
                <w:b/>
                <w:kern w:val="0"/>
              </w:rPr>
              <w:t>名称</w:t>
            </w:r>
          </w:p>
        </w:tc>
        <w:tc>
          <w:tcPr>
            <w:tcW w:w="3231" w:type="dxa"/>
            <w:vAlign w:val="center"/>
          </w:tcPr>
          <w:p>
            <w:pPr>
              <w:pStyle w:val="114"/>
              <w:rPr>
                <w:b/>
                <w:kern w:val="0"/>
                <w:szCs w:val="20"/>
              </w:rPr>
            </w:pPr>
            <w:r>
              <w:rPr>
                <w:b/>
                <w:kern w:val="0"/>
              </w:rPr>
              <w:t>钢管</w:t>
            </w:r>
          </w:p>
        </w:tc>
        <w:tc>
          <w:tcPr>
            <w:tcW w:w="3404" w:type="dxa"/>
            <w:vAlign w:val="center"/>
          </w:tcPr>
          <w:p>
            <w:pPr>
              <w:pStyle w:val="114"/>
              <w:rPr>
                <w:b/>
                <w:kern w:val="0"/>
                <w:szCs w:val="20"/>
              </w:rPr>
            </w:pPr>
            <w:r>
              <w:rPr>
                <w:b/>
                <w:kern w:val="0"/>
              </w:rPr>
              <w:t>钢配件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0" w:type="dxa"/>
            <w:vAlign w:val="center"/>
          </w:tcPr>
          <w:p>
            <w:pPr>
              <w:pStyle w:val="114"/>
              <w:rPr>
                <w:kern w:val="0"/>
                <w:szCs w:val="20"/>
              </w:rPr>
            </w:pPr>
            <w:r>
              <w:rPr>
                <w:kern w:val="0"/>
              </w:rPr>
              <w:t>内防腐</w:t>
            </w:r>
          </w:p>
        </w:tc>
        <w:tc>
          <w:tcPr>
            <w:tcW w:w="3231" w:type="dxa"/>
            <w:vAlign w:val="center"/>
          </w:tcPr>
          <w:p>
            <w:pPr>
              <w:pStyle w:val="114"/>
              <w:rPr>
                <w:kern w:val="0"/>
                <w:szCs w:val="20"/>
              </w:rPr>
            </w:pPr>
            <w:r>
              <w:rPr>
                <w:kern w:val="0"/>
              </w:rPr>
              <w:t>环氧树脂</w:t>
            </w:r>
          </w:p>
        </w:tc>
        <w:tc>
          <w:tcPr>
            <w:tcW w:w="3404" w:type="dxa"/>
            <w:vAlign w:val="center"/>
          </w:tcPr>
          <w:p>
            <w:pPr>
              <w:pStyle w:val="114"/>
              <w:rPr>
                <w:kern w:val="0"/>
                <w:szCs w:val="20"/>
              </w:rPr>
            </w:pPr>
            <w:r>
              <w:rPr>
                <w:kern w:val="0"/>
              </w:rPr>
              <w:t>环氧树脂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0" w:type="dxa"/>
            <w:vAlign w:val="center"/>
          </w:tcPr>
          <w:p>
            <w:pPr>
              <w:pStyle w:val="114"/>
              <w:rPr>
                <w:kern w:val="0"/>
                <w:szCs w:val="20"/>
              </w:rPr>
            </w:pPr>
            <w:r>
              <w:rPr>
                <w:kern w:val="0"/>
              </w:rPr>
              <w:t>外防腐</w:t>
            </w:r>
          </w:p>
        </w:tc>
        <w:tc>
          <w:tcPr>
            <w:tcW w:w="3231" w:type="dxa"/>
            <w:vAlign w:val="center"/>
          </w:tcPr>
          <w:p>
            <w:pPr>
              <w:pStyle w:val="114"/>
              <w:rPr>
                <w:kern w:val="0"/>
              </w:rPr>
            </w:pPr>
            <w:r>
              <w:rPr>
                <w:kern w:val="0"/>
              </w:rPr>
              <w:t>底层,无机富锌</w:t>
            </w:r>
          </w:p>
          <w:p>
            <w:pPr>
              <w:pStyle w:val="114"/>
              <w:rPr>
                <w:kern w:val="0"/>
              </w:rPr>
            </w:pPr>
            <w:r>
              <w:rPr>
                <w:kern w:val="0"/>
              </w:rPr>
              <w:t>50um；中间层，环氧</w:t>
            </w:r>
          </w:p>
          <w:p>
            <w:pPr>
              <w:pStyle w:val="114"/>
              <w:rPr>
                <w:kern w:val="0"/>
              </w:rPr>
            </w:pPr>
            <w:r>
              <w:rPr>
                <w:kern w:val="0"/>
              </w:rPr>
              <w:t>云铁，100μm；面层,</w:t>
            </w:r>
          </w:p>
          <w:p>
            <w:pPr>
              <w:pStyle w:val="114"/>
              <w:rPr>
                <w:kern w:val="0"/>
                <w:szCs w:val="20"/>
              </w:rPr>
            </w:pPr>
            <w:r>
              <w:rPr>
                <w:kern w:val="0"/>
              </w:rPr>
              <w:t>丙烯酸聚胺脂，100μ</w:t>
            </w:r>
            <w:r>
              <w:rPr>
                <w:rFonts w:hint="eastAsia"/>
                <w:kern w:val="0"/>
              </w:rPr>
              <w:t>m</w:t>
            </w:r>
          </w:p>
        </w:tc>
        <w:tc>
          <w:tcPr>
            <w:tcW w:w="3404" w:type="dxa"/>
            <w:vAlign w:val="center"/>
          </w:tcPr>
          <w:p>
            <w:pPr>
              <w:pStyle w:val="114"/>
              <w:rPr>
                <w:kern w:val="0"/>
              </w:rPr>
            </w:pPr>
            <w:r>
              <w:rPr>
                <w:kern w:val="0"/>
              </w:rPr>
              <w:t>底层,无机富锌</w:t>
            </w:r>
          </w:p>
          <w:p>
            <w:pPr>
              <w:pStyle w:val="114"/>
              <w:rPr>
                <w:kern w:val="0"/>
              </w:rPr>
            </w:pPr>
            <w:r>
              <w:rPr>
                <w:kern w:val="0"/>
              </w:rPr>
              <w:t>50um;中间层,环氧</w:t>
            </w:r>
          </w:p>
          <w:p>
            <w:pPr>
              <w:pStyle w:val="114"/>
              <w:rPr>
                <w:kern w:val="0"/>
              </w:rPr>
            </w:pPr>
            <w:r>
              <w:rPr>
                <w:kern w:val="0"/>
              </w:rPr>
              <w:t>云铁,100μm;面层,</w:t>
            </w:r>
          </w:p>
          <w:p>
            <w:pPr>
              <w:pStyle w:val="114"/>
              <w:rPr>
                <w:kern w:val="0"/>
                <w:szCs w:val="20"/>
              </w:rPr>
            </w:pPr>
            <w:r>
              <w:rPr>
                <w:kern w:val="0"/>
              </w:rPr>
              <w:t>丙烯酸聚胺脂,100μ</w:t>
            </w:r>
            <w:r>
              <w:rPr>
                <w:rFonts w:hint="eastAsia"/>
                <w:kern w:val="0"/>
              </w:rPr>
              <w:t>m</w:t>
            </w:r>
          </w:p>
        </w:tc>
      </w:tr>
    </w:tbl>
    <w:p>
      <w:pPr>
        <w:pStyle w:val="5"/>
      </w:pPr>
      <w:bookmarkStart w:id="228" w:name="_Toc36126950"/>
      <w:bookmarkStart w:id="229" w:name="_Toc48640757"/>
      <w:r>
        <w:t>管道附属构筑物</w:t>
      </w:r>
      <w:bookmarkEnd w:id="228"/>
      <w:bookmarkEnd w:id="229"/>
    </w:p>
    <w:p>
      <w:pPr>
        <w:pStyle w:val="376"/>
        <w:rPr>
          <w:kern w:val="0"/>
        </w:rPr>
      </w:pPr>
      <w:r>
        <w:rPr>
          <w:kern w:val="0"/>
        </w:rPr>
        <w:t>1、检查井</w:t>
      </w:r>
    </w:p>
    <w:p>
      <w:pPr>
        <w:ind w:firstLine="480"/>
        <w:rPr>
          <w:rFonts w:cs="Times New Roman"/>
          <w:color w:val="auto"/>
          <w:kern w:val="0"/>
        </w:rPr>
      </w:pPr>
      <w:r>
        <w:rPr>
          <w:rFonts w:cs="Times New Roman"/>
          <w:color w:val="auto"/>
          <w:kern w:val="0"/>
        </w:rPr>
        <w:t>检查井设在管道交汇、转弯处、管径或坡度改变处、跌水处及直线管段上每隔一定距离的地方。检查井主要采用</w:t>
      </w:r>
      <w:r>
        <w:rPr>
          <w:rFonts w:hint="eastAsia" w:cs="Times New Roman"/>
          <w:color w:val="auto"/>
          <w:kern w:val="0"/>
        </w:rPr>
        <w:t>塑料</w:t>
      </w:r>
      <w:r>
        <w:rPr>
          <w:rFonts w:cs="Times New Roman"/>
          <w:color w:val="auto"/>
          <w:kern w:val="0"/>
        </w:rPr>
        <w:t>检查井。</w:t>
      </w:r>
    </w:p>
    <w:p>
      <w:pPr>
        <w:ind w:firstLine="480"/>
        <w:rPr>
          <w:rFonts w:cs="Times New Roman"/>
          <w:color w:val="auto"/>
          <w:kern w:val="0"/>
        </w:rPr>
      </w:pPr>
      <w:r>
        <w:rPr>
          <w:rFonts w:cs="Times New Roman"/>
          <w:color w:val="auto"/>
          <w:kern w:val="0"/>
        </w:rPr>
        <w:t>（1）井径为Φ700(管径≤400mm），其性能应满足《市政排水用塑料检查井》CJ/T326-2010，做法详图集《塑料排水检查井图集》（滇11JS5-1）。</w:t>
      </w:r>
    </w:p>
    <w:p>
      <w:pPr>
        <w:ind w:firstLine="480"/>
        <w:rPr>
          <w:rFonts w:cs="Times New Roman"/>
          <w:color w:val="auto"/>
          <w:kern w:val="0"/>
        </w:rPr>
      </w:pPr>
      <w:r>
        <w:rPr>
          <w:rFonts w:cs="Times New Roman"/>
          <w:color w:val="auto"/>
          <w:kern w:val="0"/>
        </w:rPr>
        <w:t>（</w:t>
      </w:r>
      <w:r>
        <w:rPr>
          <w:rFonts w:hint="eastAsia" w:cs="Times New Roman"/>
          <w:color w:val="auto"/>
          <w:kern w:val="0"/>
        </w:rPr>
        <w:t>2</w:t>
      </w:r>
      <w:r>
        <w:rPr>
          <w:rFonts w:cs="Times New Roman"/>
          <w:color w:val="auto"/>
          <w:kern w:val="0"/>
        </w:rPr>
        <w:t>）塑料检查井位于机动车道下，塑料检查井设置重型承压盖板；非机动车道、人行道下，塑料检查井设置轻型承压盖板，钢砼结构</w:t>
      </w:r>
      <w:r>
        <w:rPr>
          <w:rFonts w:hint="eastAsia" w:cs="Times New Roman"/>
          <w:color w:val="auto"/>
          <w:kern w:val="0"/>
        </w:rPr>
        <w:t>，</w:t>
      </w:r>
      <w:r>
        <w:rPr>
          <w:rFonts w:cs="Times New Roman"/>
          <w:color w:val="auto"/>
          <w:kern w:val="0"/>
        </w:rPr>
        <w:t>做法详图集《塑料排水检查井图集》（滇11JS5-1）。</w:t>
      </w:r>
    </w:p>
    <w:p>
      <w:pPr>
        <w:ind w:firstLine="480"/>
        <w:rPr>
          <w:rFonts w:cs="Times New Roman"/>
          <w:color w:val="auto"/>
          <w:kern w:val="0"/>
        </w:rPr>
      </w:pPr>
      <w:r>
        <w:rPr>
          <w:rFonts w:cs="Times New Roman"/>
          <w:color w:val="auto"/>
          <w:kern w:val="0"/>
        </w:rPr>
        <w:t>（3）检查井应安装防坠落装置。井盖应有标识，需标注明确使用功能。所有检查井井盖均采用防盗型井盖，检查井内设置防坠落装置，如设置防坠网，最小承重能力不小于100kg，且应具备较大的过水能力。</w:t>
      </w:r>
    </w:p>
    <w:p>
      <w:pPr>
        <w:ind w:firstLine="480"/>
        <w:rPr>
          <w:rFonts w:cs="Times New Roman"/>
          <w:color w:val="auto"/>
          <w:kern w:val="0"/>
        </w:rPr>
      </w:pPr>
      <w:r>
        <w:rPr>
          <w:rFonts w:cs="Times New Roman"/>
          <w:color w:val="auto"/>
          <w:kern w:val="0"/>
        </w:rPr>
        <w:t>（4）污水管交汇处前一个检查井设置为沉泥井，直线管路上每隔1个检查井设置一座沉泥井，污水沉泥井井底比下游干管管底深0.5m，以便于管道掏挖淤泥使用。</w:t>
      </w:r>
    </w:p>
    <w:p>
      <w:pPr>
        <w:ind w:firstLine="480"/>
        <w:rPr>
          <w:rFonts w:cs="Times New Roman"/>
          <w:color w:val="auto"/>
          <w:kern w:val="0"/>
        </w:rPr>
      </w:pPr>
      <w:r>
        <w:rPr>
          <w:rFonts w:cs="Times New Roman"/>
          <w:color w:val="auto"/>
          <w:kern w:val="0"/>
        </w:rPr>
        <w:t>（</w:t>
      </w:r>
      <w:r>
        <w:rPr>
          <w:rFonts w:hint="eastAsia" w:cs="Times New Roman"/>
          <w:color w:val="auto"/>
          <w:kern w:val="0"/>
        </w:rPr>
        <w:t>5</w:t>
      </w:r>
      <w:r>
        <w:rPr>
          <w:rFonts w:cs="Times New Roman"/>
          <w:color w:val="auto"/>
          <w:kern w:val="0"/>
        </w:rPr>
        <w:t>）检查井设置最大间距为30m（污水管管径为200~400）。</w:t>
      </w:r>
    </w:p>
    <w:p>
      <w:pPr>
        <w:pStyle w:val="376"/>
        <w:rPr>
          <w:kern w:val="0"/>
        </w:rPr>
      </w:pPr>
      <w:r>
        <w:rPr>
          <w:kern w:val="0"/>
        </w:rPr>
        <w:t>2、跌水井</w:t>
      </w:r>
    </w:p>
    <w:p>
      <w:pPr>
        <w:ind w:firstLine="480"/>
        <w:rPr>
          <w:rFonts w:cs="Times New Roman"/>
          <w:color w:val="auto"/>
          <w:kern w:val="0"/>
        </w:rPr>
      </w:pPr>
      <w:r>
        <w:rPr>
          <w:rFonts w:cs="Times New Roman"/>
          <w:color w:val="auto"/>
          <w:kern w:val="0"/>
        </w:rPr>
        <w:t>跌水水头大于2米应设置跌水井，采用竖槽式混凝土跌水井，做法详见图集《排水检查井》06MS201-3；若坡度较大而无条件设置跌水井，则在末端设置消能井。</w:t>
      </w:r>
    </w:p>
    <w:p>
      <w:pPr>
        <w:pStyle w:val="376"/>
        <w:rPr>
          <w:kern w:val="0"/>
        </w:rPr>
      </w:pPr>
      <w:r>
        <w:rPr>
          <w:kern w:val="0"/>
        </w:rPr>
        <w:t>3、沉泥井</w:t>
      </w:r>
    </w:p>
    <w:p>
      <w:pPr>
        <w:ind w:firstLine="480"/>
        <w:rPr>
          <w:rFonts w:cs="Times New Roman"/>
          <w:color w:val="auto"/>
          <w:kern w:val="0"/>
        </w:rPr>
      </w:pPr>
      <w:r>
        <w:rPr>
          <w:rFonts w:cs="Times New Roman"/>
          <w:color w:val="auto"/>
          <w:kern w:val="0"/>
        </w:rPr>
        <w:t>为了防止管道淤积，在直线管道上每隔一座检查井设置沉泥井，深度为0.5m。并需要定期对沉泥井定期清掏。</w:t>
      </w:r>
    </w:p>
    <w:p>
      <w:pPr>
        <w:pStyle w:val="376"/>
        <w:rPr>
          <w:kern w:val="0"/>
        </w:rPr>
      </w:pPr>
      <w:r>
        <w:rPr>
          <w:kern w:val="0"/>
        </w:rPr>
        <w:t>4、户用格栅井</w:t>
      </w:r>
    </w:p>
    <w:p>
      <w:pPr>
        <w:ind w:firstLine="480"/>
        <w:rPr>
          <w:rFonts w:cs="Times New Roman"/>
          <w:color w:val="auto"/>
          <w:lang w:val="zh-CN"/>
        </w:rPr>
      </w:pPr>
      <w:r>
        <w:rPr>
          <w:rFonts w:cs="Times New Roman"/>
          <w:color w:val="auto"/>
          <w:lang w:val="zh-CN"/>
        </w:rPr>
        <w:t>户用格栅井主要用于采用雨污分流村庄，类型二排口农户污水收集，通过在该类型农户裸露的室外洗漱区或水龙头洗漱区设置户用格栅井，裸露洗漱区散排的生活污水通过雨水篦子进入到户用格栅井内，户用格栅井主要用于生活污水的收集和拦截，通过户用格栅井的建设，户用格栅井雨水篦子顶盖及内置的格栅洗漱区污水中莱叶、泥沙等垃圾，再通过入户收集管接入到村庄支管，确保项目区裸露洗漱区散排的生活污水得以收集，具体户用格栅井设计参数如下：</w:t>
      </w:r>
    </w:p>
    <w:p>
      <w:pPr>
        <w:ind w:firstLine="480"/>
        <w:rPr>
          <w:rFonts w:cs="Times New Roman"/>
          <w:color w:val="auto"/>
          <w:lang w:val="zh-CN"/>
        </w:rPr>
      </w:pPr>
      <w:r>
        <w:rPr>
          <w:rFonts w:cs="Times New Roman"/>
          <w:color w:val="auto"/>
          <w:lang w:val="zh-CN"/>
        </w:rPr>
        <w:t>设计参数：</w:t>
      </w:r>
    </w:p>
    <w:p>
      <w:pPr>
        <w:ind w:firstLine="480"/>
        <w:rPr>
          <w:rFonts w:cs="Times New Roman"/>
          <w:color w:val="auto"/>
          <w:lang w:val="zh-CN"/>
        </w:rPr>
      </w:pPr>
      <w:r>
        <w:rPr>
          <w:rFonts w:cs="Times New Roman"/>
          <w:color w:val="auto"/>
          <w:lang w:val="zh-CN"/>
        </w:rPr>
        <w:t>1) 规格： LxBxH=0.5</w:t>
      </w:r>
      <w:r>
        <w:rPr>
          <w:rFonts w:ascii="Arial" w:hAnsi="Arial" w:cs="Arial"/>
          <w:color w:val="auto"/>
          <w:szCs w:val="24"/>
          <w:shd w:val="clear" w:color="auto" w:fill="FFFFFF"/>
        </w:rPr>
        <w:t>×</w:t>
      </w:r>
      <w:r>
        <w:rPr>
          <w:rFonts w:cs="Times New Roman"/>
          <w:color w:val="auto"/>
          <w:lang w:val="zh-CN"/>
        </w:rPr>
        <w:t>0.5</w:t>
      </w:r>
      <w:r>
        <w:rPr>
          <w:rFonts w:ascii="Arial" w:hAnsi="Arial" w:cs="Arial"/>
          <w:color w:val="auto"/>
          <w:szCs w:val="24"/>
          <w:shd w:val="clear" w:color="auto" w:fill="FFFFFF"/>
        </w:rPr>
        <w:t>×</w:t>
      </w:r>
      <w:r>
        <w:rPr>
          <w:rFonts w:cs="Times New Roman"/>
          <w:color w:val="auto"/>
          <w:lang w:val="zh-CN"/>
        </w:rPr>
        <w:t>0.5m；</w:t>
      </w:r>
    </w:p>
    <w:p>
      <w:pPr>
        <w:ind w:firstLine="480"/>
        <w:rPr>
          <w:rFonts w:cs="Times New Roman"/>
          <w:color w:val="auto"/>
          <w:lang w:val="zh-CN"/>
        </w:rPr>
      </w:pPr>
      <w:r>
        <w:rPr>
          <w:rFonts w:cs="Times New Roman"/>
          <w:color w:val="auto"/>
          <w:lang w:val="zh-CN"/>
        </w:rPr>
        <w:t>2)格栅形式：08钢筋格栅，间距2cm；</w:t>
      </w:r>
    </w:p>
    <w:p>
      <w:pPr>
        <w:ind w:firstLine="480"/>
        <w:rPr>
          <w:rFonts w:cs="Times New Roman"/>
          <w:color w:val="auto"/>
          <w:lang w:val="zh-CN"/>
        </w:rPr>
      </w:pPr>
      <w:r>
        <w:rPr>
          <w:rFonts w:cs="Times New Roman"/>
          <w:color w:val="auto"/>
          <w:lang w:val="zh-CN"/>
        </w:rPr>
        <w:t>3)井盖形式：雨水篦子井盖；</w:t>
      </w:r>
    </w:p>
    <w:p>
      <w:pPr>
        <w:ind w:firstLine="480"/>
        <w:rPr>
          <w:rFonts w:cs="Times New Roman"/>
          <w:color w:val="auto"/>
          <w:lang w:val="zh-CN"/>
        </w:rPr>
      </w:pPr>
      <w:r>
        <w:rPr>
          <w:rFonts w:cs="Times New Roman"/>
          <w:color w:val="auto"/>
          <w:lang w:val="zh-CN"/>
        </w:rPr>
        <w:t>4)结构形式：砖混结构；</w:t>
      </w:r>
    </w:p>
    <w:p>
      <w:pPr>
        <w:ind w:firstLine="480"/>
        <w:rPr>
          <w:rFonts w:cs="Times New Roman"/>
          <w:color w:val="auto"/>
          <w:lang w:val="zh-CN"/>
        </w:rPr>
      </w:pPr>
      <w:r>
        <w:rPr>
          <w:rFonts w:cs="Times New Roman"/>
          <w:color w:val="auto"/>
          <w:lang w:val="zh-CN"/>
        </w:rPr>
        <w:t>5 )建设规模：根据现场踏勘项目区村庄按收集率对能收集的农户家中每户建设一座进行配置。具体各村户用格栅井数量见污水收集工程量统计表。</w:t>
      </w:r>
    </w:p>
    <w:p>
      <w:pPr>
        <w:pStyle w:val="376"/>
        <w:rPr>
          <w:lang w:val="zh-CN"/>
        </w:rPr>
      </w:pPr>
      <w:r>
        <w:rPr>
          <w:lang w:val="zh-CN"/>
        </w:rPr>
        <w:t>5、户用化粪池</w:t>
      </w:r>
    </w:p>
    <w:p>
      <w:pPr>
        <w:ind w:firstLine="480"/>
        <w:rPr>
          <w:rFonts w:cs="Times New Roman"/>
          <w:color w:val="auto"/>
          <w:lang w:val="zh-CN"/>
        </w:rPr>
      </w:pPr>
      <w:r>
        <w:rPr>
          <w:rFonts w:cs="Times New Roman"/>
          <w:color w:val="auto"/>
          <w:lang w:val="zh-CN"/>
        </w:rPr>
        <w:t>户用化粪池主要用于村庄现有畜禽圈舍排口处畜禽尿液的接入，经现场踏勘项目区每户具有养殖，因此，户用化粪池按每户一座设置，根据项目区养殖量分析及以往工程经验，户用化粪池采用</w:t>
      </w:r>
      <w:r>
        <w:rPr>
          <w:rFonts w:hint="eastAsia" w:cs="Times New Roman"/>
          <w:color w:val="auto"/>
          <w:lang w:val="zh-CN"/>
        </w:rPr>
        <w:t>2</w:t>
      </w:r>
      <w:r>
        <w:rPr>
          <w:rFonts w:cs="Times New Roman"/>
          <w:color w:val="auto"/>
          <w:lang w:val="zh-CN"/>
        </w:rPr>
        <w:t>m</w:t>
      </w:r>
      <w:r>
        <w:rPr>
          <w:rFonts w:hint="eastAsia" w:cs="Times New Roman"/>
          <w:color w:val="auto"/>
          <w:vertAlign w:val="superscript"/>
          <w:lang w:val="zh-CN"/>
        </w:rPr>
        <w:t>3</w:t>
      </w:r>
      <w:r>
        <w:rPr>
          <w:rFonts w:cs="Times New Roman"/>
          <w:color w:val="auto"/>
          <w:lang w:val="zh-CN"/>
        </w:rPr>
        <w:t>， PE成品化粪池，户用化粪池主要对畜禽废水( 畜禽尿液、冲圈废水)进行简单沉淀拦截处理后再进入村内污水收集管网。</w:t>
      </w:r>
    </w:p>
    <w:p>
      <w:pPr>
        <w:ind w:firstLine="480"/>
        <w:rPr>
          <w:rFonts w:cs="Times New Roman"/>
          <w:color w:val="auto"/>
          <w:lang w:val="zh-CN"/>
        </w:rPr>
      </w:pPr>
      <w:r>
        <w:rPr>
          <w:rFonts w:cs="Times New Roman"/>
          <w:color w:val="auto"/>
          <w:lang w:val="zh-CN"/>
        </w:rPr>
        <w:t>因项目区正在实施厕所革命，根据现状实施厕所革命情况，虽然配套建设有厕所的三隔化粪池，但化粪池较小，化粪池出水直接排入周边环境。因此，为充分与正在实施的厕所革命相结合，建议今后对有条件，厕所距离畜禽圈舍较近，或厕所化粪池出水能自然流淌至本项目所建户用化粪池的，需根据实际情况尽量将厕所三隔化粪池上清液接入本设计中的户用化粪池内预处理再接入到村庄污水处理支管。</w:t>
      </w:r>
    </w:p>
    <w:p>
      <w:pPr>
        <w:ind w:firstLine="480"/>
        <w:rPr>
          <w:rFonts w:cs="Times New Roman"/>
          <w:color w:val="auto"/>
          <w:lang w:val="zh-CN"/>
        </w:rPr>
      </w:pPr>
      <w:r>
        <w:rPr>
          <w:rFonts w:cs="Times New Roman"/>
          <w:color w:val="auto"/>
          <w:lang w:val="zh-CN"/>
        </w:rPr>
        <w:t xml:space="preserve">设计参数： </w:t>
      </w:r>
    </w:p>
    <w:p>
      <w:pPr>
        <w:ind w:firstLine="480"/>
        <w:rPr>
          <w:rFonts w:cs="Times New Roman"/>
          <w:color w:val="auto"/>
          <w:lang w:val="zh-CN"/>
        </w:rPr>
      </w:pPr>
      <w:r>
        <w:rPr>
          <w:rFonts w:cs="Times New Roman"/>
          <w:color w:val="auto"/>
          <w:lang w:val="zh-CN"/>
        </w:rPr>
        <w:t>1)规格：LxBxH=1.8</w:t>
      </w:r>
      <w:r>
        <w:rPr>
          <w:rFonts w:ascii="Arial" w:hAnsi="Arial" w:cs="Arial"/>
          <w:color w:val="auto"/>
          <w:szCs w:val="24"/>
          <w:shd w:val="clear" w:color="auto" w:fill="FFFFFF"/>
        </w:rPr>
        <w:t>×</w:t>
      </w:r>
      <w:r>
        <w:rPr>
          <w:rFonts w:cs="Times New Roman"/>
          <w:color w:val="auto"/>
          <w:lang w:val="zh-CN"/>
        </w:rPr>
        <w:t>1.0</w:t>
      </w:r>
      <w:r>
        <w:rPr>
          <w:rFonts w:ascii="Arial" w:hAnsi="Arial" w:cs="Arial"/>
          <w:color w:val="auto"/>
          <w:szCs w:val="24"/>
          <w:shd w:val="clear" w:color="auto" w:fill="FFFFFF"/>
        </w:rPr>
        <w:t>×</w:t>
      </w:r>
      <w:r>
        <w:rPr>
          <w:rFonts w:cs="Times New Roman"/>
          <w:color w:val="auto"/>
          <w:lang w:val="zh-CN"/>
        </w:rPr>
        <w:t>1.0m；</w:t>
      </w:r>
    </w:p>
    <w:p>
      <w:pPr>
        <w:ind w:firstLine="480"/>
        <w:rPr>
          <w:rFonts w:cs="Times New Roman"/>
          <w:color w:val="auto"/>
          <w:lang w:val="zh-CN"/>
        </w:rPr>
      </w:pPr>
      <w:r>
        <w:rPr>
          <w:rFonts w:cs="Times New Roman"/>
          <w:color w:val="auto"/>
          <w:lang w:val="zh-CN"/>
        </w:rPr>
        <w:t>2)材质： pp材质，黑色；</w:t>
      </w:r>
    </w:p>
    <w:p>
      <w:pPr>
        <w:ind w:firstLine="480"/>
        <w:rPr>
          <w:rFonts w:cs="Times New Roman"/>
          <w:color w:val="auto"/>
          <w:lang w:val="zh-CN"/>
        </w:rPr>
      </w:pPr>
      <w:r>
        <w:rPr>
          <w:rFonts w:cs="Times New Roman"/>
          <w:color w:val="auto"/>
          <w:lang w:val="zh-CN"/>
        </w:rPr>
        <w:t>3)工艺：一次注塑成型；</w:t>
      </w:r>
    </w:p>
    <w:p>
      <w:pPr>
        <w:ind w:firstLine="480"/>
        <w:rPr>
          <w:rFonts w:cs="Times New Roman"/>
          <w:color w:val="auto"/>
          <w:lang w:val="zh-CN"/>
        </w:rPr>
      </w:pPr>
      <w:r>
        <w:rPr>
          <w:rFonts w:cs="Times New Roman"/>
          <w:color w:val="auto"/>
          <w:lang w:val="zh-CN"/>
        </w:rPr>
        <w:t>4)结构形式：三格化粪池；</w:t>
      </w:r>
    </w:p>
    <w:p>
      <w:pPr>
        <w:ind w:firstLine="480"/>
        <w:rPr>
          <w:rFonts w:cs="Times New Roman"/>
          <w:color w:val="auto"/>
          <w:lang w:val="zh-CN"/>
        </w:rPr>
      </w:pPr>
      <w:r>
        <w:rPr>
          <w:rFonts w:cs="Times New Roman"/>
          <w:color w:val="auto"/>
          <w:lang w:val="zh-CN"/>
        </w:rPr>
        <w:t>5)建设规模：</w:t>
      </w:r>
      <w:r>
        <w:rPr>
          <w:rFonts w:hint="eastAsia" w:cs="Times New Roman"/>
          <w:color w:val="auto"/>
          <w:lang w:val="zh-CN"/>
        </w:rPr>
        <w:t>根据芒市厕所革命摸底调查统计数据建设，有农业农村局会同住建局联合建设，不纳入本工程建设范围。</w:t>
      </w:r>
    </w:p>
    <w:p>
      <w:pPr>
        <w:pStyle w:val="5"/>
      </w:pPr>
      <w:bookmarkStart w:id="230" w:name="_Toc36126951"/>
      <w:bookmarkStart w:id="231" w:name="_Toc48640758"/>
      <w:r>
        <w:t>管道系统管理与养护措施</w:t>
      </w:r>
      <w:bookmarkEnd w:id="230"/>
      <w:bookmarkEnd w:id="231"/>
    </w:p>
    <w:p>
      <w:pPr>
        <w:ind w:firstLine="480"/>
        <w:rPr>
          <w:rFonts w:cs="Times New Roman"/>
          <w:color w:val="auto"/>
          <w:kern w:val="0"/>
        </w:rPr>
      </w:pPr>
      <w:r>
        <w:rPr>
          <w:rFonts w:cs="Times New Roman"/>
          <w:color w:val="auto"/>
          <w:kern w:val="0"/>
        </w:rPr>
        <w:t>为保证污水管道可发挥其应有作用，管道管理养护尤其重要。</w:t>
      </w:r>
    </w:p>
    <w:p>
      <w:pPr>
        <w:pStyle w:val="376"/>
        <w:rPr>
          <w:kern w:val="0"/>
        </w:rPr>
      </w:pPr>
      <w:r>
        <w:rPr>
          <w:kern w:val="0"/>
        </w:rPr>
        <w:t>1、管道管理养护任务</w:t>
      </w:r>
    </w:p>
    <w:p>
      <w:pPr>
        <w:ind w:firstLine="480"/>
        <w:rPr>
          <w:rFonts w:cs="Times New Roman"/>
          <w:color w:val="auto"/>
          <w:kern w:val="0"/>
        </w:rPr>
      </w:pPr>
      <w:r>
        <w:rPr>
          <w:rFonts w:cs="Times New Roman"/>
          <w:color w:val="auto"/>
          <w:kern w:val="0"/>
        </w:rPr>
        <w:t>（1）验收污水管道；</w:t>
      </w:r>
    </w:p>
    <w:p>
      <w:pPr>
        <w:ind w:firstLine="480"/>
        <w:rPr>
          <w:rFonts w:cs="Times New Roman"/>
          <w:color w:val="auto"/>
          <w:kern w:val="0"/>
        </w:rPr>
      </w:pPr>
      <w:r>
        <w:rPr>
          <w:rFonts w:cs="Times New Roman"/>
          <w:color w:val="auto"/>
          <w:kern w:val="0"/>
        </w:rPr>
        <w:t>（2）监督污水管道的正常使用；</w:t>
      </w:r>
    </w:p>
    <w:p>
      <w:pPr>
        <w:ind w:firstLine="480"/>
        <w:rPr>
          <w:rFonts w:cs="Times New Roman"/>
          <w:color w:val="auto"/>
          <w:kern w:val="0"/>
        </w:rPr>
      </w:pPr>
      <w:r>
        <w:rPr>
          <w:rFonts w:cs="Times New Roman"/>
          <w:color w:val="auto"/>
          <w:kern w:val="0"/>
        </w:rPr>
        <w:t>（3）经常检查、清通疏浚管道、以维持其通水能力；</w:t>
      </w:r>
    </w:p>
    <w:p>
      <w:pPr>
        <w:ind w:firstLine="480"/>
        <w:rPr>
          <w:rFonts w:cs="Times New Roman"/>
          <w:color w:val="auto"/>
          <w:kern w:val="0"/>
        </w:rPr>
      </w:pPr>
      <w:r>
        <w:rPr>
          <w:rFonts w:cs="Times New Roman"/>
          <w:color w:val="auto"/>
          <w:kern w:val="0"/>
        </w:rPr>
        <w:t>（4）维修管道及其构筑物，并处理意外事故等。</w:t>
      </w:r>
    </w:p>
    <w:p>
      <w:pPr>
        <w:pStyle w:val="376"/>
        <w:rPr>
          <w:kern w:val="0"/>
        </w:rPr>
      </w:pPr>
      <w:r>
        <w:rPr>
          <w:kern w:val="0"/>
        </w:rPr>
        <w:t>2、管道养护</w:t>
      </w:r>
    </w:p>
    <w:p>
      <w:pPr>
        <w:ind w:firstLine="480"/>
        <w:rPr>
          <w:rFonts w:cs="Times New Roman"/>
          <w:color w:val="auto"/>
          <w:kern w:val="0"/>
        </w:rPr>
      </w:pPr>
      <w:r>
        <w:rPr>
          <w:rFonts w:cs="Times New Roman"/>
          <w:color w:val="auto"/>
          <w:kern w:val="0"/>
        </w:rPr>
        <w:t>污水管道常见的故障有：由于水量小，坡度小，污物较多，经常会出现污物淤塞管道；由于管道埋设深度浅，过重或冲击外荷载、地基不均匀沉降或污水侵蚀作用，使污水管道损坏、出现裂缝；较高地下水位侵蚀，致使管道漏损严重。为保证污水管道正常工作，充分发挥其功能，保证污水有效收集，必须加强污水管道的养护和管理。养护过程注意一下几方面：</w:t>
      </w:r>
    </w:p>
    <w:p>
      <w:pPr>
        <w:ind w:firstLine="480"/>
        <w:rPr>
          <w:rFonts w:cs="Times New Roman"/>
          <w:color w:val="auto"/>
          <w:kern w:val="0"/>
        </w:rPr>
      </w:pPr>
      <w:r>
        <w:rPr>
          <w:rFonts w:cs="Times New Roman"/>
          <w:color w:val="auto"/>
          <w:kern w:val="0"/>
        </w:rPr>
        <w:t>（1）针对本村庄的污水管道情况，实施村小组责任制，充分发挥养护和管理人员的积极性和主动性，并建立合理的奖惩制度。</w:t>
      </w:r>
    </w:p>
    <w:p>
      <w:pPr>
        <w:ind w:firstLine="480"/>
        <w:rPr>
          <w:rFonts w:cs="Times New Roman"/>
          <w:color w:val="auto"/>
          <w:kern w:val="0"/>
        </w:rPr>
      </w:pPr>
      <w:r>
        <w:rPr>
          <w:rFonts w:cs="Times New Roman"/>
          <w:color w:val="auto"/>
          <w:kern w:val="0"/>
        </w:rPr>
        <w:t>（2）加强污水管道及附属构筑物的检查、冲洗或者清通工作，以保证污水管道的排水能力。管道清通可以采用水力清通或者机械清通。建议污水管道能够做到1 年清通一次。</w:t>
      </w:r>
    </w:p>
    <w:p>
      <w:pPr>
        <w:ind w:firstLine="480"/>
        <w:rPr>
          <w:rFonts w:cs="Times New Roman"/>
          <w:color w:val="auto"/>
          <w:kern w:val="0"/>
        </w:rPr>
      </w:pPr>
      <w:r>
        <w:rPr>
          <w:rFonts w:cs="Times New Roman"/>
          <w:color w:val="auto"/>
          <w:kern w:val="0"/>
        </w:rPr>
        <w:t>（3）根据污水管道检查情况，应有计划的安排污水管道的修理，以防止损坏处过大影响污水收集甚至造成事故。</w:t>
      </w:r>
    </w:p>
    <w:p>
      <w:pPr>
        <w:pStyle w:val="376"/>
        <w:rPr>
          <w:kern w:val="0"/>
        </w:rPr>
      </w:pPr>
      <w:r>
        <w:rPr>
          <w:kern w:val="0"/>
        </w:rPr>
        <w:t>3、清淤疏通方法</w:t>
      </w:r>
    </w:p>
    <w:p>
      <w:pPr>
        <w:ind w:firstLine="480"/>
        <w:rPr>
          <w:rFonts w:cs="Times New Roman"/>
          <w:color w:val="auto"/>
          <w:kern w:val="0"/>
        </w:rPr>
      </w:pPr>
      <w:r>
        <w:rPr>
          <w:rFonts w:cs="Times New Roman"/>
          <w:color w:val="auto"/>
          <w:kern w:val="0"/>
        </w:rPr>
        <w:t>管道的清淤疏通主要是保持管道的排水畅通，维护整个排水系统的正常运作，目前常用的清淤通沟的方法有四种。</w:t>
      </w:r>
    </w:p>
    <w:p>
      <w:pPr>
        <w:ind w:firstLine="480"/>
        <w:rPr>
          <w:rFonts w:cs="Times New Roman"/>
          <w:color w:val="auto"/>
          <w:kern w:val="0"/>
        </w:rPr>
      </w:pPr>
      <w:r>
        <w:rPr>
          <w:rFonts w:cs="Times New Roman"/>
          <w:color w:val="auto"/>
          <w:kern w:val="0"/>
        </w:rPr>
        <w:t>（1）竹片通沟</w:t>
      </w:r>
    </w:p>
    <w:p>
      <w:pPr>
        <w:ind w:firstLine="480"/>
        <w:rPr>
          <w:rFonts w:cs="Times New Roman"/>
          <w:color w:val="auto"/>
          <w:kern w:val="0"/>
        </w:rPr>
      </w:pPr>
      <w:r>
        <w:rPr>
          <w:rFonts w:cs="Times New Roman"/>
          <w:color w:val="auto"/>
          <w:kern w:val="0"/>
        </w:rPr>
        <w:t>竹片通沟常用于疏浚口径在400mm 以下的沟管，在城市中这类口径较小的沟管，约占沟管总长度的40%以上，在通沟之后，沟道中淤积的污物、杂物被推送到检查井中，然后用清捞工具捞起运走。既可用手工清捞，又可用抓斗捞泥和吸泥车吸泥。</w:t>
      </w:r>
    </w:p>
    <w:p>
      <w:pPr>
        <w:ind w:firstLine="480"/>
        <w:rPr>
          <w:rFonts w:cs="Times New Roman"/>
          <w:color w:val="auto"/>
          <w:kern w:val="0"/>
        </w:rPr>
      </w:pPr>
      <w:r>
        <w:rPr>
          <w:rFonts w:cs="Times New Roman"/>
          <w:color w:val="auto"/>
          <w:kern w:val="0"/>
        </w:rPr>
        <w:t>（2）摇车通沟</w:t>
      </w:r>
    </w:p>
    <w:p>
      <w:pPr>
        <w:ind w:firstLine="480"/>
        <w:rPr>
          <w:rFonts w:cs="Times New Roman"/>
          <w:color w:val="auto"/>
          <w:kern w:val="0"/>
        </w:rPr>
      </w:pPr>
      <w:r>
        <w:rPr>
          <w:rFonts w:cs="Times New Roman"/>
          <w:color w:val="auto"/>
          <w:kern w:val="0"/>
        </w:rPr>
        <w:t>摇车通沟常用的工具是一个附有拉环和拉链的短钢管，叫铁牛。当沟道长期不清迈，淤泥坚实，或树根严重进入沟道时，需要特种疏通工具；如簧牛、铁链条等。</w:t>
      </w:r>
    </w:p>
    <w:p>
      <w:pPr>
        <w:ind w:firstLine="480"/>
        <w:rPr>
          <w:rFonts w:cs="Times New Roman"/>
          <w:color w:val="auto"/>
          <w:kern w:val="0"/>
        </w:rPr>
      </w:pPr>
      <w:r>
        <w:rPr>
          <w:rFonts w:cs="Times New Roman"/>
          <w:color w:val="auto"/>
          <w:kern w:val="0"/>
        </w:rPr>
        <w:t>（3）水力通沟</w:t>
      </w:r>
    </w:p>
    <w:p>
      <w:pPr>
        <w:ind w:firstLine="480"/>
        <w:rPr>
          <w:rFonts w:cs="Times New Roman"/>
          <w:color w:val="auto"/>
          <w:kern w:val="0"/>
        </w:rPr>
      </w:pPr>
      <w:r>
        <w:rPr>
          <w:rFonts w:cs="Times New Roman"/>
          <w:color w:val="auto"/>
          <w:kern w:val="0"/>
        </w:rPr>
        <w:t>水力通沟通常是指利用沟道内蓄积的污水清通沟道方法，这种方法在上海使用过，但是使用的时间不长，正在发展中；即使在同一城市，维护工人使用的方法和工具也并不统一，还缺乏较为完整的总结。</w:t>
      </w:r>
    </w:p>
    <w:p>
      <w:pPr>
        <w:ind w:firstLine="480"/>
        <w:rPr>
          <w:rFonts w:cs="Times New Roman"/>
          <w:color w:val="auto"/>
          <w:kern w:val="0"/>
        </w:rPr>
      </w:pPr>
      <w:r>
        <w:rPr>
          <w:rFonts w:cs="Times New Roman"/>
          <w:color w:val="auto"/>
          <w:kern w:val="0"/>
        </w:rPr>
        <w:t>（4）清淤疏通车</w:t>
      </w:r>
    </w:p>
    <w:p>
      <w:pPr>
        <w:ind w:firstLine="480"/>
        <w:rPr>
          <w:rFonts w:cs="Times New Roman"/>
          <w:color w:val="auto"/>
          <w:kern w:val="0"/>
        </w:rPr>
      </w:pPr>
      <w:r>
        <w:rPr>
          <w:rFonts w:cs="Times New Roman"/>
          <w:color w:val="auto"/>
          <w:kern w:val="0"/>
        </w:rPr>
        <w:t>使用清淤疏通车进行清淤疏通；改善通沟效果，提高工作效率。</w:t>
      </w:r>
    </w:p>
    <w:p>
      <w:pPr>
        <w:ind w:firstLine="480"/>
        <w:rPr>
          <w:rFonts w:cs="Times New Roman"/>
          <w:color w:val="auto"/>
          <w:kern w:val="0"/>
        </w:rPr>
      </w:pPr>
      <w:r>
        <w:rPr>
          <w:rFonts w:cs="Times New Roman"/>
          <w:color w:val="auto"/>
          <w:kern w:val="0"/>
        </w:rPr>
        <w:t>后期养护建议采用竹片通沟。</w:t>
      </w:r>
    </w:p>
    <w:p>
      <w:pPr>
        <w:pStyle w:val="5"/>
      </w:pPr>
      <w:bookmarkStart w:id="232" w:name="_Toc48640759"/>
      <w:bookmarkStart w:id="233" w:name="_Toc36126952"/>
      <w:r>
        <w:t>污水收集工程量</w:t>
      </w:r>
      <w:bookmarkEnd w:id="232"/>
      <w:bookmarkEnd w:id="233"/>
    </w:p>
    <w:p>
      <w:pPr>
        <w:ind w:firstLine="480"/>
        <w:rPr>
          <w:color w:val="auto"/>
        </w:rPr>
      </w:pPr>
      <w:r>
        <w:rPr>
          <w:rFonts w:hint="eastAsia"/>
          <w:color w:val="auto"/>
        </w:rPr>
        <w:t>污水收集工程量总统计表见表6.1-7；各村庄污水收集系统工程量见表6.1-8。</w:t>
      </w: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rFonts w:hint="eastAsia"/>
          <w:color w:val="auto"/>
        </w:rPr>
        <w:t xml:space="preserve"> 污水收集工程量统计表</w:t>
      </w:r>
    </w:p>
    <w:tbl>
      <w:tblPr>
        <w:tblStyle w:val="88"/>
        <w:tblW w:w="8914" w:type="dxa"/>
        <w:tblInd w:w="103" w:type="dxa"/>
        <w:tblLayout w:type="autofit"/>
        <w:tblCellMar>
          <w:top w:w="0" w:type="dxa"/>
          <w:left w:w="108" w:type="dxa"/>
          <w:bottom w:w="0" w:type="dxa"/>
          <w:right w:w="108" w:type="dxa"/>
        </w:tblCellMar>
      </w:tblPr>
      <w:tblGrid>
        <w:gridCol w:w="620"/>
        <w:gridCol w:w="1228"/>
        <w:gridCol w:w="2126"/>
        <w:gridCol w:w="3119"/>
        <w:gridCol w:w="1080"/>
        <w:gridCol w:w="741"/>
      </w:tblGrid>
      <w:tr>
        <w:tblPrEx>
          <w:tblCellMar>
            <w:top w:w="0" w:type="dxa"/>
            <w:left w:w="108" w:type="dxa"/>
            <w:bottom w:w="0" w:type="dxa"/>
            <w:right w:w="108" w:type="dxa"/>
          </w:tblCellMar>
        </w:tblPrEx>
        <w:trPr>
          <w:trHeight w:val="369" w:hRule="atLeast"/>
        </w:trPr>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序号</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系统</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项目名称</w:t>
            </w:r>
          </w:p>
        </w:tc>
        <w:tc>
          <w:tcPr>
            <w:tcW w:w="3119" w:type="dxa"/>
            <w:tcBorders>
              <w:top w:val="single" w:color="auto" w:sz="4" w:space="0"/>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规格</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单位</w:t>
            </w:r>
          </w:p>
        </w:tc>
        <w:tc>
          <w:tcPr>
            <w:tcW w:w="741" w:type="dxa"/>
            <w:tcBorders>
              <w:top w:val="single" w:color="auto" w:sz="4" w:space="0"/>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数量</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1</w:t>
            </w:r>
          </w:p>
        </w:tc>
        <w:tc>
          <w:tcPr>
            <w:tcW w:w="1228" w:type="dxa"/>
            <w:vMerge w:val="restart"/>
            <w:tcBorders>
              <w:top w:val="nil"/>
              <w:left w:val="single" w:color="auto" w:sz="4" w:space="0"/>
              <w:right w:val="single" w:color="auto" w:sz="4" w:space="0"/>
            </w:tcBorders>
            <w:shd w:val="clear" w:color="auto" w:fill="auto"/>
            <w:vAlign w:val="center"/>
          </w:tcPr>
          <w:p>
            <w:pPr>
              <w:pStyle w:val="114"/>
              <w:rPr>
                <w:kern w:val="0"/>
              </w:rPr>
            </w:pPr>
            <w:r>
              <w:rPr>
                <w:rFonts w:hint="eastAsia"/>
                <w:kern w:val="0"/>
              </w:rPr>
              <w:t>庭院外污水收集系统</w:t>
            </w: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污水收集管 DN300 焊接钢管</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壁厚8mm</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m</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630</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2</w:t>
            </w:r>
          </w:p>
        </w:tc>
        <w:tc>
          <w:tcPr>
            <w:tcW w:w="1228" w:type="dxa"/>
            <w:vMerge w:val="continue"/>
            <w:tcBorders>
              <w:left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污水收集管 DN400 HDPE</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高密度聚乙烯（</w:t>
            </w:r>
            <w:r>
              <w:rPr>
                <w:kern w:val="0"/>
              </w:rPr>
              <w:t>HDPE</w:t>
            </w:r>
            <w:r>
              <w:rPr>
                <w:rFonts w:hint="eastAsia" w:ascii="仿宋_GB2312"/>
                <w:kern w:val="0"/>
              </w:rPr>
              <w:t>）中空缠绕管，环刚度</w:t>
            </w:r>
            <w:r>
              <w:rPr>
                <w:kern w:val="0"/>
              </w:rPr>
              <w:t>SN</w:t>
            </w:r>
            <w:r>
              <w:rPr>
                <w:rFonts w:hint="eastAsia"/>
                <w:kern w:val="0"/>
              </w:rPr>
              <w:t>≥8</w:t>
            </w:r>
            <w:r>
              <w:rPr>
                <w:kern w:val="0"/>
              </w:rPr>
              <w:t>KN/m</w:t>
            </w:r>
            <w:r>
              <w:rPr>
                <w:kern w:val="0"/>
                <w:vertAlign w:val="superscript"/>
              </w:rPr>
              <w:t>2</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m</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380</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3</w:t>
            </w:r>
          </w:p>
        </w:tc>
        <w:tc>
          <w:tcPr>
            <w:tcW w:w="1228" w:type="dxa"/>
            <w:vMerge w:val="continue"/>
            <w:tcBorders>
              <w:left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污水收集管 DN300 HDPE</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高密度聚乙烯（</w:t>
            </w:r>
            <w:r>
              <w:rPr>
                <w:kern w:val="0"/>
              </w:rPr>
              <w:t>HDPE</w:t>
            </w:r>
            <w:r>
              <w:rPr>
                <w:rFonts w:hint="eastAsia" w:ascii="仿宋_GB2312"/>
                <w:kern w:val="0"/>
              </w:rPr>
              <w:t>）中空缠绕管，环刚度</w:t>
            </w:r>
            <w:r>
              <w:rPr>
                <w:kern w:val="0"/>
              </w:rPr>
              <w:t>SN</w:t>
            </w:r>
            <w:r>
              <w:rPr>
                <w:rFonts w:hint="eastAsia"/>
                <w:kern w:val="0"/>
              </w:rPr>
              <w:t>≥8</w:t>
            </w:r>
            <w:r>
              <w:rPr>
                <w:kern w:val="0"/>
              </w:rPr>
              <w:t>KN/m</w:t>
            </w:r>
            <w:r>
              <w:rPr>
                <w:kern w:val="0"/>
                <w:vertAlign w:val="superscript"/>
              </w:rPr>
              <w:t>2</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m</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4870</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4</w:t>
            </w:r>
          </w:p>
        </w:tc>
        <w:tc>
          <w:tcPr>
            <w:tcW w:w="1228" w:type="dxa"/>
            <w:vMerge w:val="continue"/>
            <w:tcBorders>
              <w:left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污水收集管 DN200 HDPE</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高密度聚乙烯（</w:t>
            </w:r>
            <w:r>
              <w:rPr>
                <w:kern w:val="0"/>
              </w:rPr>
              <w:t>HDPE</w:t>
            </w:r>
            <w:r>
              <w:rPr>
                <w:rFonts w:hint="eastAsia" w:ascii="仿宋_GB2312"/>
                <w:kern w:val="0"/>
              </w:rPr>
              <w:t>）中空缠绕管，环刚度</w:t>
            </w:r>
            <w:r>
              <w:rPr>
                <w:kern w:val="0"/>
              </w:rPr>
              <w:t>SN</w:t>
            </w:r>
            <w:r>
              <w:rPr>
                <w:rFonts w:hint="eastAsia"/>
                <w:kern w:val="0"/>
              </w:rPr>
              <w:t>≥8</w:t>
            </w:r>
            <w:r>
              <w:rPr>
                <w:kern w:val="0"/>
              </w:rPr>
              <w:t>KN/m</w:t>
            </w:r>
            <w:r>
              <w:rPr>
                <w:kern w:val="0"/>
                <w:vertAlign w:val="superscript"/>
              </w:rPr>
              <w:t>2</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m</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4552</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5</w:t>
            </w:r>
          </w:p>
        </w:tc>
        <w:tc>
          <w:tcPr>
            <w:tcW w:w="1228" w:type="dxa"/>
            <w:vMerge w:val="continue"/>
            <w:tcBorders>
              <w:left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ascii="仿宋_GB2312"/>
                <w:kern w:val="0"/>
              </w:rPr>
              <w:t>φ</w:t>
            </w:r>
            <w:r>
              <w:rPr>
                <w:kern w:val="0"/>
              </w:rPr>
              <w:t>700</w:t>
            </w:r>
            <w:r>
              <w:rPr>
                <w:rFonts w:hint="eastAsia"/>
                <w:kern w:val="0"/>
              </w:rPr>
              <w:t>检查井</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塑料检查井</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座</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466</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6</w:t>
            </w:r>
          </w:p>
        </w:tc>
        <w:tc>
          <w:tcPr>
            <w:tcW w:w="1228" w:type="dxa"/>
            <w:vMerge w:val="continue"/>
            <w:tcBorders>
              <w:left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钢砼1000×1000检查井</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L</w:t>
            </w:r>
            <w:r>
              <w:rPr>
                <w:rFonts w:hint="eastAsia"/>
                <w:kern w:val="0"/>
              </w:rPr>
              <w:t>×B=1000×1000mm</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座</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4</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7</w:t>
            </w:r>
          </w:p>
        </w:tc>
        <w:tc>
          <w:tcPr>
            <w:tcW w:w="1228" w:type="dxa"/>
            <w:vMerge w:val="continue"/>
            <w:tcBorders>
              <w:left w:val="single" w:color="auto" w:sz="4" w:space="0"/>
              <w:bottom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钢砼700×700检查井</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L</w:t>
            </w:r>
            <w:r>
              <w:rPr>
                <w:rFonts w:hint="eastAsia"/>
                <w:kern w:val="0"/>
              </w:rPr>
              <w:t>×B=700×700mm</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座</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25</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8</w:t>
            </w:r>
          </w:p>
        </w:tc>
        <w:tc>
          <w:tcPr>
            <w:tcW w:w="122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庭院内污水收集系统</w:t>
            </w: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入户管</w:t>
            </w:r>
            <w:r>
              <w:rPr>
                <w:rFonts w:hint="eastAsia" w:ascii="仿宋_GB2312"/>
                <w:kern w:val="0"/>
              </w:rPr>
              <w:t>φ</w:t>
            </w:r>
            <w:r>
              <w:rPr>
                <w:rFonts w:hint="eastAsia"/>
                <w:kern w:val="0"/>
              </w:rPr>
              <w:t>110 PVC</w:t>
            </w:r>
          </w:p>
        </w:tc>
        <w:tc>
          <w:tcPr>
            <w:tcW w:w="3119"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φ100 PVC，δ≥3.2mm</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m</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4305</w:t>
            </w:r>
          </w:p>
        </w:tc>
      </w:tr>
      <w:tr>
        <w:tblPrEx>
          <w:tblCellMar>
            <w:top w:w="0" w:type="dxa"/>
            <w:left w:w="108" w:type="dxa"/>
            <w:bottom w:w="0" w:type="dxa"/>
            <w:right w:w="108" w:type="dxa"/>
          </w:tblCellMar>
        </w:tblPrEx>
        <w:trPr>
          <w:trHeight w:val="369"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9</w:t>
            </w:r>
          </w:p>
        </w:tc>
        <w:tc>
          <w:tcPr>
            <w:tcW w:w="1228" w:type="dxa"/>
            <w:vMerge w:val="continue"/>
            <w:tcBorders>
              <w:top w:val="nil"/>
              <w:left w:val="single" w:color="auto" w:sz="4" w:space="0"/>
              <w:bottom w:val="single" w:color="auto" w:sz="4" w:space="0"/>
              <w:right w:val="single" w:color="auto" w:sz="4" w:space="0"/>
            </w:tcBorders>
            <w:vAlign w:val="center"/>
          </w:tcPr>
          <w:p>
            <w:pPr>
              <w:pStyle w:val="114"/>
              <w:rPr>
                <w:kern w:val="0"/>
              </w:rPr>
            </w:pPr>
          </w:p>
        </w:tc>
        <w:tc>
          <w:tcPr>
            <w:tcW w:w="2126"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户用格栅井</w:t>
            </w:r>
          </w:p>
        </w:tc>
        <w:tc>
          <w:tcPr>
            <w:tcW w:w="3119" w:type="dxa"/>
            <w:tcBorders>
              <w:top w:val="nil"/>
              <w:left w:val="nil"/>
              <w:bottom w:val="single" w:color="auto" w:sz="4" w:space="0"/>
              <w:right w:val="single" w:color="auto" w:sz="4" w:space="0"/>
            </w:tcBorders>
            <w:shd w:val="clear" w:color="auto" w:fill="auto"/>
            <w:noWrap/>
            <w:vAlign w:val="center"/>
          </w:tcPr>
          <w:p>
            <w:pPr>
              <w:pStyle w:val="114"/>
              <w:rPr>
                <w:kern w:val="0"/>
              </w:rPr>
            </w:pPr>
            <w:r>
              <w:rPr>
                <w:kern w:val="0"/>
              </w:rPr>
              <w:t xml:space="preserve"> LxBxH=0.5x0.5x0.5m</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座</w:t>
            </w:r>
          </w:p>
        </w:tc>
        <w:tc>
          <w:tcPr>
            <w:tcW w:w="741"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287</w:t>
            </w:r>
          </w:p>
        </w:tc>
      </w:tr>
    </w:tbl>
    <w:p>
      <w:pPr>
        <w:pStyle w:val="112"/>
        <w:rPr>
          <w:color w:val="auto"/>
        </w:rPr>
      </w:pPr>
    </w:p>
    <w:p>
      <w:pPr>
        <w:pStyle w:val="112"/>
        <w:rPr>
          <w:color w:val="auto"/>
        </w:rPr>
        <w:sectPr>
          <w:pgSz w:w="11906" w:h="16838"/>
          <w:pgMar w:top="1440" w:right="1559" w:bottom="1440" w:left="1559" w:header="708" w:footer="708" w:gutter="0"/>
          <w:pgNumType w:start="1"/>
          <w:cols w:space="708" w:num="1"/>
          <w:docGrid w:linePitch="360" w:charSpace="0"/>
        </w:sectPr>
      </w:pP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r>
        <w:rPr>
          <w:rFonts w:hint="eastAsia"/>
          <w:color w:val="auto"/>
        </w:rPr>
        <w:t xml:space="preserve"> 污水收集工程分村庄统计表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849"/>
        <w:gridCol w:w="1203"/>
        <w:gridCol w:w="1401"/>
        <w:gridCol w:w="1401"/>
        <w:gridCol w:w="1401"/>
        <w:gridCol w:w="1326"/>
        <w:gridCol w:w="1418"/>
        <w:gridCol w:w="1275"/>
        <w:gridCol w:w="1575"/>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restart"/>
            <w:shd w:val="clear" w:color="auto" w:fill="auto"/>
            <w:noWrap/>
            <w:vAlign w:val="center"/>
          </w:tcPr>
          <w:p>
            <w:pPr>
              <w:pStyle w:val="114"/>
              <w:rPr>
                <w:b/>
                <w:szCs w:val="20"/>
              </w:rPr>
            </w:pPr>
            <w:r>
              <w:rPr>
                <w:rFonts w:hint="eastAsia"/>
                <w:b/>
              </w:rPr>
              <w:t>序号</w:t>
            </w:r>
          </w:p>
        </w:tc>
        <w:tc>
          <w:tcPr>
            <w:tcW w:w="0" w:type="auto"/>
            <w:vMerge w:val="restart"/>
            <w:shd w:val="clear" w:color="auto" w:fill="auto"/>
            <w:noWrap/>
            <w:vAlign w:val="center"/>
          </w:tcPr>
          <w:p>
            <w:pPr>
              <w:pStyle w:val="114"/>
              <w:rPr>
                <w:b/>
                <w:szCs w:val="20"/>
              </w:rPr>
            </w:pPr>
            <w:r>
              <w:rPr>
                <w:rFonts w:hint="eastAsia"/>
                <w:b/>
              </w:rPr>
              <w:t>自然村</w:t>
            </w:r>
          </w:p>
        </w:tc>
        <w:tc>
          <w:tcPr>
            <w:tcW w:w="9333" w:type="dxa"/>
            <w:gridSpan w:val="7"/>
            <w:shd w:val="clear" w:color="auto" w:fill="auto"/>
            <w:vAlign w:val="center"/>
          </w:tcPr>
          <w:p>
            <w:pPr>
              <w:pStyle w:val="114"/>
              <w:rPr>
                <w:b/>
                <w:szCs w:val="20"/>
              </w:rPr>
            </w:pPr>
            <w:r>
              <w:rPr>
                <w:rFonts w:hint="eastAsia"/>
                <w:b/>
              </w:rPr>
              <w:t>庭院外污水收集系统</w:t>
            </w:r>
          </w:p>
        </w:tc>
        <w:tc>
          <w:tcPr>
            <w:tcW w:w="3261" w:type="dxa"/>
            <w:gridSpan w:val="2"/>
            <w:vMerge w:val="restart"/>
            <w:shd w:val="clear" w:color="auto" w:fill="auto"/>
            <w:vAlign w:val="center"/>
          </w:tcPr>
          <w:p>
            <w:pPr>
              <w:pStyle w:val="114"/>
              <w:rPr>
                <w:b/>
                <w:szCs w:val="20"/>
              </w:rPr>
            </w:pPr>
            <w:r>
              <w:rPr>
                <w:rFonts w:hint="eastAsia"/>
                <w:b/>
              </w:rPr>
              <w:t>庭院内污水收集系统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pPr>
              <w:pStyle w:val="114"/>
              <w:rPr>
                <w:b/>
                <w:szCs w:val="20"/>
              </w:rPr>
            </w:pPr>
          </w:p>
        </w:tc>
        <w:tc>
          <w:tcPr>
            <w:tcW w:w="0" w:type="auto"/>
            <w:vMerge w:val="continue"/>
            <w:vAlign w:val="center"/>
          </w:tcPr>
          <w:p>
            <w:pPr>
              <w:pStyle w:val="114"/>
              <w:rPr>
                <w:b/>
                <w:szCs w:val="20"/>
              </w:rPr>
            </w:pPr>
          </w:p>
        </w:tc>
        <w:tc>
          <w:tcPr>
            <w:tcW w:w="0" w:type="auto"/>
            <w:gridSpan w:val="4"/>
            <w:shd w:val="clear" w:color="auto" w:fill="auto"/>
            <w:vAlign w:val="center"/>
          </w:tcPr>
          <w:p>
            <w:pPr>
              <w:pStyle w:val="114"/>
              <w:rPr>
                <w:b/>
                <w:szCs w:val="20"/>
              </w:rPr>
            </w:pPr>
            <w:r>
              <w:rPr>
                <w:rFonts w:hint="eastAsia"/>
                <w:b/>
              </w:rPr>
              <w:t>污水收集管（m）</w:t>
            </w:r>
          </w:p>
        </w:tc>
        <w:tc>
          <w:tcPr>
            <w:tcW w:w="4019" w:type="dxa"/>
            <w:gridSpan w:val="3"/>
            <w:shd w:val="clear" w:color="auto" w:fill="auto"/>
            <w:vAlign w:val="center"/>
          </w:tcPr>
          <w:p>
            <w:pPr>
              <w:pStyle w:val="114"/>
              <w:rPr>
                <w:b/>
                <w:szCs w:val="20"/>
              </w:rPr>
            </w:pPr>
            <w:r>
              <w:rPr>
                <w:rFonts w:hint="eastAsia"/>
                <w:b/>
              </w:rPr>
              <w:t>检查井(座)</w:t>
            </w:r>
          </w:p>
        </w:tc>
        <w:tc>
          <w:tcPr>
            <w:tcW w:w="3261" w:type="dxa"/>
            <w:gridSpan w:val="2"/>
            <w:vMerge w:val="continue"/>
            <w:vAlign w:val="center"/>
          </w:tcPr>
          <w:p>
            <w:pPr>
              <w:pStyle w:val="114"/>
              <w:rPr>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pPr>
              <w:pStyle w:val="114"/>
              <w:rPr>
                <w:b/>
                <w:szCs w:val="20"/>
              </w:rPr>
            </w:pPr>
          </w:p>
        </w:tc>
        <w:tc>
          <w:tcPr>
            <w:tcW w:w="0" w:type="auto"/>
            <w:vMerge w:val="continue"/>
            <w:vAlign w:val="center"/>
          </w:tcPr>
          <w:p>
            <w:pPr>
              <w:pStyle w:val="114"/>
              <w:rPr>
                <w:b/>
                <w:szCs w:val="20"/>
              </w:rPr>
            </w:pPr>
          </w:p>
        </w:tc>
        <w:tc>
          <w:tcPr>
            <w:tcW w:w="0" w:type="auto"/>
            <w:shd w:val="clear" w:color="auto" w:fill="auto"/>
            <w:vAlign w:val="center"/>
          </w:tcPr>
          <w:p>
            <w:pPr>
              <w:pStyle w:val="114"/>
              <w:rPr>
                <w:b/>
                <w:szCs w:val="20"/>
              </w:rPr>
            </w:pPr>
            <w:r>
              <w:rPr>
                <w:b/>
              </w:rPr>
              <w:t>DN</w:t>
            </w:r>
            <w:r>
              <w:rPr>
                <w:rFonts w:hint="eastAsia"/>
                <w:b/>
              </w:rPr>
              <w:t>3</w:t>
            </w:r>
            <w:r>
              <w:rPr>
                <w:b/>
              </w:rPr>
              <w:t>00</w:t>
            </w:r>
            <w:r>
              <w:rPr>
                <w:rFonts w:hint="eastAsia"/>
                <w:b/>
              </w:rPr>
              <w:t>（焊接钢管）</w:t>
            </w:r>
          </w:p>
        </w:tc>
        <w:tc>
          <w:tcPr>
            <w:tcW w:w="0" w:type="auto"/>
            <w:shd w:val="clear" w:color="auto" w:fill="auto"/>
            <w:vAlign w:val="center"/>
          </w:tcPr>
          <w:p>
            <w:pPr>
              <w:pStyle w:val="114"/>
              <w:rPr>
                <w:b/>
                <w:szCs w:val="20"/>
              </w:rPr>
            </w:pPr>
            <w:r>
              <w:rPr>
                <w:b/>
              </w:rPr>
              <w:t>DN400</w:t>
            </w:r>
            <w:r>
              <w:rPr>
                <w:rFonts w:hint="eastAsia"/>
                <w:b/>
              </w:rPr>
              <w:t>（HDPE）</w:t>
            </w:r>
          </w:p>
        </w:tc>
        <w:tc>
          <w:tcPr>
            <w:tcW w:w="0" w:type="auto"/>
            <w:shd w:val="clear" w:color="auto" w:fill="auto"/>
            <w:vAlign w:val="center"/>
          </w:tcPr>
          <w:p>
            <w:pPr>
              <w:pStyle w:val="114"/>
              <w:rPr>
                <w:b/>
                <w:szCs w:val="20"/>
              </w:rPr>
            </w:pPr>
            <w:r>
              <w:rPr>
                <w:b/>
              </w:rPr>
              <w:t>DN300</w:t>
            </w:r>
            <w:r>
              <w:rPr>
                <w:rFonts w:hint="eastAsia"/>
                <w:b/>
              </w:rPr>
              <w:t>（HDPE）</w:t>
            </w:r>
          </w:p>
        </w:tc>
        <w:tc>
          <w:tcPr>
            <w:tcW w:w="0" w:type="auto"/>
            <w:shd w:val="clear" w:color="auto" w:fill="auto"/>
            <w:vAlign w:val="center"/>
          </w:tcPr>
          <w:p>
            <w:pPr>
              <w:pStyle w:val="114"/>
              <w:rPr>
                <w:b/>
                <w:szCs w:val="20"/>
              </w:rPr>
            </w:pPr>
            <w:r>
              <w:rPr>
                <w:b/>
              </w:rPr>
              <w:t>DN200</w:t>
            </w:r>
            <w:r>
              <w:rPr>
                <w:rFonts w:hint="eastAsia"/>
                <w:b/>
              </w:rPr>
              <w:t>（HDPE）</w:t>
            </w:r>
          </w:p>
        </w:tc>
        <w:tc>
          <w:tcPr>
            <w:tcW w:w="1326" w:type="dxa"/>
            <w:shd w:val="clear" w:color="auto" w:fill="auto"/>
            <w:vAlign w:val="center"/>
          </w:tcPr>
          <w:p>
            <w:pPr>
              <w:pStyle w:val="114"/>
              <w:rPr>
                <w:b/>
                <w:szCs w:val="20"/>
              </w:rPr>
            </w:pPr>
            <w:r>
              <w:rPr>
                <w:rFonts w:hint="eastAsia" w:ascii="仿宋_GB2312"/>
                <w:b/>
                <w:kern w:val="0"/>
              </w:rPr>
              <w:t>φ</w:t>
            </w:r>
            <w:r>
              <w:rPr>
                <w:b/>
              </w:rPr>
              <w:t>700</w:t>
            </w:r>
            <w:r>
              <w:rPr>
                <w:rFonts w:hint="eastAsia"/>
                <w:b/>
              </w:rPr>
              <w:t>（HDPE）</w:t>
            </w:r>
          </w:p>
        </w:tc>
        <w:tc>
          <w:tcPr>
            <w:tcW w:w="1418" w:type="dxa"/>
            <w:shd w:val="clear" w:color="auto" w:fill="auto"/>
            <w:vAlign w:val="center"/>
          </w:tcPr>
          <w:p>
            <w:pPr>
              <w:pStyle w:val="114"/>
              <w:spacing w:line="240" w:lineRule="auto"/>
              <w:rPr>
                <w:b/>
                <w:szCs w:val="20"/>
              </w:rPr>
            </w:pPr>
            <w:r>
              <w:rPr>
                <w:rFonts w:hint="eastAsia"/>
                <w:b/>
                <w:kern w:val="0"/>
              </w:rPr>
              <w:t>钢砼1000×1000检查井</w:t>
            </w:r>
          </w:p>
        </w:tc>
        <w:tc>
          <w:tcPr>
            <w:tcW w:w="1275" w:type="dxa"/>
            <w:shd w:val="clear" w:color="auto" w:fill="auto"/>
            <w:vAlign w:val="center"/>
          </w:tcPr>
          <w:p>
            <w:pPr>
              <w:pStyle w:val="114"/>
              <w:rPr>
                <w:b/>
                <w:szCs w:val="20"/>
              </w:rPr>
            </w:pPr>
            <w:r>
              <w:rPr>
                <w:rFonts w:hint="eastAsia"/>
                <w:b/>
                <w:kern w:val="0"/>
              </w:rPr>
              <w:t>钢砼700×700检查井</w:t>
            </w:r>
          </w:p>
        </w:tc>
        <w:tc>
          <w:tcPr>
            <w:tcW w:w="1575" w:type="dxa"/>
            <w:shd w:val="clear" w:color="auto" w:fill="auto"/>
            <w:vAlign w:val="center"/>
          </w:tcPr>
          <w:p>
            <w:pPr>
              <w:pStyle w:val="114"/>
              <w:rPr>
                <w:b/>
              </w:rPr>
            </w:pPr>
            <w:r>
              <w:rPr>
                <w:rFonts w:hint="eastAsia"/>
                <w:b/>
              </w:rPr>
              <w:t>入户管</w:t>
            </w:r>
          </w:p>
          <w:p>
            <w:pPr>
              <w:pStyle w:val="114"/>
              <w:rPr>
                <w:b/>
                <w:szCs w:val="20"/>
              </w:rPr>
            </w:pPr>
            <w:r>
              <w:rPr>
                <w:rFonts w:hint="eastAsia" w:ascii="仿宋_GB2312"/>
                <w:b/>
                <w:kern w:val="0"/>
              </w:rPr>
              <w:t>φ</w:t>
            </w:r>
            <w:r>
              <w:rPr>
                <w:b/>
              </w:rPr>
              <w:t>1</w:t>
            </w:r>
            <w:r>
              <w:rPr>
                <w:rFonts w:hint="eastAsia"/>
                <w:b/>
              </w:rPr>
              <w:t>1</w:t>
            </w:r>
            <w:r>
              <w:rPr>
                <w:b/>
              </w:rPr>
              <w:t>0</w:t>
            </w:r>
            <w:r>
              <w:rPr>
                <w:rFonts w:hint="eastAsia"/>
                <w:b/>
              </w:rPr>
              <w:t>pvc（m）</w:t>
            </w:r>
          </w:p>
        </w:tc>
        <w:tc>
          <w:tcPr>
            <w:tcW w:w="1686" w:type="dxa"/>
            <w:shd w:val="clear" w:color="auto" w:fill="auto"/>
            <w:vAlign w:val="center"/>
          </w:tcPr>
          <w:p>
            <w:pPr>
              <w:pStyle w:val="114"/>
              <w:rPr>
                <w:b/>
                <w:szCs w:val="20"/>
              </w:rPr>
            </w:pPr>
            <w:r>
              <w:rPr>
                <w:b/>
              </w:rPr>
              <w:t>户用格栅井</w:t>
            </w:r>
            <w:r>
              <w:rPr>
                <w:rFonts w:hint="eastAsia"/>
                <w:b/>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noWrap/>
            <w:vAlign w:val="center"/>
          </w:tcPr>
          <w:p>
            <w:pPr>
              <w:pStyle w:val="114"/>
              <w:rPr>
                <w:szCs w:val="20"/>
              </w:rPr>
            </w:pPr>
            <w:r>
              <w:t>1</w:t>
            </w:r>
          </w:p>
        </w:tc>
        <w:tc>
          <w:tcPr>
            <w:tcW w:w="0" w:type="auto"/>
            <w:shd w:val="clear" w:color="auto" w:fill="auto"/>
            <w:vAlign w:val="center"/>
          </w:tcPr>
          <w:p>
            <w:pPr>
              <w:pStyle w:val="114"/>
              <w:rPr>
                <w:szCs w:val="20"/>
              </w:rPr>
            </w:pPr>
            <w:r>
              <w:rPr>
                <w:rFonts w:hint="eastAsia"/>
                <w:szCs w:val="21"/>
              </w:rPr>
              <w:t>户拉村</w:t>
            </w:r>
          </w:p>
        </w:tc>
        <w:tc>
          <w:tcPr>
            <w:tcW w:w="0" w:type="auto"/>
            <w:shd w:val="clear" w:color="auto" w:fill="auto"/>
            <w:noWrap/>
            <w:vAlign w:val="center"/>
          </w:tcPr>
          <w:p>
            <w:pPr>
              <w:pStyle w:val="114"/>
              <w:rPr>
                <w:szCs w:val="20"/>
              </w:rPr>
            </w:pPr>
            <w:r>
              <w:rPr>
                <w:rFonts w:hint="eastAsia"/>
                <w:szCs w:val="20"/>
              </w:rPr>
              <w:t>630</w:t>
            </w:r>
          </w:p>
        </w:tc>
        <w:tc>
          <w:tcPr>
            <w:tcW w:w="0" w:type="auto"/>
            <w:shd w:val="clear" w:color="auto" w:fill="auto"/>
            <w:noWrap/>
            <w:vAlign w:val="center"/>
          </w:tcPr>
          <w:p>
            <w:pPr>
              <w:pStyle w:val="114"/>
              <w:rPr>
                <w:szCs w:val="20"/>
              </w:rPr>
            </w:pPr>
            <w:r>
              <w:rPr>
                <w:rFonts w:hint="eastAsia"/>
                <w:szCs w:val="20"/>
              </w:rPr>
              <w:t>380</w:t>
            </w:r>
          </w:p>
        </w:tc>
        <w:tc>
          <w:tcPr>
            <w:tcW w:w="0" w:type="auto"/>
            <w:shd w:val="clear" w:color="auto" w:fill="auto"/>
            <w:noWrap/>
            <w:vAlign w:val="center"/>
          </w:tcPr>
          <w:p>
            <w:pPr>
              <w:pStyle w:val="114"/>
              <w:rPr>
                <w:szCs w:val="20"/>
              </w:rPr>
            </w:pPr>
            <w:r>
              <w:rPr>
                <w:rFonts w:hint="eastAsia"/>
              </w:rPr>
              <w:t>3290</w:t>
            </w:r>
          </w:p>
        </w:tc>
        <w:tc>
          <w:tcPr>
            <w:tcW w:w="0" w:type="auto"/>
            <w:shd w:val="clear" w:color="auto" w:fill="auto"/>
            <w:noWrap/>
            <w:vAlign w:val="center"/>
          </w:tcPr>
          <w:p>
            <w:pPr>
              <w:pStyle w:val="114"/>
              <w:rPr>
                <w:szCs w:val="20"/>
              </w:rPr>
            </w:pPr>
            <w:r>
              <w:rPr>
                <w:rFonts w:hint="eastAsia"/>
              </w:rPr>
              <w:t>3432</w:t>
            </w:r>
          </w:p>
        </w:tc>
        <w:tc>
          <w:tcPr>
            <w:tcW w:w="1326" w:type="dxa"/>
            <w:shd w:val="clear" w:color="auto" w:fill="auto"/>
            <w:noWrap/>
            <w:vAlign w:val="center"/>
          </w:tcPr>
          <w:p>
            <w:pPr>
              <w:pStyle w:val="114"/>
              <w:rPr>
                <w:szCs w:val="20"/>
              </w:rPr>
            </w:pPr>
            <w:r>
              <w:rPr>
                <w:rFonts w:hint="eastAsia"/>
              </w:rPr>
              <w:t>336</w:t>
            </w:r>
          </w:p>
        </w:tc>
        <w:tc>
          <w:tcPr>
            <w:tcW w:w="1418" w:type="dxa"/>
            <w:shd w:val="clear" w:color="auto" w:fill="auto"/>
            <w:noWrap/>
            <w:vAlign w:val="center"/>
          </w:tcPr>
          <w:p>
            <w:pPr>
              <w:pStyle w:val="114"/>
              <w:rPr>
                <w:szCs w:val="20"/>
              </w:rPr>
            </w:pPr>
            <w:r>
              <w:rPr>
                <w:rFonts w:hint="eastAsia"/>
                <w:szCs w:val="20"/>
              </w:rPr>
              <w:t>4</w:t>
            </w:r>
          </w:p>
        </w:tc>
        <w:tc>
          <w:tcPr>
            <w:tcW w:w="1275" w:type="dxa"/>
            <w:shd w:val="clear" w:color="auto" w:fill="auto"/>
            <w:vAlign w:val="center"/>
          </w:tcPr>
          <w:p>
            <w:pPr>
              <w:pStyle w:val="114"/>
              <w:rPr>
                <w:szCs w:val="20"/>
              </w:rPr>
            </w:pPr>
            <w:r>
              <w:rPr>
                <w:rFonts w:hint="eastAsia"/>
                <w:szCs w:val="20"/>
              </w:rPr>
              <w:t>25</w:t>
            </w:r>
          </w:p>
        </w:tc>
        <w:tc>
          <w:tcPr>
            <w:tcW w:w="1575" w:type="dxa"/>
            <w:shd w:val="clear" w:color="auto" w:fill="auto"/>
            <w:noWrap/>
            <w:vAlign w:val="center"/>
          </w:tcPr>
          <w:p>
            <w:pPr>
              <w:pStyle w:val="114"/>
              <w:rPr>
                <w:szCs w:val="20"/>
              </w:rPr>
            </w:pPr>
            <w:r>
              <w:rPr>
                <w:rFonts w:hint="eastAsia"/>
              </w:rPr>
              <w:t>3075</w:t>
            </w:r>
          </w:p>
        </w:tc>
        <w:tc>
          <w:tcPr>
            <w:tcW w:w="1686" w:type="dxa"/>
            <w:shd w:val="clear" w:color="auto" w:fill="auto"/>
            <w:noWrap/>
            <w:vAlign w:val="center"/>
          </w:tcPr>
          <w:p>
            <w:pPr>
              <w:pStyle w:val="114"/>
              <w:rPr>
                <w:szCs w:val="20"/>
              </w:rPr>
            </w:pPr>
            <w:r>
              <w:rPr>
                <w:rFonts w:hint="eastAsia"/>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shd w:val="clear" w:color="auto" w:fill="auto"/>
            <w:noWrap/>
            <w:vAlign w:val="center"/>
          </w:tcPr>
          <w:p>
            <w:pPr>
              <w:pStyle w:val="114"/>
              <w:rPr>
                <w:szCs w:val="20"/>
              </w:rPr>
            </w:pPr>
            <w:r>
              <w:t>2</w:t>
            </w:r>
          </w:p>
        </w:tc>
        <w:tc>
          <w:tcPr>
            <w:tcW w:w="0" w:type="auto"/>
            <w:shd w:val="clear" w:color="auto" w:fill="auto"/>
            <w:vAlign w:val="center"/>
          </w:tcPr>
          <w:p>
            <w:pPr>
              <w:pStyle w:val="114"/>
              <w:rPr>
                <w:szCs w:val="20"/>
              </w:rPr>
            </w:pPr>
            <w:r>
              <w:rPr>
                <w:rFonts w:hint="eastAsia"/>
                <w:szCs w:val="21"/>
              </w:rPr>
              <w:t>芒瓦村</w:t>
            </w:r>
          </w:p>
        </w:tc>
        <w:tc>
          <w:tcPr>
            <w:tcW w:w="0" w:type="auto"/>
            <w:shd w:val="clear" w:color="auto" w:fill="auto"/>
            <w:noWrap/>
            <w:vAlign w:val="center"/>
          </w:tcPr>
          <w:p>
            <w:pPr>
              <w:pStyle w:val="114"/>
              <w:rPr>
                <w:szCs w:val="20"/>
              </w:rPr>
            </w:pPr>
          </w:p>
        </w:tc>
        <w:tc>
          <w:tcPr>
            <w:tcW w:w="0" w:type="auto"/>
            <w:shd w:val="clear" w:color="auto" w:fill="auto"/>
            <w:noWrap/>
            <w:vAlign w:val="center"/>
          </w:tcPr>
          <w:p>
            <w:pPr>
              <w:pStyle w:val="114"/>
              <w:rPr>
                <w:szCs w:val="20"/>
              </w:rPr>
            </w:pPr>
          </w:p>
        </w:tc>
        <w:tc>
          <w:tcPr>
            <w:tcW w:w="0" w:type="auto"/>
            <w:shd w:val="clear" w:color="auto" w:fill="auto"/>
            <w:noWrap/>
            <w:vAlign w:val="center"/>
          </w:tcPr>
          <w:p>
            <w:pPr>
              <w:pStyle w:val="114"/>
              <w:rPr>
                <w:szCs w:val="20"/>
              </w:rPr>
            </w:pPr>
            <w:r>
              <w:rPr>
                <w:rFonts w:hint="eastAsia"/>
              </w:rPr>
              <w:t>1580</w:t>
            </w:r>
          </w:p>
        </w:tc>
        <w:tc>
          <w:tcPr>
            <w:tcW w:w="0" w:type="auto"/>
            <w:shd w:val="clear" w:color="auto" w:fill="auto"/>
            <w:noWrap/>
            <w:vAlign w:val="center"/>
          </w:tcPr>
          <w:p>
            <w:pPr>
              <w:pStyle w:val="114"/>
              <w:rPr>
                <w:szCs w:val="20"/>
              </w:rPr>
            </w:pPr>
            <w:r>
              <w:rPr>
                <w:rFonts w:hint="eastAsia"/>
              </w:rPr>
              <w:t>1120</w:t>
            </w:r>
          </w:p>
        </w:tc>
        <w:tc>
          <w:tcPr>
            <w:tcW w:w="1326" w:type="dxa"/>
            <w:shd w:val="clear" w:color="auto" w:fill="auto"/>
            <w:noWrap/>
            <w:vAlign w:val="center"/>
          </w:tcPr>
          <w:p>
            <w:pPr>
              <w:pStyle w:val="114"/>
              <w:rPr>
                <w:szCs w:val="20"/>
              </w:rPr>
            </w:pPr>
            <w:r>
              <w:rPr>
                <w:rFonts w:hint="eastAsia"/>
              </w:rPr>
              <w:t>130</w:t>
            </w:r>
          </w:p>
        </w:tc>
        <w:tc>
          <w:tcPr>
            <w:tcW w:w="1418" w:type="dxa"/>
            <w:shd w:val="clear" w:color="auto" w:fill="auto"/>
            <w:noWrap/>
            <w:vAlign w:val="center"/>
          </w:tcPr>
          <w:p>
            <w:pPr>
              <w:pStyle w:val="114"/>
              <w:rPr>
                <w:szCs w:val="20"/>
              </w:rPr>
            </w:pPr>
          </w:p>
        </w:tc>
        <w:tc>
          <w:tcPr>
            <w:tcW w:w="1275" w:type="dxa"/>
            <w:shd w:val="clear" w:color="auto" w:fill="auto"/>
            <w:vAlign w:val="center"/>
          </w:tcPr>
          <w:p>
            <w:pPr>
              <w:pStyle w:val="114"/>
              <w:rPr>
                <w:szCs w:val="20"/>
              </w:rPr>
            </w:pPr>
          </w:p>
        </w:tc>
        <w:tc>
          <w:tcPr>
            <w:tcW w:w="1575" w:type="dxa"/>
            <w:shd w:val="clear" w:color="auto" w:fill="auto"/>
            <w:noWrap/>
            <w:vAlign w:val="center"/>
          </w:tcPr>
          <w:p>
            <w:pPr>
              <w:pStyle w:val="114"/>
              <w:rPr>
                <w:szCs w:val="20"/>
              </w:rPr>
            </w:pPr>
            <w:r>
              <w:rPr>
                <w:rFonts w:hint="eastAsia"/>
              </w:rPr>
              <w:t>1230</w:t>
            </w:r>
          </w:p>
        </w:tc>
        <w:tc>
          <w:tcPr>
            <w:tcW w:w="1686" w:type="dxa"/>
            <w:shd w:val="clear" w:color="auto" w:fill="auto"/>
            <w:noWrap/>
            <w:vAlign w:val="center"/>
          </w:tcPr>
          <w:p>
            <w:pPr>
              <w:pStyle w:val="114"/>
              <w:rPr>
                <w:szCs w:val="20"/>
              </w:rPr>
            </w:pPr>
            <w:r>
              <w:rPr>
                <w:rFonts w:hint="eastAsia"/>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shd w:val="clear" w:color="auto" w:fill="auto"/>
            <w:noWrap/>
            <w:vAlign w:val="center"/>
          </w:tcPr>
          <w:p>
            <w:pPr>
              <w:pStyle w:val="114"/>
              <w:rPr>
                <w:b/>
                <w:szCs w:val="20"/>
              </w:rPr>
            </w:pPr>
            <w:r>
              <w:rPr>
                <w:rFonts w:hint="eastAsia"/>
                <w:b/>
              </w:rPr>
              <w:t>合计</w:t>
            </w:r>
          </w:p>
        </w:tc>
        <w:tc>
          <w:tcPr>
            <w:tcW w:w="0" w:type="auto"/>
            <w:shd w:val="clear" w:color="auto" w:fill="auto"/>
            <w:noWrap/>
            <w:vAlign w:val="center"/>
          </w:tcPr>
          <w:p>
            <w:pPr>
              <w:pStyle w:val="114"/>
              <w:rPr>
                <w:b/>
                <w:szCs w:val="20"/>
              </w:rPr>
            </w:pPr>
            <w:r>
              <w:rPr>
                <w:rFonts w:hint="eastAsia"/>
                <w:b/>
              </w:rPr>
              <w:t>630</w:t>
            </w:r>
          </w:p>
        </w:tc>
        <w:tc>
          <w:tcPr>
            <w:tcW w:w="0" w:type="auto"/>
            <w:shd w:val="clear" w:color="auto" w:fill="auto"/>
            <w:noWrap/>
            <w:vAlign w:val="center"/>
          </w:tcPr>
          <w:p>
            <w:pPr>
              <w:pStyle w:val="114"/>
              <w:rPr>
                <w:b/>
                <w:szCs w:val="20"/>
              </w:rPr>
            </w:pPr>
            <w:r>
              <w:rPr>
                <w:rFonts w:hint="eastAsia"/>
                <w:b/>
              </w:rPr>
              <w:t>380</w:t>
            </w:r>
          </w:p>
        </w:tc>
        <w:tc>
          <w:tcPr>
            <w:tcW w:w="0" w:type="auto"/>
            <w:shd w:val="clear" w:color="auto" w:fill="auto"/>
            <w:noWrap/>
            <w:vAlign w:val="center"/>
          </w:tcPr>
          <w:p>
            <w:pPr>
              <w:pStyle w:val="114"/>
              <w:rPr>
                <w:b/>
                <w:szCs w:val="20"/>
              </w:rPr>
            </w:pPr>
            <w:r>
              <w:rPr>
                <w:rFonts w:hint="eastAsia"/>
                <w:b/>
              </w:rPr>
              <w:t>4870</w:t>
            </w:r>
          </w:p>
        </w:tc>
        <w:tc>
          <w:tcPr>
            <w:tcW w:w="0" w:type="auto"/>
            <w:shd w:val="clear" w:color="auto" w:fill="auto"/>
            <w:noWrap/>
            <w:vAlign w:val="center"/>
          </w:tcPr>
          <w:p>
            <w:pPr>
              <w:pStyle w:val="114"/>
              <w:rPr>
                <w:b/>
                <w:szCs w:val="20"/>
              </w:rPr>
            </w:pPr>
            <w:r>
              <w:rPr>
                <w:rFonts w:hint="eastAsia"/>
                <w:b/>
              </w:rPr>
              <w:t>4552</w:t>
            </w:r>
          </w:p>
        </w:tc>
        <w:tc>
          <w:tcPr>
            <w:tcW w:w="1326" w:type="dxa"/>
            <w:shd w:val="clear" w:color="auto" w:fill="auto"/>
            <w:noWrap/>
            <w:vAlign w:val="center"/>
          </w:tcPr>
          <w:p>
            <w:pPr>
              <w:pStyle w:val="114"/>
              <w:rPr>
                <w:b/>
                <w:szCs w:val="20"/>
              </w:rPr>
            </w:pPr>
            <w:r>
              <w:rPr>
                <w:rFonts w:hint="eastAsia"/>
                <w:b/>
              </w:rPr>
              <w:t>466</w:t>
            </w:r>
          </w:p>
        </w:tc>
        <w:tc>
          <w:tcPr>
            <w:tcW w:w="1418" w:type="dxa"/>
            <w:shd w:val="clear" w:color="auto" w:fill="auto"/>
            <w:noWrap/>
            <w:vAlign w:val="center"/>
          </w:tcPr>
          <w:p>
            <w:pPr>
              <w:pStyle w:val="114"/>
              <w:rPr>
                <w:b/>
                <w:szCs w:val="20"/>
              </w:rPr>
            </w:pPr>
            <w:r>
              <w:rPr>
                <w:rFonts w:hint="eastAsia"/>
                <w:b/>
              </w:rPr>
              <w:t>4</w:t>
            </w:r>
          </w:p>
        </w:tc>
        <w:tc>
          <w:tcPr>
            <w:tcW w:w="1275" w:type="dxa"/>
            <w:shd w:val="clear" w:color="auto" w:fill="auto"/>
            <w:vAlign w:val="center"/>
          </w:tcPr>
          <w:p>
            <w:pPr>
              <w:pStyle w:val="114"/>
              <w:rPr>
                <w:b/>
                <w:szCs w:val="20"/>
              </w:rPr>
            </w:pPr>
            <w:r>
              <w:rPr>
                <w:rFonts w:hint="eastAsia"/>
                <w:b/>
                <w:szCs w:val="20"/>
              </w:rPr>
              <w:t>25</w:t>
            </w:r>
          </w:p>
        </w:tc>
        <w:tc>
          <w:tcPr>
            <w:tcW w:w="1575" w:type="dxa"/>
            <w:shd w:val="clear" w:color="auto" w:fill="auto"/>
            <w:noWrap/>
            <w:vAlign w:val="center"/>
          </w:tcPr>
          <w:p>
            <w:pPr>
              <w:pStyle w:val="114"/>
              <w:rPr>
                <w:b/>
                <w:szCs w:val="20"/>
              </w:rPr>
            </w:pPr>
            <w:r>
              <w:rPr>
                <w:rFonts w:hint="eastAsia"/>
                <w:b/>
              </w:rPr>
              <w:t>4305</w:t>
            </w:r>
          </w:p>
        </w:tc>
        <w:tc>
          <w:tcPr>
            <w:tcW w:w="1686" w:type="dxa"/>
            <w:shd w:val="clear" w:color="auto" w:fill="auto"/>
            <w:noWrap/>
            <w:vAlign w:val="center"/>
          </w:tcPr>
          <w:p>
            <w:pPr>
              <w:pStyle w:val="114"/>
              <w:rPr>
                <w:b/>
                <w:szCs w:val="20"/>
              </w:rPr>
            </w:pPr>
            <w:r>
              <w:rPr>
                <w:rFonts w:hint="eastAsia"/>
                <w:b/>
              </w:rPr>
              <w:t>287</w:t>
            </w:r>
          </w:p>
        </w:tc>
      </w:tr>
    </w:tbl>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pPr>
    </w:p>
    <w:p>
      <w:pPr>
        <w:ind w:firstLine="480"/>
        <w:rPr>
          <w:rFonts w:cs="Times New Roman"/>
          <w:color w:val="auto"/>
        </w:rPr>
        <w:sectPr>
          <w:pgSz w:w="16838" w:h="11906" w:orient="landscape"/>
          <w:pgMar w:top="1559" w:right="1440" w:bottom="1559" w:left="1440" w:header="708" w:footer="708" w:gutter="0"/>
          <w:cols w:space="708" w:num="1"/>
          <w:docGrid w:linePitch="360" w:charSpace="0"/>
        </w:sectPr>
      </w:pPr>
    </w:p>
    <w:p>
      <w:pPr>
        <w:pStyle w:val="4"/>
      </w:pPr>
      <w:bookmarkStart w:id="234" w:name="_Toc36126953"/>
      <w:bookmarkStart w:id="235" w:name="_Toc48640760"/>
      <w:r>
        <w:t>污水处理系统设计</w:t>
      </w:r>
      <w:bookmarkEnd w:id="234"/>
      <w:bookmarkEnd w:id="235"/>
    </w:p>
    <w:p>
      <w:pPr>
        <w:pStyle w:val="5"/>
      </w:pPr>
      <w:bookmarkStart w:id="236" w:name="_Toc36126954"/>
      <w:bookmarkStart w:id="237" w:name="_Toc48640761"/>
      <w:r>
        <w:rPr>
          <w:rFonts w:hint="eastAsia"/>
        </w:rPr>
        <w:t>设计原则</w:t>
      </w:r>
      <w:bookmarkEnd w:id="236"/>
      <w:bookmarkEnd w:id="237"/>
    </w:p>
    <w:p>
      <w:pPr>
        <w:ind w:firstLine="480"/>
        <w:rPr>
          <w:rFonts w:cs="Times New Roman"/>
          <w:color w:val="auto"/>
          <w:kern w:val="0"/>
        </w:rPr>
      </w:pPr>
      <w:r>
        <w:rPr>
          <w:rFonts w:cs="Times New Roman"/>
          <w:color w:val="auto"/>
          <w:kern w:val="0"/>
        </w:rPr>
        <w:t>1、贯彻执行国家关于环境保护的政策，符合国家和有关法规、规范及标准。</w:t>
      </w:r>
    </w:p>
    <w:p>
      <w:pPr>
        <w:ind w:firstLine="480"/>
        <w:rPr>
          <w:rFonts w:cs="Times New Roman"/>
          <w:color w:val="auto"/>
          <w:kern w:val="0"/>
        </w:rPr>
      </w:pPr>
      <w:r>
        <w:rPr>
          <w:rFonts w:cs="Times New Roman"/>
          <w:color w:val="auto"/>
          <w:kern w:val="0"/>
        </w:rPr>
        <w:t>2、从实际情况出发，在镇区总体规划的指导下，采取全面规划、分期实施的原则，既考虑近期建设又考虑远期发展，使工程建设与集镇的发展相协调，既保护环境，又最大程度地发挥工程效益。</w:t>
      </w:r>
    </w:p>
    <w:p>
      <w:pPr>
        <w:ind w:firstLine="480"/>
        <w:rPr>
          <w:rFonts w:cs="Times New Roman"/>
          <w:color w:val="auto"/>
          <w:kern w:val="0"/>
        </w:rPr>
      </w:pPr>
      <w:r>
        <w:rPr>
          <w:rFonts w:cs="Times New Roman"/>
          <w:color w:val="auto"/>
          <w:kern w:val="0"/>
        </w:rPr>
        <w:t>3、根据设计进水水质和出水水质要求，所选污水处理工艺力求技术先进成熟、处理效果好、运行稳妥可靠、高效节能、经济合理，确保污水处理效果，减少工程投资及日常运行费用。</w:t>
      </w:r>
    </w:p>
    <w:p>
      <w:pPr>
        <w:ind w:firstLine="480"/>
        <w:rPr>
          <w:rFonts w:cs="Times New Roman"/>
          <w:color w:val="auto"/>
          <w:kern w:val="0"/>
        </w:rPr>
      </w:pPr>
      <w:r>
        <w:rPr>
          <w:rFonts w:cs="Times New Roman"/>
          <w:color w:val="auto"/>
          <w:kern w:val="0"/>
        </w:rPr>
        <w:t>4、妥善处理和处置水处理过程中产生的栅渣、沉砂和污泥，避免造成二次污染。</w:t>
      </w:r>
    </w:p>
    <w:p>
      <w:pPr>
        <w:ind w:firstLine="480"/>
        <w:rPr>
          <w:rFonts w:cs="Times New Roman"/>
          <w:color w:val="auto"/>
          <w:kern w:val="0"/>
        </w:rPr>
      </w:pPr>
      <w:r>
        <w:rPr>
          <w:rFonts w:cs="Times New Roman"/>
          <w:color w:val="auto"/>
          <w:kern w:val="0"/>
        </w:rPr>
        <w:t>5、确保工程的可靠性及有效性，提高自动化水平，降低运行费用，减少日常维护检修工作量，改善工人操作条件。</w:t>
      </w:r>
    </w:p>
    <w:p>
      <w:pPr>
        <w:ind w:firstLine="480"/>
        <w:rPr>
          <w:rFonts w:cs="Times New Roman"/>
          <w:color w:val="auto"/>
          <w:kern w:val="0"/>
        </w:rPr>
      </w:pPr>
      <w:r>
        <w:rPr>
          <w:rFonts w:cs="Times New Roman"/>
          <w:color w:val="auto"/>
          <w:kern w:val="0"/>
        </w:rPr>
        <w:t>6、采用专用电源保证污水处理系统正常运转，且污水站运行设备有足够的备用率。</w:t>
      </w:r>
    </w:p>
    <w:p>
      <w:pPr>
        <w:ind w:firstLine="480"/>
        <w:rPr>
          <w:rFonts w:cs="Times New Roman"/>
          <w:color w:val="auto"/>
          <w:kern w:val="0"/>
        </w:rPr>
      </w:pPr>
      <w:r>
        <w:rPr>
          <w:rFonts w:cs="Times New Roman"/>
          <w:color w:val="auto"/>
          <w:kern w:val="0"/>
        </w:rPr>
        <w:t>7、在污水站征地范围内，站区总平面布置力求在便于施工、便于安装和便于维修的前提下，使各处理构筑物尽量集中，节约用地，扩大绿化面积，并留有发展余地。使站区环境与周围环境协调一致。</w:t>
      </w:r>
    </w:p>
    <w:p>
      <w:pPr>
        <w:ind w:firstLine="480"/>
        <w:rPr>
          <w:rFonts w:cs="Times New Roman"/>
          <w:color w:val="auto"/>
          <w:kern w:val="0"/>
        </w:rPr>
      </w:pPr>
      <w:r>
        <w:rPr>
          <w:rFonts w:cs="Times New Roman"/>
          <w:color w:val="auto"/>
          <w:kern w:val="0"/>
        </w:rPr>
        <w:t>8、站区竖向设计力求减少站区挖方量和节省污水提升费用。</w:t>
      </w:r>
    </w:p>
    <w:p>
      <w:pPr>
        <w:ind w:firstLine="480"/>
        <w:rPr>
          <w:rFonts w:cs="Times New Roman"/>
          <w:color w:val="auto"/>
          <w:kern w:val="0"/>
        </w:rPr>
      </w:pPr>
      <w:r>
        <w:rPr>
          <w:rFonts w:cs="Times New Roman"/>
          <w:color w:val="auto"/>
          <w:kern w:val="0"/>
        </w:rPr>
        <w:t>9、站区建筑风格力求统一，简洁明快、美观大方，并与站区周围景观相协调。</w:t>
      </w:r>
    </w:p>
    <w:p>
      <w:pPr>
        <w:ind w:firstLine="480"/>
        <w:rPr>
          <w:rFonts w:cs="Times New Roman"/>
          <w:color w:val="auto"/>
          <w:kern w:val="0"/>
        </w:rPr>
      </w:pPr>
      <w:r>
        <w:rPr>
          <w:rFonts w:cs="Times New Roman"/>
          <w:color w:val="auto"/>
          <w:kern w:val="0"/>
        </w:rPr>
        <w:t>10、积极创造一个良好的生产和生活环境。</w:t>
      </w:r>
    </w:p>
    <w:p>
      <w:pPr>
        <w:pStyle w:val="5"/>
      </w:pPr>
      <w:bookmarkStart w:id="238" w:name="_Toc36126955"/>
      <w:bookmarkStart w:id="239" w:name="_Toc48640762"/>
      <w:r>
        <w:t>设计规模</w:t>
      </w:r>
      <w:bookmarkEnd w:id="238"/>
      <w:bookmarkEnd w:id="239"/>
    </w:p>
    <w:p>
      <w:pPr>
        <w:ind w:firstLine="480"/>
        <w:rPr>
          <w:rFonts w:cs="Times New Roman"/>
          <w:color w:val="auto"/>
        </w:rPr>
      </w:pPr>
      <w:r>
        <w:rPr>
          <w:rFonts w:cs="Times New Roman"/>
          <w:color w:val="auto"/>
        </w:rPr>
        <w:t>村庄用水定额按照2.3.1章节所述，计算期15年内用水定额增加10</w:t>
      </w:r>
      <w:r>
        <w:rPr>
          <w:rFonts w:cs="Times New Roman"/>
          <w:color w:val="auto"/>
          <w:kern w:val="0"/>
        </w:rPr>
        <w:t>L/人•d，</w:t>
      </w:r>
      <w:r>
        <w:rPr>
          <w:rFonts w:cs="Times New Roman"/>
          <w:color w:val="auto"/>
        </w:rPr>
        <w:t>村庄污水收集率取0.8，污水排放量按用水量的80%计算，人口增长率</w:t>
      </w:r>
      <w:r>
        <w:rPr>
          <w:rFonts w:hint="eastAsia" w:cs="Times New Roman"/>
          <w:color w:val="auto"/>
        </w:rPr>
        <w:t>以</w:t>
      </w:r>
      <w:r>
        <w:rPr>
          <w:rFonts w:cs="Times New Roman"/>
          <w:color w:val="auto"/>
        </w:rPr>
        <w:t>7‰计，各村庄污水量计算见表6.2-1，并根据计算污水量取整确定各村庄污水处理系统规模。</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污水处理系统规模统计表</w:t>
      </w:r>
    </w:p>
    <w:tbl>
      <w:tblPr>
        <w:tblStyle w:val="88"/>
        <w:tblW w:w="0" w:type="auto"/>
        <w:jc w:val="center"/>
        <w:tblLayout w:type="autofit"/>
        <w:tblCellMar>
          <w:top w:w="0" w:type="dxa"/>
          <w:left w:w="108" w:type="dxa"/>
          <w:bottom w:w="0" w:type="dxa"/>
          <w:right w:w="108" w:type="dxa"/>
        </w:tblCellMar>
      </w:tblPr>
      <w:tblGrid>
        <w:gridCol w:w="638"/>
        <w:gridCol w:w="849"/>
        <w:gridCol w:w="2110"/>
        <w:gridCol w:w="2110"/>
        <w:gridCol w:w="2321"/>
        <w:gridCol w:w="638"/>
      </w:tblGrid>
      <w:tr>
        <w:tblPrEx>
          <w:tblCellMar>
            <w:top w:w="0" w:type="dxa"/>
            <w:left w:w="108" w:type="dxa"/>
            <w:bottom w:w="0" w:type="dxa"/>
            <w:right w:w="108" w:type="dxa"/>
          </w:tblCellMar>
        </w:tblPrEx>
        <w:trPr>
          <w:trHeight w:val="758" w:hRule="atLeast"/>
          <w:tblHeader/>
          <w:jc w:val="center"/>
        </w:trPr>
        <w:tc>
          <w:tcPr>
            <w:tcW w:w="0" w:type="auto"/>
            <w:tcBorders>
              <w:top w:val="single" w:color="auto" w:sz="8" w:space="0"/>
              <w:left w:val="single" w:color="auto" w:sz="8" w:space="0"/>
              <w:bottom w:val="single" w:color="000000" w:sz="8" w:space="0"/>
              <w:right w:val="single" w:color="auto" w:sz="8" w:space="0"/>
            </w:tcBorders>
            <w:shd w:val="clear" w:color="auto" w:fill="auto"/>
            <w:vAlign w:val="center"/>
          </w:tcPr>
          <w:p>
            <w:pPr>
              <w:pStyle w:val="114"/>
              <w:spacing w:line="240" w:lineRule="auto"/>
              <w:rPr>
                <w:b/>
                <w:kern w:val="0"/>
              </w:rPr>
            </w:pPr>
            <w:r>
              <w:rPr>
                <w:b/>
                <w:kern w:val="0"/>
              </w:rPr>
              <w:t>序号</w:t>
            </w:r>
          </w:p>
        </w:tc>
        <w:tc>
          <w:tcPr>
            <w:tcW w:w="0" w:type="auto"/>
            <w:tcBorders>
              <w:top w:val="single" w:color="auto" w:sz="8" w:space="0"/>
              <w:left w:val="single" w:color="auto" w:sz="8" w:space="0"/>
              <w:bottom w:val="single" w:color="000000" w:sz="8" w:space="0"/>
              <w:right w:val="single" w:color="auto" w:sz="8" w:space="0"/>
            </w:tcBorders>
            <w:shd w:val="clear" w:color="auto" w:fill="auto"/>
            <w:vAlign w:val="center"/>
          </w:tcPr>
          <w:p>
            <w:pPr>
              <w:pStyle w:val="114"/>
              <w:spacing w:line="240" w:lineRule="auto"/>
              <w:rPr>
                <w:b/>
                <w:kern w:val="0"/>
              </w:rPr>
            </w:pPr>
            <w:r>
              <w:rPr>
                <w:b/>
                <w:kern w:val="0"/>
              </w:rPr>
              <w:t>自然村</w:t>
            </w:r>
          </w:p>
        </w:tc>
        <w:tc>
          <w:tcPr>
            <w:tcW w:w="0" w:type="auto"/>
            <w:tcBorders>
              <w:top w:val="single" w:color="auto" w:sz="8" w:space="0"/>
              <w:left w:val="nil"/>
              <w:bottom w:val="single" w:color="auto" w:sz="8" w:space="0"/>
              <w:right w:val="single" w:color="auto" w:sz="8" w:space="0"/>
            </w:tcBorders>
            <w:shd w:val="clear" w:color="auto" w:fill="auto"/>
            <w:vAlign w:val="center"/>
          </w:tcPr>
          <w:p>
            <w:pPr>
              <w:pStyle w:val="114"/>
              <w:spacing w:line="240" w:lineRule="auto"/>
              <w:rPr>
                <w:b/>
                <w:kern w:val="0"/>
              </w:rPr>
            </w:pPr>
            <w:r>
              <w:rPr>
                <w:b/>
                <w:kern w:val="0"/>
              </w:rPr>
              <w:t>污水产生量（m</w:t>
            </w:r>
            <w:r>
              <w:rPr>
                <w:b/>
                <w:kern w:val="0"/>
                <w:vertAlign w:val="superscript"/>
              </w:rPr>
              <w:t>3</w:t>
            </w:r>
            <w:r>
              <w:rPr>
                <w:b/>
                <w:kern w:val="0"/>
              </w:rPr>
              <w:t>/d）</w:t>
            </w:r>
          </w:p>
        </w:tc>
        <w:tc>
          <w:tcPr>
            <w:tcW w:w="0" w:type="auto"/>
            <w:tcBorders>
              <w:top w:val="single" w:color="auto" w:sz="8" w:space="0"/>
              <w:left w:val="single" w:color="auto" w:sz="8" w:space="0"/>
              <w:bottom w:val="single" w:color="000000" w:sz="8" w:space="0"/>
              <w:right w:val="single" w:color="auto" w:sz="8" w:space="0"/>
            </w:tcBorders>
            <w:shd w:val="clear" w:color="auto" w:fill="auto"/>
            <w:vAlign w:val="center"/>
          </w:tcPr>
          <w:p>
            <w:pPr>
              <w:pStyle w:val="114"/>
              <w:spacing w:line="240" w:lineRule="auto"/>
              <w:rPr>
                <w:b/>
                <w:kern w:val="0"/>
              </w:rPr>
            </w:pPr>
            <w:r>
              <w:rPr>
                <w:b/>
                <w:kern w:val="0"/>
              </w:rPr>
              <w:t>污水收集量（m</w:t>
            </w:r>
            <w:r>
              <w:rPr>
                <w:b/>
                <w:kern w:val="0"/>
                <w:vertAlign w:val="superscript"/>
              </w:rPr>
              <w:t>3</w:t>
            </w:r>
            <w:r>
              <w:rPr>
                <w:b/>
                <w:kern w:val="0"/>
              </w:rPr>
              <w:t>/d）</w:t>
            </w:r>
          </w:p>
        </w:tc>
        <w:tc>
          <w:tcPr>
            <w:tcW w:w="0" w:type="auto"/>
            <w:tcBorders>
              <w:top w:val="single" w:color="auto" w:sz="8" w:space="0"/>
              <w:left w:val="single" w:color="auto" w:sz="8" w:space="0"/>
              <w:bottom w:val="single" w:color="000000" w:sz="8" w:space="0"/>
              <w:right w:val="single" w:color="auto" w:sz="8" w:space="0"/>
            </w:tcBorders>
            <w:shd w:val="clear" w:color="auto" w:fill="auto"/>
            <w:vAlign w:val="center"/>
          </w:tcPr>
          <w:p>
            <w:pPr>
              <w:pStyle w:val="114"/>
              <w:spacing w:line="240" w:lineRule="auto"/>
              <w:rPr>
                <w:b/>
                <w:kern w:val="0"/>
              </w:rPr>
            </w:pPr>
            <w:r>
              <w:rPr>
                <w:b/>
                <w:kern w:val="0"/>
              </w:rPr>
              <w:t>污水处理规模（m</w:t>
            </w:r>
            <w:r>
              <w:rPr>
                <w:b/>
                <w:kern w:val="0"/>
                <w:vertAlign w:val="superscript"/>
              </w:rPr>
              <w:t>3</w:t>
            </w:r>
            <w:r>
              <w:rPr>
                <w:b/>
                <w:kern w:val="0"/>
              </w:rPr>
              <w:t>/d）</w:t>
            </w:r>
          </w:p>
        </w:tc>
        <w:tc>
          <w:tcPr>
            <w:tcW w:w="0" w:type="auto"/>
            <w:tcBorders>
              <w:top w:val="single" w:color="auto" w:sz="8" w:space="0"/>
              <w:left w:val="single" w:color="auto" w:sz="8" w:space="0"/>
              <w:bottom w:val="single" w:color="000000" w:sz="8" w:space="0"/>
              <w:right w:val="single" w:color="auto" w:sz="8" w:space="0"/>
            </w:tcBorders>
            <w:shd w:val="clear" w:color="auto" w:fill="auto"/>
            <w:vAlign w:val="center"/>
          </w:tcPr>
          <w:p>
            <w:pPr>
              <w:pStyle w:val="114"/>
              <w:spacing w:line="240" w:lineRule="auto"/>
              <w:rPr>
                <w:b/>
                <w:kern w:val="0"/>
              </w:rPr>
            </w:pPr>
            <w:r>
              <w:rPr>
                <w:b/>
                <w:kern w:val="0"/>
              </w:rPr>
              <w:t>备注</w:t>
            </w:r>
          </w:p>
        </w:tc>
      </w:tr>
      <w:tr>
        <w:tblPrEx>
          <w:tblCellMar>
            <w:top w:w="0" w:type="dxa"/>
            <w:left w:w="108" w:type="dxa"/>
            <w:bottom w:w="0" w:type="dxa"/>
            <w:right w:w="108" w:type="dxa"/>
          </w:tblCellMar>
        </w:tblPrEx>
        <w:trPr>
          <w:trHeight w:val="369" w:hRule="atLeast"/>
          <w:jc w:val="center"/>
        </w:trPr>
        <w:tc>
          <w:tcPr>
            <w:tcW w:w="0" w:type="auto"/>
            <w:tcBorders>
              <w:top w:val="nil"/>
              <w:left w:val="single" w:color="auto" w:sz="8" w:space="0"/>
              <w:bottom w:val="single" w:color="auto" w:sz="8" w:space="0"/>
              <w:right w:val="single" w:color="auto" w:sz="8" w:space="0"/>
            </w:tcBorders>
            <w:shd w:val="clear" w:color="auto" w:fill="auto"/>
            <w:vAlign w:val="center"/>
          </w:tcPr>
          <w:p>
            <w:pPr>
              <w:pStyle w:val="114"/>
              <w:spacing w:line="240" w:lineRule="auto"/>
              <w:rPr>
                <w:kern w:val="0"/>
              </w:rPr>
            </w:pPr>
            <w:r>
              <w:rPr>
                <w:kern w:val="0"/>
              </w:rPr>
              <w:t>1</w:t>
            </w:r>
          </w:p>
        </w:tc>
        <w:tc>
          <w:tcPr>
            <w:tcW w:w="0" w:type="auto"/>
            <w:tcBorders>
              <w:top w:val="nil"/>
              <w:left w:val="nil"/>
              <w:bottom w:val="single" w:color="auto" w:sz="8" w:space="0"/>
              <w:right w:val="single" w:color="auto" w:sz="8" w:space="0"/>
            </w:tcBorders>
            <w:shd w:val="clear" w:color="auto" w:fill="auto"/>
            <w:vAlign w:val="center"/>
          </w:tcPr>
          <w:p>
            <w:pPr>
              <w:pStyle w:val="114"/>
              <w:spacing w:line="240" w:lineRule="auto"/>
              <w:rPr>
                <w:kern w:val="0"/>
              </w:rPr>
            </w:pPr>
            <w:r>
              <w:rPr>
                <w:rFonts w:hint="eastAsia"/>
                <w:kern w:val="0"/>
              </w:rPr>
              <w:t>户拉村</w:t>
            </w:r>
          </w:p>
        </w:tc>
        <w:tc>
          <w:tcPr>
            <w:tcW w:w="0" w:type="auto"/>
            <w:tcBorders>
              <w:top w:val="single" w:color="auto" w:sz="8" w:space="0"/>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84.24</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67.39</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75</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p>
        </w:tc>
      </w:tr>
      <w:tr>
        <w:tblPrEx>
          <w:tblCellMar>
            <w:top w:w="0" w:type="dxa"/>
            <w:left w:w="108" w:type="dxa"/>
            <w:bottom w:w="0" w:type="dxa"/>
            <w:right w:w="108" w:type="dxa"/>
          </w:tblCellMar>
        </w:tblPrEx>
        <w:trPr>
          <w:trHeight w:val="369" w:hRule="atLeast"/>
          <w:jc w:val="center"/>
        </w:trPr>
        <w:tc>
          <w:tcPr>
            <w:tcW w:w="0" w:type="auto"/>
            <w:tcBorders>
              <w:top w:val="nil"/>
              <w:left w:val="single" w:color="auto" w:sz="8" w:space="0"/>
              <w:bottom w:val="single" w:color="auto" w:sz="8" w:space="0"/>
              <w:right w:val="single" w:color="auto" w:sz="8" w:space="0"/>
            </w:tcBorders>
            <w:shd w:val="clear" w:color="auto" w:fill="auto"/>
            <w:vAlign w:val="center"/>
          </w:tcPr>
          <w:p>
            <w:pPr>
              <w:pStyle w:val="114"/>
              <w:spacing w:line="240" w:lineRule="auto"/>
              <w:rPr>
                <w:kern w:val="0"/>
              </w:rPr>
            </w:pPr>
            <w:r>
              <w:rPr>
                <w:kern w:val="0"/>
              </w:rPr>
              <w:t>2</w:t>
            </w:r>
          </w:p>
        </w:tc>
        <w:tc>
          <w:tcPr>
            <w:tcW w:w="0" w:type="auto"/>
            <w:tcBorders>
              <w:top w:val="nil"/>
              <w:left w:val="nil"/>
              <w:bottom w:val="single" w:color="auto" w:sz="8" w:space="0"/>
              <w:right w:val="single" w:color="auto" w:sz="8" w:space="0"/>
            </w:tcBorders>
            <w:shd w:val="clear" w:color="auto" w:fill="auto"/>
            <w:vAlign w:val="center"/>
          </w:tcPr>
          <w:p>
            <w:pPr>
              <w:pStyle w:val="114"/>
              <w:spacing w:line="240" w:lineRule="auto"/>
              <w:rPr>
                <w:kern w:val="0"/>
              </w:rPr>
            </w:pPr>
            <w:r>
              <w:rPr>
                <w:rFonts w:hint="eastAsia"/>
                <w:kern w:val="0"/>
              </w:rPr>
              <w:t>芒瓦村</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39.76</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31.81</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r>
              <w:rPr>
                <w:rFonts w:hint="eastAsia"/>
                <w:kern w:val="0"/>
              </w:rPr>
              <w:t>40</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p>
        </w:tc>
      </w:tr>
      <w:tr>
        <w:tblPrEx>
          <w:tblCellMar>
            <w:top w:w="0" w:type="dxa"/>
            <w:left w:w="108" w:type="dxa"/>
            <w:bottom w:w="0" w:type="dxa"/>
            <w:right w:w="108" w:type="dxa"/>
          </w:tblCellMar>
        </w:tblPrEx>
        <w:trPr>
          <w:trHeight w:val="369" w:hRule="atLeast"/>
          <w:jc w:val="center"/>
        </w:trPr>
        <w:tc>
          <w:tcPr>
            <w:tcW w:w="0" w:type="auto"/>
            <w:gridSpan w:val="2"/>
            <w:tcBorders>
              <w:top w:val="single" w:color="auto" w:sz="8" w:space="0"/>
              <w:left w:val="single" w:color="auto" w:sz="8" w:space="0"/>
              <w:bottom w:val="single" w:color="auto" w:sz="8" w:space="0"/>
              <w:right w:val="single" w:color="000000" w:sz="8" w:space="0"/>
            </w:tcBorders>
            <w:shd w:val="clear" w:color="auto" w:fill="auto"/>
            <w:vAlign w:val="center"/>
          </w:tcPr>
          <w:p>
            <w:pPr>
              <w:pStyle w:val="114"/>
              <w:spacing w:line="240" w:lineRule="auto"/>
              <w:rPr>
                <w:b/>
                <w:kern w:val="0"/>
              </w:rPr>
            </w:pPr>
            <w:r>
              <w:rPr>
                <w:b/>
                <w:kern w:val="0"/>
              </w:rPr>
              <w:t>合计</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b/>
                <w:kern w:val="0"/>
              </w:rPr>
            </w:pPr>
            <w:r>
              <w:rPr>
                <w:rFonts w:hint="eastAsia"/>
                <w:b/>
                <w:kern w:val="0"/>
              </w:rPr>
              <w:t>124</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b/>
                <w:kern w:val="0"/>
              </w:rPr>
            </w:pPr>
            <w:r>
              <w:rPr>
                <w:rFonts w:hint="eastAsia"/>
                <w:b/>
                <w:kern w:val="0"/>
              </w:rPr>
              <w:t>99.2</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b/>
                <w:kern w:val="0"/>
              </w:rPr>
            </w:pPr>
            <w:r>
              <w:rPr>
                <w:rFonts w:hint="eastAsia"/>
                <w:b/>
                <w:kern w:val="0"/>
              </w:rPr>
              <w:t>115</w:t>
            </w:r>
          </w:p>
        </w:tc>
        <w:tc>
          <w:tcPr>
            <w:tcW w:w="0" w:type="auto"/>
            <w:tcBorders>
              <w:top w:val="nil"/>
              <w:left w:val="nil"/>
              <w:bottom w:val="single" w:color="auto" w:sz="8" w:space="0"/>
              <w:right w:val="single" w:color="auto" w:sz="8" w:space="0"/>
            </w:tcBorders>
            <w:shd w:val="clear" w:color="auto" w:fill="auto"/>
            <w:noWrap/>
            <w:vAlign w:val="center"/>
          </w:tcPr>
          <w:p>
            <w:pPr>
              <w:pStyle w:val="114"/>
              <w:spacing w:line="240" w:lineRule="auto"/>
              <w:rPr>
                <w:kern w:val="0"/>
              </w:rPr>
            </w:pPr>
          </w:p>
        </w:tc>
      </w:tr>
    </w:tbl>
    <w:p>
      <w:pPr>
        <w:pStyle w:val="5"/>
      </w:pPr>
      <w:bookmarkStart w:id="240" w:name="_Toc36126956"/>
      <w:bookmarkStart w:id="241" w:name="_Toc48640763"/>
      <w:r>
        <w:t>工艺设计</w:t>
      </w:r>
      <w:bookmarkEnd w:id="240"/>
      <w:bookmarkEnd w:id="241"/>
    </w:p>
    <w:p>
      <w:pPr>
        <w:ind w:firstLine="480"/>
        <w:rPr>
          <w:rFonts w:cs="Times New Roman"/>
          <w:color w:val="auto"/>
        </w:rPr>
      </w:pPr>
      <w:r>
        <w:rPr>
          <w:rFonts w:cs="Times New Roman"/>
          <w:color w:val="auto"/>
        </w:rPr>
        <w:t>1、工艺流程</w:t>
      </w:r>
    </w:p>
    <w:p>
      <w:pPr>
        <w:ind w:firstLine="480"/>
        <w:rPr>
          <w:rFonts w:cs="Times New Roman"/>
          <w:color w:val="auto"/>
        </w:rPr>
      </w:pPr>
      <w:r>
        <w:rPr>
          <w:rFonts w:cs="Times New Roman"/>
          <w:color w:val="auto"/>
        </w:rPr>
        <w:t>污水处理系统采用预处理+接触氧化+碎石滤床处理工艺，其工艺流程如下：</w:t>
      </w:r>
    </w:p>
    <w:p>
      <w:pPr>
        <w:ind w:firstLine="0" w:firstLineChars="0"/>
        <w:rPr>
          <w:rFonts w:cs="Times New Roman"/>
          <w:color w:val="auto"/>
          <w:kern w:val="0"/>
        </w:rPr>
      </w:pPr>
      <w:r>
        <w:rPr>
          <w:rFonts w:cs="Times New Roman"/>
          <w:color w:val="auto"/>
          <w:kern w:val="0"/>
        </w:rPr>
        <w:pict>
          <v:group id="_x0000_s1094" o:spid="_x0000_s1094" o:spt="203" style="height:103.85pt;width:437.95pt;" coordorigin="1559,6874" coordsize="8759,2077" editas="canvas">
            <o:lock v:ext="edit"/>
            <v:shape id="_x0000_s1093" o:spid="_x0000_s1093" o:spt="75" type="#_x0000_t75" style="position:absolute;left:1559;top:6874;height:2077;width:8759;" filled="f" o:preferrelative="f" stroked="f" coordsize="21600,21600">
              <v:path/>
              <v:fill on="f" focussize="0,0"/>
              <v:stroke on="f" joinstyle="miter"/>
              <v:imagedata o:title=""/>
              <o:lock v:ext="edit" text="t" aspectratio="t"/>
            </v:shape>
            <v:shape id="_x0000_s1119" o:spid="_x0000_s1119" o:spt="32" type="#_x0000_t32" style="position:absolute;left:5316;top:7614;height:2;width:336;" o:connectortype="straight" filled="f" coordsize="21600,21600">
              <v:path arrowok="t"/>
              <v:fill on="f" focussize="0,0"/>
              <v:stroke endarrow="block"/>
              <v:imagedata o:title=""/>
              <o:lock v:ext="edit"/>
            </v:shape>
            <v:shape id="_x0000_s1095" o:spid="_x0000_s1095" o:spt="202" type="#_x0000_t202" style="position:absolute;left:1688;top:7376;height:425;width:1152;" coordsize="21600,21600">
              <v:path/>
              <v:fill focussize="0,0"/>
              <v:stroke joinstyle="miter"/>
              <v:imagedata o:title=""/>
              <o:lock v:ext="edit"/>
              <v:textbox>
                <w:txbxContent>
                  <w:p>
                    <w:pPr>
                      <w:pStyle w:val="114"/>
                    </w:pPr>
                    <w:r>
                      <w:rPr>
                        <w:rFonts w:hint="eastAsia"/>
                      </w:rPr>
                      <w:t>污水管网</w:t>
                    </w:r>
                  </w:p>
                </w:txbxContent>
              </v:textbox>
            </v:shape>
            <v:shape id="_x0000_s1096" o:spid="_x0000_s1096" o:spt="32" type="#_x0000_t32" style="position:absolute;left:4036;top:7601;height:1;width:338;" o:connectortype="straight" filled="f" coordsize="21600,21600">
              <v:path arrowok="t"/>
              <v:fill on="f" focussize="0,0"/>
              <v:stroke endarrow="block"/>
              <v:imagedata o:title=""/>
              <o:lock v:ext="edit"/>
            </v:shape>
            <v:shape id="_x0000_s1097" o:spid="_x0000_s1097" o:spt="202" type="#_x0000_t202" style="position:absolute;left:4374;top:7376;height:426;width:958;" coordsize="21600,21600">
              <v:path/>
              <v:fill focussize="0,0"/>
              <v:stroke joinstyle="miter"/>
              <v:imagedata o:title=""/>
              <o:lock v:ext="edit"/>
              <v:textbox>
                <w:txbxContent>
                  <w:p>
                    <w:pPr>
                      <w:pStyle w:val="114"/>
                    </w:pPr>
                    <w:r>
                      <w:rPr>
                        <w:rFonts w:hint="eastAsia"/>
                      </w:rPr>
                      <w:t>调节池井</w:t>
                    </w:r>
                  </w:p>
                </w:txbxContent>
              </v:textbox>
            </v:shape>
            <v:shape id="_x0000_s1120" o:spid="_x0000_s1120" o:spt="202" type="#_x0000_t202" style="position:absolute;left:5652;top:7389;height:426;width:1393;" coordsize="21600,21600">
              <v:path/>
              <v:fill focussize="0,0"/>
              <v:stroke joinstyle="miter"/>
              <v:imagedata o:title=""/>
              <o:lock v:ext="edit"/>
              <v:textbox>
                <w:txbxContent>
                  <w:p>
                    <w:pPr>
                      <w:pStyle w:val="114"/>
                    </w:pPr>
                    <w:r>
                      <w:rPr>
                        <w:rFonts w:hint="eastAsia"/>
                      </w:rPr>
                      <w:t>接触氧化池</w:t>
                    </w:r>
                  </w:p>
                </w:txbxContent>
              </v:textbox>
            </v:shape>
            <v:shape id="_x0000_s1121" o:spid="_x0000_s1121" o:spt="32" type="#_x0000_t32" style="position:absolute;left:7058;top:7620;height:1;width:338;" o:connectortype="straight" filled="f" coordsize="21600,21600">
              <v:path arrowok="t"/>
              <v:fill on="f" focussize="0,0"/>
              <v:stroke endarrow="block"/>
              <v:imagedata o:title=""/>
              <o:lock v:ext="edit"/>
            </v:shape>
            <v:shape id="_x0000_s1122" o:spid="_x0000_s1122" o:spt="202" type="#_x0000_t202" style="position:absolute;left:7396;top:7395;height:426;width:977;" coordsize="21600,21600">
              <v:path/>
              <v:fill focussize="0,0"/>
              <v:stroke joinstyle="miter"/>
              <v:imagedata o:title=""/>
              <o:lock v:ext="edit"/>
              <v:textbox>
                <w:txbxContent>
                  <w:p>
                    <w:pPr>
                      <w:pStyle w:val="114"/>
                    </w:pPr>
                    <w:r>
                      <w:rPr>
                        <w:rFonts w:hint="eastAsia"/>
                      </w:rPr>
                      <w:t>沉淀池井</w:t>
                    </w:r>
                  </w:p>
                </w:txbxContent>
              </v:textbox>
            </v:shape>
            <v:shape id="_x0000_s1123" o:spid="_x0000_s1123" o:spt="32" type="#_x0000_t32" style="position:absolute;left:8373;top:7607;height:1;width:338;" o:connectortype="straight" filled="f" coordsize="21600,21600">
              <v:path arrowok="t"/>
              <v:fill on="f" focussize="0,0"/>
              <v:stroke endarrow="block"/>
              <v:imagedata o:title=""/>
              <o:lock v:ext="edit"/>
            </v:shape>
            <v:shape id="_x0000_s1124" o:spid="_x0000_s1124" o:spt="202" type="#_x0000_t202" style="position:absolute;left:8711;top:7382;height:426;width:1165;" coordsize="21600,21600">
              <v:path/>
              <v:fill focussize="0,0"/>
              <v:stroke joinstyle="miter"/>
              <v:imagedata o:title=""/>
              <o:lock v:ext="edit"/>
              <v:textbox>
                <w:txbxContent>
                  <w:p>
                    <w:pPr>
                      <w:pStyle w:val="114"/>
                    </w:pPr>
                    <w:r>
                      <w:rPr>
                        <w:rFonts w:hint="eastAsia"/>
                      </w:rPr>
                      <w:t>碎石滤床井</w:t>
                    </w:r>
                  </w:p>
                </w:txbxContent>
              </v:textbox>
            </v:shape>
            <v:shape id="_x0000_s1125" o:spid="_x0000_s1125" o:spt="32" type="#_x0000_t32" style="position:absolute;left:9239;top:7809;height:414;width:1;" o:connectortype="straight" filled="f" coordsize="21600,21600">
              <v:path arrowok="t"/>
              <v:fill on="f" focussize="0,0"/>
              <v:stroke endarrow="block"/>
              <v:imagedata o:title=""/>
              <o:lock v:ext="edit"/>
            </v:shape>
            <v:shape id="_x0000_s1126" o:spid="_x0000_s1126" o:spt="202" type="#_x0000_t202" style="position:absolute;left:8711;top:8184;height:426;width:1165;" stroked="f" coordsize="21600,21600">
              <v:path/>
              <v:fill focussize="0,0"/>
              <v:stroke on="f" joinstyle="miter"/>
              <v:imagedata o:title=""/>
              <o:lock v:ext="edit"/>
              <v:textbox>
                <w:txbxContent>
                  <w:p>
                    <w:pPr>
                      <w:pStyle w:val="114"/>
                    </w:pPr>
                    <w:r>
                      <w:rPr>
                        <w:rFonts w:hint="eastAsia"/>
                      </w:rPr>
                      <w:t>达标排放井</w:t>
                    </w:r>
                  </w:p>
                </w:txbxContent>
              </v:textbox>
            </v:shape>
            <v:shape id="_x0000_s1127" o:spid="_x0000_s1127" o:spt="32" type="#_x0000_t32" style="position:absolute;left:2840;top:7608;height:1;width:338;" o:connectortype="straight" filled="f" coordsize="21600,21600">
              <v:path arrowok="t"/>
              <v:fill on="f" focussize="0,0"/>
              <v:stroke endarrow="block"/>
              <v:imagedata o:title=""/>
              <o:lock v:ext="edit"/>
            </v:shape>
            <v:shape id="_x0000_s1128" o:spid="_x0000_s1128" o:spt="202" type="#_x0000_t202" style="position:absolute;left:3178;top:7383;height:426;width:864;" coordsize="21600,21600">
              <v:path/>
              <v:fill focussize="0,0"/>
              <v:stroke joinstyle="miter"/>
              <v:imagedata o:title=""/>
              <o:lock v:ext="edit"/>
              <v:textbox>
                <w:txbxContent>
                  <w:p>
                    <w:pPr>
                      <w:pStyle w:val="114"/>
                    </w:pPr>
                    <w:r>
                      <w:rPr>
                        <w:rFonts w:hint="eastAsia"/>
                      </w:rPr>
                      <w:t>格栅井</w:t>
                    </w:r>
                  </w:p>
                </w:txbxContent>
              </v:textbox>
            </v:shape>
            <w10:wrap type="none"/>
            <w10:anchorlock/>
          </v:group>
        </w:pict>
      </w:r>
    </w:p>
    <w:p>
      <w:pPr>
        <w:pStyle w:val="112"/>
        <w:rPr>
          <w:color w:val="auto"/>
          <w:kern w:val="0"/>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r>
        <w:rPr>
          <w:color w:val="auto"/>
        </w:rPr>
        <w:t xml:space="preserve"> 工艺流程图</w:t>
      </w:r>
    </w:p>
    <w:p>
      <w:pPr>
        <w:pStyle w:val="108"/>
        <w:rPr>
          <w:color w:val="auto"/>
          <w:kern w:val="0"/>
        </w:rPr>
      </w:pPr>
    </w:p>
    <w:p>
      <w:pPr>
        <w:ind w:firstLine="480"/>
        <w:rPr>
          <w:rFonts w:cs="Times New Roman"/>
          <w:color w:val="auto"/>
          <w:kern w:val="0"/>
        </w:rPr>
      </w:pPr>
      <w:r>
        <w:rPr>
          <w:rFonts w:cs="Times New Roman"/>
          <w:color w:val="auto"/>
          <w:kern w:val="0"/>
        </w:rPr>
        <w:t>2、工艺流程各单元的作用</w:t>
      </w:r>
    </w:p>
    <w:p>
      <w:pPr>
        <w:ind w:firstLine="480"/>
        <w:rPr>
          <w:rFonts w:cs="Times New Roman"/>
          <w:color w:val="auto"/>
          <w:kern w:val="0"/>
        </w:rPr>
      </w:pPr>
      <w:r>
        <w:rPr>
          <w:rFonts w:cs="Times New Roman"/>
          <w:color w:val="auto"/>
          <w:kern w:val="0"/>
        </w:rPr>
        <w:t>（1）格栅</w:t>
      </w:r>
    </w:p>
    <w:p>
      <w:pPr>
        <w:ind w:firstLine="480"/>
        <w:rPr>
          <w:rFonts w:cs="Times New Roman"/>
          <w:color w:val="auto"/>
          <w:kern w:val="0"/>
        </w:rPr>
      </w:pPr>
      <w:r>
        <w:rPr>
          <w:rFonts w:cs="Times New Roman"/>
          <w:color w:val="auto"/>
          <w:kern w:val="0"/>
        </w:rPr>
        <w:t>主要作用是去除污水中较大的悬浮或漂浮物，以减轻后续水处理工艺的处理负荷，并起到保护水泵、管道、仪表等作用。</w:t>
      </w:r>
    </w:p>
    <w:p>
      <w:pPr>
        <w:ind w:firstLine="480"/>
        <w:rPr>
          <w:rFonts w:cs="Times New Roman"/>
          <w:color w:val="auto"/>
          <w:kern w:val="0"/>
        </w:rPr>
      </w:pPr>
      <w:r>
        <w:rPr>
          <w:rFonts w:cs="Times New Roman"/>
          <w:color w:val="auto"/>
          <w:kern w:val="0"/>
        </w:rPr>
        <w:t>（2）调节池</w:t>
      </w:r>
    </w:p>
    <w:p>
      <w:pPr>
        <w:ind w:firstLine="480"/>
        <w:rPr>
          <w:rFonts w:cs="Times New Roman"/>
          <w:color w:val="auto"/>
          <w:kern w:val="0"/>
        </w:rPr>
      </w:pPr>
      <w:r>
        <w:rPr>
          <w:rFonts w:cs="Times New Roman"/>
          <w:color w:val="auto"/>
          <w:kern w:val="0"/>
        </w:rPr>
        <w:t>由于生化反应对水质、水量和冲击负荷较为敏感，同时集镇水量水质变化较大，所以设置调节池，对水质、水量进行调节可保证生化反应系统的稳定运行。</w:t>
      </w:r>
    </w:p>
    <w:p>
      <w:pPr>
        <w:ind w:firstLine="480"/>
        <w:rPr>
          <w:rFonts w:cs="Times New Roman"/>
          <w:color w:val="auto"/>
          <w:kern w:val="0"/>
        </w:rPr>
      </w:pPr>
      <w:r>
        <w:rPr>
          <w:rFonts w:cs="Times New Roman"/>
          <w:color w:val="auto"/>
          <w:kern w:val="0"/>
        </w:rPr>
        <w:t>（3）接触氧化池</w:t>
      </w:r>
    </w:p>
    <w:p>
      <w:pPr>
        <w:ind w:firstLine="480"/>
        <w:rPr>
          <w:rFonts w:cs="Times New Roman"/>
          <w:color w:val="auto"/>
          <w:kern w:val="0"/>
        </w:rPr>
      </w:pPr>
      <w:r>
        <w:rPr>
          <w:rFonts w:cs="Times New Roman"/>
          <w:color w:val="auto"/>
          <w:kern w:val="0"/>
        </w:rPr>
        <w:t>接触氧化池中添加惰性生物填料，填料表面附着着生物膜，通过污水与生物膜的接触，达到去除污部分染物的目的，使污水更适宜于后续垂直流人工湿地的处理，同时降低了后续工艺的处理负荷。</w:t>
      </w:r>
    </w:p>
    <w:p>
      <w:pPr>
        <w:ind w:firstLine="480"/>
        <w:rPr>
          <w:rFonts w:cs="Times New Roman"/>
          <w:color w:val="auto"/>
          <w:kern w:val="0"/>
        </w:rPr>
      </w:pPr>
      <w:r>
        <w:rPr>
          <w:rFonts w:cs="Times New Roman"/>
          <w:color w:val="auto"/>
          <w:kern w:val="0"/>
        </w:rPr>
        <w:t>（4）沉淀池</w:t>
      </w:r>
    </w:p>
    <w:p>
      <w:pPr>
        <w:ind w:firstLine="480"/>
        <w:rPr>
          <w:rFonts w:cs="Times New Roman"/>
          <w:color w:val="auto"/>
          <w:kern w:val="0"/>
        </w:rPr>
      </w:pPr>
      <w:r>
        <w:rPr>
          <w:rFonts w:cs="Times New Roman"/>
          <w:color w:val="auto"/>
          <w:kern w:val="0"/>
        </w:rPr>
        <w:t>去除接触氧化池中脱落的污泥及污水中的难容物质，降低SS，保证二级垂直流人工湿地的稳定运行，保证渗透率，防止堵塞。</w:t>
      </w:r>
    </w:p>
    <w:p>
      <w:pPr>
        <w:ind w:firstLine="480"/>
        <w:rPr>
          <w:rFonts w:cs="Times New Roman"/>
          <w:color w:val="auto"/>
          <w:kern w:val="0"/>
        </w:rPr>
      </w:pPr>
      <w:r>
        <w:rPr>
          <w:rFonts w:cs="Times New Roman"/>
          <w:color w:val="auto"/>
          <w:kern w:val="0"/>
        </w:rPr>
        <w:t>（5）碎石滤床系统</w:t>
      </w:r>
    </w:p>
    <w:p>
      <w:pPr>
        <w:ind w:firstLine="480"/>
        <w:rPr>
          <w:rFonts w:cs="Times New Roman"/>
          <w:color w:val="auto"/>
          <w:kern w:val="0"/>
        </w:rPr>
      </w:pPr>
      <w:r>
        <w:rPr>
          <w:rFonts w:cs="Times New Roman"/>
          <w:color w:val="auto"/>
          <w:kern w:val="0"/>
        </w:rPr>
        <w:t>污水处理的主要单元。碎石滤床地主要由三部分所构成：配水系统、填料层（包含覆盖层、填料层、过渡层、排水层）和集水系统。其中配水系统由干管、支管组成；填料层是由不同粒径、不同厚度的材料组成，孔隙率在0.35~0.40 之间，在运行过程中将在空隙间形成生物膜，结合人工湿地植物，是污水处理的主要单元；集水系统由集水干管和支管组成。其基本原理是：通过植物、基质和微生物的物理、化学、生物作用，对污染物的BOD、COD、SS 有较好的去除效果。其次，碎石滤床以其独特的布水方式，使得在垂直流系统中，DO 浓度比较高。</w:t>
      </w:r>
    </w:p>
    <w:p>
      <w:pPr>
        <w:ind w:firstLine="480"/>
        <w:rPr>
          <w:rFonts w:cs="Times New Roman"/>
          <w:color w:val="auto"/>
          <w:kern w:val="0"/>
        </w:rPr>
      </w:pPr>
      <w:r>
        <w:rPr>
          <w:rFonts w:cs="Times New Roman"/>
          <w:color w:val="auto"/>
          <w:kern w:val="0"/>
        </w:rPr>
        <w:t>因此系统的硝化能力比较强，对氮有较好的处理效果。同时也强化了生物除磷效果。</w:t>
      </w:r>
    </w:p>
    <w:p>
      <w:pPr>
        <w:pStyle w:val="5"/>
      </w:pPr>
      <w:bookmarkStart w:id="242" w:name="_Toc36126957"/>
      <w:bookmarkStart w:id="243" w:name="_Toc48640764"/>
      <w:r>
        <w:t>各工艺单元设计</w:t>
      </w:r>
      <w:bookmarkEnd w:id="242"/>
      <w:bookmarkEnd w:id="243"/>
    </w:p>
    <w:p>
      <w:pPr>
        <w:ind w:firstLine="480"/>
        <w:rPr>
          <w:rFonts w:cs="Times New Roman"/>
          <w:color w:val="auto"/>
          <w:kern w:val="0"/>
        </w:rPr>
      </w:pPr>
      <w:r>
        <w:rPr>
          <w:rFonts w:cs="Times New Roman"/>
          <w:color w:val="auto"/>
          <w:kern w:val="0"/>
        </w:rPr>
        <w:t>1、简易格栅</w:t>
      </w:r>
    </w:p>
    <w:p>
      <w:pPr>
        <w:ind w:firstLine="480"/>
        <w:rPr>
          <w:rFonts w:cs="Times New Roman"/>
          <w:color w:val="auto"/>
          <w:kern w:val="0"/>
        </w:rPr>
      </w:pPr>
      <w:r>
        <w:rPr>
          <w:rFonts w:cs="Times New Roman"/>
          <w:color w:val="auto"/>
          <w:kern w:val="0"/>
        </w:rPr>
        <w:t>1）构筑物</w:t>
      </w:r>
    </w:p>
    <w:p>
      <w:pPr>
        <w:ind w:firstLine="480"/>
        <w:rPr>
          <w:rFonts w:cs="Times New Roman"/>
          <w:color w:val="auto"/>
          <w:kern w:val="0"/>
        </w:rPr>
      </w:pPr>
      <w:r>
        <w:rPr>
          <w:rFonts w:cs="Times New Roman"/>
          <w:color w:val="auto"/>
          <w:kern w:val="0"/>
        </w:rPr>
        <w:t>功能：简易格栅设备，主要作用是去除污水中较大的悬浮或漂浮物，以减轻后续水处理工艺的处理负荷，并起到保护水泵、管道、仪表等作用。由于本项目规模小，所以格栅采用人工制作简易格栅。</w:t>
      </w:r>
    </w:p>
    <w:p>
      <w:pPr>
        <w:ind w:firstLine="480"/>
        <w:rPr>
          <w:rFonts w:cs="Times New Roman"/>
          <w:color w:val="auto"/>
          <w:kern w:val="0"/>
        </w:rPr>
      </w:pPr>
      <w:r>
        <w:rPr>
          <w:rFonts w:cs="Times New Roman"/>
          <w:color w:val="auto"/>
          <w:kern w:val="0"/>
        </w:rPr>
        <w:t>结构形式：地下式钢筋砼结构，与调节池合建；</w:t>
      </w:r>
    </w:p>
    <w:p>
      <w:pPr>
        <w:ind w:firstLine="480"/>
        <w:rPr>
          <w:rFonts w:cs="Times New Roman"/>
          <w:color w:val="auto"/>
          <w:kern w:val="0"/>
        </w:rPr>
      </w:pPr>
      <w:r>
        <w:rPr>
          <w:rFonts w:cs="Times New Roman"/>
          <w:color w:val="auto"/>
          <w:kern w:val="0"/>
        </w:rPr>
        <w:t>数量：按照远期规模设置一座格栅渠；</w:t>
      </w:r>
    </w:p>
    <w:p>
      <w:pPr>
        <w:ind w:firstLine="480"/>
        <w:rPr>
          <w:rFonts w:cs="Times New Roman"/>
          <w:color w:val="auto"/>
          <w:kern w:val="0"/>
        </w:rPr>
      </w:pPr>
      <w:r>
        <w:rPr>
          <w:rFonts w:cs="Times New Roman"/>
          <w:color w:val="auto"/>
          <w:kern w:val="0"/>
        </w:rPr>
        <w:t>净尺寸：L×B×H=</w:t>
      </w:r>
      <w:r>
        <w:rPr>
          <w:rFonts w:hint="eastAsia" w:cs="Times New Roman"/>
          <w:color w:val="auto"/>
          <w:kern w:val="0"/>
        </w:rPr>
        <w:t>2</w:t>
      </w:r>
      <w:r>
        <w:rPr>
          <w:rFonts w:cs="Times New Roman"/>
          <w:color w:val="auto"/>
          <w:kern w:val="0"/>
        </w:rPr>
        <w:t>.0m×0.5m×1.2m</w:t>
      </w:r>
    </w:p>
    <w:p>
      <w:pPr>
        <w:ind w:firstLine="480"/>
        <w:rPr>
          <w:rFonts w:cs="Times New Roman"/>
          <w:color w:val="auto"/>
          <w:kern w:val="0"/>
        </w:rPr>
      </w:pPr>
      <w:r>
        <w:rPr>
          <w:rFonts w:cs="Times New Roman"/>
          <w:color w:val="auto"/>
          <w:kern w:val="0"/>
        </w:rPr>
        <w:t>2）简易格栅的设计</w:t>
      </w:r>
    </w:p>
    <w:p>
      <w:pPr>
        <w:ind w:firstLine="480"/>
        <w:rPr>
          <w:rFonts w:cs="Times New Roman"/>
          <w:color w:val="auto"/>
          <w:kern w:val="0"/>
          <w:sz w:val="20"/>
          <w:szCs w:val="20"/>
        </w:rPr>
      </w:pPr>
      <w:r>
        <w:rPr>
          <w:rFonts w:cs="Times New Roman"/>
          <w:color w:val="auto"/>
          <w:kern w:val="0"/>
        </w:rPr>
        <w:t>为了方便栅渣清理，人工格栅设计安装角度为60°，栅渣清理实际根据实际情况确定。格栅形状如下：</w:t>
      </w:r>
    </w:p>
    <w:p>
      <w:pPr>
        <w:ind w:firstLine="480"/>
        <w:rPr>
          <w:rFonts w:cs="Times New Roman"/>
          <w:color w:val="auto"/>
          <w:kern w:val="0"/>
        </w:rPr>
      </w:pPr>
      <w:r>
        <w:rPr>
          <w:rFonts w:cs="Times New Roman"/>
          <w:color w:val="auto"/>
          <w:kern w:val="0"/>
        </w:rPr>
        <w:t>格栅采用Ⅰ级钢筋焊制，制作完成后用防水涂料进行防腐。格栅栅条间空隙宽度为20mm。</w:t>
      </w:r>
    </w:p>
    <w:p>
      <w:pPr>
        <w:ind w:firstLine="480"/>
        <w:rPr>
          <w:rFonts w:cs="Times New Roman"/>
          <w:color w:val="auto"/>
          <w:kern w:val="0"/>
        </w:rPr>
      </w:pPr>
      <w:r>
        <w:rPr>
          <w:rFonts w:cs="Times New Roman"/>
          <w:color w:val="auto"/>
          <w:kern w:val="0"/>
        </w:rPr>
        <w:t>由于本项目规模较小，格栅过水断面较大，另外项目厂址地势坡度较大，有足够的高差可以利用，所以对格栅的水头损失不予计算，采用经验数值0.1m。</w:t>
      </w:r>
    </w:p>
    <w:p>
      <w:pPr>
        <w:ind w:firstLine="480"/>
        <w:rPr>
          <w:rFonts w:cs="Times New Roman"/>
          <w:color w:val="auto"/>
          <w:kern w:val="0"/>
        </w:rPr>
      </w:pPr>
      <w:r>
        <w:rPr>
          <w:rFonts w:cs="Times New Roman"/>
          <w:color w:val="auto"/>
          <w:kern w:val="0"/>
        </w:rPr>
        <w:t>3）主要设备</w:t>
      </w:r>
    </w:p>
    <w:p>
      <w:pPr>
        <w:ind w:firstLine="480"/>
        <w:rPr>
          <w:rFonts w:cs="Times New Roman"/>
          <w:color w:val="auto"/>
          <w:kern w:val="0"/>
        </w:rPr>
      </w:pPr>
      <w:r>
        <w:rPr>
          <w:rFonts w:cs="Times New Roman"/>
          <w:color w:val="auto"/>
          <w:kern w:val="0"/>
        </w:rPr>
        <w:t>自制格栅一座，格栅尺寸：L×B =0.50m×1.20m材质：Ⅰ级钢筋</w:t>
      </w:r>
    </w:p>
    <w:p>
      <w:pPr>
        <w:ind w:firstLine="480"/>
        <w:rPr>
          <w:rFonts w:cs="Times New Roman"/>
          <w:color w:val="auto"/>
          <w:kern w:val="0"/>
        </w:rPr>
      </w:pPr>
      <w:r>
        <w:rPr>
          <w:rFonts w:cs="Times New Roman"/>
          <w:color w:val="auto"/>
          <w:kern w:val="0"/>
        </w:rPr>
        <w:t>2、调节池</w:t>
      </w:r>
    </w:p>
    <w:p>
      <w:pPr>
        <w:ind w:firstLine="480"/>
        <w:rPr>
          <w:rFonts w:cs="Times New Roman"/>
          <w:color w:val="auto"/>
          <w:kern w:val="0"/>
        </w:rPr>
      </w:pPr>
      <w:r>
        <w:rPr>
          <w:rFonts w:cs="Times New Roman"/>
          <w:color w:val="auto"/>
          <w:kern w:val="0"/>
        </w:rPr>
        <w:t>功能：对水量、水质进行调节，同时具有沉砂池初沉池的作用，保障后续系统的稳定运行。</w:t>
      </w:r>
    </w:p>
    <w:p>
      <w:pPr>
        <w:ind w:firstLine="480"/>
        <w:rPr>
          <w:rFonts w:cs="Times New Roman"/>
          <w:color w:val="auto"/>
          <w:kern w:val="0"/>
        </w:rPr>
      </w:pPr>
      <w:r>
        <w:rPr>
          <w:rFonts w:cs="Times New Roman"/>
          <w:color w:val="auto"/>
          <w:kern w:val="0"/>
        </w:rPr>
        <w:t>1）工艺参数</w:t>
      </w:r>
    </w:p>
    <w:p>
      <w:pPr>
        <w:ind w:firstLine="480"/>
        <w:rPr>
          <w:rFonts w:cs="Times New Roman"/>
          <w:color w:val="auto"/>
          <w:kern w:val="0"/>
        </w:rPr>
      </w:pPr>
      <w:r>
        <w:rPr>
          <w:rFonts w:cs="Times New Roman"/>
          <w:color w:val="auto"/>
          <w:kern w:val="0"/>
        </w:rPr>
        <w:t>停留时间：12h</w:t>
      </w:r>
    </w:p>
    <w:p>
      <w:pPr>
        <w:ind w:firstLine="480"/>
        <w:rPr>
          <w:rFonts w:cs="Times New Roman"/>
          <w:color w:val="auto"/>
          <w:kern w:val="0"/>
        </w:rPr>
      </w:pPr>
      <w:r>
        <w:rPr>
          <w:rFonts w:cs="Times New Roman"/>
          <w:color w:val="auto"/>
          <w:kern w:val="0"/>
        </w:rPr>
        <w:t>有效水深：2.5m</w:t>
      </w:r>
    </w:p>
    <w:p>
      <w:pPr>
        <w:ind w:firstLine="480"/>
        <w:rPr>
          <w:rFonts w:cs="Times New Roman"/>
          <w:color w:val="auto"/>
          <w:kern w:val="0"/>
        </w:rPr>
      </w:pPr>
      <w:r>
        <w:rPr>
          <w:rFonts w:cs="Times New Roman"/>
          <w:color w:val="auto"/>
          <w:kern w:val="0"/>
        </w:rPr>
        <w:t>超高0.5m。</w:t>
      </w:r>
    </w:p>
    <w:p>
      <w:pPr>
        <w:ind w:firstLine="480"/>
        <w:rPr>
          <w:rFonts w:cs="Times New Roman"/>
          <w:color w:val="auto"/>
          <w:kern w:val="0"/>
        </w:rPr>
      </w:pPr>
      <w:r>
        <w:rPr>
          <w:rFonts w:cs="Times New Roman"/>
          <w:color w:val="auto"/>
          <w:kern w:val="0"/>
        </w:rPr>
        <w:t>2）构筑物</w:t>
      </w:r>
    </w:p>
    <w:p>
      <w:pPr>
        <w:ind w:firstLine="480"/>
        <w:rPr>
          <w:rFonts w:cs="Times New Roman"/>
          <w:color w:val="auto"/>
          <w:kern w:val="0"/>
        </w:rPr>
      </w:pPr>
      <w:r>
        <w:rPr>
          <w:rFonts w:cs="Times New Roman"/>
          <w:color w:val="auto"/>
          <w:kern w:val="0"/>
        </w:rPr>
        <w:t>结构形式：地下式钢筋混凝土；</w:t>
      </w:r>
    </w:p>
    <w:p>
      <w:pPr>
        <w:ind w:firstLine="480"/>
        <w:rPr>
          <w:rFonts w:cs="Times New Roman"/>
          <w:color w:val="auto"/>
          <w:kern w:val="0"/>
        </w:rPr>
      </w:pPr>
      <w:r>
        <w:rPr>
          <w:rFonts w:cs="Times New Roman"/>
          <w:color w:val="auto"/>
          <w:kern w:val="0"/>
        </w:rPr>
        <w:t>3、生物接触氧化池</w:t>
      </w:r>
    </w:p>
    <w:p>
      <w:pPr>
        <w:ind w:firstLine="480"/>
        <w:rPr>
          <w:rFonts w:cs="Times New Roman"/>
          <w:color w:val="auto"/>
          <w:kern w:val="0"/>
        </w:rPr>
      </w:pPr>
      <w:r>
        <w:rPr>
          <w:rFonts w:cs="Times New Roman"/>
          <w:color w:val="auto"/>
          <w:kern w:val="0"/>
        </w:rPr>
        <w:t>功能：对生活污水进行处理，使其水质达到碎石滤床系统的进水水质，减轻人工湿地的处理符合，保证系统的稳定运行。</w:t>
      </w:r>
    </w:p>
    <w:p>
      <w:pPr>
        <w:ind w:firstLine="480"/>
        <w:rPr>
          <w:rFonts w:cs="Times New Roman"/>
          <w:color w:val="auto"/>
          <w:kern w:val="0"/>
        </w:rPr>
      </w:pPr>
      <w:r>
        <w:rPr>
          <w:rFonts w:cs="Times New Roman"/>
          <w:color w:val="auto"/>
          <w:kern w:val="0"/>
        </w:rPr>
        <w:t>1）工艺参数</w:t>
      </w:r>
    </w:p>
    <w:p>
      <w:pPr>
        <w:ind w:firstLine="480"/>
        <w:rPr>
          <w:rFonts w:cs="Times New Roman"/>
          <w:color w:val="auto"/>
          <w:kern w:val="0"/>
        </w:rPr>
      </w:pPr>
      <w:r>
        <w:rPr>
          <w:rFonts w:cs="Times New Roman"/>
          <w:color w:val="auto"/>
          <w:kern w:val="0"/>
        </w:rPr>
        <w:t>填料容积负荷：0.48kgBOD/（m³填料.d）</w:t>
      </w:r>
    </w:p>
    <w:p>
      <w:pPr>
        <w:ind w:firstLine="480"/>
        <w:rPr>
          <w:rFonts w:cs="Times New Roman"/>
          <w:color w:val="auto"/>
          <w:kern w:val="0"/>
        </w:rPr>
      </w:pPr>
      <w:r>
        <w:rPr>
          <w:rFonts w:cs="Times New Roman"/>
          <w:color w:val="auto"/>
          <w:kern w:val="0"/>
        </w:rPr>
        <w:t>停留时间：12h</w:t>
      </w:r>
    </w:p>
    <w:p>
      <w:pPr>
        <w:ind w:firstLine="480"/>
        <w:rPr>
          <w:rFonts w:cs="Times New Roman"/>
          <w:color w:val="auto"/>
          <w:kern w:val="0"/>
        </w:rPr>
      </w:pPr>
      <w:r>
        <w:rPr>
          <w:rFonts w:cs="Times New Roman"/>
          <w:color w:val="auto"/>
          <w:kern w:val="0"/>
        </w:rPr>
        <w:t>气水比：5:1</w:t>
      </w:r>
    </w:p>
    <w:p>
      <w:pPr>
        <w:ind w:firstLine="480"/>
        <w:rPr>
          <w:rFonts w:cs="Times New Roman"/>
          <w:color w:val="auto"/>
          <w:kern w:val="0"/>
        </w:rPr>
      </w:pPr>
      <w:r>
        <w:rPr>
          <w:rFonts w:cs="Times New Roman"/>
          <w:color w:val="auto"/>
          <w:kern w:val="0"/>
        </w:rPr>
        <w:t>有效水深：2.5m</w:t>
      </w:r>
    </w:p>
    <w:p>
      <w:pPr>
        <w:ind w:firstLine="480"/>
        <w:rPr>
          <w:rFonts w:cs="Times New Roman"/>
          <w:color w:val="auto"/>
          <w:kern w:val="0"/>
          <w:sz w:val="14"/>
          <w:szCs w:val="14"/>
        </w:rPr>
      </w:pPr>
      <w:r>
        <w:rPr>
          <w:rFonts w:cs="Times New Roman"/>
          <w:color w:val="auto"/>
          <w:kern w:val="0"/>
        </w:rPr>
        <w:t>污泥产率：0.2kgVSS/kgBOD</w:t>
      </w:r>
      <w:r>
        <w:rPr>
          <w:rFonts w:cs="Times New Roman"/>
          <w:color w:val="auto"/>
          <w:kern w:val="0"/>
          <w:sz w:val="14"/>
          <w:szCs w:val="14"/>
        </w:rPr>
        <w:t>5</w:t>
      </w:r>
    </w:p>
    <w:p>
      <w:pPr>
        <w:ind w:firstLine="480"/>
        <w:rPr>
          <w:rFonts w:cs="Times New Roman"/>
          <w:color w:val="auto"/>
          <w:kern w:val="0"/>
          <w:sz w:val="14"/>
          <w:szCs w:val="14"/>
        </w:rPr>
      </w:pPr>
      <w:r>
        <w:rPr>
          <w:rFonts w:cs="Times New Roman"/>
          <w:color w:val="auto"/>
          <w:kern w:val="0"/>
        </w:rPr>
        <w:t>出水回流比：100%。</w:t>
      </w:r>
    </w:p>
    <w:p>
      <w:pPr>
        <w:ind w:firstLine="480"/>
        <w:rPr>
          <w:rFonts w:cs="Times New Roman"/>
          <w:color w:val="auto"/>
          <w:kern w:val="0"/>
        </w:rPr>
      </w:pPr>
      <w:r>
        <w:rPr>
          <w:rFonts w:cs="Times New Roman"/>
          <w:color w:val="auto"/>
          <w:kern w:val="0"/>
        </w:rPr>
        <w:t>2）构筑物</w:t>
      </w:r>
    </w:p>
    <w:p>
      <w:pPr>
        <w:ind w:firstLine="480"/>
        <w:rPr>
          <w:rFonts w:cs="Times New Roman"/>
          <w:color w:val="auto"/>
          <w:kern w:val="0"/>
        </w:rPr>
      </w:pPr>
      <w:r>
        <w:rPr>
          <w:rFonts w:cs="Times New Roman"/>
          <w:color w:val="auto"/>
          <w:kern w:val="0"/>
        </w:rPr>
        <w:t>结构形式：采用钢筋砼结构，与沉淀池合建；超高0.5m。</w:t>
      </w:r>
    </w:p>
    <w:p>
      <w:pPr>
        <w:ind w:firstLine="480"/>
        <w:rPr>
          <w:rFonts w:cs="Times New Roman"/>
          <w:color w:val="auto"/>
          <w:kern w:val="0"/>
        </w:rPr>
      </w:pPr>
      <w:r>
        <w:rPr>
          <w:rFonts w:cs="Times New Roman"/>
          <w:color w:val="auto"/>
          <w:kern w:val="0"/>
        </w:rPr>
        <w:t>4、斜管沉淀池</w:t>
      </w:r>
    </w:p>
    <w:p>
      <w:pPr>
        <w:ind w:firstLine="480"/>
        <w:rPr>
          <w:rFonts w:cs="Times New Roman"/>
          <w:color w:val="auto"/>
          <w:kern w:val="0"/>
        </w:rPr>
      </w:pPr>
      <w:r>
        <w:rPr>
          <w:rFonts w:cs="Times New Roman"/>
          <w:color w:val="auto"/>
          <w:kern w:val="0"/>
        </w:rPr>
        <w:t>功能：去除生物接触氧化池中脱落的污泥和水中的SS，降低人工湿地系统的处理负荷。</w:t>
      </w:r>
    </w:p>
    <w:p>
      <w:pPr>
        <w:ind w:firstLine="480"/>
        <w:rPr>
          <w:rFonts w:cs="Times New Roman"/>
          <w:color w:val="auto"/>
          <w:kern w:val="0"/>
        </w:rPr>
      </w:pPr>
      <w:r>
        <w:rPr>
          <w:rFonts w:cs="Times New Roman"/>
          <w:color w:val="auto"/>
          <w:kern w:val="0"/>
        </w:rPr>
        <w:t>1）工艺参数</w:t>
      </w:r>
    </w:p>
    <w:p>
      <w:pPr>
        <w:ind w:firstLine="480"/>
        <w:rPr>
          <w:rFonts w:cs="Times New Roman"/>
          <w:color w:val="auto"/>
          <w:kern w:val="0"/>
        </w:rPr>
      </w:pPr>
      <w:r>
        <w:rPr>
          <w:rFonts w:cs="Times New Roman"/>
          <w:color w:val="auto"/>
          <w:kern w:val="0"/>
        </w:rPr>
        <w:t>表面水力负荷：1.0m³/（m</w:t>
      </w:r>
      <w:r>
        <w:rPr>
          <w:rFonts w:cs="Times New Roman"/>
          <w:color w:val="auto"/>
          <w:kern w:val="0"/>
          <w:szCs w:val="24"/>
          <w:vertAlign w:val="superscript"/>
        </w:rPr>
        <w:t>2</w:t>
      </w:r>
      <w:r>
        <w:rPr>
          <w:rFonts w:cs="Times New Roman"/>
          <w:color w:val="auto"/>
          <w:kern w:val="0"/>
          <w:sz w:val="14"/>
          <w:szCs w:val="14"/>
        </w:rPr>
        <w:t xml:space="preserve"> </w:t>
      </w:r>
      <w:r>
        <w:rPr>
          <w:rFonts w:cs="Times New Roman"/>
          <w:color w:val="auto"/>
          <w:kern w:val="0"/>
        </w:rPr>
        <w:t>.h）</w:t>
      </w:r>
    </w:p>
    <w:p>
      <w:pPr>
        <w:ind w:firstLine="480"/>
        <w:rPr>
          <w:rFonts w:cs="Times New Roman"/>
          <w:color w:val="auto"/>
          <w:kern w:val="0"/>
        </w:rPr>
      </w:pPr>
      <w:r>
        <w:rPr>
          <w:rFonts w:cs="Times New Roman"/>
          <w:color w:val="auto"/>
          <w:kern w:val="0"/>
        </w:rPr>
        <w:t>固体符合：7.2kg/（m</w:t>
      </w:r>
      <w:r>
        <w:rPr>
          <w:rFonts w:cs="Times New Roman"/>
          <w:color w:val="auto"/>
          <w:kern w:val="0"/>
          <w:szCs w:val="24"/>
          <w:vertAlign w:val="superscript"/>
        </w:rPr>
        <w:t>2</w:t>
      </w:r>
      <w:r>
        <w:rPr>
          <w:rFonts w:cs="Times New Roman"/>
          <w:color w:val="auto"/>
          <w:kern w:val="0"/>
          <w:sz w:val="14"/>
          <w:szCs w:val="14"/>
        </w:rPr>
        <w:t xml:space="preserve"> </w:t>
      </w:r>
      <w:r>
        <w:rPr>
          <w:rFonts w:cs="Times New Roman"/>
          <w:color w:val="auto"/>
          <w:kern w:val="0"/>
        </w:rPr>
        <w:t>.d）</w:t>
      </w:r>
    </w:p>
    <w:p>
      <w:pPr>
        <w:ind w:firstLine="480"/>
        <w:rPr>
          <w:rFonts w:cs="Times New Roman"/>
          <w:color w:val="auto"/>
          <w:kern w:val="0"/>
        </w:rPr>
      </w:pPr>
      <w:r>
        <w:rPr>
          <w:rFonts w:cs="Times New Roman"/>
          <w:color w:val="auto"/>
          <w:kern w:val="0"/>
        </w:rPr>
        <w:t>有效水深：</w:t>
      </w:r>
      <w:r>
        <w:rPr>
          <w:rFonts w:hint="eastAsia" w:cs="Times New Roman"/>
          <w:color w:val="auto"/>
          <w:kern w:val="0"/>
        </w:rPr>
        <w:t>2.5</w:t>
      </w:r>
      <w:r>
        <w:rPr>
          <w:rFonts w:cs="Times New Roman"/>
          <w:color w:val="auto"/>
          <w:kern w:val="0"/>
        </w:rPr>
        <w:t>m</w:t>
      </w:r>
    </w:p>
    <w:p>
      <w:pPr>
        <w:ind w:firstLine="480"/>
        <w:rPr>
          <w:rFonts w:cs="Times New Roman"/>
          <w:color w:val="auto"/>
          <w:kern w:val="0"/>
        </w:rPr>
      </w:pPr>
      <w:r>
        <w:rPr>
          <w:rFonts w:cs="Times New Roman"/>
          <w:color w:val="auto"/>
          <w:kern w:val="0"/>
        </w:rPr>
        <w:t>斜管安装角度：60°</w:t>
      </w:r>
    </w:p>
    <w:p>
      <w:pPr>
        <w:ind w:firstLine="480"/>
        <w:rPr>
          <w:rFonts w:cs="Times New Roman"/>
          <w:color w:val="auto"/>
          <w:kern w:val="0"/>
        </w:rPr>
      </w:pPr>
      <w:r>
        <w:rPr>
          <w:rFonts w:cs="Times New Roman"/>
          <w:color w:val="auto"/>
          <w:kern w:val="0"/>
        </w:rPr>
        <w:t>斜管孔径</w:t>
      </w:r>
      <w:r>
        <w:rPr>
          <w:rFonts w:hint="eastAsia" w:cs="Times New Roman"/>
          <w:color w:val="auto"/>
          <w:kern w:val="0"/>
        </w:rPr>
        <w:t>8</w:t>
      </w:r>
      <w:r>
        <w:rPr>
          <w:rFonts w:cs="Times New Roman"/>
          <w:color w:val="auto"/>
          <w:kern w:val="0"/>
        </w:rPr>
        <w:t>0mm</w:t>
      </w:r>
    </w:p>
    <w:p>
      <w:pPr>
        <w:ind w:firstLine="480"/>
        <w:rPr>
          <w:rFonts w:cs="Times New Roman"/>
          <w:color w:val="auto"/>
          <w:kern w:val="0"/>
        </w:rPr>
      </w:pPr>
      <w:r>
        <w:rPr>
          <w:rFonts w:cs="Times New Roman"/>
          <w:color w:val="auto"/>
          <w:kern w:val="0"/>
        </w:rPr>
        <w:t>2）构筑物</w:t>
      </w:r>
    </w:p>
    <w:p>
      <w:pPr>
        <w:ind w:firstLine="480"/>
        <w:rPr>
          <w:rFonts w:cs="Times New Roman"/>
          <w:color w:val="auto"/>
          <w:kern w:val="0"/>
        </w:rPr>
      </w:pPr>
      <w:r>
        <w:rPr>
          <w:rFonts w:cs="Times New Roman"/>
          <w:color w:val="auto"/>
          <w:kern w:val="0"/>
        </w:rPr>
        <w:t>结构形式：采用钢筋砼结构，与生物接触氧化池合建；超高0.5m。</w:t>
      </w:r>
    </w:p>
    <w:p>
      <w:pPr>
        <w:pStyle w:val="112"/>
        <w:rPr>
          <w:color w:val="auto"/>
          <w:kern w:val="0"/>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构筑物工艺尺寸</w:t>
      </w:r>
    </w:p>
    <w:tbl>
      <w:tblPr>
        <w:tblStyle w:val="88"/>
        <w:tblW w:w="7949" w:type="dxa"/>
        <w:jc w:val="center"/>
        <w:tblLayout w:type="autofit"/>
        <w:tblCellMar>
          <w:top w:w="0" w:type="dxa"/>
          <w:left w:w="108" w:type="dxa"/>
          <w:bottom w:w="0" w:type="dxa"/>
          <w:right w:w="108" w:type="dxa"/>
        </w:tblCellMar>
      </w:tblPr>
      <w:tblGrid>
        <w:gridCol w:w="929"/>
        <w:gridCol w:w="1069"/>
        <w:gridCol w:w="1080"/>
        <w:gridCol w:w="1610"/>
        <w:gridCol w:w="1686"/>
        <w:gridCol w:w="1575"/>
      </w:tblGrid>
      <w:tr>
        <w:tblPrEx>
          <w:tblCellMar>
            <w:top w:w="0" w:type="dxa"/>
            <w:left w:w="108" w:type="dxa"/>
            <w:bottom w:w="0" w:type="dxa"/>
            <w:right w:w="108" w:type="dxa"/>
          </w:tblCellMar>
        </w:tblPrEx>
        <w:trPr>
          <w:trHeight w:val="270" w:hRule="atLeast"/>
          <w:tblHeader/>
          <w:jc w:val="center"/>
        </w:trPr>
        <w:tc>
          <w:tcPr>
            <w:tcW w:w="9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szCs w:val="20"/>
              </w:rPr>
            </w:pPr>
            <w:r>
              <w:rPr>
                <w:b/>
              </w:rPr>
              <w:t>序号</w:t>
            </w:r>
          </w:p>
        </w:tc>
        <w:tc>
          <w:tcPr>
            <w:tcW w:w="10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szCs w:val="20"/>
              </w:rPr>
            </w:pPr>
            <w:r>
              <w:rPr>
                <w:b/>
              </w:rPr>
              <w:t>自然村</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szCs w:val="20"/>
              </w:rPr>
            </w:pPr>
            <w:r>
              <w:rPr>
                <w:b/>
              </w:rPr>
              <w:t>污水流量（m</w:t>
            </w:r>
            <w:r>
              <w:rPr>
                <w:b/>
                <w:vertAlign w:val="superscript"/>
              </w:rPr>
              <w:t>3</w:t>
            </w:r>
            <w:r>
              <w:rPr>
                <w:b/>
              </w:rPr>
              <w:t>/d）</w:t>
            </w:r>
          </w:p>
        </w:tc>
        <w:tc>
          <w:tcPr>
            <w:tcW w:w="1610" w:type="dxa"/>
            <w:tcBorders>
              <w:top w:val="single" w:color="auto" w:sz="4" w:space="0"/>
              <w:left w:val="nil"/>
              <w:bottom w:val="single" w:color="auto" w:sz="4" w:space="0"/>
              <w:right w:val="single" w:color="auto" w:sz="4" w:space="0"/>
            </w:tcBorders>
            <w:shd w:val="clear" w:color="auto" w:fill="auto"/>
            <w:vAlign w:val="center"/>
          </w:tcPr>
          <w:p>
            <w:pPr>
              <w:pStyle w:val="114"/>
              <w:rPr>
                <w:b/>
              </w:rPr>
            </w:pPr>
            <w:r>
              <w:rPr>
                <w:b/>
              </w:rPr>
              <w:t>调节池</w:t>
            </w:r>
          </w:p>
        </w:tc>
        <w:tc>
          <w:tcPr>
            <w:tcW w:w="1686" w:type="dxa"/>
            <w:tcBorders>
              <w:top w:val="single" w:color="auto" w:sz="4" w:space="0"/>
              <w:left w:val="nil"/>
              <w:bottom w:val="single" w:color="auto" w:sz="4" w:space="0"/>
              <w:right w:val="single" w:color="auto" w:sz="4" w:space="0"/>
            </w:tcBorders>
            <w:shd w:val="clear" w:color="auto" w:fill="auto"/>
            <w:vAlign w:val="center"/>
          </w:tcPr>
          <w:p>
            <w:pPr>
              <w:pStyle w:val="114"/>
              <w:rPr>
                <w:b/>
              </w:rPr>
            </w:pPr>
            <w:r>
              <w:rPr>
                <w:b/>
              </w:rPr>
              <w:t>接触氧化池</w:t>
            </w:r>
          </w:p>
        </w:tc>
        <w:tc>
          <w:tcPr>
            <w:tcW w:w="1575" w:type="dxa"/>
            <w:tcBorders>
              <w:top w:val="single" w:color="auto" w:sz="4" w:space="0"/>
              <w:left w:val="nil"/>
              <w:bottom w:val="single" w:color="auto" w:sz="4" w:space="0"/>
              <w:right w:val="single" w:color="auto" w:sz="4" w:space="0"/>
            </w:tcBorders>
            <w:shd w:val="clear" w:color="auto" w:fill="auto"/>
            <w:noWrap/>
            <w:vAlign w:val="center"/>
          </w:tcPr>
          <w:p>
            <w:pPr>
              <w:pStyle w:val="114"/>
              <w:rPr>
                <w:b/>
                <w:szCs w:val="20"/>
              </w:rPr>
            </w:pPr>
            <w:r>
              <w:rPr>
                <w:b/>
                <w:szCs w:val="22"/>
              </w:rPr>
              <w:t>斜管沉淀池　</w:t>
            </w:r>
          </w:p>
        </w:tc>
      </w:tr>
      <w:tr>
        <w:tblPrEx>
          <w:tblCellMar>
            <w:top w:w="0" w:type="dxa"/>
            <w:left w:w="108" w:type="dxa"/>
            <w:bottom w:w="0" w:type="dxa"/>
            <w:right w:w="108" w:type="dxa"/>
          </w:tblCellMar>
        </w:tblPrEx>
        <w:trPr>
          <w:trHeight w:val="510" w:hRule="atLeast"/>
          <w:tblHeader/>
          <w:jc w:val="center"/>
        </w:trPr>
        <w:tc>
          <w:tcPr>
            <w:tcW w:w="929" w:type="dxa"/>
            <w:vMerge w:val="continue"/>
            <w:tcBorders>
              <w:top w:val="single" w:color="auto" w:sz="4" w:space="0"/>
              <w:left w:val="single" w:color="auto" w:sz="4" w:space="0"/>
              <w:bottom w:val="single" w:color="auto" w:sz="4" w:space="0"/>
              <w:right w:val="single" w:color="auto" w:sz="4" w:space="0"/>
            </w:tcBorders>
            <w:vAlign w:val="center"/>
          </w:tcPr>
          <w:p>
            <w:pPr>
              <w:pStyle w:val="114"/>
              <w:rPr>
                <w:b/>
                <w:szCs w:val="20"/>
              </w:rPr>
            </w:pPr>
          </w:p>
        </w:tc>
        <w:tc>
          <w:tcPr>
            <w:tcW w:w="1069" w:type="dxa"/>
            <w:vMerge w:val="continue"/>
            <w:tcBorders>
              <w:top w:val="single" w:color="auto" w:sz="4" w:space="0"/>
              <w:left w:val="single" w:color="auto" w:sz="4" w:space="0"/>
              <w:bottom w:val="single" w:color="auto" w:sz="4" w:space="0"/>
              <w:right w:val="single" w:color="auto" w:sz="4" w:space="0"/>
            </w:tcBorders>
            <w:vAlign w:val="center"/>
          </w:tcPr>
          <w:p>
            <w:pPr>
              <w:pStyle w:val="114"/>
              <w:rPr>
                <w:b/>
                <w:szCs w:val="2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pStyle w:val="114"/>
              <w:rPr>
                <w:b/>
                <w:szCs w:val="20"/>
              </w:rPr>
            </w:pPr>
          </w:p>
        </w:tc>
        <w:tc>
          <w:tcPr>
            <w:tcW w:w="1610" w:type="dxa"/>
            <w:tcBorders>
              <w:top w:val="nil"/>
              <w:left w:val="nil"/>
              <w:bottom w:val="single" w:color="auto" w:sz="4" w:space="0"/>
              <w:right w:val="single" w:color="auto" w:sz="4" w:space="0"/>
            </w:tcBorders>
            <w:shd w:val="clear" w:color="auto" w:fill="auto"/>
            <w:noWrap/>
            <w:vAlign w:val="center"/>
          </w:tcPr>
          <w:p>
            <w:pPr>
              <w:pStyle w:val="114"/>
              <w:rPr>
                <w:b/>
                <w:szCs w:val="22"/>
              </w:rPr>
            </w:pPr>
            <w:r>
              <w:rPr>
                <w:b/>
                <w:szCs w:val="22"/>
              </w:rPr>
              <w:t>净空尺寸（m）</w:t>
            </w:r>
          </w:p>
          <w:p>
            <w:pPr>
              <w:pStyle w:val="114"/>
              <w:rPr>
                <w:b/>
                <w:szCs w:val="22"/>
              </w:rPr>
            </w:pPr>
            <w:r>
              <w:rPr>
                <w:b/>
              </w:rPr>
              <w:t>L×B×H</w:t>
            </w:r>
          </w:p>
        </w:tc>
        <w:tc>
          <w:tcPr>
            <w:tcW w:w="1686" w:type="dxa"/>
            <w:tcBorders>
              <w:top w:val="nil"/>
              <w:left w:val="nil"/>
              <w:bottom w:val="single" w:color="auto" w:sz="4" w:space="0"/>
              <w:right w:val="single" w:color="auto" w:sz="4" w:space="0"/>
            </w:tcBorders>
            <w:shd w:val="clear" w:color="auto" w:fill="auto"/>
            <w:vAlign w:val="center"/>
          </w:tcPr>
          <w:p>
            <w:pPr>
              <w:pStyle w:val="114"/>
              <w:rPr>
                <w:b/>
                <w:szCs w:val="22"/>
              </w:rPr>
            </w:pPr>
            <w:r>
              <w:rPr>
                <w:b/>
                <w:szCs w:val="22"/>
              </w:rPr>
              <w:t>净空尺寸（m）</w:t>
            </w:r>
          </w:p>
          <w:p>
            <w:pPr>
              <w:pStyle w:val="114"/>
              <w:rPr>
                <w:b/>
              </w:rPr>
            </w:pPr>
            <w:r>
              <w:rPr>
                <w:b/>
              </w:rPr>
              <w:t>L×B×H</w:t>
            </w:r>
          </w:p>
        </w:tc>
        <w:tc>
          <w:tcPr>
            <w:tcW w:w="1575" w:type="dxa"/>
            <w:tcBorders>
              <w:top w:val="nil"/>
              <w:left w:val="nil"/>
              <w:bottom w:val="single" w:color="auto" w:sz="4" w:space="0"/>
              <w:right w:val="single" w:color="auto" w:sz="4" w:space="0"/>
            </w:tcBorders>
            <w:shd w:val="clear" w:color="auto" w:fill="auto"/>
            <w:noWrap/>
            <w:vAlign w:val="center"/>
          </w:tcPr>
          <w:p>
            <w:pPr>
              <w:pStyle w:val="114"/>
              <w:rPr>
                <w:b/>
                <w:szCs w:val="22"/>
              </w:rPr>
            </w:pPr>
            <w:r>
              <w:rPr>
                <w:b/>
                <w:szCs w:val="22"/>
              </w:rPr>
              <w:t>净空尺寸（m）</w:t>
            </w:r>
          </w:p>
          <w:p>
            <w:pPr>
              <w:pStyle w:val="114"/>
              <w:rPr>
                <w:b/>
                <w:szCs w:val="20"/>
              </w:rPr>
            </w:pPr>
            <w:r>
              <w:rPr>
                <w:b/>
              </w:rPr>
              <w:t>L×B×H</w:t>
            </w:r>
          </w:p>
        </w:tc>
      </w:tr>
      <w:tr>
        <w:tblPrEx>
          <w:tblCellMar>
            <w:top w:w="0" w:type="dxa"/>
            <w:left w:w="108" w:type="dxa"/>
            <w:bottom w:w="0" w:type="dxa"/>
            <w:right w:w="108" w:type="dxa"/>
          </w:tblCellMar>
        </w:tblPrEx>
        <w:trPr>
          <w:trHeight w:val="300" w:hRule="atLeast"/>
          <w:jc w:val="center"/>
        </w:trPr>
        <w:tc>
          <w:tcPr>
            <w:tcW w:w="929" w:type="dxa"/>
            <w:tcBorders>
              <w:top w:val="nil"/>
              <w:left w:val="single" w:color="auto" w:sz="4" w:space="0"/>
              <w:bottom w:val="single" w:color="auto" w:sz="4" w:space="0"/>
              <w:right w:val="single" w:color="auto" w:sz="4" w:space="0"/>
            </w:tcBorders>
            <w:shd w:val="clear" w:color="auto" w:fill="auto"/>
            <w:vAlign w:val="center"/>
          </w:tcPr>
          <w:p>
            <w:pPr>
              <w:pStyle w:val="114"/>
              <w:rPr>
                <w:szCs w:val="20"/>
              </w:rPr>
            </w:pPr>
            <w:r>
              <w:rPr>
                <w:rFonts w:hint="eastAsia"/>
              </w:rPr>
              <w:t>1</w:t>
            </w:r>
          </w:p>
        </w:tc>
        <w:tc>
          <w:tcPr>
            <w:tcW w:w="1069" w:type="dxa"/>
            <w:tcBorders>
              <w:top w:val="nil"/>
              <w:left w:val="nil"/>
              <w:bottom w:val="single" w:color="auto" w:sz="4" w:space="0"/>
              <w:right w:val="single" w:color="auto" w:sz="4" w:space="0"/>
            </w:tcBorders>
            <w:shd w:val="clear" w:color="auto" w:fill="auto"/>
            <w:vAlign w:val="center"/>
          </w:tcPr>
          <w:p>
            <w:pPr>
              <w:pStyle w:val="114"/>
              <w:rPr>
                <w:szCs w:val="20"/>
              </w:rPr>
            </w:pPr>
            <w:r>
              <w:rPr>
                <w:rFonts w:hint="eastAsia"/>
              </w:rPr>
              <w:t>户拉村</w:t>
            </w:r>
          </w:p>
        </w:tc>
        <w:tc>
          <w:tcPr>
            <w:tcW w:w="1080" w:type="dxa"/>
            <w:tcBorders>
              <w:top w:val="nil"/>
              <w:left w:val="nil"/>
              <w:bottom w:val="single" w:color="auto" w:sz="4" w:space="0"/>
              <w:right w:val="single" w:color="auto" w:sz="4" w:space="0"/>
            </w:tcBorders>
            <w:shd w:val="clear" w:color="auto" w:fill="auto"/>
            <w:noWrap/>
            <w:vAlign w:val="center"/>
          </w:tcPr>
          <w:p>
            <w:pPr>
              <w:pStyle w:val="114"/>
              <w:rPr>
                <w:szCs w:val="20"/>
              </w:rPr>
            </w:pPr>
            <w:r>
              <w:t>75</w:t>
            </w:r>
          </w:p>
        </w:tc>
        <w:tc>
          <w:tcPr>
            <w:tcW w:w="1610" w:type="dxa"/>
            <w:tcBorders>
              <w:top w:val="nil"/>
              <w:left w:val="nil"/>
              <w:bottom w:val="single" w:color="auto" w:sz="4" w:space="0"/>
              <w:right w:val="single" w:color="auto" w:sz="4" w:space="0"/>
            </w:tcBorders>
            <w:shd w:val="clear" w:color="auto" w:fill="auto"/>
            <w:noWrap/>
            <w:vAlign w:val="center"/>
          </w:tcPr>
          <w:p>
            <w:pPr>
              <w:pStyle w:val="114"/>
              <w:rPr>
                <w:szCs w:val="22"/>
              </w:rPr>
            </w:pPr>
            <w:r>
              <w:rPr>
                <w:szCs w:val="22"/>
              </w:rPr>
              <w:t>3.0×4.0×3.0</w:t>
            </w:r>
          </w:p>
        </w:tc>
        <w:tc>
          <w:tcPr>
            <w:tcW w:w="1686" w:type="dxa"/>
            <w:tcBorders>
              <w:top w:val="nil"/>
              <w:left w:val="nil"/>
              <w:bottom w:val="single" w:color="auto" w:sz="4" w:space="0"/>
              <w:right w:val="single" w:color="auto" w:sz="4" w:space="0"/>
            </w:tcBorders>
            <w:shd w:val="clear" w:color="auto" w:fill="auto"/>
            <w:vAlign w:val="center"/>
          </w:tcPr>
          <w:p>
            <w:pPr>
              <w:pStyle w:val="114"/>
            </w:pPr>
            <w:r>
              <w:rPr>
                <w:szCs w:val="22"/>
              </w:rPr>
              <w:t>3.0×4.0×3.0</w:t>
            </w:r>
          </w:p>
        </w:tc>
        <w:tc>
          <w:tcPr>
            <w:tcW w:w="1575" w:type="dxa"/>
            <w:tcBorders>
              <w:top w:val="nil"/>
              <w:left w:val="nil"/>
              <w:bottom w:val="single" w:color="auto" w:sz="4" w:space="0"/>
              <w:right w:val="single" w:color="auto" w:sz="4" w:space="0"/>
            </w:tcBorders>
            <w:shd w:val="clear" w:color="auto" w:fill="auto"/>
            <w:noWrap/>
            <w:vAlign w:val="center"/>
          </w:tcPr>
          <w:p>
            <w:pPr>
              <w:pStyle w:val="114"/>
              <w:rPr>
                <w:szCs w:val="20"/>
              </w:rPr>
            </w:pPr>
            <w:r>
              <w:rPr>
                <w:szCs w:val="22"/>
              </w:rPr>
              <w:t>3.0×1.0×3.0</w:t>
            </w:r>
          </w:p>
        </w:tc>
      </w:tr>
      <w:tr>
        <w:tblPrEx>
          <w:tblCellMar>
            <w:top w:w="0" w:type="dxa"/>
            <w:left w:w="108" w:type="dxa"/>
            <w:bottom w:w="0" w:type="dxa"/>
            <w:right w:w="108" w:type="dxa"/>
          </w:tblCellMar>
        </w:tblPrEx>
        <w:trPr>
          <w:trHeight w:val="300" w:hRule="atLeast"/>
          <w:jc w:val="center"/>
        </w:trPr>
        <w:tc>
          <w:tcPr>
            <w:tcW w:w="929" w:type="dxa"/>
            <w:tcBorders>
              <w:top w:val="nil"/>
              <w:left w:val="single" w:color="auto" w:sz="4" w:space="0"/>
              <w:bottom w:val="single" w:color="auto" w:sz="4" w:space="0"/>
              <w:right w:val="single" w:color="auto" w:sz="4" w:space="0"/>
            </w:tcBorders>
            <w:shd w:val="clear" w:color="auto" w:fill="auto"/>
            <w:vAlign w:val="center"/>
          </w:tcPr>
          <w:p>
            <w:pPr>
              <w:pStyle w:val="114"/>
              <w:rPr>
                <w:szCs w:val="20"/>
              </w:rPr>
            </w:pPr>
            <w:r>
              <w:rPr>
                <w:rFonts w:hint="eastAsia"/>
              </w:rPr>
              <w:t>2</w:t>
            </w:r>
          </w:p>
        </w:tc>
        <w:tc>
          <w:tcPr>
            <w:tcW w:w="1069" w:type="dxa"/>
            <w:tcBorders>
              <w:top w:val="nil"/>
              <w:left w:val="nil"/>
              <w:bottom w:val="single" w:color="auto" w:sz="4" w:space="0"/>
              <w:right w:val="single" w:color="auto" w:sz="4" w:space="0"/>
            </w:tcBorders>
            <w:shd w:val="clear" w:color="auto" w:fill="auto"/>
            <w:vAlign w:val="center"/>
          </w:tcPr>
          <w:p>
            <w:pPr>
              <w:pStyle w:val="114"/>
              <w:rPr>
                <w:szCs w:val="20"/>
              </w:rPr>
            </w:pPr>
            <w:r>
              <w:rPr>
                <w:rFonts w:hint="eastAsia"/>
              </w:rPr>
              <w:t>芒瓦村</w:t>
            </w:r>
          </w:p>
        </w:tc>
        <w:tc>
          <w:tcPr>
            <w:tcW w:w="1080" w:type="dxa"/>
            <w:tcBorders>
              <w:top w:val="nil"/>
              <w:left w:val="nil"/>
              <w:bottom w:val="single" w:color="auto" w:sz="4" w:space="0"/>
              <w:right w:val="single" w:color="auto" w:sz="4" w:space="0"/>
            </w:tcBorders>
            <w:shd w:val="clear" w:color="auto" w:fill="auto"/>
            <w:noWrap/>
            <w:vAlign w:val="center"/>
          </w:tcPr>
          <w:p>
            <w:pPr>
              <w:pStyle w:val="114"/>
              <w:rPr>
                <w:szCs w:val="20"/>
              </w:rPr>
            </w:pPr>
            <w:r>
              <w:rPr>
                <w:rFonts w:hint="eastAsia"/>
              </w:rPr>
              <w:t>40</w:t>
            </w:r>
          </w:p>
        </w:tc>
        <w:tc>
          <w:tcPr>
            <w:tcW w:w="1610" w:type="dxa"/>
            <w:tcBorders>
              <w:top w:val="nil"/>
              <w:left w:val="nil"/>
              <w:bottom w:val="single" w:color="auto" w:sz="4" w:space="0"/>
              <w:right w:val="single" w:color="auto" w:sz="4" w:space="0"/>
            </w:tcBorders>
            <w:shd w:val="clear" w:color="auto" w:fill="auto"/>
            <w:noWrap/>
            <w:vAlign w:val="center"/>
          </w:tcPr>
          <w:p>
            <w:pPr>
              <w:pStyle w:val="114"/>
              <w:rPr>
                <w:szCs w:val="22"/>
              </w:rPr>
            </w:pPr>
            <w:r>
              <w:rPr>
                <w:szCs w:val="22"/>
              </w:rPr>
              <w:t>3.0×3.0×3.0</w:t>
            </w:r>
          </w:p>
        </w:tc>
        <w:tc>
          <w:tcPr>
            <w:tcW w:w="1686" w:type="dxa"/>
            <w:tcBorders>
              <w:top w:val="nil"/>
              <w:left w:val="nil"/>
              <w:bottom w:val="single" w:color="auto" w:sz="4" w:space="0"/>
              <w:right w:val="single" w:color="auto" w:sz="4" w:space="0"/>
            </w:tcBorders>
            <w:shd w:val="clear" w:color="auto" w:fill="auto"/>
            <w:vAlign w:val="center"/>
          </w:tcPr>
          <w:p>
            <w:pPr>
              <w:pStyle w:val="114"/>
            </w:pPr>
            <w:r>
              <w:rPr>
                <w:szCs w:val="22"/>
              </w:rPr>
              <w:t>3.0×3.0×3.0</w:t>
            </w:r>
          </w:p>
        </w:tc>
        <w:tc>
          <w:tcPr>
            <w:tcW w:w="1575" w:type="dxa"/>
            <w:tcBorders>
              <w:top w:val="nil"/>
              <w:left w:val="nil"/>
              <w:bottom w:val="single" w:color="auto" w:sz="4" w:space="0"/>
              <w:right w:val="single" w:color="auto" w:sz="4" w:space="0"/>
            </w:tcBorders>
            <w:shd w:val="clear" w:color="auto" w:fill="auto"/>
            <w:noWrap/>
            <w:vAlign w:val="center"/>
          </w:tcPr>
          <w:p>
            <w:pPr>
              <w:pStyle w:val="114"/>
              <w:rPr>
                <w:szCs w:val="20"/>
              </w:rPr>
            </w:pPr>
            <w:r>
              <w:rPr>
                <w:szCs w:val="22"/>
              </w:rPr>
              <w:t>2.0×1.0×3.0</w:t>
            </w:r>
          </w:p>
        </w:tc>
      </w:tr>
    </w:tbl>
    <w:p>
      <w:pPr>
        <w:ind w:firstLine="480"/>
        <w:rPr>
          <w:rFonts w:cs="Times New Roman"/>
          <w:color w:val="auto"/>
          <w:kern w:val="0"/>
        </w:rPr>
      </w:pPr>
      <w:r>
        <w:rPr>
          <w:rFonts w:cs="Times New Roman"/>
          <w:color w:val="auto"/>
          <w:kern w:val="0"/>
        </w:rPr>
        <w:t>5、碎石滤床</w:t>
      </w:r>
    </w:p>
    <w:p>
      <w:pPr>
        <w:ind w:firstLine="480"/>
        <w:rPr>
          <w:rFonts w:cs="Times New Roman"/>
          <w:color w:val="auto"/>
          <w:kern w:val="0"/>
        </w:rPr>
      </w:pPr>
      <w:r>
        <w:rPr>
          <w:rFonts w:cs="Times New Roman"/>
          <w:color w:val="auto"/>
          <w:kern w:val="0"/>
        </w:rPr>
        <w:t>（1）功能</w:t>
      </w:r>
    </w:p>
    <w:p>
      <w:pPr>
        <w:ind w:firstLine="480"/>
        <w:rPr>
          <w:rFonts w:cs="Times New Roman"/>
          <w:color w:val="auto"/>
          <w:kern w:val="0"/>
        </w:rPr>
      </w:pPr>
      <w:r>
        <w:rPr>
          <w:rFonts w:cs="Times New Roman"/>
          <w:color w:val="auto"/>
          <w:kern w:val="0"/>
        </w:rPr>
        <w:t>污水处理的主要单元。碎石滤床是由人工建造和控制运行的生物过滤系统，由生态填料、水生植物、布水管、集水管组合而成，将接触氧化池出水有控制的投配到碎石滤床，污水在湿地流动过程中，污染物一部分被植物的生长所吸收，另一部分被微生物分解吸收转化，从而使污水得以净化。</w:t>
      </w:r>
    </w:p>
    <w:p>
      <w:pPr>
        <w:ind w:firstLine="480"/>
        <w:rPr>
          <w:rFonts w:cs="Times New Roman"/>
          <w:color w:val="auto"/>
          <w:kern w:val="0"/>
        </w:rPr>
      </w:pPr>
      <w:r>
        <w:rPr>
          <w:rFonts w:cs="Times New Roman"/>
          <w:color w:val="auto"/>
          <w:kern w:val="0"/>
        </w:rPr>
        <w:t>碎石滤床系统维持一定的水层厚度，水力负荷较高。污水投入后，在流动过程中，与填料、植物，特别是与植物根茎部生长的生物膜接触，通过物理的、化学的以及生物的反应过程而得以净化。</w:t>
      </w:r>
    </w:p>
    <w:p>
      <w:pPr>
        <w:ind w:firstLine="480"/>
        <w:rPr>
          <w:rFonts w:cs="Times New Roman"/>
          <w:color w:val="auto"/>
          <w:kern w:val="0"/>
        </w:rPr>
      </w:pPr>
      <w:r>
        <w:rPr>
          <w:rFonts w:cs="Times New Roman"/>
          <w:color w:val="auto"/>
          <w:kern w:val="0"/>
        </w:rPr>
        <w:t>（2）设计参数：</w:t>
      </w:r>
    </w:p>
    <w:p>
      <w:pPr>
        <w:ind w:firstLine="480"/>
        <w:rPr>
          <w:rFonts w:cs="Times New Roman"/>
          <w:color w:val="auto"/>
          <w:kern w:val="0"/>
        </w:rPr>
      </w:pPr>
      <w:r>
        <w:rPr>
          <w:rFonts w:cs="Times New Roman"/>
          <w:color w:val="auto"/>
          <w:kern w:val="0"/>
        </w:rPr>
        <w:t>设计停留时间≥1.5d；</w:t>
      </w:r>
    </w:p>
    <w:p>
      <w:pPr>
        <w:ind w:firstLine="480"/>
        <w:rPr>
          <w:rFonts w:cs="Times New Roman"/>
          <w:color w:val="auto"/>
          <w:kern w:val="0"/>
        </w:rPr>
      </w:pPr>
      <w:r>
        <w:rPr>
          <w:rFonts w:cs="Times New Roman"/>
          <w:color w:val="auto"/>
          <w:kern w:val="0"/>
        </w:rPr>
        <w:t>水力负</w:t>
      </w:r>
      <w:r>
        <w:rPr>
          <w:rFonts w:cs="Times New Roman"/>
          <w:color w:val="auto"/>
          <w:kern w:val="0"/>
          <w:szCs w:val="24"/>
        </w:rPr>
        <w:t>荷：0.6m</w:t>
      </w:r>
      <w:r>
        <w:rPr>
          <w:rFonts w:cs="Times New Roman"/>
          <w:color w:val="auto"/>
          <w:kern w:val="0"/>
          <w:szCs w:val="24"/>
          <w:vertAlign w:val="superscript"/>
        </w:rPr>
        <w:t>3</w:t>
      </w:r>
      <w:r>
        <w:rPr>
          <w:rFonts w:cs="Times New Roman"/>
          <w:color w:val="auto"/>
          <w:kern w:val="0"/>
          <w:szCs w:val="24"/>
        </w:rPr>
        <w:t>/m</w:t>
      </w:r>
      <w:r>
        <w:rPr>
          <w:rFonts w:cs="Times New Roman"/>
          <w:color w:val="auto"/>
          <w:kern w:val="0"/>
          <w:szCs w:val="24"/>
          <w:vertAlign w:val="superscript"/>
        </w:rPr>
        <w:t>2</w:t>
      </w:r>
      <w:r>
        <w:rPr>
          <w:rFonts w:cs="Times New Roman"/>
          <w:color w:val="auto"/>
          <w:kern w:val="0"/>
          <w:szCs w:val="24"/>
        </w:rPr>
        <w:t>•d；</w:t>
      </w:r>
    </w:p>
    <w:p>
      <w:pPr>
        <w:ind w:firstLine="480"/>
        <w:rPr>
          <w:rFonts w:cs="Times New Roman"/>
          <w:color w:val="auto"/>
          <w:kern w:val="0"/>
        </w:rPr>
      </w:pPr>
      <w:r>
        <w:rPr>
          <w:rFonts w:cs="Times New Roman"/>
          <w:color w:val="auto"/>
          <w:kern w:val="0"/>
        </w:rPr>
        <w:t>有效水深：1.2m</w:t>
      </w:r>
    </w:p>
    <w:p>
      <w:pPr>
        <w:ind w:firstLine="480"/>
        <w:rPr>
          <w:rFonts w:cs="Times New Roman"/>
          <w:color w:val="auto"/>
          <w:kern w:val="0"/>
        </w:rPr>
      </w:pPr>
      <w:r>
        <w:rPr>
          <w:rFonts w:cs="Times New Roman"/>
          <w:color w:val="auto"/>
          <w:kern w:val="0"/>
        </w:rPr>
        <w:t>结构形式：</w:t>
      </w:r>
      <w:r>
        <w:rPr>
          <w:rFonts w:hint="eastAsia" w:cs="Times New Roman"/>
          <w:color w:val="auto"/>
          <w:kern w:val="0"/>
        </w:rPr>
        <w:t>粘土</w:t>
      </w:r>
    </w:p>
    <w:p>
      <w:pPr>
        <w:ind w:firstLine="480"/>
        <w:rPr>
          <w:rFonts w:cs="Times New Roman"/>
          <w:color w:val="auto"/>
          <w:kern w:val="0"/>
        </w:rPr>
      </w:pPr>
      <w:r>
        <w:rPr>
          <w:rFonts w:hint="eastAsia" w:cs="Times New Roman"/>
          <w:color w:val="auto"/>
          <w:kern w:val="0"/>
        </w:rPr>
        <w:t>（3）滤床填料</w:t>
      </w:r>
    </w:p>
    <w:p>
      <w:pPr>
        <w:ind w:firstLine="480"/>
        <w:rPr>
          <w:color w:val="auto"/>
        </w:rPr>
      </w:pPr>
      <w:r>
        <w:rPr>
          <w:rFonts w:hint="eastAsia"/>
          <w:color w:val="auto"/>
        </w:rPr>
        <w:t>滤床</w:t>
      </w:r>
      <w:r>
        <w:rPr>
          <w:color w:val="auto"/>
        </w:rPr>
        <w:t>由碎石或塑料制品填料构成的生物处理构筑物。污水与填料表面上生长的微生物膜间隙接触，使污水得到净化。是以土壤自净原理为依据，在污水灌溉的实践基础上，经较原始的间歇砂</w:t>
      </w:r>
      <w:r>
        <w:fldChar w:fldCharType="begin"/>
      </w:r>
      <w:r>
        <w:instrText xml:space="preserve"> HYPERLINK "https://baike.so.com/doc/6025249-6238246.html" \t "_blank" </w:instrText>
      </w:r>
      <w:r>
        <w:fldChar w:fldCharType="separate"/>
      </w:r>
      <w:r>
        <w:rPr>
          <w:color w:val="auto"/>
        </w:rPr>
        <w:t>滤池</w:t>
      </w:r>
      <w:r>
        <w:rPr>
          <w:color w:val="auto"/>
        </w:rPr>
        <w:fldChar w:fldCharType="end"/>
      </w:r>
      <w:r>
        <w:rPr>
          <w:color w:val="auto"/>
        </w:rPr>
        <w:t>和接触滤池而发展起来的人工生物处理技术。</w:t>
      </w:r>
    </w:p>
    <w:p>
      <w:pPr>
        <w:ind w:firstLine="480"/>
        <w:rPr>
          <w:color w:val="auto"/>
          <w:kern w:val="0"/>
          <w:sz w:val="18"/>
          <w:szCs w:val="18"/>
          <w:lang w:val="zh-CN"/>
        </w:rPr>
      </w:pPr>
      <w:r>
        <w:rPr>
          <w:rFonts w:hint="eastAsia"/>
          <w:color w:val="auto"/>
          <w:kern w:val="0"/>
          <w:lang w:val="zh-CN"/>
        </w:rPr>
        <w:t>外围堤埂除水力冲刷较大的地方采用混凝土浇灌或块石支砌外</w:t>
      </w:r>
      <w:r>
        <w:rPr>
          <w:color w:val="auto"/>
          <w:kern w:val="0"/>
          <w:lang w:val="zh-CN"/>
        </w:rPr>
        <w:t>,</w:t>
      </w:r>
      <w:r>
        <w:rPr>
          <w:rFonts w:hint="eastAsia"/>
          <w:color w:val="auto"/>
          <w:kern w:val="0"/>
          <w:lang w:val="zh-CN"/>
        </w:rPr>
        <w:t>一般应采用自然泥土夯实结构。</w:t>
      </w:r>
    </w:p>
    <w:p>
      <w:pPr>
        <w:ind w:firstLine="480"/>
        <w:rPr>
          <w:color w:val="auto"/>
          <w:kern w:val="0"/>
          <w:lang w:val="zh-CN"/>
        </w:rPr>
      </w:pPr>
      <w:r>
        <w:rPr>
          <w:color w:val="auto"/>
          <w:kern w:val="0"/>
          <w:lang w:val="zh-CN"/>
        </w:rPr>
        <w:t>滤料的要求</w:t>
      </w:r>
      <w:r>
        <w:rPr>
          <w:rFonts w:hint="eastAsia"/>
          <w:color w:val="auto"/>
          <w:kern w:val="0"/>
          <w:lang w:val="zh-CN"/>
        </w:rPr>
        <w:t>：（1）</w:t>
      </w:r>
      <w:r>
        <w:rPr>
          <w:color w:val="auto"/>
          <w:kern w:val="0"/>
          <w:lang w:val="zh-CN"/>
        </w:rPr>
        <w:t>比表面要大</w:t>
      </w:r>
      <w:r>
        <w:rPr>
          <w:rFonts w:hint="eastAsia"/>
          <w:color w:val="auto"/>
          <w:kern w:val="0"/>
          <w:lang w:val="zh-CN"/>
        </w:rPr>
        <w:t>、（2）</w:t>
      </w:r>
      <w:r>
        <w:rPr>
          <w:color w:val="auto"/>
          <w:kern w:val="0"/>
          <w:lang w:val="zh-CN"/>
        </w:rPr>
        <w:t>孔率高</w:t>
      </w:r>
      <w:r>
        <w:rPr>
          <w:rFonts w:hint="eastAsia"/>
          <w:color w:val="auto"/>
          <w:kern w:val="0"/>
          <w:lang w:val="zh-CN"/>
        </w:rPr>
        <w:t>、（3）</w:t>
      </w:r>
      <w:r>
        <w:rPr>
          <w:color w:val="auto"/>
          <w:kern w:val="0"/>
          <w:lang w:val="zh-CN"/>
        </w:rPr>
        <w:t>质材强度高</w:t>
      </w:r>
      <w:r>
        <w:rPr>
          <w:rFonts w:hint="eastAsia"/>
          <w:color w:val="auto"/>
          <w:kern w:val="0"/>
          <w:lang w:val="zh-CN"/>
        </w:rPr>
        <w:t>、（4）</w:t>
      </w:r>
      <w:r>
        <w:rPr>
          <w:color w:val="auto"/>
          <w:kern w:val="0"/>
          <w:lang w:val="zh-CN"/>
        </w:rPr>
        <w:t>稳定</w:t>
      </w:r>
      <w:r>
        <w:rPr>
          <w:rFonts w:hint="eastAsia"/>
          <w:color w:val="auto"/>
          <w:kern w:val="0"/>
          <w:lang w:val="zh-CN"/>
        </w:rPr>
        <w:t>、（5）</w:t>
      </w:r>
      <w:r>
        <w:rPr>
          <w:color w:val="auto"/>
          <w:kern w:val="0"/>
          <w:lang w:val="zh-CN"/>
        </w:rPr>
        <w:t>价廉</w:t>
      </w:r>
      <w:r>
        <w:rPr>
          <w:rFonts w:hint="eastAsia"/>
          <w:color w:val="auto"/>
          <w:kern w:val="0"/>
          <w:lang w:val="zh-CN"/>
        </w:rPr>
        <w:t>；常用滤料有</w:t>
      </w:r>
      <w:r>
        <w:rPr>
          <w:color w:val="auto"/>
          <w:kern w:val="0"/>
          <w:lang w:val="zh-CN"/>
        </w:rPr>
        <w:t>无烟煤</w:t>
      </w:r>
      <w:r>
        <w:rPr>
          <w:rFonts w:hint="eastAsia"/>
          <w:color w:val="auto"/>
          <w:kern w:val="0"/>
          <w:lang w:val="zh-CN"/>
        </w:rPr>
        <w:t>、石英砂、</w:t>
      </w:r>
      <w:r>
        <w:rPr>
          <w:color w:val="auto"/>
          <w:kern w:val="0"/>
          <w:lang w:val="zh-CN"/>
        </w:rPr>
        <w:t>陶粒</w:t>
      </w:r>
      <w:r>
        <w:rPr>
          <w:rFonts w:hint="eastAsia"/>
          <w:color w:val="auto"/>
          <w:kern w:val="0"/>
          <w:lang w:val="zh-CN"/>
        </w:rPr>
        <w:t>、页岩、石灰岩、工程</w:t>
      </w:r>
      <w:r>
        <w:rPr>
          <w:color w:val="auto"/>
          <w:kern w:val="0"/>
          <w:lang w:val="zh-CN"/>
        </w:rPr>
        <w:t>塑料</w:t>
      </w:r>
      <w:r>
        <w:rPr>
          <w:rFonts w:hint="eastAsia"/>
          <w:color w:val="auto"/>
          <w:kern w:val="0"/>
          <w:lang w:val="zh-CN"/>
        </w:rPr>
        <w:t>、白云石粒、鹅卵石、火山石等。</w:t>
      </w:r>
    </w:p>
    <w:p>
      <w:pPr>
        <w:ind w:firstLine="480"/>
        <w:rPr>
          <w:color w:val="auto"/>
        </w:rPr>
      </w:pPr>
      <w:r>
        <w:rPr>
          <w:rFonts w:hint="eastAsia"/>
          <w:color w:val="auto"/>
        </w:rPr>
        <w:t>常见规格：</w:t>
      </w:r>
    </w:p>
    <w:p>
      <w:pPr>
        <w:ind w:firstLine="480"/>
        <w:rPr>
          <w:rFonts w:cs="Times New Roman"/>
          <w:color w:val="auto"/>
          <w:kern w:val="0"/>
        </w:rPr>
      </w:pPr>
      <w:r>
        <w:rPr>
          <w:rFonts w:cs="Times New Roman"/>
          <w:color w:val="auto"/>
          <w:kern w:val="0"/>
        </w:rPr>
        <w:t>滤料系列:4-8mm、8-16mm、16-32 mm;</w:t>
      </w:r>
    </w:p>
    <w:p>
      <w:pPr>
        <w:ind w:firstLine="480"/>
        <w:rPr>
          <w:rFonts w:cs="Times New Roman"/>
          <w:color w:val="auto"/>
          <w:kern w:val="0"/>
        </w:rPr>
      </w:pPr>
      <w:r>
        <w:rPr>
          <w:rFonts w:cs="Times New Roman"/>
          <w:color w:val="auto"/>
          <w:kern w:val="0"/>
        </w:rPr>
        <w:t>滤料垫层系列:2-3cm、3-5cm、5-8cm、8-16cm、16-32cm;</w:t>
      </w:r>
    </w:p>
    <w:p>
      <w:pPr>
        <w:ind w:firstLine="480"/>
        <w:rPr>
          <w:rFonts w:cs="Times New Roman"/>
          <w:color w:val="auto"/>
          <w:kern w:val="0"/>
        </w:rPr>
      </w:pPr>
      <w:r>
        <w:rPr>
          <w:rFonts w:hint="eastAsia" w:cs="Times New Roman"/>
          <w:color w:val="auto"/>
          <w:kern w:val="0"/>
        </w:rPr>
        <w:t>孔隙率：30%；</w:t>
      </w:r>
    </w:p>
    <w:p>
      <w:pPr>
        <w:ind w:firstLine="480"/>
        <w:rPr>
          <w:rFonts w:cs="Times New Roman"/>
          <w:color w:val="auto"/>
          <w:kern w:val="0"/>
        </w:rPr>
      </w:pPr>
      <w:r>
        <w:rPr>
          <w:rFonts w:hint="eastAsia" w:cs="Times New Roman"/>
          <w:color w:val="auto"/>
          <w:kern w:val="0"/>
        </w:rPr>
        <w:t>厚度：0.9米</w:t>
      </w:r>
    </w:p>
    <w:p>
      <w:pPr>
        <w:ind w:firstLine="480"/>
        <w:rPr>
          <w:rFonts w:cs="Times New Roman"/>
          <w:color w:val="auto"/>
          <w:kern w:val="0"/>
        </w:rPr>
      </w:pPr>
      <w:r>
        <w:rPr>
          <w:rFonts w:hint="eastAsia" w:cs="Times New Roman"/>
          <w:color w:val="auto"/>
          <w:kern w:val="0"/>
        </w:rPr>
        <w:t xml:space="preserve">      做法：自上而下</w:t>
      </w:r>
    </w:p>
    <w:p>
      <w:pPr>
        <w:ind w:firstLine="1984" w:firstLineChars="827"/>
        <w:rPr>
          <w:rFonts w:cs="Times New Roman"/>
          <w:color w:val="auto"/>
          <w:kern w:val="0"/>
        </w:rPr>
      </w:pPr>
      <w:r>
        <w:rPr>
          <w:rFonts w:hint="eastAsia" w:cs="Times New Roman"/>
          <w:color w:val="auto"/>
          <w:kern w:val="0"/>
        </w:rPr>
        <w:t>上层植物（裸根种植，深度20-25cm）</w:t>
      </w:r>
    </w:p>
    <w:p>
      <w:pPr>
        <w:ind w:firstLine="1984" w:firstLineChars="827"/>
        <w:rPr>
          <w:rFonts w:cs="Times New Roman"/>
          <w:color w:val="auto"/>
          <w:kern w:val="0"/>
        </w:rPr>
      </w:pPr>
      <w:r>
        <w:rPr>
          <w:rFonts w:hint="eastAsia" w:cs="Times New Roman"/>
          <w:color w:val="auto"/>
          <w:kern w:val="0"/>
        </w:rPr>
        <w:t>300厚粒径15-20mm卵石</w:t>
      </w:r>
    </w:p>
    <w:p>
      <w:pPr>
        <w:ind w:firstLine="1984" w:firstLineChars="827"/>
        <w:rPr>
          <w:rFonts w:cs="Times New Roman"/>
          <w:color w:val="auto"/>
          <w:kern w:val="0"/>
        </w:rPr>
      </w:pPr>
      <w:r>
        <w:rPr>
          <w:rFonts w:hint="eastAsia" w:cs="Times New Roman"/>
          <w:color w:val="auto"/>
          <w:kern w:val="0"/>
        </w:rPr>
        <w:t>TGSG双向塑料土工格栅20-20KN,孔径3cm（铺两层)</w:t>
      </w:r>
    </w:p>
    <w:p>
      <w:pPr>
        <w:ind w:firstLine="1984" w:firstLineChars="827"/>
        <w:rPr>
          <w:rFonts w:cs="Times New Roman"/>
          <w:color w:val="auto"/>
          <w:kern w:val="0"/>
        </w:rPr>
      </w:pPr>
      <w:r>
        <w:rPr>
          <w:rFonts w:hint="eastAsia" w:cs="Times New Roman"/>
          <w:color w:val="auto"/>
          <w:kern w:val="0"/>
        </w:rPr>
        <w:t>300厚粒径20-30mm石灰岩砾石</w:t>
      </w:r>
    </w:p>
    <w:p>
      <w:pPr>
        <w:ind w:firstLine="1984" w:firstLineChars="827"/>
        <w:rPr>
          <w:rFonts w:cs="Times New Roman"/>
          <w:color w:val="auto"/>
          <w:kern w:val="0"/>
        </w:rPr>
      </w:pPr>
      <w:r>
        <w:rPr>
          <w:rFonts w:hint="eastAsia" w:cs="Times New Roman"/>
          <w:color w:val="auto"/>
          <w:kern w:val="0"/>
        </w:rPr>
        <w:t>TGSG双向塑料土工格栅20-20KN,孔径3cm（铺两层)</w:t>
      </w:r>
    </w:p>
    <w:p>
      <w:pPr>
        <w:ind w:firstLine="1984" w:firstLineChars="827"/>
        <w:rPr>
          <w:rFonts w:cs="Times New Roman"/>
          <w:color w:val="auto"/>
          <w:kern w:val="0"/>
        </w:rPr>
      </w:pPr>
      <w:r>
        <w:rPr>
          <w:rFonts w:hint="eastAsia" w:cs="Times New Roman"/>
          <w:color w:val="auto"/>
          <w:kern w:val="0"/>
        </w:rPr>
        <w:t>300厚粒径50-60mm火山石</w:t>
      </w:r>
    </w:p>
    <w:p>
      <w:pPr>
        <w:ind w:firstLine="1984" w:firstLineChars="827"/>
        <w:rPr>
          <w:rFonts w:cs="Times New Roman"/>
          <w:color w:val="auto"/>
          <w:kern w:val="0"/>
        </w:rPr>
      </w:pPr>
      <w:r>
        <w:rPr>
          <w:rFonts w:hint="eastAsia" w:cs="Times New Roman"/>
          <w:color w:val="auto"/>
          <w:kern w:val="0"/>
        </w:rPr>
        <w:t>100厚防渗膜保护层（粗砂）</w:t>
      </w:r>
    </w:p>
    <w:p>
      <w:pPr>
        <w:ind w:firstLine="1984" w:firstLineChars="827"/>
        <w:rPr>
          <w:rFonts w:cs="Times New Roman"/>
          <w:color w:val="auto"/>
          <w:kern w:val="0"/>
        </w:rPr>
      </w:pPr>
      <w:r>
        <w:rPr>
          <w:rFonts w:hint="eastAsia" w:cs="Times New Roman"/>
          <w:color w:val="auto"/>
          <w:kern w:val="0"/>
        </w:rPr>
        <w:t>1.0mm厚单糙面 HDPE土工膜</w:t>
      </w:r>
    </w:p>
    <w:p>
      <w:pPr>
        <w:ind w:firstLine="1984" w:firstLineChars="827"/>
        <w:rPr>
          <w:rFonts w:cs="Times New Roman"/>
          <w:color w:val="auto"/>
          <w:kern w:val="0"/>
        </w:rPr>
      </w:pPr>
      <w:r>
        <w:rPr>
          <w:rFonts w:hint="eastAsia" w:cs="Times New Roman"/>
          <w:color w:val="auto"/>
          <w:kern w:val="0"/>
        </w:rPr>
        <w:t>300厚粘土分层碾压，夯实,密实度不小于0.93</w:t>
      </w:r>
    </w:p>
    <w:p>
      <w:pPr>
        <w:ind w:firstLine="1984" w:firstLineChars="827"/>
        <w:rPr>
          <w:rFonts w:cs="Times New Roman"/>
          <w:color w:val="auto"/>
          <w:kern w:val="0"/>
        </w:rPr>
      </w:pPr>
      <w:r>
        <w:rPr>
          <w:rFonts w:hint="eastAsia" w:cs="Times New Roman"/>
          <w:color w:val="auto"/>
          <w:kern w:val="0"/>
        </w:rPr>
        <w:t>原土夯实，密实度不小于0.93</w:t>
      </w:r>
    </w:p>
    <w:p>
      <w:pPr>
        <w:ind w:firstLine="480"/>
        <w:rPr>
          <w:rFonts w:cs="Times New Roman"/>
          <w:color w:val="auto"/>
          <w:kern w:val="0"/>
        </w:rPr>
      </w:pPr>
      <w:r>
        <w:rPr>
          <w:rFonts w:hint="eastAsia" w:cs="Times New Roman"/>
          <w:color w:val="auto"/>
          <w:kern w:val="0"/>
        </w:rPr>
        <w:t>（4）布水系统</w:t>
      </w:r>
    </w:p>
    <w:p>
      <w:pPr>
        <w:ind w:firstLine="480"/>
        <w:rPr>
          <w:rFonts w:cs="Times New Roman"/>
          <w:color w:val="auto"/>
          <w:kern w:val="0"/>
        </w:rPr>
      </w:pPr>
      <w:r>
        <w:rPr>
          <w:rFonts w:hint="eastAsia" w:cs="Times New Roman"/>
          <w:color w:val="auto"/>
          <w:kern w:val="0"/>
        </w:rPr>
        <w:t>布水采用上行式布水。</w:t>
      </w:r>
    </w:p>
    <w:p>
      <w:pPr>
        <w:ind w:firstLine="480"/>
        <w:rPr>
          <w:rFonts w:cs="Times New Roman"/>
          <w:color w:val="auto"/>
          <w:kern w:val="0"/>
        </w:rPr>
      </w:pPr>
      <w:r>
        <w:rPr>
          <w:rFonts w:hint="eastAsia" w:cs="Times New Roman"/>
          <w:color w:val="auto"/>
          <w:kern w:val="0"/>
        </w:rPr>
        <w:t>配、集水管间距1m，开孔间距200mm，配水管孔径12mm；集水管孔径25mm。</w:t>
      </w:r>
    </w:p>
    <w:p>
      <w:pPr>
        <w:ind w:firstLine="480"/>
        <w:rPr>
          <w:rFonts w:cs="Times New Roman"/>
          <w:color w:val="auto"/>
          <w:kern w:val="0"/>
        </w:rPr>
      </w:pPr>
      <w:r>
        <w:rPr>
          <w:rFonts w:hint="eastAsia" w:cs="Times New Roman"/>
          <w:color w:val="auto"/>
          <w:kern w:val="0"/>
        </w:rPr>
        <w:t>（5）防渗</w:t>
      </w:r>
    </w:p>
    <w:p>
      <w:pPr>
        <w:ind w:firstLine="480"/>
        <w:rPr>
          <w:color w:val="auto"/>
          <w:kern w:val="0"/>
          <w:sz w:val="18"/>
          <w:szCs w:val="18"/>
          <w:lang w:val="zh-CN"/>
        </w:rPr>
      </w:pPr>
      <w:r>
        <w:rPr>
          <w:rFonts w:hint="eastAsia"/>
          <w:color w:val="auto"/>
          <w:kern w:val="0"/>
          <w:lang w:val="zh-CN"/>
        </w:rPr>
        <w:t>采用聚乙烯土工膜防渗，土工膜材料执行规范《</w:t>
      </w:r>
      <w:r>
        <w:rPr>
          <w:color w:val="auto"/>
          <w:kern w:val="0"/>
          <w:lang w:val="zh-CN"/>
        </w:rPr>
        <w:t xml:space="preserve">GB/T17642-2008 </w:t>
      </w:r>
      <w:r>
        <w:rPr>
          <w:rFonts w:hint="eastAsia"/>
          <w:color w:val="auto"/>
          <w:kern w:val="0"/>
          <w:lang w:val="zh-CN"/>
        </w:rPr>
        <w:t>土工合成材料</w:t>
      </w:r>
      <w:r>
        <w:rPr>
          <w:color w:val="auto"/>
          <w:kern w:val="0"/>
          <w:lang w:val="zh-CN"/>
        </w:rPr>
        <w:t xml:space="preserve"> </w:t>
      </w:r>
      <w:r>
        <w:rPr>
          <w:rFonts w:hint="eastAsia"/>
          <w:color w:val="auto"/>
          <w:kern w:val="0"/>
          <w:lang w:val="zh-CN"/>
        </w:rPr>
        <w:t>非织造布复合土工膜》，选用复合土工膜</w:t>
      </w:r>
      <w:r>
        <w:rPr>
          <w:color w:val="auto"/>
          <w:kern w:val="0"/>
          <w:lang w:val="zh-CN"/>
        </w:rPr>
        <w:t>SN2/PE-16-400-0.6</w:t>
      </w:r>
      <w:r>
        <w:rPr>
          <w:rFonts w:hint="eastAsia"/>
          <w:color w:val="auto"/>
          <w:kern w:val="0"/>
          <w:lang w:val="zh-CN"/>
        </w:rPr>
        <w:t>，幅宽</w:t>
      </w:r>
      <w:r>
        <w:rPr>
          <w:color w:val="auto"/>
          <w:kern w:val="0"/>
          <w:lang w:val="zh-CN"/>
        </w:rPr>
        <w:t>6</w:t>
      </w:r>
      <w:r>
        <w:rPr>
          <w:rFonts w:hint="eastAsia"/>
          <w:color w:val="auto"/>
          <w:kern w:val="0"/>
          <w:lang w:val="zh-CN"/>
        </w:rPr>
        <w:t>米，渗透系数不大于</w:t>
      </w:r>
      <w:r>
        <w:rPr>
          <w:color w:val="auto"/>
          <w:kern w:val="0"/>
          <w:lang w:val="zh-CN"/>
        </w:rPr>
        <w:t xml:space="preserve">10 </w:t>
      </w:r>
      <w:r>
        <w:rPr>
          <w:color w:val="auto"/>
          <w:kern w:val="0"/>
          <w:vertAlign w:val="superscript"/>
          <w:lang w:val="zh-CN"/>
        </w:rPr>
        <w:t xml:space="preserve">-8 </w:t>
      </w:r>
      <w:r>
        <w:rPr>
          <w:color w:val="auto"/>
          <w:kern w:val="0"/>
          <w:lang w:val="zh-CN"/>
        </w:rPr>
        <w:t>m/s</w:t>
      </w:r>
      <w:r>
        <w:rPr>
          <w:rFonts w:hint="eastAsia"/>
          <w:color w:val="auto"/>
          <w:kern w:val="0"/>
          <w:lang w:val="zh-CN"/>
        </w:rPr>
        <w:t>。</w:t>
      </w:r>
    </w:p>
    <w:p>
      <w:pPr>
        <w:ind w:firstLine="480"/>
        <w:rPr>
          <w:rFonts w:cs="Times New Roman"/>
          <w:color w:val="auto"/>
          <w:kern w:val="0"/>
        </w:rPr>
      </w:pPr>
      <w:r>
        <w:rPr>
          <w:rFonts w:cs="Times New Roman"/>
          <w:color w:val="auto"/>
          <w:kern w:val="0"/>
        </w:rPr>
        <w:t>（</w:t>
      </w:r>
      <w:r>
        <w:rPr>
          <w:rFonts w:hint="eastAsia" w:cs="Times New Roman"/>
          <w:color w:val="auto"/>
          <w:kern w:val="0"/>
        </w:rPr>
        <w:t>5</w:t>
      </w:r>
      <w:r>
        <w:rPr>
          <w:rFonts w:cs="Times New Roman"/>
          <w:color w:val="auto"/>
          <w:kern w:val="0"/>
        </w:rPr>
        <w:t>）植物</w:t>
      </w:r>
    </w:p>
    <w:p>
      <w:pPr>
        <w:ind w:firstLine="480"/>
        <w:rPr>
          <w:rFonts w:cs="Times New Roman"/>
          <w:color w:val="auto"/>
          <w:kern w:val="0"/>
        </w:rPr>
      </w:pPr>
      <w:r>
        <w:rPr>
          <w:rFonts w:cs="Times New Roman"/>
          <w:color w:val="auto"/>
          <w:kern w:val="0"/>
        </w:rPr>
        <w:t>下行流</w:t>
      </w:r>
      <w:r>
        <w:rPr>
          <w:rFonts w:hint="eastAsia" w:cs="Times New Roman"/>
          <w:color w:val="auto"/>
          <w:kern w:val="0"/>
        </w:rPr>
        <w:t>滤床</w:t>
      </w:r>
      <w:r>
        <w:rPr>
          <w:rFonts w:cs="Times New Roman"/>
          <w:color w:val="auto"/>
          <w:kern w:val="0"/>
        </w:rPr>
        <w:t>水流冲击较大，水中营养物质浓度高，水流渗入之后，上层基质含水量迅速下降，上层基质处于好氧状态，因此选择生物量大的湿地植物为主，本实施方案采用云南较为常见的美人蕉、黄菖蒲；上行</w:t>
      </w:r>
      <w:r>
        <w:rPr>
          <w:rFonts w:hint="eastAsia" w:cs="Times New Roman"/>
          <w:color w:val="auto"/>
          <w:kern w:val="0"/>
        </w:rPr>
        <w:t>滤床</w:t>
      </w:r>
      <w:r>
        <w:rPr>
          <w:rFonts w:cs="Times New Roman"/>
          <w:color w:val="auto"/>
          <w:kern w:val="0"/>
        </w:rPr>
        <w:t>地水流较为缓慢，水质较好，水流被基质表面的收集管收集的过程中，基质处于淹水的状态，因此上行流湿地选择耐水淹的植物，本实施方案采用再力花、旱伞竹。</w:t>
      </w:r>
    </w:p>
    <w:p>
      <w:pPr>
        <w:ind w:firstLine="480"/>
        <w:rPr>
          <w:rFonts w:cs="Times New Roman"/>
          <w:color w:val="auto"/>
          <w:kern w:val="0"/>
        </w:rPr>
      </w:pPr>
      <w:r>
        <w:rPr>
          <w:rFonts w:cs="Times New Roman"/>
          <w:color w:val="auto"/>
          <w:kern w:val="0"/>
        </w:rPr>
        <w:t>种植密度</w:t>
      </w:r>
      <w:r>
        <w:rPr>
          <w:rFonts w:cs="Times New Roman"/>
          <w:color w:val="auto"/>
        </w:rPr>
        <w:t>：</w:t>
      </w:r>
      <w:r>
        <w:rPr>
          <w:rFonts w:hint="eastAsia" w:cs="Times New Roman"/>
          <w:color w:val="auto"/>
        </w:rPr>
        <w:t>8</w:t>
      </w:r>
      <w:r>
        <w:rPr>
          <w:rFonts w:cs="Times New Roman"/>
          <w:color w:val="auto"/>
        </w:rPr>
        <w:t xml:space="preserve"> 株/m</w:t>
      </w:r>
      <w:r>
        <w:rPr>
          <w:rFonts w:cs="Times New Roman"/>
          <w:color w:val="auto"/>
          <w:vertAlign w:val="superscript"/>
        </w:rPr>
        <w:t>2</w:t>
      </w:r>
      <w:r>
        <w:rPr>
          <w:rFonts w:cs="Times New Roman"/>
          <w:color w:val="auto"/>
        </w:rPr>
        <w:t>。</w:t>
      </w:r>
    </w:p>
    <w:p>
      <w:pPr>
        <w:ind w:firstLine="480"/>
        <w:rPr>
          <w:rFonts w:cs="Times New Roman"/>
          <w:color w:val="auto"/>
          <w:kern w:val="0"/>
          <w:sz w:val="20"/>
          <w:szCs w:val="20"/>
        </w:rPr>
      </w:pPr>
      <w:r>
        <w:rPr>
          <w:rFonts w:cs="Times New Roman"/>
          <w:color w:val="auto"/>
          <w:kern w:val="0"/>
        </w:rPr>
        <w:t>四种植物情况如下：</w:t>
      </w:r>
    </w:p>
    <w:p>
      <w:pPr>
        <w:ind w:firstLine="480"/>
        <w:rPr>
          <w:color w:val="auto"/>
          <w:kern w:val="0"/>
        </w:rPr>
      </w:pPr>
      <w:r>
        <w:rPr>
          <w:rFonts w:cs="Times New Roman"/>
          <w:color w:val="auto"/>
          <w:kern w:val="0"/>
        </w:rPr>
        <w:t>黄菖蒲：</w:t>
      </w:r>
    </w:p>
    <w:p>
      <w:pPr>
        <w:ind w:firstLine="480"/>
        <w:rPr>
          <w:rFonts w:cs="Times New Roman"/>
          <w:color w:val="auto"/>
          <w:kern w:val="0"/>
        </w:rPr>
      </w:pPr>
      <w:r>
        <w:rPr>
          <w:rFonts w:cs="Times New Roman"/>
          <w:color w:val="auto"/>
          <w:kern w:val="0"/>
        </w:rPr>
        <w:t>多年生草本，植株基部有少量老叶残留的纤维，根状茎粗壮，适应性强，喜光耐半阴，耐旱也耐湿，砂土及粘土都能生长，在水边栽植生长更好。</w:t>
      </w:r>
    </w:p>
    <w:p>
      <w:pPr>
        <w:ind w:firstLine="480"/>
        <w:rPr>
          <w:rFonts w:cs="Times New Roman"/>
          <w:color w:val="auto"/>
          <w:kern w:val="0"/>
        </w:rPr>
      </w:pPr>
      <w:r>
        <w:rPr>
          <w:color w:val="auto"/>
          <w:kern w:val="0"/>
        </w:rPr>
        <w:drawing>
          <wp:inline distT="0" distB="0" distL="0" distR="0">
            <wp:extent cx="4759325" cy="3397885"/>
            <wp:effectExtent l="19050" t="0" r="2816" b="0"/>
            <wp:docPr id="3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4"/>
                    <pic:cNvPicPr>
                      <a:picLocks noChangeAspect="1" noChangeArrowheads="1"/>
                    </pic:cNvPicPr>
                  </pic:nvPicPr>
                  <pic:blipFill>
                    <a:blip r:embed="rId51" cstate="print"/>
                    <a:srcRect/>
                    <a:stretch>
                      <a:fillRect/>
                    </a:stretch>
                  </pic:blipFill>
                  <pic:spPr>
                    <a:xfrm>
                      <a:off x="0" y="0"/>
                      <a:ext cx="4762229" cy="3400174"/>
                    </a:xfrm>
                    <a:prstGeom prst="rect">
                      <a:avLst/>
                    </a:prstGeom>
                    <a:noFill/>
                    <a:ln w="9525">
                      <a:noFill/>
                      <a:miter lim="800000"/>
                      <a:headEnd/>
                      <a:tailEnd/>
                    </a:ln>
                  </pic:spPr>
                </pic:pic>
              </a:graphicData>
            </a:graphic>
          </wp:inline>
        </w:drawing>
      </w:r>
    </w:p>
    <w:p>
      <w:pPr>
        <w:ind w:firstLine="480"/>
        <w:rPr>
          <w:rFonts w:cs="Times New Roman"/>
          <w:color w:val="auto"/>
          <w:kern w:val="0"/>
        </w:rPr>
      </w:pPr>
      <w:r>
        <w:rPr>
          <w:rFonts w:cs="Times New Roman"/>
          <w:color w:val="auto"/>
          <w:kern w:val="0"/>
        </w:rPr>
        <w:t>美人蕉：</w:t>
      </w:r>
    </w:p>
    <w:p>
      <w:pPr>
        <w:ind w:firstLine="480"/>
        <w:rPr>
          <w:rFonts w:cs="Times New Roman"/>
          <w:color w:val="auto"/>
          <w:kern w:val="0"/>
        </w:rPr>
      </w:pPr>
      <w:r>
        <w:rPr>
          <w:rFonts w:cs="Times New Roman"/>
          <w:color w:val="auto"/>
          <w:kern w:val="0"/>
        </w:rPr>
        <w:t>多年生草本植物，株高可达1.5 米，根茎肥大，花果期3-12 月。在人工湿地建设中，作为潜流、垂直流湿地系统的配置植物应用，具有较好的处理效果。</w:t>
      </w:r>
    </w:p>
    <w:p>
      <w:pPr>
        <w:pStyle w:val="366"/>
        <w:rPr>
          <w:kern w:val="0"/>
        </w:rPr>
      </w:pPr>
      <w:r>
        <w:rPr>
          <w:kern w:val="0"/>
        </w:rPr>
        <w:drawing>
          <wp:inline distT="0" distB="0" distL="0" distR="0">
            <wp:extent cx="5101590" cy="3446780"/>
            <wp:effectExtent l="19050" t="0" r="3810" b="0"/>
            <wp:docPr id="3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7"/>
                    <pic:cNvPicPr>
                      <a:picLocks noChangeAspect="1" noChangeArrowheads="1"/>
                    </pic:cNvPicPr>
                  </pic:nvPicPr>
                  <pic:blipFill>
                    <a:blip r:embed="rId52" cstate="print"/>
                    <a:srcRect/>
                    <a:stretch>
                      <a:fillRect/>
                    </a:stretch>
                  </pic:blipFill>
                  <pic:spPr>
                    <a:xfrm>
                      <a:off x="0" y="0"/>
                      <a:ext cx="5104318" cy="3448937"/>
                    </a:xfrm>
                    <a:prstGeom prst="rect">
                      <a:avLst/>
                    </a:prstGeom>
                    <a:noFill/>
                    <a:ln w="9525">
                      <a:noFill/>
                      <a:miter lim="800000"/>
                      <a:headEnd/>
                      <a:tailEnd/>
                    </a:ln>
                  </pic:spPr>
                </pic:pic>
              </a:graphicData>
            </a:graphic>
          </wp:inline>
        </w:drawing>
      </w:r>
    </w:p>
    <w:p>
      <w:pPr>
        <w:ind w:firstLine="480"/>
        <w:rPr>
          <w:rFonts w:cs="Times New Roman"/>
          <w:color w:val="auto"/>
          <w:kern w:val="0"/>
        </w:rPr>
      </w:pPr>
      <w:r>
        <w:rPr>
          <w:rFonts w:cs="Times New Roman"/>
          <w:color w:val="auto"/>
          <w:kern w:val="0"/>
        </w:rPr>
        <w:t>再力花：</w:t>
      </w:r>
    </w:p>
    <w:p>
      <w:pPr>
        <w:ind w:firstLine="480"/>
        <w:rPr>
          <w:rFonts w:cs="Times New Roman"/>
          <w:color w:val="auto"/>
          <w:kern w:val="0"/>
        </w:rPr>
      </w:pPr>
      <w:r>
        <w:rPr>
          <w:rFonts w:cs="Times New Roman"/>
          <w:color w:val="auto"/>
          <w:kern w:val="0"/>
        </w:rPr>
        <w:t>多年生挺水草本。叶卵状披针形，浅灰蓝色，边缘紫色，再力花对养分需求大，根系发达，耐污能力较强。</w:t>
      </w:r>
    </w:p>
    <w:p>
      <w:pPr>
        <w:pStyle w:val="366"/>
        <w:rPr>
          <w:kern w:val="0"/>
        </w:rPr>
      </w:pPr>
      <w:r>
        <w:rPr>
          <w:kern w:val="0"/>
        </w:rPr>
        <w:drawing>
          <wp:inline distT="0" distB="0" distL="0" distR="0">
            <wp:extent cx="4950460" cy="3559175"/>
            <wp:effectExtent l="19050" t="0" r="2485" b="0"/>
            <wp:docPr id="3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0"/>
                    <pic:cNvPicPr>
                      <a:picLocks noChangeAspect="1" noChangeArrowheads="1"/>
                    </pic:cNvPicPr>
                  </pic:nvPicPr>
                  <pic:blipFill>
                    <a:blip r:embed="rId53" cstate="print"/>
                    <a:srcRect/>
                    <a:stretch>
                      <a:fillRect/>
                    </a:stretch>
                  </pic:blipFill>
                  <pic:spPr>
                    <a:xfrm>
                      <a:off x="0" y="0"/>
                      <a:ext cx="4953162" cy="3561333"/>
                    </a:xfrm>
                    <a:prstGeom prst="rect">
                      <a:avLst/>
                    </a:prstGeom>
                    <a:noFill/>
                    <a:ln w="9525">
                      <a:noFill/>
                      <a:miter lim="800000"/>
                      <a:headEnd/>
                      <a:tailEnd/>
                    </a:ln>
                  </pic:spPr>
                </pic:pic>
              </a:graphicData>
            </a:graphic>
          </wp:inline>
        </w:drawing>
      </w:r>
    </w:p>
    <w:p>
      <w:pPr>
        <w:ind w:firstLine="480"/>
        <w:rPr>
          <w:rFonts w:cs="Times New Roman"/>
          <w:color w:val="auto"/>
          <w:kern w:val="0"/>
        </w:rPr>
      </w:pPr>
      <w:r>
        <w:rPr>
          <w:rFonts w:cs="Times New Roman"/>
          <w:color w:val="auto"/>
          <w:kern w:val="0"/>
        </w:rPr>
        <w:t>旱伞竹：</w:t>
      </w:r>
    </w:p>
    <w:p>
      <w:pPr>
        <w:ind w:firstLine="480"/>
        <w:rPr>
          <w:rFonts w:cs="Times New Roman"/>
          <w:color w:val="auto"/>
          <w:kern w:val="0"/>
        </w:rPr>
      </w:pPr>
      <w:r>
        <w:rPr>
          <w:rFonts w:cs="Times New Roman"/>
          <w:color w:val="auto"/>
          <w:kern w:val="0"/>
        </w:rPr>
        <w:t>多年生湿生、挺水植物，其生长对养分的需求较大，对污水的适应能力较强，因此适宜排污沟附近生长，根系对污水的适应能力非常强。</w:t>
      </w:r>
    </w:p>
    <w:p>
      <w:pPr>
        <w:pStyle w:val="366"/>
        <w:rPr>
          <w:kern w:val="0"/>
        </w:rPr>
      </w:pPr>
      <w:r>
        <w:rPr>
          <w:rFonts w:hint="eastAsia"/>
          <w:kern w:val="0"/>
        </w:rPr>
        <w:drawing>
          <wp:inline distT="0" distB="0" distL="0" distR="0">
            <wp:extent cx="5101590" cy="3677285"/>
            <wp:effectExtent l="1905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54" cstate="print"/>
                    <a:srcRect/>
                    <a:stretch>
                      <a:fillRect/>
                    </a:stretch>
                  </pic:blipFill>
                  <pic:spPr>
                    <a:xfrm>
                      <a:off x="0" y="0"/>
                      <a:ext cx="5104318" cy="3679446"/>
                    </a:xfrm>
                    <a:prstGeom prst="rect">
                      <a:avLst/>
                    </a:prstGeom>
                    <a:noFill/>
                    <a:ln w="9525">
                      <a:noFill/>
                      <a:miter lim="800000"/>
                      <a:headEnd/>
                      <a:tailEnd/>
                    </a:ln>
                  </pic:spPr>
                </pic:pic>
              </a:graphicData>
            </a:graphic>
          </wp:inline>
        </w:drawing>
      </w:r>
    </w:p>
    <w:p>
      <w:pPr>
        <w:pStyle w:val="112"/>
        <w:rPr>
          <w:color w:val="auto"/>
        </w:rPr>
      </w:pPr>
    </w:p>
    <w:p>
      <w:pPr>
        <w:pStyle w:val="112"/>
        <w:rPr>
          <w:color w:val="auto"/>
        </w:rPr>
      </w:pPr>
    </w:p>
    <w:p>
      <w:pPr>
        <w:pStyle w:val="112"/>
        <w:rPr>
          <w:color w:val="auto"/>
          <w:kern w:val="0"/>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int="eastAsia"/>
          <w:color w:val="auto"/>
        </w:rPr>
        <w:t xml:space="preserve"> 碎石滤床工艺尺寸及植物统计表</w:t>
      </w:r>
    </w:p>
    <w:tbl>
      <w:tblPr>
        <w:tblStyle w:val="88"/>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276"/>
        <w:gridCol w:w="1636"/>
        <w:gridCol w:w="1699"/>
        <w:gridCol w:w="1284"/>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vMerge w:val="restart"/>
            <w:shd w:val="clear" w:color="auto" w:fill="auto"/>
            <w:vAlign w:val="center"/>
          </w:tcPr>
          <w:p>
            <w:pPr>
              <w:pStyle w:val="114"/>
              <w:spacing w:line="240" w:lineRule="auto"/>
              <w:rPr>
                <w:b/>
                <w:kern w:val="0"/>
                <w:szCs w:val="21"/>
              </w:rPr>
            </w:pPr>
            <w:r>
              <w:rPr>
                <w:b/>
                <w:kern w:val="0"/>
                <w:szCs w:val="21"/>
              </w:rPr>
              <w:t>序号</w:t>
            </w:r>
          </w:p>
        </w:tc>
        <w:tc>
          <w:tcPr>
            <w:tcW w:w="1276" w:type="dxa"/>
            <w:vMerge w:val="restart"/>
            <w:shd w:val="clear" w:color="auto" w:fill="auto"/>
            <w:vAlign w:val="center"/>
          </w:tcPr>
          <w:p>
            <w:pPr>
              <w:pStyle w:val="114"/>
              <w:spacing w:line="240" w:lineRule="auto"/>
              <w:rPr>
                <w:b/>
                <w:kern w:val="0"/>
                <w:szCs w:val="21"/>
              </w:rPr>
            </w:pPr>
            <w:r>
              <w:rPr>
                <w:b/>
                <w:kern w:val="0"/>
                <w:szCs w:val="21"/>
              </w:rPr>
              <w:t>自然村</w:t>
            </w:r>
          </w:p>
        </w:tc>
        <w:tc>
          <w:tcPr>
            <w:tcW w:w="1636" w:type="dxa"/>
            <w:vMerge w:val="restart"/>
            <w:shd w:val="clear" w:color="auto" w:fill="auto"/>
            <w:vAlign w:val="center"/>
          </w:tcPr>
          <w:p>
            <w:pPr>
              <w:pStyle w:val="114"/>
              <w:spacing w:line="240" w:lineRule="auto"/>
              <w:rPr>
                <w:b/>
                <w:kern w:val="0"/>
                <w:szCs w:val="21"/>
              </w:rPr>
            </w:pPr>
            <w:r>
              <w:rPr>
                <w:b/>
                <w:kern w:val="0"/>
                <w:szCs w:val="21"/>
              </w:rPr>
              <w:t>污水</w:t>
            </w:r>
            <w:r>
              <w:rPr>
                <w:rFonts w:hint="eastAsia"/>
                <w:b/>
                <w:kern w:val="0"/>
                <w:szCs w:val="21"/>
              </w:rPr>
              <w:t>处理</w:t>
            </w:r>
            <w:r>
              <w:rPr>
                <w:b/>
                <w:kern w:val="0"/>
                <w:szCs w:val="21"/>
              </w:rPr>
              <w:t>量（m</w:t>
            </w:r>
            <w:r>
              <w:rPr>
                <w:b/>
                <w:kern w:val="0"/>
                <w:szCs w:val="21"/>
                <w:vertAlign w:val="superscript"/>
              </w:rPr>
              <w:t>3</w:t>
            </w:r>
            <w:r>
              <w:rPr>
                <w:b/>
                <w:kern w:val="0"/>
                <w:szCs w:val="21"/>
              </w:rPr>
              <w:t>/d）</w:t>
            </w:r>
          </w:p>
        </w:tc>
        <w:tc>
          <w:tcPr>
            <w:tcW w:w="1699" w:type="dxa"/>
            <w:vMerge w:val="restart"/>
            <w:shd w:val="clear" w:color="auto" w:fill="auto"/>
            <w:noWrap/>
            <w:vAlign w:val="center"/>
          </w:tcPr>
          <w:p>
            <w:pPr>
              <w:pStyle w:val="114"/>
              <w:spacing w:line="240" w:lineRule="auto"/>
              <w:rPr>
                <w:b/>
                <w:szCs w:val="22"/>
              </w:rPr>
            </w:pPr>
            <w:r>
              <w:rPr>
                <w:b/>
                <w:szCs w:val="22"/>
              </w:rPr>
              <w:t>净空尺寸（m）</w:t>
            </w:r>
          </w:p>
          <w:p>
            <w:pPr>
              <w:pStyle w:val="114"/>
              <w:spacing w:line="240" w:lineRule="auto"/>
              <w:rPr>
                <w:b/>
                <w:kern w:val="0"/>
                <w:szCs w:val="21"/>
              </w:rPr>
            </w:pPr>
            <w:r>
              <w:rPr>
                <w:b/>
              </w:rPr>
              <w:t>L×B</w:t>
            </w:r>
          </w:p>
        </w:tc>
        <w:tc>
          <w:tcPr>
            <w:tcW w:w="2582" w:type="dxa"/>
            <w:gridSpan w:val="2"/>
            <w:shd w:val="clear" w:color="auto" w:fill="auto"/>
            <w:vAlign w:val="center"/>
          </w:tcPr>
          <w:p>
            <w:pPr>
              <w:pStyle w:val="114"/>
              <w:spacing w:line="240" w:lineRule="auto"/>
              <w:rPr>
                <w:b/>
                <w:kern w:val="0"/>
                <w:szCs w:val="21"/>
              </w:rPr>
            </w:pPr>
            <w:r>
              <w:rPr>
                <w:rFonts w:hint="eastAsia"/>
                <w:b/>
                <w:kern w:val="0"/>
                <w:szCs w:val="21"/>
              </w:rPr>
              <w:t>植物（株）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vMerge w:val="continue"/>
            <w:vAlign w:val="center"/>
          </w:tcPr>
          <w:p>
            <w:pPr>
              <w:pStyle w:val="114"/>
              <w:spacing w:line="240" w:lineRule="auto"/>
              <w:rPr>
                <w:b/>
                <w:kern w:val="0"/>
                <w:szCs w:val="21"/>
              </w:rPr>
            </w:pPr>
          </w:p>
        </w:tc>
        <w:tc>
          <w:tcPr>
            <w:tcW w:w="1276" w:type="dxa"/>
            <w:vMerge w:val="continue"/>
            <w:vAlign w:val="center"/>
          </w:tcPr>
          <w:p>
            <w:pPr>
              <w:pStyle w:val="114"/>
              <w:spacing w:line="240" w:lineRule="auto"/>
              <w:rPr>
                <w:b/>
                <w:kern w:val="0"/>
                <w:szCs w:val="21"/>
              </w:rPr>
            </w:pPr>
          </w:p>
        </w:tc>
        <w:tc>
          <w:tcPr>
            <w:tcW w:w="1636" w:type="dxa"/>
            <w:vMerge w:val="continue"/>
            <w:vAlign w:val="center"/>
          </w:tcPr>
          <w:p>
            <w:pPr>
              <w:pStyle w:val="114"/>
              <w:spacing w:line="240" w:lineRule="auto"/>
              <w:rPr>
                <w:b/>
                <w:kern w:val="0"/>
                <w:szCs w:val="21"/>
              </w:rPr>
            </w:pPr>
          </w:p>
        </w:tc>
        <w:tc>
          <w:tcPr>
            <w:tcW w:w="1699" w:type="dxa"/>
            <w:vMerge w:val="continue"/>
            <w:shd w:val="clear" w:color="auto" w:fill="auto"/>
            <w:noWrap/>
            <w:vAlign w:val="center"/>
          </w:tcPr>
          <w:p>
            <w:pPr>
              <w:pStyle w:val="114"/>
              <w:spacing w:line="240" w:lineRule="auto"/>
              <w:rPr>
                <w:b/>
                <w:kern w:val="0"/>
                <w:szCs w:val="21"/>
              </w:rPr>
            </w:pPr>
          </w:p>
        </w:tc>
        <w:tc>
          <w:tcPr>
            <w:tcW w:w="1284" w:type="dxa"/>
            <w:shd w:val="clear" w:color="auto" w:fill="auto"/>
            <w:vAlign w:val="center"/>
          </w:tcPr>
          <w:p>
            <w:pPr>
              <w:pStyle w:val="114"/>
              <w:spacing w:line="240" w:lineRule="auto"/>
              <w:ind w:firstLine="114" w:firstLineChars="54"/>
              <w:rPr>
                <w:b/>
                <w:kern w:val="0"/>
                <w:szCs w:val="21"/>
              </w:rPr>
            </w:pPr>
            <w:r>
              <w:rPr>
                <w:b/>
                <w:kern w:val="0"/>
              </w:rPr>
              <w:t>再力花</w:t>
            </w:r>
          </w:p>
        </w:tc>
        <w:tc>
          <w:tcPr>
            <w:tcW w:w="1298" w:type="dxa"/>
            <w:shd w:val="clear" w:color="auto" w:fill="auto"/>
            <w:vAlign w:val="center"/>
          </w:tcPr>
          <w:p>
            <w:pPr>
              <w:pStyle w:val="114"/>
              <w:spacing w:line="240" w:lineRule="auto"/>
              <w:rPr>
                <w:b/>
                <w:kern w:val="0"/>
                <w:szCs w:val="21"/>
              </w:rPr>
            </w:pPr>
            <w:r>
              <w:rPr>
                <w:b/>
                <w:kern w:val="0"/>
              </w:rPr>
              <w:t>旱伞竹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vAlign w:val="center"/>
          </w:tcPr>
          <w:p>
            <w:pPr>
              <w:pStyle w:val="114"/>
              <w:spacing w:line="240" w:lineRule="auto"/>
              <w:rPr>
                <w:kern w:val="0"/>
                <w:szCs w:val="21"/>
              </w:rPr>
            </w:pPr>
            <w:r>
              <w:rPr>
                <w:rFonts w:hint="eastAsia"/>
                <w:kern w:val="0"/>
                <w:szCs w:val="21"/>
              </w:rPr>
              <w:t>1</w:t>
            </w:r>
          </w:p>
        </w:tc>
        <w:tc>
          <w:tcPr>
            <w:tcW w:w="1276" w:type="dxa"/>
            <w:vAlign w:val="center"/>
          </w:tcPr>
          <w:p>
            <w:pPr>
              <w:pStyle w:val="114"/>
              <w:spacing w:line="240" w:lineRule="auto"/>
              <w:rPr>
                <w:kern w:val="0"/>
                <w:szCs w:val="21"/>
              </w:rPr>
            </w:pPr>
            <w:r>
              <w:rPr>
                <w:rFonts w:hint="eastAsia"/>
                <w:kern w:val="0"/>
                <w:szCs w:val="21"/>
              </w:rPr>
              <w:t>户拉村</w:t>
            </w:r>
          </w:p>
        </w:tc>
        <w:tc>
          <w:tcPr>
            <w:tcW w:w="1636" w:type="dxa"/>
            <w:vAlign w:val="center"/>
          </w:tcPr>
          <w:p>
            <w:pPr>
              <w:pStyle w:val="114"/>
              <w:spacing w:line="240" w:lineRule="auto"/>
              <w:rPr>
                <w:kern w:val="0"/>
                <w:szCs w:val="21"/>
              </w:rPr>
            </w:pPr>
            <w:r>
              <w:rPr>
                <w:kern w:val="0"/>
                <w:szCs w:val="21"/>
              </w:rPr>
              <w:t>75</w:t>
            </w:r>
          </w:p>
        </w:tc>
        <w:tc>
          <w:tcPr>
            <w:tcW w:w="1699" w:type="dxa"/>
            <w:shd w:val="clear" w:color="auto" w:fill="auto"/>
            <w:noWrap/>
            <w:vAlign w:val="center"/>
          </w:tcPr>
          <w:p>
            <w:pPr>
              <w:pStyle w:val="114"/>
              <w:spacing w:line="240" w:lineRule="auto"/>
              <w:rPr>
                <w:kern w:val="0"/>
                <w:szCs w:val="21"/>
              </w:rPr>
            </w:pPr>
            <w:r>
              <w:rPr>
                <w:rFonts w:hint="eastAsia"/>
                <w:kern w:val="0"/>
                <w:szCs w:val="21"/>
              </w:rPr>
              <w:t>15</w:t>
            </w:r>
            <w:r>
              <w:rPr>
                <w:kern w:val="0"/>
                <w:szCs w:val="21"/>
              </w:rPr>
              <w:t>×</w:t>
            </w:r>
            <w:r>
              <w:rPr>
                <w:rFonts w:hint="eastAsia"/>
                <w:kern w:val="0"/>
                <w:szCs w:val="21"/>
              </w:rPr>
              <w:t>8</w:t>
            </w:r>
          </w:p>
        </w:tc>
        <w:tc>
          <w:tcPr>
            <w:tcW w:w="1284" w:type="dxa"/>
            <w:shd w:val="clear" w:color="auto" w:fill="auto"/>
            <w:vAlign w:val="center"/>
          </w:tcPr>
          <w:p>
            <w:pPr>
              <w:pStyle w:val="114"/>
              <w:rPr>
                <w:rFonts w:ascii="宋体" w:hAnsi="宋体" w:eastAsia="宋体" w:cs="宋体"/>
                <w:sz w:val="22"/>
                <w:szCs w:val="22"/>
              </w:rPr>
            </w:pPr>
            <w:r>
              <w:rPr>
                <w:rFonts w:hint="eastAsia"/>
                <w:sz w:val="22"/>
                <w:szCs w:val="22"/>
              </w:rPr>
              <w:t>480</w:t>
            </w:r>
          </w:p>
        </w:tc>
        <w:tc>
          <w:tcPr>
            <w:tcW w:w="1298" w:type="dxa"/>
            <w:shd w:val="clear" w:color="auto" w:fill="auto"/>
            <w:vAlign w:val="center"/>
          </w:tcPr>
          <w:p>
            <w:pPr>
              <w:pStyle w:val="114"/>
              <w:rPr>
                <w:rFonts w:ascii="宋体" w:hAnsi="宋体" w:eastAsia="宋体" w:cs="宋体"/>
                <w:sz w:val="22"/>
                <w:szCs w:val="22"/>
              </w:rPr>
            </w:pPr>
            <w:r>
              <w:rPr>
                <w:rFonts w:hint="eastAsia"/>
                <w:sz w:val="22"/>
                <w:szCs w:val="22"/>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shd w:val="clear" w:color="auto" w:fill="auto"/>
            <w:vAlign w:val="center"/>
          </w:tcPr>
          <w:p>
            <w:pPr>
              <w:pStyle w:val="114"/>
              <w:spacing w:line="240" w:lineRule="auto"/>
              <w:rPr>
                <w:kern w:val="0"/>
                <w:szCs w:val="21"/>
              </w:rPr>
            </w:pPr>
            <w:r>
              <w:rPr>
                <w:rFonts w:hint="eastAsia"/>
                <w:kern w:val="0"/>
                <w:szCs w:val="21"/>
              </w:rPr>
              <w:t>2</w:t>
            </w:r>
          </w:p>
        </w:tc>
        <w:tc>
          <w:tcPr>
            <w:tcW w:w="1276" w:type="dxa"/>
            <w:shd w:val="clear" w:color="auto" w:fill="auto"/>
            <w:vAlign w:val="center"/>
          </w:tcPr>
          <w:p>
            <w:pPr>
              <w:pStyle w:val="114"/>
              <w:spacing w:line="240" w:lineRule="auto"/>
              <w:rPr>
                <w:kern w:val="0"/>
                <w:szCs w:val="21"/>
              </w:rPr>
            </w:pPr>
            <w:r>
              <w:rPr>
                <w:rFonts w:hint="eastAsia"/>
                <w:kern w:val="0"/>
                <w:szCs w:val="21"/>
              </w:rPr>
              <w:t>芒瓦村</w:t>
            </w:r>
          </w:p>
        </w:tc>
        <w:tc>
          <w:tcPr>
            <w:tcW w:w="1636" w:type="dxa"/>
            <w:shd w:val="clear" w:color="auto" w:fill="auto"/>
            <w:noWrap/>
            <w:vAlign w:val="center"/>
          </w:tcPr>
          <w:p>
            <w:pPr>
              <w:pStyle w:val="114"/>
              <w:spacing w:line="240" w:lineRule="auto"/>
              <w:rPr>
                <w:kern w:val="0"/>
                <w:szCs w:val="21"/>
              </w:rPr>
            </w:pPr>
            <w:r>
              <w:rPr>
                <w:rFonts w:hint="eastAsia"/>
                <w:kern w:val="0"/>
                <w:szCs w:val="21"/>
              </w:rPr>
              <w:t>40</w:t>
            </w:r>
          </w:p>
        </w:tc>
        <w:tc>
          <w:tcPr>
            <w:tcW w:w="1699" w:type="dxa"/>
            <w:shd w:val="clear" w:color="auto" w:fill="auto"/>
            <w:noWrap/>
            <w:vAlign w:val="center"/>
          </w:tcPr>
          <w:p>
            <w:pPr>
              <w:pStyle w:val="114"/>
              <w:spacing w:line="240" w:lineRule="auto"/>
              <w:rPr>
                <w:kern w:val="0"/>
                <w:szCs w:val="21"/>
              </w:rPr>
            </w:pPr>
            <w:r>
              <w:rPr>
                <w:rFonts w:hint="eastAsia"/>
                <w:kern w:val="0"/>
                <w:szCs w:val="21"/>
              </w:rPr>
              <w:t>17</w:t>
            </w:r>
            <w:r>
              <w:rPr>
                <w:kern w:val="0"/>
                <w:szCs w:val="21"/>
              </w:rPr>
              <w:t>×</w:t>
            </w:r>
            <w:r>
              <w:rPr>
                <w:rFonts w:hint="eastAsia"/>
                <w:kern w:val="0"/>
                <w:szCs w:val="21"/>
              </w:rPr>
              <w:t>5</w:t>
            </w:r>
          </w:p>
        </w:tc>
        <w:tc>
          <w:tcPr>
            <w:tcW w:w="1284" w:type="dxa"/>
            <w:shd w:val="clear" w:color="auto" w:fill="auto"/>
            <w:vAlign w:val="center"/>
          </w:tcPr>
          <w:p>
            <w:pPr>
              <w:pStyle w:val="114"/>
              <w:rPr>
                <w:rFonts w:ascii="宋体" w:hAnsi="宋体" w:eastAsia="宋体" w:cs="宋体"/>
                <w:sz w:val="22"/>
                <w:szCs w:val="22"/>
              </w:rPr>
            </w:pPr>
            <w:r>
              <w:rPr>
                <w:rFonts w:hint="eastAsia"/>
                <w:sz w:val="22"/>
                <w:szCs w:val="22"/>
              </w:rPr>
              <w:t>340</w:t>
            </w:r>
          </w:p>
        </w:tc>
        <w:tc>
          <w:tcPr>
            <w:tcW w:w="1298" w:type="dxa"/>
            <w:shd w:val="clear" w:color="auto" w:fill="auto"/>
            <w:vAlign w:val="center"/>
          </w:tcPr>
          <w:p>
            <w:pPr>
              <w:pStyle w:val="114"/>
              <w:rPr>
                <w:rFonts w:ascii="宋体" w:hAnsi="宋体" w:eastAsia="宋体" w:cs="宋体"/>
                <w:sz w:val="22"/>
                <w:szCs w:val="22"/>
              </w:rPr>
            </w:pPr>
            <w:r>
              <w:rPr>
                <w:rFonts w:hint="eastAsia"/>
                <w:sz w:val="22"/>
                <w:szCs w:val="22"/>
              </w:rPr>
              <w:t>340</w:t>
            </w:r>
          </w:p>
        </w:tc>
      </w:tr>
    </w:tbl>
    <w:p>
      <w:pPr>
        <w:ind w:firstLine="480"/>
        <w:rPr>
          <w:rFonts w:cs="Times New Roman"/>
          <w:color w:val="auto"/>
          <w:kern w:val="0"/>
        </w:rPr>
      </w:pPr>
    </w:p>
    <w:p>
      <w:pPr>
        <w:pStyle w:val="5"/>
      </w:pPr>
      <w:bookmarkStart w:id="244" w:name="_Toc48640765"/>
      <w:bookmarkStart w:id="245" w:name="_Toc36126958"/>
      <w:r>
        <w:t>污水处理站平面及高程设计</w:t>
      </w:r>
      <w:bookmarkEnd w:id="244"/>
      <w:bookmarkEnd w:id="245"/>
    </w:p>
    <w:p>
      <w:pPr>
        <w:pStyle w:val="116"/>
        <w:rPr>
          <w:color w:val="auto"/>
        </w:rPr>
      </w:pPr>
      <w:r>
        <w:rPr>
          <w:color w:val="auto"/>
        </w:rPr>
        <w:t>设计依据及原则</w:t>
      </w:r>
    </w:p>
    <w:p>
      <w:pPr>
        <w:ind w:firstLine="480"/>
        <w:rPr>
          <w:rFonts w:cs="Times New Roman"/>
          <w:color w:val="auto"/>
          <w:kern w:val="0"/>
        </w:rPr>
      </w:pPr>
      <w:r>
        <w:rPr>
          <w:rFonts w:cs="Times New Roman"/>
          <w:color w:val="auto"/>
          <w:kern w:val="0"/>
        </w:rPr>
        <w:t>1、站区总平面布置遵循如下原则：</w:t>
      </w:r>
    </w:p>
    <w:p>
      <w:pPr>
        <w:ind w:firstLine="480"/>
        <w:rPr>
          <w:rFonts w:cs="Times New Roman"/>
          <w:color w:val="auto"/>
          <w:kern w:val="0"/>
        </w:rPr>
      </w:pPr>
      <w:r>
        <w:rPr>
          <w:rFonts w:cs="Times New Roman"/>
          <w:color w:val="auto"/>
          <w:kern w:val="0"/>
        </w:rPr>
        <w:t>（1）功能分区明确，构筑物布置紧凑，减少占地面积。</w:t>
      </w:r>
    </w:p>
    <w:p>
      <w:pPr>
        <w:ind w:firstLine="480"/>
        <w:rPr>
          <w:rFonts w:cs="Times New Roman"/>
          <w:color w:val="auto"/>
          <w:kern w:val="0"/>
        </w:rPr>
      </w:pPr>
      <w:r>
        <w:rPr>
          <w:rFonts w:cs="Times New Roman"/>
          <w:color w:val="auto"/>
          <w:kern w:val="0"/>
        </w:rPr>
        <w:t>（2）流程力求简短、顺畅，避免迂回重复。</w:t>
      </w:r>
    </w:p>
    <w:p>
      <w:pPr>
        <w:ind w:firstLine="480"/>
        <w:rPr>
          <w:rFonts w:cs="Times New Roman"/>
          <w:color w:val="auto"/>
          <w:kern w:val="0"/>
        </w:rPr>
      </w:pPr>
      <w:r>
        <w:rPr>
          <w:rFonts w:cs="Times New Roman"/>
          <w:color w:val="auto"/>
          <w:kern w:val="0"/>
        </w:rPr>
        <w:t>（3）考虑近远期结合，便于分期建设</w:t>
      </w:r>
    </w:p>
    <w:p>
      <w:pPr>
        <w:ind w:firstLine="480"/>
        <w:rPr>
          <w:rFonts w:cs="Times New Roman"/>
          <w:color w:val="auto"/>
          <w:kern w:val="0"/>
        </w:rPr>
      </w:pPr>
      <w:r>
        <w:rPr>
          <w:rFonts w:cs="Times New Roman"/>
          <w:color w:val="auto"/>
          <w:kern w:val="0"/>
        </w:rPr>
        <w:t>（4）总平面布置满足消防要求。</w:t>
      </w:r>
    </w:p>
    <w:p>
      <w:pPr>
        <w:ind w:firstLine="480"/>
        <w:rPr>
          <w:rFonts w:cs="Times New Roman"/>
          <w:color w:val="auto"/>
          <w:kern w:val="0"/>
        </w:rPr>
      </w:pPr>
      <w:r>
        <w:rPr>
          <w:rFonts w:cs="Times New Roman"/>
          <w:color w:val="auto"/>
          <w:kern w:val="0"/>
        </w:rPr>
        <w:t>（5）交通顺畅，便于管理。</w:t>
      </w:r>
    </w:p>
    <w:p>
      <w:pPr>
        <w:ind w:firstLine="480"/>
        <w:rPr>
          <w:rFonts w:cs="Times New Roman"/>
          <w:color w:val="auto"/>
          <w:kern w:val="0"/>
        </w:rPr>
      </w:pPr>
      <w:r>
        <w:rPr>
          <w:rFonts w:cs="Times New Roman"/>
          <w:color w:val="auto"/>
          <w:kern w:val="0"/>
        </w:rPr>
        <w:t>本设计在满足工艺要求前提下，本着降低工程造价、降低污水站占地面积的原则，进行站平面布置。</w:t>
      </w:r>
    </w:p>
    <w:p>
      <w:pPr>
        <w:pStyle w:val="116"/>
        <w:rPr>
          <w:color w:val="auto"/>
        </w:rPr>
      </w:pPr>
      <w:r>
        <w:rPr>
          <w:rFonts w:hint="eastAsia"/>
          <w:color w:val="auto"/>
        </w:rPr>
        <w:t>污水处理系统</w:t>
      </w:r>
      <w:r>
        <w:rPr>
          <w:color w:val="auto"/>
        </w:rPr>
        <w:t>平面设计</w:t>
      </w:r>
    </w:p>
    <w:p>
      <w:pPr>
        <w:ind w:firstLine="480"/>
        <w:rPr>
          <w:rFonts w:cs="Times New Roman"/>
          <w:color w:val="auto"/>
          <w:kern w:val="0"/>
        </w:rPr>
      </w:pPr>
      <w:r>
        <w:rPr>
          <w:rFonts w:hint="eastAsia" w:cs="Times New Roman"/>
          <w:color w:val="auto"/>
          <w:kern w:val="0"/>
        </w:rPr>
        <w:t>各村污水处理系统选址条件不同，布置条件不同，各污水处理系统平面布置详见设计图纸。总体上，</w:t>
      </w:r>
      <w:r>
        <w:rPr>
          <w:rFonts w:cs="Times New Roman"/>
          <w:color w:val="auto"/>
          <w:kern w:val="0"/>
        </w:rPr>
        <w:t>污水</w:t>
      </w:r>
      <w:r>
        <w:rPr>
          <w:rFonts w:hint="eastAsia" w:cs="Times New Roman"/>
          <w:color w:val="auto"/>
          <w:kern w:val="0"/>
        </w:rPr>
        <w:t>站</w:t>
      </w:r>
      <w:r>
        <w:rPr>
          <w:rFonts w:cs="Times New Roman"/>
          <w:color w:val="auto"/>
          <w:kern w:val="0"/>
        </w:rPr>
        <w:t>在</w:t>
      </w:r>
      <w:r>
        <w:rPr>
          <w:rFonts w:hint="eastAsia" w:cs="Times New Roman"/>
          <w:color w:val="auto"/>
          <w:kern w:val="0"/>
        </w:rPr>
        <w:t>征、租地</w:t>
      </w:r>
      <w:r>
        <w:rPr>
          <w:rFonts w:cs="Times New Roman"/>
          <w:color w:val="auto"/>
          <w:kern w:val="0"/>
        </w:rPr>
        <w:t>的红线内布置，站内按功能分为预处理区、</w:t>
      </w:r>
      <w:r>
        <w:rPr>
          <w:rFonts w:hint="eastAsia" w:cs="Times New Roman"/>
          <w:color w:val="auto"/>
          <w:kern w:val="0"/>
        </w:rPr>
        <w:t>接触氧化池系统、碎石滤床处理</w:t>
      </w:r>
      <w:r>
        <w:rPr>
          <w:rFonts w:cs="Times New Roman"/>
          <w:color w:val="auto"/>
          <w:kern w:val="0"/>
        </w:rPr>
        <w:t>区，结合地形和工艺流程要求，</w:t>
      </w:r>
      <w:r>
        <w:rPr>
          <w:rFonts w:hint="eastAsia" w:cs="Times New Roman"/>
          <w:color w:val="auto"/>
          <w:kern w:val="0"/>
        </w:rPr>
        <w:t>合理布置各功能区位置</w:t>
      </w:r>
      <w:r>
        <w:rPr>
          <w:rFonts w:cs="Times New Roman"/>
          <w:color w:val="auto"/>
          <w:kern w:val="0"/>
        </w:rPr>
        <w:t>。出水</w:t>
      </w:r>
      <w:r>
        <w:rPr>
          <w:rFonts w:hint="eastAsia" w:cs="Times New Roman"/>
          <w:color w:val="auto"/>
          <w:kern w:val="0"/>
        </w:rPr>
        <w:t>位置应方面出水排入</w:t>
      </w:r>
      <w:r>
        <w:rPr>
          <w:rFonts w:cs="Times New Roman"/>
          <w:color w:val="auto"/>
          <w:kern w:val="0"/>
        </w:rPr>
        <w:t>的农灌沟。</w:t>
      </w:r>
    </w:p>
    <w:p>
      <w:pPr>
        <w:ind w:firstLine="480"/>
        <w:rPr>
          <w:rFonts w:cs="Times New Roman"/>
          <w:color w:val="auto"/>
          <w:kern w:val="0"/>
        </w:rPr>
      </w:pPr>
      <w:r>
        <w:rPr>
          <w:rFonts w:hint="eastAsia" w:cs="Times New Roman"/>
          <w:color w:val="auto"/>
          <w:kern w:val="0"/>
        </w:rPr>
        <w:t>污水处理系统详见各处理站平面布置图。</w:t>
      </w:r>
    </w:p>
    <w:p>
      <w:pPr>
        <w:pStyle w:val="112"/>
        <w:rPr>
          <w:color w:val="auto"/>
          <w:kern w:val="0"/>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rFonts w:hint="eastAsia"/>
          <w:color w:val="auto"/>
        </w:rPr>
        <w:t xml:space="preserve"> 污水处理系统占地统计表</w:t>
      </w:r>
    </w:p>
    <w:tbl>
      <w:tblPr>
        <w:tblStyle w:val="88"/>
        <w:tblW w:w="7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252"/>
        <w:gridCol w:w="2329"/>
        <w:gridCol w:w="2192"/>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80" w:type="dxa"/>
            <w:shd w:val="clear" w:color="auto" w:fill="auto"/>
            <w:vAlign w:val="center"/>
          </w:tcPr>
          <w:p>
            <w:pPr>
              <w:pStyle w:val="114"/>
              <w:spacing w:line="240" w:lineRule="auto"/>
              <w:rPr>
                <w:b/>
                <w:kern w:val="0"/>
                <w:szCs w:val="21"/>
              </w:rPr>
            </w:pPr>
            <w:r>
              <w:rPr>
                <w:b/>
                <w:kern w:val="0"/>
                <w:szCs w:val="21"/>
              </w:rPr>
              <w:t>序号</w:t>
            </w:r>
          </w:p>
        </w:tc>
        <w:tc>
          <w:tcPr>
            <w:tcW w:w="1252" w:type="dxa"/>
            <w:shd w:val="clear" w:color="auto" w:fill="auto"/>
            <w:vAlign w:val="center"/>
          </w:tcPr>
          <w:p>
            <w:pPr>
              <w:pStyle w:val="114"/>
              <w:spacing w:line="240" w:lineRule="auto"/>
              <w:rPr>
                <w:b/>
                <w:kern w:val="0"/>
                <w:szCs w:val="21"/>
              </w:rPr>
            </w:pPr>
            <w:r>
              <w:rPr>
                <w:b/>
                <w:kern w:val="0"/>
                <w:szCs w:val="21"/>
              </w:rPr>
              <w:t>自然村</w:t>
            </w:r>
          </w:p>
        </w:tc>
        <w:tc>
          <w:tcPr>
            <w:tcW w:w="2329" w:type="dxa"/>
            <w:shd w:val="clear" w:color="auto" w:fill="auto"/>
            <w:vAlign w:val="center"/>
          </w:tcPr>
          <w:p>
            <w:pPr>
              <w:pStyle w:val="114"/>
              <w:spacing w:line="240" w:lineRule="auto"/>
              <w:rPr>
                <w:b/>
                <w:kern w:val="0"/>
                <w:szCs w:val="21"/>
              </w:rPr>
            </w:pPr>
            <w:r>
              <w:rPr>
                <w:b/>
                <w:kern w:val="0"/>
                <w:szCs w:val="21"/>
              </w:rPr>
              <w:t>污水</w:t>
            </w:r>
            <w:r>
              <w:rPr>
                <w:rFonts w:hint="eastAsia"/>
                <w:b/>
                <w:kern w:val="0"/>
                <w:szCs w:val="21"/>
              </w:rPr>
              <w:t>处理</w:t>
            </w:r>
            <w:r>
              <w:rPr>
                <w:b/>
                <w:kern w:val="0"/>
                <w:szCs w:val="21"/>
              </w:rPr>
              <w:t>量（m</w:t>
            </w:r>
            <w:r>
              <w:rPr>
                <w:b/>
                <w:kern w:val="0"/>
                <w:szCs w:val="21"/>
                <w:vertAlign w:val="superscript"/>
              </w:rPr>
              <w:t>3</w:t>
            </w:r>
            <w:r>
              <w:rPr>
                <w:b/>
                <w:kern w:val="0"/>
                <w:szCs w:val="21"/>
              </w:rPr>
              <w:t>/d）</w:t>
            </w:r>
          </w:p>
        </w:tc>
        <w:tc>
          <w:tcPr>
            <w:tcW w:w="2192" w:type="dxa"/>
            <w:shd w:val="clear" w:color="auto" w:fill="auto"/>
            <w:noWrap/>
            <w:vAlign w:val="center"/>
          </w:tcPr>
          <w:p>
            <w:pPr>
              <w:pStyle w:val="114"/>
              <w:spacing w:line="240" w:lineRule="auto"/>
              <w:rPr>
                <w:b/>
                <w:kern w:val="0"/>
                <w:szCs w:val="21"/>
              </w:rPr>
            </w:pPr>
            <w:r>
              <w:rPr>
                <w:b/>
                <w:kern w:val="0"/>
                <w:szCs w:val="21"/>
              </w:rPr>
              <w:t>占地面积（m</w:t>
            </w:r>
            <w:r>
              <w:rPr>
                <w:b/>
                <w:kern w:val="0"/>
                <w:szCs w:val="21"/>
                <w:vertAlign w:val="superscript"/>
              </w:rPr>
              <w:t>2</w:t>
            </w:r>
            <w:r>
              <w:rPr>
                <w:b/>
                <w:kern w:val="0"/>
                <w:szCs w:val="21"/>
              </w:rPr>
              <w:t>）</w:t>
            </w:r>
          </w:p>
        </w:tc>
        <w:tc>
          <w:tcPr>
            <w:tcW w:w="1101" w:type="dxa"/>
            <w:shd w:val="clear" w:color="auto" w:fill="auto"/>
            <w:noWrap/>
            <w:vAlign w:val="center"/>
          </w:tcPr>
          <w:p>
            <w:pPr>
              <w:pStyle w:val="114"/>
              <w:spacing w:line="240" w:lineRule="auto"/>
              <w:rPr>
                <w:b/>
                <w:kern w:val="0"/>
                <w:szCs w:val="21"/>
              </w:rPr>
            </w:pPr>
            <w:r>
              <w:rPr>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80" w:type="dxa"/>
            <w:shd w:val="clear" w:color="auto" w:fill="auto"/>
            <w:vAlign w:val="center"/>
          </w:tcPr>
          <w:p>
            <w:pPr>
              <w:pStyle w:val="114"/>
              <w:spacing w:line="240" w:lineRule="auto"/>
              <w:rPr>
                <w:kern w:val="0"/>
                <w:szCs w:val="21"/>
              </w:rPr>
            </w:pPr>
            <w:r>
              <w:rPr>
                <w:rFonts w:hint="eastAsia"/>
                <w:kern w:val="0"/>
                <w:szCs w:val="21"/>
              </w:rPr>
              <w:t>1</w:t>
            </w:r>
          </w:p>
        </w:tc>
        <w:tc>
          <w:tcPr>
            <w:tcW w:w="1252" w:type="dxa"/>
            <w:shd w:val="clear" w:color="auto" w:fill="auto"/>
            <w:vAlign w:val="center"/>
          </w:tcPr>
          <w:p>
            <w:pPr>
              <w:pStyle w:val="114"/>
              <w:spacing w:line="240" w:lineRule="auto"/>
              <w:rPr>
                <w:kern w:val="0"/>
                <w:szCs w:val="21"/>
              </w:rPr>
            </w:pPr>
            <w:r>
              <w:rPr>
                <w:rFonts w:hint="eastAsia"/>
                <w:kern w:val="0"/>
                <w:szCs w:val="21"/>
              </w:rPr>
              <w:t>户拉村</w:t>
            </w:r>
          </w:p>
        </w:tc>
        <w:tc>
          <w:tcPr>
            <w:tcW w:w="2329" w:type="dxa"/>
            <w:shd w:val="clear" w:color="auto" w:fill="auto"/>
            <w:vAlign w:val="center"/>
          </w:tcPr>
          <w:p>
            <w:pPr>
              <w:pStyle w:val="114"/>
              <w:spacing w:line="240" w:lineRule="auto"/>
              <w:rPr>
                <w:kern w:val="0"/>
                <w:szCs w:val="21"/>
              </w:rPr>
            </w:pPr>
            <w:r>
              <w:rPr>
                <w:kern w:val="0"/>
                <w:szCs w:val="21"/>
              </w:rPr>
              <w:t>75</w:t>
            </w:r>
          </w:p>
        </w:tc>
        <w:tc>
          <w:tcPr>
            <w:tcW w:w="2192" w:type="dxa"/>
            <w:shd w:val="clear" w:color="auto" w:fill="auto"/>
            <w:noWrap/>
            <w:vAlign w:val="center"/>
          </w:tcPr>
          <w:p>
            <w:pPr>
              <w:pStyle w:val="114"/>
              <w:spacing w:line="240" w:lineRule="auto"/>
              <w:rPr>
                <w:szCs w:val="20"/>
              </w:rPr>
            </w:pPr>
            <w:r>
              <w:rPr>
                <w:rFonts w:hint="eastAsia"/>
              </w:rPr>
              <w:t>250</w:t>
            </w:r>
            <w:r>
              <w:rPr>
                <w:rFonts w:hint="eastAsia"/>
                <w:szCs w:val="22"/>
              </w:rPr>
              <w:t>　</w:t>
            </w:r>
          </w:p>
        </w:tc>
        <w:tc>
          <w:tcPr>
            <w:tcW w:w="1101" w:type="dxa"/>
            <w:shd w:val="clear" w:color="auto" w:fill="auto"/>
            <w:noWrap/>
            <w:vAlign w:val="center"/>
          </w:tcPr>
          <w:p>
            <w:pPr>
              <w:pStyle w:val="114"/>
              <w:spacing w:line="240" w:lineRule="auto"/>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shd w:val="clear" w:color="auto" w:fill="auto"/>
            <w:vAlign w:val="center"/>
          </w:tcPr>
          <w:p>
            <w:pPr>
              <w:pStyle w:val="114"/>
              <w:spacing w:line="240" w:lineRule="auto"/>
              <w:rPr>
                <w:kern w:val="0"/>
                <w:szCs w:val="21"/>
              </w:rPr>
            </w:pPr>
            <w:r>
              <w:rPr>
                <w:rFonts w:hint="eastAsia"/>
                <w:kern w:val="0"/>
                <w:szCs w:val="21"/>
              </w:rPr>
              <w:t>2</w:t>
            </w:r>
          </w:p>
        </w:tc>
        <w:tc>
          <w:tcPr>
            <w:tcW w:w="1252" w:type="dxa"/>
            <w:shd w:val="clear" w:color="auto" w:fill="auto"/>
            <w:vAlign w:val="center"/>
          </w:tcPr>
          <w:p>
            <w:pPr>
              <w:pStyle w:val="114"/>
              <w:spacing w:line="240" w:lineRule="auto"/>
              <w:rPr>
                <w:kern w:val="0"/>
                <w:szCs w:val="21"/>
              </w:rPr>
            </w:pPr>
            <w:r>
              <w:rPr>
                <w:rFonts w:hint="eastAsia"/>
                <w:kern w:val="0"/>
                <w:szCs w:val="21"/>
              </w:rPr>
              <w:t>芒瓦村</w:t>
            </w:r>
          </w:p>
        </w:tc>
        <w:tc>
          <w:tcPr>
            <w:tcW w:w="2329" w:type="dxa"/>
            <w:shd w:val="clear" w:color="auto" w:fill="auto"/>
            <w:noWrap/>
            <w:vAlign w:val="center"/>
          </w:tcPr>
          <w:p>
            <w:pPr>
              <w:pStyle w:val="114"/>
              <w:spacing w:line="240" w:lineRule="auto"/>
              <w:rPr>
                <w:kern w:val="0"/>
                <w:szCs w:val="21"/>
              </w:rPr>
            </w:pPr>
            <w:r>
              <w:rPr>
                <w:rFonts w:hint="eastAsia"/>
                <w:kern w:val="0"/>
                <w:szCs w:val="21"/>
              </w:rPr>
              <w:t>4</w:t>
            </w:r>
            <w:r>
              <w:rPr>
                <w:kern w:val="0"/>
                <w:szCs w:val="21"/>
              </w:rPr>
              <w:t>0</w:t>
            </w:r>
          </w:p>
        </w:tc>
        <w:tc>
          <w:tcPr>
            <w:tcW w:w="2192" w:type="dxa"/>
            <w:shd w:val="clear" w:color="auto" w:fill="auto"/>
            <w:noWrap/>
            <w:vAlign w:val="center"/>
          </w:tcPr>
          <w:p>
            <w:pPr>
              <w:pStyle w:val="114"/>
              <w:spacing w:line="240" w:lineRule="auto"/>
              <w:rPr>
                <w:szCs w:val="20"/>
              </w:rPr>
            </w:pPr>
            <w:r>
              <w:rPr>
                <w:rFonts w:hint="eastAsia"/>
              </w:rPr>
              <w:t>220</w:t>
            </w:r>
          </w:p>
        </w:tc>
        <w:tc>
          <w:tcPr>
            <w:tcW w:w="1101" w:type="dxa"/>
            <w:shd w:val="clear" w:color="auto" w:fill="auto"/>
            <w:noWrap/>
            <w:vAlign w:val="center"/>
          </w:tcPr>
          <w:p>
            <w:pPr>
              <w:pStyle w:val="114"/>
              <w:spacing w:line="240" w:lineRule="auto"/>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32" w:type="dxa"/>
            <w:gridSpan w:val="2"/>
            <w:shd w:val="clear" w:color="auto" w:fill="auto"/>
            <w:vAlign w:val="center"/>
          </w:tcPr>
          <w:p>
            <w:pPr>
              <w:pStyle w:val="114"/>
              <w:spacing w:line="240" w:lineRule="auto"/>
              <w:rPr>
                <w:kern w:val="0"/>
                <w:szCs w:val="21"/>
              </w:rPr>
            </w:pPr>
            <w:r>
              <w:rPr>
                <w:kern w:val="0"/>
                <w:szCs w:val="21"/>
              </w:rPr>
              <w:t>合计</w:t>
            </w:r>
          </w:p>
        </w:tc>
        <w:tc>
          <w:tcPr>
            <w:tcW w:w="2329" w:type="dxa"/>
            <w:shd w:val="clear" w:color="auto" w:fill="auto"/>
            <w:noWrap/>
            <w:vAlign w:val="center"/>
          </w:tcPr>
          <w:p>
            <w:pPr>
              <w:pStyle w:val="114"/>
              <w:spacing w:line="240" w:lineRule="auto"/>
              <w:rPr>
                <w:kern w:val="0"/>
                <w:szCs w:val="21"/>
              </w:rPr>
            </w:pPr>
            <w:r>
              <w:rPr>
                <w:rFonts w:hint="eastAsia"/>
                <w:kern w:val="0"/>
                <w:szCs w:val="21"/>
              </w:rPr>
              <w:t>115</w:t>
            </w:r>
          </w:p>
        </w:tc>
        <w:tc>
          <w:tcPr>
            <w:tcW w:w="2192" w:type="dxa"/>
            <w:shd w:val="clear" w:color="auto" w:fill="auto"/>
            <w:noWrap/>
            <w:vAlign w:val="center"/>
          </w:tcPr>
          <w:p>
            <w:pPr>
              <w:pStyle w:val="114"/>
              <w:spacing w:line="240" w:lineRule="auto"/>
              <w:rPr>
                <w:kern w:val="0"/>
                <w:szCs w:val="21"/>
              </w:rPr>
            </w:pPr>
            <w:r>
              <w:rPr>
                <w:rFonts w:hint="eastAsia"/>
                <w:kern w:val="0"/>
                <w:szCs w:val="21"/>
              </w:rPr>
              <w:t>470</w:t>
            </w:r>
          </w:p>
        </w:tc>
        <w:tc>
          <w:tcPr>
            <w:tcW w:w="1101" w:type="dxa"/>
            <w:shd w:val="clear" w:color="auto" w:fill="auto"/>
            <w:noWrap/>
            <w:vAlign w:val="center"/>
          </w:tcPr>
          <w:p>
            <w:pPr>
              <w:pStyle w:val="114"/>
              <w:spacing w:line="240" w:lineRule="auto"/>
              <w:rPr>
                <w:kern w:val="0"/>
                <w:szCs w:val="21"/>
              </w:rPr>
            </w:pPr>
          </w:p>
        </w:tc>
      </w:tr>
    </w:tbl>
    <w:p>
      <w:pPr>
        <w:ind w:firstLine="480"/>
        <w:rPr>
          <w:color w:val="auto"/>
          <w:kern w:val="0"/>
          <w:sz w:val="20"/>
          <w:szCs w:val="20"/>
        </w:rPr>
      </w:pPr>
      <w:r>
        <w:rPr>
          <w:rFonts w:hint="eastAsia"/>
          <w:color w:val="auto"/>
          <w:kern w:val="0"/>
        </w:rPr>
        <w:t>2套污水处理</w:t>
      </w:r>
      <w:r>
        <w:rPr>
          <w:color w:val="auto"/>
          <w:kern w:val="0"/>
        </w:rPr>
        <w:t>总占地面积</w:t>
      </w:r>
      <w:r>
        <w:rPr>
          <w:rFonts w:hint="eastAsia"/>
          <w:color w:val="auto"/>
          <w:kern w:val="0"/>
        </w:rPr>
        <w:t>470m</w:t>
      </w:r>
      <w:r>
        <w:rPr>
          <w:rFonts w:hint="eastAsia"/>
          <w:color w:val="auto"/>
          <w:kern w:val="0"/>
          <w:vertAlign w:val="superscript"/>
        </w:rPr>
        <w:t>2</w:t>
      </w:r>
      <w:r>
        <w:rPr>
          <w:rFonts w:hint="eastAsia"/>
          <w:color w:val="auto"/>
          <w:kern w:val="0"/>
        </w:rPr>
        <w:t>，合0.7</w:t>
      </w:r>
      <w:r>
        <w:rPr>
          <w:color w:val="auto"/>
          <w:kern w:val="0"/>
        </w:rPr>
        <w:t>亩</w:t>
      </w:r>
      <w:r>
        <w:rPr>
          <w:rFonts w:hint="eastAsia"/>
          <w:color w:val="auto"/>
          <w:kern w:val="0"/>
        </w:rPr>
        <w:t>。</w:t>
      </w:r>
    </w:p>
    <w:p>
      <w:pPr>
        <w:pStyle w:val="116"/>
        <w:rPr>
          <w:color w:val="auto"/>
          <w:kern w:val="0"/>
        </w:rPr>
      </w:pPr>
      <w:r>
        <w:rPr>
          <w:color w:val="auto"/>
          <w:kern w:val="0"/>
        </w:rPr>
        <w:t>高程设计</w:t>
      </w:r>
    </w:p>
    <w:p>
      <w:pPr>
        <w:ind w:firstLine="480"/>
        <w:rPr>
          <w:rFonts w:cs="Times New Roman"/>
          <w:color w:val="auto"/>
          <w:kern w:val="0"/>
        </w:rPr>
      </w:pPr>
      <w:r>
        <w:rPr>
          <w:rFonts w:cs="Times New Roman"/>
          <w:color w:val="auto"/>
          <w:kern w:val="0"/>
        </w:rPr>
        <w:t>1、设计地面标高</w:t>
      </w:r>
    </w:p>
    <w:p>
      <w:pPr>
        <w:ind w:firstLine="480"/>
        <w:rPr>
          <w:rFonts w:cs="Times New Roman"/>
          <w:color w:val="auto"/>
          <w:kern w:val="0"/>
          <w:sz w:val="20"/>
          <w:szCs w:val="20"/>
        </w:rPr>
      </w:pPr>
      <w:r>
        <w:rPr>
          <w:rFonts w:hint="eastAsia" w:cs="Times New Roman"/>
          <w:color w:val="auto"/>
          <w:kern w:val="0"/>
        </w:rPr>
        <w:t>各村污水处理系统选址条件不同，地形条件，</w:t>
      </w:r>
      <w:r>
        <w:rPr>
          <w:rFonts w:cs="Times New Roman"/>
          <w:color w:val="auto"/>
          <w:kern w:val="0"/>
        </w:rPr>
        <w:t>为减少挖方量，确定污水处理站地面为斜坡状，坡度与原地面坡度基本相同，构筑物水位标高。</w:t>
      </w:r>
      <w:r>
        <w:rPr>
          <w:rFonts w:cs="Times New Roman"/>
          <w:color w:val="auto"/>
          <w:kern w:val="0"/>
          <w:sz w:val="20"/>
          <w:szCs w:val="20"/>
        </w:rPr>
        <w:t xml:space="preserve"> </w:t>
      </w:r>
    </w:p>
    <w:p>
      <w:pPr>
        <w:ind w:firstLine="480"/>
        <w:rPr>
          <w:rFonts w:cs="Times New Roman"/>
          <w:color w:val="auto"/>
          <w:kern w:val="0"/>
        </w:rPr>
      </w:pPr>
      <w:r>
        <w:rPr>
          <w:rFonts w:cs="Times New Roman"/>
          <w:color w:val="auto"/>
          <w:kern w:val="0"/>
        </w:rPr>
        <w:t>2、污水处理构筑物高程</w:t>
      </w:r>
    </w:p>
    <w:p>
      <w:pPr>
        <w:ind w:firstLine="480"/>
        <w:rPr>
          <w:rFonts w:cs="Times New Roman"/>
          <w:color w:val="auto"/>
          <w:kern w:val="0"/>
        </w:rPr>
      </w:pPr>
      <w:r>
        <w:rPr>
          <w:rFonts w:cs="Times New Roman"/>
          <w:color w:val="auto"/>
          <w:kern w:val="0"/>
        </w:rPr>
        <w:t>污水处理设施</w:t>
      </w:r>
      <w:r>
        <w:rPr>
          <w:rFonts w:hint="eastAsia" w:cs="Times New Roman"/>
          <w:color w:val="auto"/>
          <w:kern w:val="0"/>
        </w:rPr>
        <w:t>应充分</w:t>
      </w:r>
      <w:r>
        <w:rPr>
          <w:rFonts w:cs="Times New Roman"/>
          <w:color w:val="auto"/>
          <w:kern w:val="0"/>
        </w:rPr>
        <w:t>利用自然地形高差，靠重力流经个处理构筑物，处理后出水自流排入农灌沟</w:t>
      </w:r>
      <w:r>
        <w:rPr>
          <w:rFonts w:hint="eastAsia" w:cs="Times New Roman"/>
          <w:color w:val="auto"/>
          <w:kern w:val="0"/>
        </w:rPr>
        <w:t>；但坝区地势平坦，部分污水处理系统前端设置抬升泵。</w:t>
      </w:r>
      <w:r>
        <w:rPr>
          <w:rFonts w:cs="Times New Roman"/>
          <w:color w:val="auto"/>
          <w:kern w:val="0"/>
        </w:rPr>
        <w:t>同时考虑开挖土方量及运行费用的综合比较确定。</w:t>
      </w:r>
    </w:p>
    <w:p>
      <w:pPr>
        <w:ind w:firstLine="480"/>
        <w:rPr>
          <w:rFonts w:cs="Times New Roman"/>
          <w:color w:val="auto"/>
          <w:kern w:val="0"/>
        </w:rPr>
      </w:pPr>
      <w:r>
        <w:rPr>
          <w:rFonts w:cs="Times New Roman"/>
          <w:color w:val="auto"/>
          <w:kern w:val="0"/>
        </w:rPr>
        <w:t>3、道路、管道布置</w:t>
      </w:r>
    </w:p>
    <w:p>
      <w:pPr>
        <w:ind w:firstLine="480"/>
        <w:rPr>
          <w:rFonts w:cs="Times New Roman"/>
          <w:color w:val="auto"/>
          <w:kern w:val="0"/>
        </w:rPr>
      </w:pPr>
      <w:r>
        <w:rPr>
          <w:rFonts w:cs="Times New Roman"/>
          <w:color w:val="auto"/>
          <w:kern w:val="0"/>
        </w:rPr>
        <w:t>（1）站区道路：</w:t>
      </w:r>
      <w:r>
        <w:rPr>
          <w:rFonts w:hint="eastAsia" w:cs="Times New Roman"/>
          <w:color w:val="auto"/>
          <w:kern w:val="0"/>
        </w:rPr>
        <w:t>各污水处理系统</w:t>
      </w:r>
      <w:r>
        <w:rPr>
          <w:rFonts w:cs="Times New Roman"/>
          <w:color w:val="auto"/>
          <w:kern w:val="0"/>
        </w:rPr>
        <w:t>无大型电机等较重设备，无大量剩余污泥等产生，只设置了人行便道，人行便道采用混凝土砖铺砌，可以通向每个构建筑物。</w:t>
      </w:r>
    </w:p>
    <w:p>
      <w:pPr>
        <w:ind w:firstLine="480"/>
        <w:rPr>
          <w:rFonts w:cs="Times New Roman"/>
          <w:color w:val="auto"/>
          <w:kern w:val="0"/>
        </w:rPr>
      </w:pPr>
      <w:r>
        <w:rPr>
          <w:rFonts w:cs="Times New Roman"/>
          <w:color w:val="auto"/>
          <w:kern w:val="0"/>
        </w:rPr>
        <w:t>（2）进厂道路：本站进厂道路为砼路面，道路宽</w:t>
      </w:r>
      <w:r>
        <w:rPr>
          <w:rFonts w:hint="eastAsia" w:cs="Times New Roman"/>
          <w:color w:val="auto"/>
          <w:kern w:val="0"/>
        </w:rPr>
        <w:t>3</w:t>
      </w:r>
      <w:r>
        <w:rPr>
          <w:rFonts w:cs="Times New Roman"/>
          <w:color w:val="auto"/>
          <w:kern w:val="0"/>
        </w:rPr>
        <w:t>米。</w:t>
      </w:r>
    </w:p>
    <w:p>
      <w:pPr>
        <w:ind w:firstLine="480"/>
        <w:rPr>
          <w:rFonts w:cs="Times New Roman"/>
          <w:color w:val="auto"/>
          <w:kern w:val="0"/>
        </w:rPr>
      </w:pPr>
      <w:r>
        <w:rPr>
          <w:rFonts w:cs="Times New Roman"/>
          <w:color w:val="auto"/>
          <w:kern w:val="0"/>
        </w:rPr>
        <w:t>（3）站内排水：站内构筑物放空管、溢流管的污水通过污水管道集中排放到指定地点，污水管道采用DN300 HDPE管</w:t>
      </w:r>
      <w:r>
        <w:rPr>
          <w:rFonts w:hint="eastAsia" w:cs="Times New Roman"/>
          <w:color w:val="auto"/>
          <w:kern w:val="0"/>
        </w:rPr>
        <w:t>；</w:t>
      </w:r>
      <w:r>
        <w:rPr>
          <w:rFonts w:cs="Times New Roman"/>
          <w:color w:val="auto"/>
          <w:kern w:val="0"/>
        </w:rPr>
        <w:t>雨水：</w:t>
      </w:r>
      <w:r>
        <w:rPr>
          <w:rFonts w:hint="eastAsia" w:cs="Times New Roman"/>
          <w:color w:val="auto"/>
          <w:kern w:val="0"/>
        </w:rPr>
        <w:t>依靠</w:t>
      </w:r>
      <w:r>
        <w:rPr>
          <w:rFonts w:cs="Times New Roman"/>
          <w:color w:val="auto"/>
          <w:kern w:val="0"/>
        </w:rPr>
        <w:t>站内绿化入渗地下</w:t>
      </w:r>
      <w:r>
        <w:rPr>
          <w:rFonts w:hint="eastAsia" w:cs="Times New Roman"/>
          <w:color w:val="auto"/>
          <w:kern w:val="0"/>
        </w:rPr>
        <w:t>和站内</w:t>
      </w:r>
      <w:r>
        <w:rPr>
          <w:rFonts w:cs="Times New Roman"/>
          <w:color w:val="auto"/>
          <w:kern w:val="0"/>
        </w:rPr>
        <w:t>坡度沿地势排入下游农灌沟。</w:t>
      </w:r>
    </w:p>
    <w:p>
      <w:pPr>
        <w:pStyle w:val="5"/>
      </w:pPr>
      <w:bookmarkStart w:id="246" w:name="_Toc36126959"/>
      <w:bookmarkStart w:id="247" w:name="_Toc48640766"/>
      <w:r>
        <w:t>结构设计</w:t>
      </w:r>
      <w:bookmarkEnd w:id="246"/>
      <w:bookmarkEnd w:id="247"/>
    </w:p>
    <w:p>
      <w:pPr>
        <w:pStyle w:val="116"/>
        <w:rPr>
          <w:color w:val="auto"/>
        </w:rPr>
      </w:pPr>
      <w:r>
        <w:rPr>
          <w:color w:val="auto"/>
        </w:rPr>
        <w:t>设计依据</w:t>
      </w:r>
    </w:p>
    <w:p>
      <w:pPr>
        <w:ind w:firstLine="480"/>
        <w:rPr>
          <w:rFonts w:cs="Times New Roman"/>
          <w:color w:val="auto"/>
          <w:kern w:val="0"/>
        </w:rPr>
      </w:pPr>
      <w:r>
        <w:rPr>
          <w:rFonts w:cs="Times New Roman"/>
          <w:color w:val="auto"/>
          <w:kern w:val="0"/>
        </w:rPr>
        <w:t>（1）《建筑结构可靠度设计统一标准》（GB 50068-2001）；</w:t>
      </w:r>
    </w:p>
    <w:p>
      <w:pPr>
        <w:ind w:firstLine="480"/>
        <w:rPr>
          <w:rFonts w:cs="Times New Roman"/>
          <w:color w:val="auto"/>
          <w:kern w:val="0"/>
        </w:rPr>
      </w:pPr>
      <w:r>
        <w:rPr>
          <w:rFonts w:cs="Times New Roman"/>
          <w:color w:val="auto"/>
          <w:kern w:val="0"/>
        </w:rPr>
        <w:t>（2）《砌体结构设计规范》（GB 50003-2001）；</w:t>
      </w:r>
    </w:p>
    <w:p>
      <w:pPr>
        <w:ind w:firstLine="480"/>
        <w:rPr>
          <w:rFonts w:cs="Times New Roman"/>
          <w:color w:val="auto"/>
          <w:kern w:val="0"/>
        </w:rPr>
      </w:pPr>
      <w:r>
        <w:rPr>
          <w:rFonts w:cs="Times New Roman"/>
          <w:color w:val="auto"/>
          <w:kern w:val="0"/>
        </w:rPr>
        <w:t>（3）《建筑地基基础设计规范》（GB 50007-2002）；</w:t>
      </w:r>
    </w:p>
    <w:p>
      <w:pPr>
        <w:ind w:firstLine="480"/>
        <w:rPr>
          <w:rFonts w:cs="Times New Roman"/>
          <w:color w:val="auto"/>
          <w:kern w:val="0"/>
        </w:rPr>
      </w:pPr>
      <w:r>
        <w:rPr>
          <w:rFonts w:cs="Times New Roman"/>
          <w:color w:val="auto"/>
          <w:kern w:val="0"/>
        </w:rPr>
        <w:t>（4）《建筑结构荷载规范》（GB 50009-2001）（2006 年版）；</w:t>
      </w:r>
    </w:p>
    <w:p>
      <w:pPr>
        <w:ind w:firstLine="480"/>
        <w:rPr>
          <w:rFonts w:cs="Times New Roman"/>
          <w:color w:val="auto"/>
          <w:kern w:val="0"/>
        </w:rPr>
      </w:pPr>
      <w:r>
        <w:rPr>
          <w:rFonts w:cs="Times New Roman"/>
          <w:color w:val="auto"/>
          <w:kern w:val="0"/>
        </w:rPr>
        <w:t>（5）《混凝土结构设计规范》（GB 50010-2010）；</w:t>
      </w:r>
    </w:p>
    <w:p>
      <w:pPr>
        <w:ind w:firstLine="480"/>
        <w:rPr>
          <w:rFonts w:cs="Times New Roman"/>
          <w:color w:val="auto"/>
          <w:kern w:val="0"/>
        </w:rPr>
      </w:pPr>
      <w:r>
        <w:rPr>
          <w:rFonts w:cs="Times New Roman"/>
          <w:color w:val="auto"/>
          <w:kern w:val="0"/>
        </w:rPr>
        <w:t>（6）《建筑抗震设计规范》（GB 50011-2010）；</w:t>
      </w:r>
    </w:p>
    <w:p>
      <w:pPr>
        <w:ind w:firstLine="480"/>
        <w:rPr>
          <w:rFonts w:cs="Times New Roman"/>
          <w:color w:val="auto"/>
          <w:kern w:val="0"/>
        </w:rPr>
      </w:pPr>
      <w:r>
        <w:rPr>
          <w:rFonts w:cs="Times New Roman"/>
          <w:color w:val="auto"/>
          <w:kern w:val="0"/>
        </w:rPr>
        <w:t>（7）《给排水工程构筑物结构设计规范》（GB 50069-2002）；</w:t>
      </w:r>
    </w:p>
    <w:p>
      <w:pPr>
        <w:ind w:firstLine="480"/>
        <w:rPr>
          <w:rFonts w:cs="Times New Roman"/>
          <w:color w:val="auto"/>
          <w:kern w:val="0"/>
        </w:rPr>
      </w:pPr>
      <w:r>
        <w:rPr>
          <w:rFonts w:cs="Times New Roman"/>
          <w:color w:val="auto"/>
          <w:kern w:val="0"/>
        </w:rPr>
        <w:t>（8）《建筑工程抗震设防分类标准》（GB 50223-2008）；</w:t>
      </w:r>
    </w:p>
    <w:p>
      <w:pPr>
        <w:ind w:firstLine="480"/>
        <w:rPr>
          <w:rFonts w:cs="Times New Roman"/>
          <w:color w:val="auto"/>
          <w:kern w:val="0"/>
        </w:rPr>
      </w:pPr>
      <w:r>
        <w:rPr>
          <w:rFonts w:cs="Times New Roman"/>
          <w:color w:val="auto"/>
          <w:kern w:val="0"/>
        </w:rPr>
        <w:t>（9）《建筑地基处理技术规范》（JGJ 79-2002）；</w:t>
      </w:r>
    </w:p>
    <w:p>
      <w:pPr>
        <w:ind w:firstLine="480"/>
        <w:rPr>
          <w:rFonts w:cs="Times New Roman"/>
          <w:color w:val="auto"/>
          <w:kern w:val="0"/>
        </w:rPr>
      </w:pPr>
      <w:r>
        <w:rPr>
          <w:rFonts w:cs="Times New Roman"/>
          <w:color w:val="auto"/>
          <w:kern w:val="0"/>
        </w:rPr>
        <w:t>（10）《 给水排水工程混凝土构筑物变形缝设计规程》（CECS117:2000）；</w:t>
      </w:r>
    </w:p>
    <w:p>
      <w:pPr>
        <w:ind w:firstLine="480"/>
        <w:rPr>
          <w:rFonts w:cs="Times New Roman"/>
          <w:color w:val="auto"/>
          <w:kern w:val="0"/>
        </w:rPr>
      </w:pPr>
      <w:r>
        <w:rPr>
          <w:rFonts w:cs="Times New Roman"/>
          <w:color w:val="auto"/>
          <w:kern w:val="0"/>
        </w:rPr>
        <w:t>（11）《给水排水工程钢筋混凝土水池结构设计规程》（CECS138:2002）。</w:t>
      </w:r>
    </w:p>
    <w:p>
      <w:pPr>
        <w:pStyle w:val="116"/>
        <w:rPr>
          <w:color w:val="auto"/>
        </w:rPr>
      </w:pPr>
      <w:r>
        <w:rPr>
          <w:color w:val="auto"/>
        </w:rPr>
        <w:t>设计说明</w:t>
      </w:r>
    </w:p>
    <w:p>
      <w:pPr>
        <w:ind w:firstLine="480"/>
        <w:rPr>
          <w:rFonts w:cs="Times New Roman"/>
          <w:color w:val="auto"/>
          <w:kern w:val="0"/>
        </w:rPr>
      </w:pPr>
      <w:r>
        <w:rPr>
          <w:rFonts w:cs="Times New Roman"/>
          <w:color w:val="auto"/>
          <w:kern w:val="0"/>
        </w:rPr>
        <w:t>（1）</w:t>
      </w:r>
      <w:r>
        <w:rPr>
          <w:rFonts w:hint="eastAsia" w:cs="Times New Roman"/>
          <w:color w:val="auto"/>
          <w:kern w:val="0"/>
        </w:rPr>
        <w:t>本可研</w:t>
      </w:r>
      <w:r>
        <w:rPr>
          <w:rFonts w:cs="Times New Roman"/>
          <w:color w:val="auto"/>
          <w:kern w:val="0"/>
        </w:rPr>
        <w:t>污水处理站及其服务片区位于德宏州境内，按照《建筑抗震设计规范》（GB50011-2010）要求，抗震设防裂度为</w:t>
      </w:r>
      <w:r>
        <w:rPr>
          <w:rFonts w:hint="eastAsia" w:cs="Times New Roman"/>
          <w:color w:val="auto"/>
          <w:kern w:val="0"/>
        </w:rPr>
        <w:t>8</w:t>
      </w:r>
      <w:r>
        <w:rPr>
          <w:rFonts w:cs="Times New Roman"/>
          <w:color w:val="auto"/>
          <w:kern w:val="0"/>
        </w:rPr>
        <w:t>度，设计基本地震加速值为0.</w:t>
      </w:r>
      <w:r>
        <w:rPr>
          <w:rFonts w:hint="eastAsia" w:cs="Times New Roman"/>
          <w:color w:val="auto"/>
          <w:kern w:val="0"/>
        </w:rPr>
        <w:t>3</w:t>
      </w:r>
      <w:r>
        <w:rPr>
          <w:rFonts w:cs="Times New Roman"/>
          <w:color w:val="auto"/>
          <w:kern w:val="0"/>
        </w:rPr>
        <w:t>0g；</w:t>
      </w:r>
    </w:p>
    <w:p>
      <w:pPr>
        <w:ind w:firstLine="480"/>
        <w:rPr>
          <w:rFonts w:cs="Times New Roman"/>
          <w:color w:val="auto"/>
          <w:kern w:val="0"/>
        </w:rPr>
      </w:pPr>
      <w:r>
        <w:rPr>
          <w:rFonts w:cs="Times New Roman"/>
          <w:color w:val="auto"/>
          <w:kern w:val="0"/>
        </w:rPr>
        <w:t>（2）片区内污水站所在地地下水位较浅，本场地设计时宜考虑地下水及场地土对钢筋混凝土的腐蚀性；</w:t>
      </w:r>
    </w:p>
    <w:p>
      <w:pPr>
        <w:ind w:firstLine="480"/>
        <w:rPr>
          <w:rFonts w:cs="Times New Roman"/>
          <w:color w:val="auto"/>
          <w:kern w:val="0"/>
        </w:rPr>
      </w:pPr>
      <w:r>
        <w:rPr>
          <w:rFonts w:cs="Times New Roman"/>
          <w:color w:val="auto"/>
          <w:kern w:val="0"/>
        </w:rPr>
        <w:t>（3）基槽（坑）开挖好后，建设方应组织各参建主体（建筑、勘察、设计、监理、施工）及有关职能部门现场验收，在达到勘察及设计要求的持力土层后，方可进行下道工序的施工；</w:t>
      </w:r>
    </w:p>
    <w:p>
      <w:pPr>
        <w:ind w:firstLine="480"/>
        <w:rPr>
          <w:rFonts w:cs="Times New Roman"/>
          <w:color w:val="auto"/>
          <w:kern w:val="0"/>
        </w:rPr>
      </w:pPr>
      <w:r>
        <w:rPr>
          <w:rFonts w:cs="Times New Roman"/>
          <w:color w:val="auto"/>
          <w:kern w:val="0"/>
        </w:rPr>
        <w:t>（4）开挖基槽过程中，须注意对相邻建筑物及地下管线造成不良影响，严禁扰动持力土层，严禁地表水及施工用水浸泡地基土。雨季施工需采取应对措施。</w:t>
      </w:r>
    </w:p>
    <w:p>
      <w:pPr>
        <w:pStyle w:val="116"/>
        <w:rPr>
          <w:color w:val="auto"/>
        </w:rPr>
      </w:pPr>
      <w:r>
        <w:rPr>
          <w:color w:val="auto"/>
        </w:rPr>
        <w:t>污水处理站结构设计</w:t>
      </w:r>
    </w:p>
    <w:p>
      <w:pPr>
        <w:ind w:firstLine="480"/>
        <w:rPr>
          <w:rFonts w:cs="Times New Roman"/>
          <w:color w:val="auto"/>
          <w:kern w:val="0"/>
        </w:rPr>
      </w:pPr>
      <w:r>
        <w:rPr>
          <w:rFonts w:cs="Times New Roman"/>
          <w:color w:val="auto"/>
          <w:kern w:val="0"/>
        </w:rPr>
        <w:t>1、</w:t>
      </w:r>
      <w:r>
        <w:rPr>
          <w:rFonts w:hint="eastAsia" w:cs="Times New Roman"/>
          <w:color w:val="auto"/>
          <w:kern w:val="0"/>
        </w:rPr>
        <w:t>设计参数</w:t>
      </w:r>
    </w:p>
    <w:p>
      <w:pPr>
        <w:pStyle w:val="110"/>
        <w:numPr>
          <w:ilvl w:val="0"/>
          <w:numId w:val="20"/>
        </w:numPr>
        <w:ind w:firstLineChars="0"/>
      </w:pPr>
      <w:r>
        <w:t>本工程各构筑物，建筑物的结构设计必须遵循现行规范的规定。</w:t>
      </w:r>
    </w:p>
    <w:p>
      <w:pPr>
        <w:pStyle w:val="110"/>
        <w:numPr>
          <w:ilvl w:val="0"/>
          <w:numId w:val="20"/>
        </w:numPr>
        <w:ind w:firstLineChars="0"/>
      </w:pPr>
      <w:r>
        <w:t>水池类各构筑物除按荷载规范及《室外给水排水和燃气热力工程抗震设计规范》确定使用荷载和地震力外，还按《给水排水工程构筑物结构设计规范》确定水压力和温度应力影响。</w:t>
      </w:r>
    </w:p>
    <w:p>
      <w:pPr>
        <w:pStyle w:val="110"/>
        <w:numPr>
          <w:ilvl w:val="0"/>
          <w:numId w:val="20"/>
        </w:numPr>
        <w:ind w:firstLineChars="0"/>
      </w:pPr>
      <w:r>
        <w:t>盛水构筑物的防渗漏、裂缝宽度、防腐蚀设计等方面满足相关规范的规定，裂缝宽度≤0.2mm。</w:t>
      </w:r>
    </w:p>
    <w:p>
      <w:pPr>
        <w:pStyle w:val="110"/>
        <w:numPr>
          <w:ilvl w:val="0"/>
          <w:numId w:val="20"/>
        </w:numPr>
        <w:ind w:firstLineChars="0"/>
      </w:pPr>
      <w:r>
        <w:t>本工程的地下水位按原地面以下0.5m 计算。</w:t>
      </w:r>
    </w:p>
    <w:p>
      <w:pPr>
        <w:pStyle w:val="110"/>
        <w:numPr>
          <w:ilvl w:val="0"/>
          <w:numId w:val="20"/>
        </w:numPr>
        <w:ind w:firstLineChars="0"/>
      </w:pPr>
      <w:r>
        <w:t>各构筑物结构设计时地面堆载取10kPa。</w:t>
      </w:r>
    </w:p>
    <w:p>
      <w:pPr>
        <w:pStyle w:val="110"/>
        <w:numPr>
          <w:ilvl w:val="0"/>
          <w:numId w:val="20"/>
        </w:numPr>
        <w:ind w:firstLineChars="0"/>
      </w:pPr>
      <w:r>
        <w:t>各池体的抗浮稳定性抗力系数K＝1.05。</w:t>
      </w:r>
    </w:p>
    <w:p>
      <w:pPr>
        <w:pStyle w:val="110"/>
        <w:numPr>
          <w:ilvl w:val="0"/>
          <w:numId w:val="20"/>
        </w:numPr>
        <w:ind w:firstLineChars="0"/>
      </w:pPr>
      <w:r>
        <w:t>建筑物按《建筑结构荷载规范》及《建筑抗震设计规范》确定永久荷载，可变荷载，地震荷载和风荷载。</w:t>
      </w:r>
    </w:p>
    <w:p>
      <w:pPr>
        <w:pStyle w:val="110"/>
        <w:numPr>
          <w:ilvl w:val="0"/>
          <w:numId w:val="20"/>
        </w:numPr>
        <w:ind w:firstLineChars="0"/>
      </w:pPr>
      <w:r>
        <w:t>本工程设计使用年限为</w:t>
      </w:r>
      <w:r>
        <w:rPr>
          <w:rFonts w:hint="eastAsia"/>
        </w:rPr>
        <w:t>15</w:t>
      </w:r>
      <w:r>
        <w:t>年。</w:t>
      </w:r>
    </w:p>
    <w:p>
      <w:pPr>
        <w:pStyle w:val="110"/>
        <w:numPr>
          <w:ilvl w:val="0"/>
          <w:numId w:val="20"/>
        </w:numPr>
        <w:ind w:firstLineChars="0"/>
      </w:pPr>
      <w:r>
        <w:t>本工程建</w:t>
      </w:r>
      <w:r>
        <w:rPr>
          <w:rFonts w:hint="eastAsia"/>
        </w:rPr>
        <w:t>（</w:t>
      </w:r>
      <w:r>
        <w:t>构</w:t>
      </w:r>
      <w:r>
        <w:rPr>
          <w:rFonts w:hint="eastAsia"/>
        </w:rPr>
        <w:t>）</w:t>
      </w:r>
      <w:r>
        <w:t>筑物结构安全等级为二级。</w:t>
      </w:r>
    </w:p>
    <w:p>
      <w:pPr>
        <w:pStyle w:val="110"/>
        <w:numPr>
          <w:ilvl w:val="0"/>
          <w:numId w:val="20"/>
        </w:numPr>
        <w:ind w:firstLineChars="0"/>
      </w:pPr>
      <w:r>
        <w:t>本工程地基基础设计等级为乙级。</w:t>
      </w:r>
    </w:p>
    <w:p>
      <w:pPr>
        <w:ind w:firstLine="480"/>
        <w:rPr>
          <w:rFonts w:cs="Times New Roman"/>
          <w:color w:val="auto"/>
          <w:kern w:val="0"/>
        </w:rPr>
      </w:pPr>
      <w:r>
        <w:rPr>
          <w:rFonts w:hint="eastAsia" w:cs="Times New Roman"/>
          <w:color w:val="auto"/>
          <w:kern w:val="0"/>
        </w:rPr>
        <w:t>2、抗震</w:t>
      </w:r>
    </w:p>
    <w:p>
      <w:pPr>
        <w:ind w:firstLine="480"/>
        <w:rPr>
          <w:rFonts w:cs="Times New Roman"/>
          <w:color w:val="auto"/>
          <w:kern w:val="0"/>
        </w:rPr>
      </w:pPr>
      <w:r>
        <w:rPr>
          <w:rFonts w:hint="eastAsia" w:cs="Times New Roman"/>
          <w:color w:val="auto"/>
          <w:kern w:val="0"/>
        </w:rPr>
        <w:t>场地地震基本烈度: 8度；抗震设防烈度：8度（0.30g），设计地震分组第三组</w:t>
      </w:r>
      <w:r>
        <w:rPr>
          <w:rFonts w:cs="Times New Roman"/>
          <w:color w:val="auto"/>
          <w:kern w:val="0"/>
        </w:rPr>
        <w:t>。根据《建筑工程抗震设防分类标准》（GB50223-2008）第6.1.4条规定本工程主要建(构)筑物抗震类别为乙类建筑，应按高于本地区抗震设防烈度一度的要求加强其抗震措施。一般建(构)筑物抗震类别为丙类。建(构)筑物的抗震等级为二级。建筑物场地类别为Ⅲ～Ⅳ类。</w:t>
      </w:r>
    </w:p>
    <w:p>
      <w:pPr>
        <w:ind w:firstLine="480"/>
        <w:rPr>
          <w:rFonts w:cs="Times New Roman"/>
          <w:color w:val="auto"/>
          <w:kern w:val="0"/>
        </w:rPr>
      </w:pPr>
      <w:r>
        <w:rPr>
          <w:rFonts w:cs="Times New Roman"/>
          <w:color w:val="auto"/>
          <w:kern w:val="0"/>
        </w:rPr>
        <w:t>3、结构设计选型</w:t>
      </w:r>
    </w:p>
    <w:p>
      <w:pPr>
        <w:ind w:firstLine="480"/>
        <w:rPr>
          <w:color w:val="auto"/>
          <w:kern w:val="0"/>
          <w:lang w:val="zh-CN"/>
        </w:rPr>
      </w:pPr>
      <w:r>
        <w:rPr>
          <w:rFonts w:hint="eastAsia"/>
          <w:color w:val="auto"/>
          <w:kern w:val="0"/>
          <w:lang w:val="zh-CN"/>
        </w:rPr>
        <w:t>接触氧化池为钢砼结构自防水，防渗系数</w:t>
      </w:r>
      <w:r>
        <w:rPr>
          <w:color w:val="auto"/>
          <w:kern w:val="0"/>
          <w:lang w:val="zh-CN"/>
        </w:rPr>
        <w:t>P6</w:t>
      </w:r>
      <w:r>
        <w:rPr>
          <w:rFonts w:hint="eastAsia"/>
          <w:color w:val="auto"/>
          <w:kern w:val="0"/>
          <w:lang w:val="zh-CN"/>
        </w:rPr>
        <w:t>。单体防渗的设计、施工、测验和管理应符合</w:t>
      </w:r>
      <w:r>
        <w:rPr>
          <w:color w:val="auto"/>
          <w:kern w:val="0"/>
          <w:lang w:val="zh-CN"/>
        </w:rPr>
        <w:t>SL18-2004</w:t>
      </w:r>
      <w:r>
        <w:rPr>
          <w:rFonts w:hint="eastAsia"/>
          <w:color w:val="auto"/>
          <w:kern w:val="0"/>
          <w:lang w:val="zh-CN"/>
        </w:rPr>
        <w:t>中的有关规定</w:t>
      </w:r>
    </w:p>
    <w:p>
      <w:pPr>
        <w:pStyle w:val="112"/>
        <w:jc w:val="both"/>
        <w:rPr>
          <w:color w:val="auto"/>
        </w:rPr>
      </w:pPr>
    </w:p>
    <w:p>
      <w:pPr>
        <w:pStyle w:val="112"/>
        <w:rPr>
          <w:color w:val="auto"/>
          <w:kern w:val="0"/>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r>
        <w:rPr>
          <w:rFonts w:hint="eastAsia"/>
          <w:color w:val="auto"/>
        </w:rPr>
        <w:t xml:space="preserve"> </w:t>
      </w:r>
      <w:r>
        <w:rPr>
          <w:rFonts w:hint="eastAsia"/>
          <w:color w:val="auto"/>
          <w:kern w:val="0"/>
          <w:lang w:val="zh-CN"/>
        </w:rPr>
        <w:t>构筑物结构选型</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364"/>
        <w:gridCol w:w="1983"/>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b/>
                <w:kern w:val="0"/>
              </w:rPr>
            </w:pPr>
            <w:r>
              <w:rPr>
                <w:rFonts w:hint="eastAsia"/>
                <w:b/>
                <w:kern w:val="0"/>
              </w:rPr>
              <w:t>序号</w:t>
            </w:r>
          </w:p>
        </w:tc>
        <w:tc>
          <w:tcPr>
            <w:tcW w:w="2364" w:type="dxa"/>
          </w:tcPr>
          <w:p>
            <w:pPr>
              <w:pStyle w:val="114"/>
              <w:rPr>
                <w:b/>
                <w:kern w:val="0"/>
              </w:rPr>
            </w:pPr>
            <w:r>
              <w:rPr>
                <w:rFonts w:hint="eastAsia"/>
                <w:b/>
                <w:kern w:val="0"/>
              </w:rPr>
              <w:t>构筑物名称</w:t>
            </w:r>
          </w:p>
        </w:tc>
        <w:tc>
          <w:tcPr>
            <w:tcW w:w="1983" w:type="dxa"/>
          </w:tcPr>
          <w:p>
            <w:pPr>
              <w:pStyle w:val="114"/>
              <w:rPr>
                <w:b/>
                <w:kern w:val="0"/>
              </w:rPr>
            </w:pPr>
            <w:r>
              <w:rPr>
                <w:rFonts w:hint="eastAsia"/>
                <w:b/>
                <w:kern w:val="0"/>
              </w:rPr>
              <w:t>结构</w:t>
            </w:r>
          </w:p>
        </w:tc>
        <w:tc>
          <w:tcPr>
            <w:tcW w:w="942" w:type="dxa"/>
          </w:tcPr>
          <w:p>
            <w:pPr>
              <w:pStyle w:val="114"/>
              <w:rPr>
                <w:b/>
                <w:kern w:val="0"/>
              </w:rPr>
            </w:pPr>
            <w:r>
              <w:rPr>
                <w:rFonts w:hint="eastAsia"/>
                <w:b/>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kern w:val="0"/>
              </w:rPr>
            </w:pPr>
            <w:r>
              <w:rPr>
                <w:rFonts w:hint="eastAsia"/>
                <w:kern w:val="0"/>
              </w:rPr>
              <w:t>1</w:t>
            </w:r>
          </w:p>
        </w:tc>
        <w:tc>
          <w:tcPr>
            <w:tcW w:w="2364" w:type="dxa"/>
          </w:tcPr>
          <w:p>
            <w:pPr>
              <w:pStyle w:val="114"/>
              <w:rPr>
                <w:kern w:val="0"/>
              </w:rPr>
            </w:pPr>
            <w:r>
              <w:rPr>
                <w:rFonts w:hint="eastAsia"/>
                <w:kern w:val="0"/>
              </w:rPr>
              <w:t>格栅井</w:t>
            </w:r>
          </w:p>
        </w:tc>
        <w:tc>
          <w:tcPr>
            <w:tcW w:w="1983" w:type="dxa"/>
          </w:tcPr>
          <w:p>
            <w:pPr>
              <w:pStyle w:val="114"/>
              <w:rPr>
                <w:kern w:val="0"/>
              </w:rPr>
            </w:pPr>
            <w:r>
              <w:rPr>
                <w:rFonts w:hint="eastAsia"/>
                <w:kern w:val="0"/>
              </w:rPr>
              <w:t>钢混</w:t>
            </w:r>
          </w:p>
        </w:tc>
        <w:tc>
          <w:tcPr>
            <w:tcW w:w="942" w:type="dxa"/>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kern w:val="0"/>
              </w:rPr>
            </w:pPr>
            <w:r>
              <w:rPr>
                <w:rFonts w:hint="eastAsia"/>
                <w:kern w:val="0"/>
              </w:rPr>
              <w:t>2</w:t>
            </w:r>
          </w:p>
        </w:tc>
        <w:tc>
          <w:tcPr>
            <w:tcW w:w="2364" w:type="dxa"/>
          </w:tcPr>
          <w:p>
            <w:pPr>
              <w:pStyle w:val="114"/>
              <w:rPr>
                <w:kern w:val="0"/>
              </w:rPr>
            </w:pPr>
            <w:r>
              <w:rPr>
                <w:rFonts w:hint="eastAsia"/>
                <w:kern w:val="0"/>
              </w:rPr>
              <w:t>调节池</w:t>
            </w:r>
          </w:p>
        </w:tc>
        <w:tc>
          <w:tcPr>
            <w:tcW w:w="1983" w:type="dxa"/>
          </w:tcPr>
          <w:p>
            <w:pPr>
              <w:pStyle w:val="114"/>
              <w:rPr>
                <w:kern w:val="0"/>
              </w:rPr>
            </w:pPr>
            <w:r>
              <w:rPr>
                <w:rFonts w:hint="eastAsia"/>
                <w:kern w:val="0"/>
              </w:rPr>
              <w:t>钢混</w:t>
            </w:r>
          </w:p>
        </w:tc>
        <w:tc>
          <w:tcPr>
            <w:tcW w:w="942" w:type="dxa"/>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kern w:val="0"/>
              </w:rPr>
            </w:pPr>
            <w:r>
              <w:rPr>
                <w:rFonts w:hint="eastAsia"/>
                <w:kern w:val="0"/>
              </w:rPr>
              <w:t>3</w:t>
            </w:r>
          </w:p>
        </w:tc>
        <w:tc>
          <w:tcPr>
            <w:tcW w:w="2364" w:type="dxa"/>
          </w:tcPr>
          <w:p>
            <w:pPr>
              <w:pStyle w:val="114"/>
              <w:rPr>
                <w:kern w:val="0"/>
              </w:rPr>
            </w:pPr>
            <w:r>
              <w:rPr>
                <w:rFonts w:hint="eastAsia"/>
                <w:kern w:val="0"/>
              </w:rPr>
              <w:t>接触氧化池</w:t>
            </w:r>
          </w:p>
        </w:tc>
        <w:tc>
          <w:tcPr>
            <w:tcW w:w="1983" w:type="dxa"/>
          </w:tcPr>
          <w:p>
            <w:pPr>
              <w:pStyle w:val="114"/>
              <w:rPr>
                <w:kern w:val="0"/>
              </w:rPr>
            </w:pPr>
            <w:r>
              <w:rPr>
                <w:rFonts w:hint="eastAsia"/>
                <w:kern w:val="0"/>
              </w:rPr>
              <w:t>钢混</w:t>
            </w:r>
          </w:p>
        </w:tc>
        <w:tc>
          <w:tcPr>
            <w:tcW w:w="942" w:type="dxa"/>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kern w:val="0"/>
              </w:rPr>
            </w:pPr>
            <w:r>
              <w:rPr>
                <w:rFonts w:hint="eastAsia"/>
                <w:kern w:val="0"/>
              </w:rPr>
              <w:t>4</w:t>
            </w:r>
          </w:p>
        </w:tc>
        <w:tc>
          <w:tcPr>
            <w:tcW w:w="2364" w:type="dxa"/>
          </w:tcPr>
          <w:p>
            <w:pPr>
              <w:pStyle w:val="114"/>
              <w:rPr>
                <w:kern w:val="0"/>
              </w:rPr>
            </w:pPr>
            <w:r>
              <w:rPr>
                <w:rFonts w:hint="eastAsia"/>
                <w:kern w:val="0"/>
              </w:rPr>
              <w:t>斜管沉淀池</w:t>
            </w:r>
          </w:p>
        </w:tc>
        <w:tc>
          <w:tcPr>
            <w:tcW w:w="1983" w:type="dxa"/>
          </w:tcPr>
          <w:p>
            <w:pPr>
              <w:pStyle w:val="114"/>
              <w:rPr>
                <w:kern w:val="0"/>
              </w:rPr>
            </w:pPr>
            <w:r>
              <w:rPr>
                <w:rFonts w:hint="eastAsia"/>
                <w:kern w:val="0"/>
              </w:rPr>
              <w:t>钢混</w:t>
            </w:r>
          </w:p>
        </w:tc>
        <w:tc>
          <w:tcPr>
            <w:tcW w:w="942" w:type="dxa"/>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14"/>
              <w:rPr>
                <w:kern w:val="0"/>
              </w:rPr>
            </w:pPr>
            <w:r>
              <w:rPr>
                <w:rFonts w:hint="eastAsia"/>
                <w:kern w:val="0"/>
              </w:rPr>
              <w:t>5</w:t>
            </w:r>
          </w:p>
        </w:tc>
        <w:tc>
          <w:tcPr>
            <w:tcW w:w="2364" w:type="dxa"/>
          </w:tcPr>
          <w:p>
            <w:pPr>
              <w:pStyle w:val="114"/>
              <w:rPr>
                <w:kern w:val="0"/>
              </w:rPr>
            </w:pPr>
            <w:r>
              <w:rPr>
                <w:rFonts w:hint="eastAsia"/>
                <w:kern w:val="0"/>
              </w:rPr>
              <w:t>碎石滤床</w:t>
            </w:r>
          </w:p>
        </w:tc>
        <w:tc>
          <w:tcPr>
            <w:tcW w:w="1983" w:type="dxa"/>
          </w:tcPr>
          <w:p>
            <w:pPr>
              <w:pStyle w:val="114"/>
              <w:rPr>
                <w:kern w:val="0"/>
              </w:rPr>
            </w:pPr>
            <w:r>
              <w:rPr>
                <w:rFonts w:hint="eastAsia"/>
                <w:kern w:val="0"/>
              </w:rPr>
              <w:t>粘土</w:t>
            </w:r>
          </w:p>
        </w:tc>
        <w:tc>
          <w:tcPr>
            <w:tcW w:w="942" w:type="dxa"/>
          </w:tcPr>
          <w:p>
            <w:pPr>
              <w:pStyle w:val="114"/>
              <w:rPr>
                <w:kern w:val="0"/>
              </w:rPr>
            </w:pPr>
          </w:p>
        </w:tc>
      </w:tr>
    </w:tbl>
    <w:p>
      <w:pPr>
        <w:pStyle w:val="108"/>
        <w:rPr>
          <w:color w:val="auto"/>
          <w:kern w:val="0"/>
        </w:rPr>
      </w:pPr>
    </w:p>
    <w:p>
      <w:pPr>
        <w:ind w:firstLine="480"/>
        <w:rPr>
          <w:rFonts w:cs="Times New Roman"/>
          <w:color w:val="auto"/>
          <w:kern w:val="0"/>
        </w:rPr>
      </w:pPr>
      <w:r>
        <w:rPr>
          <w:rFonts w:cs="Times New Roman"/>
          <w:color w:val="auto"/>
          <w:kern w:val="0"/>
        </w:rPr>
        <w:t>4、场地稳定性评价及地基土利用</w:t>
      </w:r>
    </w:p>
    <w:p>
      <w:pPr>
        <w:ind w:firstLine="480"/>
        <w:rPr>
          <w:rFonts w:cs="Times New Roman"/>
          <w:color w:val="auto"/>
          <w:kern w:val="0"/>
        </w:rPr>
      </w:pPr>
      <w:r>
        <w:rPr>
          <w:rFonts w:cs="Times New Roman"/>
          <w:color w:val="auto"/>
          <w:kern w:val="0"/>
        </w:rPr>
        <w:t>（1）场地稳定性评价</w:t>
      </w:r>
    </w:p>
    <w:p>
      <w:pPr>
        <w:ind w:firstLine="480"/>
        <w:rPr>
          <w:rFonts w:cs="Times New Roman"/>
          <w:color w:val="auto"/>
          <w:kern w:val="0"/>
        </w:rPr>
      </w:pPr>
      <w:r>
        <w:rPr>
          <w:rFonts w:cs="Times New Roman"/>
          <w:color w:val="auto"/>
          <w:kern w:val="0"/>
        </w:rPr>
        <w:t>拟建场地位于山间盆地边缘地带，地形基本平坦，勘察场地及周边未发现滑坡、泥石流等不良地质作用，场地稳定，适宜建筑。</w:t>
      </w:r>
    </w:p>
    <w:p>
      <w:pPr>
        <w:ind w:firstLine="480"/>
        <w:rPr>
          <w:rFonts w:cs="Times New Roman"/>
          <w:color w:val="auto"/>
          <w:kern w:val="0"/>
        </w:rPr>
      </w:pPr>
      <w:r>
        <w:rPr>
          <w:rFonts w:cs="Times New Roman"/>
          <w:color w:val="auto"/>
          <w:kern w:val="0"/>
        </w:rPr>
        <w:t>（2）地基土利用</w:t>
      </w:r>
    </w:p>
    <w:p>
      <w:pPr>
        <w:ind w:firstLine="480"/>
        <w:rPr>
          <w:rFonts w:cs="Times New Roman"/>
          <w:color w:val="auto"/>
          <w:kern w:val="0"/>
        </w:rPr>
      </w:pPr>
      <w:r>
        <w:rPr>
          <w:rFonts w:cs="Times New Roman"/>
          <w:color w:val="auto"/>
          <w:kern w:val="0"/>
        </w:rPr>
        <w:t>根据场地的工程地质条件，结合建筑物上部结构荷重及场地条件，设计时，应优先考虑采用天然地基浅基础方案，若天然地基不能满足要求，也可采用桩基方案；采用天然地基基础时，可采用独立基础、条形基础或筏板基础，选择粘土②层或圆砾③层作为基础持力层；对同一基地标高遇见不同地层时，可采用换填法进行地基处理；当采用桩基时，以钻孔灌注桩较适宜，可选择粘土②层或圆砾③层作为桩端持力层。</w:t>
      </w:r>
    </w:p>
    <w:p>
      <w:pPr>
        <w:ind w:firstLine="480"/>
        <w:rPr>
          <w:rFonts w:cs="Times New Roman"/>
          <w:color w:val="auto"/>
          <w:kern w:val="0"/>
        </w:rPr>
      </w:pPr>
      <w:r>
        <w:rPr>
          <w:rFonts w:cs="Times New Roman"/>
          <w:color w:val="auto"/>
          <w:kern w:val="0"/>
        </w:rPr>
        <w:t>（3）基坑支护</w:t>
      </w:r>
    </w:p>
    <w:p>
      <w:pPr>
        <w:ind w:firstLine="480"/>
        <w:rPr>
          <w:rFonts w:cs="Times New Roman"/>
          <w:color w:val="auto"/>
          <w:kern w:val="0"/>
        </w:rPr>
      </w:pPr>
      <w:r>
        <w:rPr>
          <w:rFonts w:cs="Times New Roman"/>
          <w:color w:val="auto"/>
          <w:kern w:val="0"/>
        </w:rPr>
        <w:t>基坑开挖深度范围内①耕土、②粉质粘土为软塑状，③粉土呈松散至稍密状，经扰动会形成流砂，基坑壁不稳定，会产生滑动，必须结合基坑排降水采取支护措施。可在基坑周边采用帷幕灌浆支护，既可稳固基坑，对基坑排水也有一作用。</w:t>
      </w:r>
    </w:p>
    <w:p>
      <w:pPr>
        <w:pStyle w:val="5"/>
      </w:pPr>
      <w:bookmarkStart w:id="248" w:name="_Toc48640767"/>
      <w:bookmarkStart w:id="249" w:name="_Toc36126960"/>
      <w:r>
        <w:t>供电设计</w:t>
      </w:r>
      <w:bookmarkEnd w:id="248"/>
      <w:bookmarkEnd w:id="249"/>
    </w:p>
    <w:p>
      <w:pPr>
        <w:pStyle w:val="116"/>
        <w:rPr>
          <w:color w:val="auto"/>
        </w:rPr>
      </w:pPr>
      <w:r>
        <w:rPr>
          <w:color w:val="auto"/>
        </w:rPr>
        <w:t>设计依据</w:t>
      </w:r>
    </w:p>
    <w:p>
      <w:pPr>
        <w:ind w:firstLine="480"/>
        <w:rPr>
          <w:rFonts w:cs="Times New Roman"/>
          <w:color w:val="auto"/>
          <w:kern w:val="0"/>
        </w:rPr>
      </w:pPr>
      <w:r>
        <w:rPr>
          <w:rFonts w:cs="Times New Roman"/>
          <w:color w:val="auto"/>
          <w:kern w:val="0"/>
        </w:rPr>
        <w:t>（1）《建筑照明设计标准》GB50034-2004；</w:t>
      </w:r>
    </w:p>
    <w:p>
      <w:pPr>
        <w:ind w:firstLine="480"/>
        <w:rPr>
          <w:rFonts w:cs="Times New Roman"/>
          <w:color w:val="auto"/>
          <w:kern w:val="0"/>
        </w:rPr>
      </w:pPr>
      <w:r>
        <w:rPr>
          <w:rFonts w:cs="Times New Roman"/>
          <w:color w:val="auto"/>
          <w:kern w:val="0"/>
        </w:rPr>
        <w:t>（2）《供配电系统设计规范》GB50052-2009；</w:t>
      </w:r>
    </w:p>
    <w:p>
      <w:pPr>
        <w:ind w:firstLine="480"/>
        <w:rPr>
          <w:rFonts w:cs="Times New Roman"/>
          <w:color w:val="auto"/>
          <w:kern w:val="0"/>
        </w:rPr>
      </w:pPr>
      <w:r>
        <w:rPr>
          <w:rFonts w:cs="Times New Roman"/>
          <w:color w:val="auto"/>
          <w:kern w:val="0"/>
        </w:rPr>
        <w:t>（3）《10kV 及以下变电所设计规范》GB50053-94；</w:t>
      </w:r>
    </w:p>
    <w:p>
      <w:pPr>
        <w:ind w:firstLine="480"/>
        <w:rPr>
          <w:rFonts w:cs="Times New Roman"/>
          <w:color w:val="auto"/>
          <w:kern w:val="0"/>
        </w:rPr>
      </w:pPr>
      <w:r>
        <w:rPr>
          <w:rFonts w:cs="Times New Roman"/>
          <w:color w:val="auto"/>
          <w:kern w:val="0"/>
        </w:rPr>
        <w:t>（4）《低压配电设计规范》GB50054-2011；</w:t>
      </w:r>
    </w:p>
    <w:p>
      <w:pPr>
        <w:ind w:firstLine="480"/>
        <w:rPr>
          <w:rFonts w:cs="Times New Roman"/>
          <w:color w:val="auto"/>
          <w:kern w:val="0"/>
        </w:rPr>
      </w:pPr>
      <w:r>
        <w:rPr>
          <w:rFonts w:cs="Times New Roman"/>
          <w:color w:val="auto"/>
          <w:kern w:val="0"/>
        </w:rPr>
        <w:t>（5）《通用用电设备配电设计规范》GB50055-93；</w:t>
      </w:r>
    </w:p>
    <w:p>
      <w:pPr>
        <w:ind w:firstLine="480"/>
        <w:rPr>
          <w:rFonts w:cs="Times New Roman"/>
          <w:color w:val="auto"/>
          <w:kern w:val="0"/>
        </w:rPr>
      </w:pPr>
      <w:r>
        <w:rPr>
          <w:rFonts w:cs="Times New Roman"/>
          <w:color w:val="auto"/>
          <w:kern w:val="0"/>
        </w:rPr>
        <w:t>（6）《建筑物防雷设计规范》GB50057-2010；</w:t>
      </w:r>
    </w:p>
    <w:p>
      <w:pPr>
        <w:ind w:firstLine="480"/>
        <w:rPr>
          <w:rFonts w:cs="Times New Roman"/>
          <w:color w:val="auto"/>
          <w:kern w:val="0"/>
        </w:rPr>
      </w:pPr>
      <w:r>
        <w:rPr>
          <w:rFonts w:cs="Times New Roman"/>
          <w:color w:val="auto"/>
          <w:kern w:val="0"/>
        </w:rPr>
        <w:t>（7）《电力装置的继电保护和自动装置设计规范》GB50062-2008；</w:t>
      </w:r>
    </w:p>
    <w:p>
      <w:pPr>
        <w:ind w:firstLine="480"/>
        <w:rPr>
          <w:rFonts w:cs="Times New Roman"/>
          <w:color w:val="auto"/>
          <w:kern w:val="0"/>
        </w:rPr>
      </w:pPr>
      <w:r>
        <w:rPr>
          <w:rFonts w:cs="Times New Roman"/>
          <w:color w:val="auto"/>
          <w:kern w:val="0"/>
        </w:rPr>
        <w:t>（8）《工业与民用电力装置的接地设计规范》GBJ65-83；</w:t>
      </w:r>
    </w:p>
    <w:p>
      <w:pPr>
        <w:ind w:firstLine="480"/>
        <w:rPr>
          <w:rFonts w:cs="Times New Roman"/>
          <w:color w:val="auto"/>
          <w:kern w:val="0"/>
        </w:rPr>
      </w:pPr>
      <w:r>
        <w:rPr>
          <w:rFonts w:cs="Times New Roman"/>
          <w:color w:val="auto"/>
          <w:kern w:val="0"/>
        </w:rPr>
        <w:t>（9）《民用建筑电气设计规范》JGJ 16-2008；</w:t>
      </w:r>
    </w:p>
    <w:p>
      <w:pPr>
        <w:ind w:firstLine="480"/>
        <w:rPr>
          <w:rFonts w:cs="Times New Roman"/>
          <w:color w:val="auto"/>
          <w:kern w:val="0"/>
        </w:rPr>
      </w:pPr>
      <w:r>
        <w:rPr>
          <w:rFonts w:cs="Times New Roman"/>
          <w:color w:val="auto"/>
          <w:kern w:val="0"/>
        </w:rPr>
        <w:t>（10）《建筑设计防火规范》GB50016-2006；</w:t>
      </w:r>
    </w:p>
    <w:p>
      <w:pPr>
        <w:ind w:firstLine="480"/>
        <w:rPr>
          <w:rFonts w:cs="Times New Roman"/>
          <w:color w:val="auto"/>
          <w:kern w:val="0"/>
        </w:rPr>
      </w:pPr>
      <w:r>
        <w:rPr>
          <w:rFonts w:cs="Times New Roman"/>
          <w:color w:val="auto"/>
          <w:kern w:val="0"/>
        </w:rPr>
        <w:t>（11）工艺专业设计文件。</w:t>
      </w:r>
    </w:p>
    <w:p>
      <w:pPr>
        <w:pStyle w:val="116"/>
        <w:rPr>
          <w:color w:val="auto"/>
          <w:kern w:val="0"/>
        </w:rPr>
      </w:pPr>
      <w:r>
        <w:rPr>
          <w:color w:val="auto"/>
          <w:kern w:val="0"/>
        </w:rPr>
        <w:t>设计范围</w:t>
      </w:r>
    </w:p>
    <w:p>
      <w:pPr>
        <w:ind w:firstLine="480"/>
        <w:rPr>
          <w:rFonts w:cs="Times New Roman"/>
          <w:color w:val="auto"/>
          <w:kern w:val="0"/>
        </w:rPr>
      </w:pPr>
      <w:r>
        <w:rPr>
          <w:rFonts w:cs="Times New Roman"/>
          <w:color w:val="auto"/>
          <w:kern w:val="0"/>
        </w:rPr>
        <w:t>本设计为</w:t>
      </w:r>
      <w:r>
        <w:rPr>
          <w:rFonts w:hint="eastAsia" w:cs="Times New Roman"/>
          <w:color w:val="auto"/>
          <w:kern w:val="0"/>
        </w:rPr>
        <w:t>项目区村庄</w:t>
      </w:r>
      <w:r>
        <w:rPr>
          <w:rFonts w:cs="Times New Roman"/>
          <w:color w:val="auto"/>
          <w:kern w:val="0"/>
        </w:rPr>
        <w:t>污水处理站的电气设计，内容包括处理站内电气设备的供配电设计。本实施方案用电设备主要为</w:t>
      </w:r>
      <w:r>
        <w:rPr>
          <w:rFonts w:hint="eastAsia" w:cs="Times New Roman"/>
          <w:color w:val="auto"/>
          <w:kern w:val="0"/>
        </w:rPr>
        <w:t>提升泵和</w:t>
      </w:r>
      <w:r>
        <w:rPr>
          <w:rFonts w:cs="Times New Roman"/>
          <w:color w:val="auto"/>
          <w:kern w:val="0"/>
        </w:rPr>
        <w:t>曝气机。</w:t>
      </w:r>
    </w:p>
    <w:p>
      <w:pPr>
        <w:ind w:firstLine="480"/>
        <w:rPr>
          <w:rFonts w:cs="Times New Roman"/>
          <w:color w:val="auto"/>
          <w:kern w:val="0"/>
        </w:rPr>
      </w:pPr>
      <w:r>
        <w:rPr>
          <w:rFonts w:cs="Times New Roman"/>
          <w:color w:val="auto"/>
          <w:kern w:val="0"/>
        </w:rPr>
        <w:t>具体如下：</w:t>
      </w:r>
    </w:p>
    <w:p>
      <w:pPr>
        <w:ind w:firstLine="480"/>
        <w:rPr>
          <w:rFonts w:cs="Times New Roman"/>
          <w:color w:val="auto"/>
          <w:kern w:val="0"/>
        </w:rPr>
      </w:pPr>
      <w:r>
        <w:rPr>
          <w:rFonts w:cs="Times New Roman"/>
          <w:color w:val="auto"/>
          <w:kern w:val="0"/>
        </w:rPr>
        <w:t>1、污水处理站配电系统设计；</w:t>
      </w:r>
    </w:p>
    <w:p>
      <w:pPr>
        <w:ind w:firstLine="480"/>
        <w:rPr>
          <w:rFonts w:cs="Times New Roman"/>
          <w:color w:val="auto"/>
          <w:kern w:val="0"/>
        </w:rPr>
      </w:pPr>
      <w:r>
        <w:rPr>
          <w:rFonts w:cs="Times New Roman"/>
          <w:color w:val="auto"/>
          <w:kern w:val="0"/>
        </w:rPr>
        <w:t>2、污水处理厂动力配电系统设计；</w:t>
      </w:r>
    </w:p>
    <w:p>
      <w:pPr>
        <w:ind w:firstLine="480"/>
        <w:rPr>
          <w:rFonts w:cs="Times New Roman"/>
          <w:color w:val="auto"/>
          <w:kern w:val="0"/>
        </w:rPr>
      </w:pPr>
      <w:r>
        <w:rPr>
          <w:rFonts w:cs="Times New Roman"/>
          <w:color w:val="auto"/>
          <w:kern w:val="0"/>
        </w:rPr>
        <w:t>3、电缆敷设设计；</w:t>
      </w:r>
    </w:p>
    <w:p>
      <w:pPr>
        <w:ind w:firstLine="480"/>
        <w:rPr>
          <w:rFonts w:cs="Times New Roman"/>
          <w:color w:val="auto"/>
          <w:kern w:val="0"/>
        </w:rPr>
      </w:pPr>
      <w:r>
        <w:rPr>
          <w:rFonts w:cs="Times New Roman"/>
          <w:color w:val="auto"/>
          <w:kern w:val="0"/>
        </w:rPr>
        <w:t>4、污水处理厂动力控制系统设计。</w:t>
      </w:r>
    </w:p>
    <w:p>
      <w:pPr>
        <w:pStyle w:val="116"/>
        <w:rPr>
          <w:color w:val="auto"/>
        </w:rPr>
      </w:pPr>
      <w:r>
        <w:rPr>
          <w:color w:val="auto"/>
        </w:rPr>
        <w:t>供电电源</w:t>
      </w:r>
    </w:p>
    <w:p>
      <w:pPr>
        <w:ind w:firstLine="480"/>
        <w:rPr>
          <w:rFonts w:cs="Times New Roman"/>
          <w:color w:val="auto"/>
          <w:kern w:val="0"/>
        </w:rPr>
      </w:pPr>
      <w:r>
        <w:rPr>
          <w:rFonts w:cs="Times New Roman"/>
          <w:color w:val="auto"/>
          <w:kern w:val="0"/>
        </w:rPr>
        <w:t>根据污水处理站处理设备及工艺要求，本处理站电源采用380V电源即可，可就近由变电站提供电源，电源架空引来，经电缆引至站区。</w:t>
      </w:r>
    </w:p>
    <w:p>
      <w:pPr>
        <w:pStyle w:val="116"/>
        <w:rPr>
          <w:color w:val="auto"/>
        </w:rPr>
      </w:pPr>
      <w:r>
        <w:rPr>
          <w:color w:val="auto"/>
        </w:rPr>
        <w:t>各处理单元设备用电负荷</w:t>
      </w:r>
    </w:p>
    <w:p>
      <w:pPr>
        <w:ind w:firstLine="480"/>
        <w:rPr>
          <w:rFonts w:cs="Times New Roman"/>
          <w:color w:val="auto"/>
          <w:kern w:val="0"/>
        </w:rPr>
      </w:pPr>
      <w:r>
        <w:rPr>
          <w:rFonts w:cs="Times New Roman"/>
          <w:color w:val="auto"/>
          <w:kern w:val="0"/>
        </w:rPr>
        <w:t>各设备用电情况如下：</w:t>
      </w:r>
    </w:p>
    <w:p>
      <w:pPr>
        <w:pStyle w:val="112"/>
        <w:rPr>
          <w:color w:val="auto"/>
          <w:kern w:val="0"/>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6</w:t>
      </w:r>
      <w:r>
        <w:rPr>
          <w:color w:val="auto"/>
        </w:rPr>
        <w:fldChar w:fldCharType="end"/>
      </w:r>
      <w:r>
        <w:rPr>
          <w:rFonts w:hint="eastAsia"/>
          <w:color w:val="auto"/>
        </w:rPr>
        <w:t xml:space="preserve"> 设备用电一览表</w:t>
      </w:r>
    </w:p>
    <w:tbl>
      <w:tblPr>
        <w:tblStyle w:val="88"/>
        <w:tblW w:w="8235" w:type="dxa"/>
        <w:tblInd w:w="95" w:type="dxa"/>
        <w:tblLayout w:type="autofit"/>
        <w:tblCellMar>
          <w:top w:w="0" w:type="dxa"/>
          <w:left w:w="108" w:type="dxa"/>
          <w:bottom w:w="0" w:type="dxa"/>
          <w:right w:w="108" w:type="dxa"/>
        </w:tblCellMar>
      </w:tblPr>
      <w:tblGrid>
        <w:gridCol w:w="718"/>
        <w:gridCol w:w="1071"/>
        <w:gridCol w:w="1093"/>
        <w:gridCol w:w="1242"/>
        <w:gridCol w:w="1493"/>
        <w:gridCol w:w="1187"/>
        <w:gridCol w:w="1431"/>
      </w:tblGrid>
      <w:tr>
        <w:tblPrEx>
          <w:tblCellMar>
            <w:top w:w="0" w:type="dxa"/>
            <w:left w:w="108" w:type="dxa"/>
            <w:bottom w:w="0" w:type="dxa"/>
            <w:right w:w="108" w:type="dxa"/>
          </w:tblCellMar>
        </w:tblPrEx>
        <w:trPr>
          <w:trHeight w:val="369" w:hRule="atLeast"/>
        </w:trPr>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4"/>
              <w:spacing w:line="240" w:lineRule="auto"/>
              <w:rPr>
                <w:b/>
                <w:kern w:val="0"/>
              </w:rPr>
            </w:pPr>
            <w:r>
              <w:rPr>
                <w:rFonts w:hint="eastAsia"/>
                <w:b/>
                <w:kern w:val="0"/>
              </w:rPr>
              <w:t>序号</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14"/>
              <w:spacing w:line="240" w:lineRule="auto"/>
              <w:rPr>
                <w:b/>
                <w:kern w:val="0"/>
              </w:rPr>
            </w:pPr>
            <w:r>
              <w:rPr>
                <w:rFonts w:hint="eastAsia"/>
                <w:b/>
                <w:kern w:val="0"/>
              </w:rPr>
              <w:t>自然村</w:t>
            </w:r>
          </w:p>
        </w:tc>
        <w:tc>
          <w:tcPr>
            <w:tcW w:w="1093" w:type="dxa"/>
            <w:vMerge w:val="restart"/>
            <w:tcBorders>
              <w:top w:val="single" w:color="auto" w:sz="4" w:space="0"/>
              <w:left w:val="single" w:color="auto" w:sz="4" w:space="0"/>
              <w:bottom w:val="single" w:color="auto" w:sz="4" w:space="0"/>
              <w:right w:val="nil"/>
            </w:tcBorders>
            <w:shd w:val="clear" w:color="auto" w:fill="auto"/>
            <w:vAlign w:val="center"/>
          </w:tcPr>
          <w:p>
            <w:pPr>
              <w:pStyle w:val="114"/>
              <w:spacing w:line="240" w:lineRule="auto"/>
              <w:rPr>
                <w:b/>
                <w:kern w:val="0"/>
              </w:rPr>
            </w:pPr>
            <w:r>
              <w:rPr>
                <w:rFonts w:hint="eastAsia"/>
                <w:b/>
                <w:kern w:val="0"/>
              </w:rPr>
              <w:t>污水流量（</w:t>
            </w:r>
            <w:r>
              <w:rPr>
                <w:b/>
                <w:kern w:val="0"/>
              </w:rPr>
              <w:t>m</w:t>
            </w:r>
            <w:r>
              <w:rPr>
                <w:b/>
                <w:kern w:val="0"/>
                <w:vertAlign w:val="superscript"/>
              </w:rPr>
              <w:t>3</w:t>
            </w:r>
            <w:r>
              <w:rPr>
                <w:b/>
                <w:kern w:val="0"/>
              </w:rPr>
              <w:t>/d</w:t>
            </w:r>
            <w:r>
              <w:rPr>
                <w:rFonts w:hint="eastAsia"/>
                <w:b/>
                <w:kern w:val="0"/>
              </w:rPr>
              <w:t>）</w:t>
            </w:r>
          </w:p>
        </w:tc>
        <w:tc>
          <w:tcPr>
            <w:tcW w:w="2735" w:type="dxa"/>
            <w:gridSpan w:val="2"/>
            <w:tcBorders>
              <w:top w:val="single" w:color="auto" w:sz="4" w:space="0"/>
              <w:left w:val="single" w:color="auto" w:sz="4" w:space="0"/>
              <w:bottom w:val="single" w:color="auto" w:sz="4" w:space="0"/>
              <w:right w:val="single" w:color="000000" w:sz="4" w:space="0"/>
            </w:tcBorders>
            <w:shd w:val="clear" w:color="auto" w:fill="auto"/>
          </w:tcPr>
          <w:p>
            <w:pPr>
              <w:pStyle w:val="114"/>
              <w:spacing w:line="240" w:lineRule="auto"/>
              <w:rPr>
                <w:b/>
                <w:kern w:val="0"/>
              </w:rPr>
            </w:pPr>
            <w:r>
              <w:rPr>
                <w:rFonts w:hint="eastAsia"/>
                <w:b/>
                <w:kern w:val="0"/>
              </w:rPr>
              <w:t>水泵</w:t>
            </w:r>
          </w:p>
        </w:tc>
        <w:tc>
          <w:tcPr>
            <w:tcW w:w="2618" w:type="dxa"/>
            <w:gridSpan w:val="2"/>
            <w:tcBorders>
              <w:top w:val="single" w:color="auto" w:sz="4" w:space="0"/>
              <w:left w:val="nil"/>
              <w:bottom w:val="single" w:color="auto" w:sz="4" w:space="0"/>
              <w:right w:val="single" w:color="000000" w:sz="4" w:space="0"/>
            </w:tcBorders>
            <w:shd w:val="clear" w:color="auto" w:fill="auto"/>
          </w:tcPr>
          <w:p>
            <w:pPr>
              <w:pStyle w:val="114"/>
              <w:spacing w:line="240" w:lineRule="auto"/>
              <w:rPr>
                <w:b/>
                <w:kern w:val="0"/>
              </w:rPr>
            </w:pPr>
            <w:r>
              <w:rPr>
                <w:rFonts w:hint="eastAsia"/>
                <w:b/>
                <w:kern w:val="0"/>
              </w:rPr>
              <w:t>风机</w:t>
            </w:r>
          </w:p>
        </w:tc>
      </w:tr>
      <w:tr>
        <w:tblPrEx>
          <w:tblCellMar>
            <w:top w:w="0" w:type="dxa"/>
            <w:left w:w="108" w:type="dxa"/>
            <w:bottom w:w="0" w:type="dxa"/>
            <w:right w:w="108" w:type="dxa"/>
          </w:tblCellMar>
        </w:tblPrEx>
        <w:trPr>
          <w:trHeight w:val="369" w:hRule="atLeast"/>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pStyle w:val="114"/>
              <w:spacing w:line="240" w:lineRule="auto"/>
              <w:rPr>
                <w:b/>
                <w:kern w:val="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pStyle w:val="114"/>
              <w:spacing w:line="240" w:lineRule="auto"/>
              <w:rPr>
                <w:b/>
                <w:kern w:val="0"/>
              </w:rPr>
            </w:pPr>
          </w:p>
        </w:tc>
        <w:tc>
          <w:tcPr>
            <w:tcW w:w="1093" w:type="dxa"/>
            <w:vMerge w:val="continue"/>
            <w:tcBorders>
              <w:top w:val="single" w:color="auto" w:sz="4" w:space="0"/>
              <w:left w:val="single" w:color="auto" w:sz="4" w:space="0"/>
              <w:bottom w:val="single" w:color="auto" w:sz="4" w:space="0"/>
              <w:right w:val="nil"/>
            </w:tcBorders>
            <w:vAlign w:val="center"/>
          </w:tcPr>
          <w:p>
            <w:pPr>
              <w:pStyle w:val="114"/>
              <w:spacing w:line="240" w:lineRule="auto"/>
              <w:rPr>
                <w:b/>
                <w:kern w:val="0"/>
              </w:rPr>
            </w:pPr>
          </w:p>
        </w:tc>
        <w:tc>
          <w:tcPr>
            <w:tcW w:w="1242" w:type="dxa"/>
            <w:tcBorders>
              <w:top w:val="nil"/>
              <w:left w:val="single" w:color="auto" w:sz="4" w:space="0"/>
              <w:bottom w:val="single" w:color="auto" w:sz="4" w:space="0"/>
              <w:right w:val="single" w:color="auto" w:sz="4" w:space="0"/>
            </w:tcBorders>
            <w:shd w:val="clear" w:color="auto" w:fill="auto"/>
            <w:noWrap/>
            <w:vAlign w:val="center"/>
          </w:tcPr>
          <w:p>
            <w:pPr>
              <w:pStyle w:val="114"/>
              <w:spacing w:line="240" w:lineRule="auto"/>
              <w:rPr>
                <w:b/>
                <w:kern w:val="0"/>
              </w:rPr>
            </w:pPr>
            <w:r>
              <w:rPr>
                <w:rFonts w:hint="eastAsia"/>
                <w:b/>
                <w:kern w:val="0"/>
              </w:rPr>
              <w:t>功率（KW)</w:t>
            </w:r>
          </w:p>
        </w:tc>
        <w:tc>
          <w:tcPr>
            <w:tcW w:w="1493" w:type="dxa"/>
            <w:tcBorders>
              <w:top w:val="nil"/>
              <w:left w:val="nil"/>
              <w:bottom w:val="single" w:color="auto" w:sz="4" w:space="0"/>
              <w:right w:val="single" w:color="auto" w:sz="4" w:space="0"/>
            </w:tcBorders>
            <w:shd w:val="clear" w:color="auto" w:fill="auto"/>
            <w:noWrap/>
            <w:vAlign w:val="center"/>
          </w:tcPr>
          <w:p>
            <w:pPr>
              <w:pStyle w:val="114"/>
              <w:spacing w:line="240" w:lineRule="auto"/>
              <w:rPr>
                <w:b/>
                <w:kern w:val="0"/>
              </w:rPr>
            </w:pPr>
            <w:r>
              <w:rPr>
                <w:rFonts w:hint="eastAsia"/>
                <w:b/>
                <w:kern w:val="0"/>
              </w:rPr>
              <w:t>运行时间(h）</w:t>
            </w:r>
          </w:p>
        </w:tc>
        <w:tc>
          <w:tcPr>
            <w:tcW w:w="1187" w:type="dxa"/>
            <w:tcBorders>
              <w:top w:val="nil"/>
              <w:left w:val="nil"/>
              <w:bottom w:val="single" w:color="auto" w:sz="4" w:space="0"/>
              <w:right w:val="single" w:color="auto" w:sz="4" w:space="0"/>
            </w:tcBorders>
            <w:shd w:val="clear" w:color="auto" w:fill="auto"/>
            <w:noWrap/>
            <w:vAlign w:val="center"/>
          </w:tcPr>
          <w:p>
            <w:pPr>
              <w:pStyle w:val="114"/>
              <w:spacing w:line="240" w:lineRule="auto"/>
              <w:rPr>
                <w:b/>
                <w:kern w:val="0"/>
              </w:rPr>
            </w:pPr>
            <w:r>
              <w:rPr>
                <w:rFonts w:hint="eastAsia"/>
                <w:b/>
                <w:kern w:val="0"/>
              </w:rPr>
              <w:t>功率（KW)</w:t>
            </w:r>
          </w:p>
        </w:tc>
        <w:tc>
          <w:tcPr>
            <w:tcW w:w="1431" w:type="dxa"/>
            <w:tcBorders>
              <w:top w:val="nil"/>
              <w:left w:val="nil"/>
              <w:bottom w:val="single" w:color="auto" w:sz="4" w:space="0"/>
              <w:right w:val="single" w:color="auto" w:sz="4" w:space="0"/>
            </w:tcBorders>
            <w:shd w:val="clear" w:color="auto" w:fill="auto"/>
            <w:noWrap/>
            <w:vAlign w:val="center"/>
          </w:tcPr>
          <w:p>
            <w:pPr>
              <w:pStyle w:val="114"/>
              <w:spacing w:line="240" w:lineRule="auto"/>
              <w:rPr>
                <w:b/>
                <w:kern w:val="0"/>
              </w:rPr>
            </w:pPr>
            <w:r>
              <w:rPr>
                <w:rFonts w:hint="eastAsia"/>
                <w:b/>
                <w:kern w:val="0"/>
              </w:rPr>
              <w:t>运行时间(h）</w:t>
            </w:r>
          </w:p>
        </w:tc>
      </w:tr>
      <w:tr>
        <w:tblPrEx>
          <w:tblCellMar>
            <w:top w:w="0" w:type="dxa"/>
            <w:left w:w="108" w:type="dxa"/>
            <w:bottom w:w="0" w:type="dxa"/>
            <w:right w:w="108" w:type="dxa"/>
          </w:tblCellMar>
        </w:tblPrEx>
        <w:trPr>
          <w:trHeight w:val="369" w:hRule="atLeast"/>
        </w:trPr>
        <w:tc>
          <w:tcPr>
            <w:tcW w:w="718"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rPr>
                <w:rFonts w:eastAsia="宋体"/>
                <w:kern w:val="0"/>
              </w:rPr>
            </w:pPr>
            <w:r>
              <w:rPr>
                <w:rFonts w:hint="eastAsia" w:eastAsia="宋体"/>
                <w:kern w:val="0"/>
              </w:rPr>
              <w:t>1</w:t>
            </w:r>
          </w:p>
        </w:tc>
        <w:tc>
          <w:tcPr>
            <w:tcW w:w="1071" w:type="dxa"/>
            <w:tcBorders>
              <w:top w:val="nil"/>
              <w:left w:val="nil"/>
              <w:bottom w:val="single" w:color="auto" w:sz="4" w:space="0"/>
              <w:right w:val="single" w:color="auto" w:sz="4" w:space="0"/>
            </w:tcBorders>
            <w:shd w:val="clear" w:color="auto" w:fill="auto"/>
            <w:vAlign w:val="center"/>
          </w:tcPr>
          <w:p>
            <w:pPr>
              <w:pStyle w:val="114"/>
              <w:spacing w:line="240" w:lineRule="auto"/>
              <w:rPr>
                <w:kern w:val="0"/>
              </w:rPr>
            </w:pPr>
            <w:r>
              <w:rPr>
                <w:rFonts w:hint="eastAsia"/>
                <w:kern w:val="0"/>
              </w:rPr>
              <w:t>户拉村</w:t>
            </w:r>
          </w:p>
        </w:tc>
        <w:tc>
          <w:tcPr>
            <w:tcW w:w="1093"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rPr>
                <w:rFonts w:hint="eastAsia"/>
              </w:rPr>
              <w:t>4</w:t>
            </w:r>
            <w:r>
              <w:t>0</w:t>
            </w:r>
          </w:p>
        </w:tc>
        <w:tc>
          <w:tcPr>
            <w:tcW w:w="1242"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0.75</w:t>
            </w:r>
          </w:p>
        </w:tc>
        <w:tc>
          <w:tcPr>
            <w:tcW w:w="1493"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12</w:t>
            </w:r>
          </w:p>
        </w:tc>
        <w:tc>
          <w:tcPr>
            <w:tcW w:w="1187"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 xml:space="preserve">2.0 </w:t>
            </w:r>
          </w:p>
        </w:tc>
        <w:tc>
          <w:tcPr>
            <w:tcW w:w="1431"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12</w:t>
            </w:r>
          </w:p>
        </w:tc>
      </w:tr>
      <w:tr>
        <w:tblPrEx>
          <w:tblCellMar>
            <w:top w:w="0" w:type="dxa"/>
            <w:left w:w="108" w:type="dxa"/>
            <w:bottom w:w="0" w:type="dxa"/>
            <w:right w:w="108" w:type="dxa"/>
          </w:tblCellMar>
        </w:tblPrEx>
        <w:trPr>
          <w:trHeight w:val="369" w:hRule="atLeast"/>
        </w:trPr>
        <w:tc>
          <w:tcPr>
            <w:tcW w:w="718" w:type="dxa"/>
            <w:tcBorders>
              <w:top w:val="nil"/>
              <w:left w:val="single" w:color="auto" w:sz="4" w:space="0"/>
              <w:bottom w:val="single" w:color="auto" w:sz="4" w:space="0"/>
              <w:right w:val="single" w:color="auto" w:sz="4" w:space="0"/>
            </w:tcBorders>
            <w:shd w:val="clear" w:color="auto" w:fill="auto"/>
            <w:vAlign w:val="center"/>
          </w:tcPr>
          <w:p>
            <w:pPr>
              <w:pStyle w:val="114"/>
              <w:spacing w:line="240" w:lineRule="auto"/>
              <w:rPr>
                <w:rFonts w:eastAsia="宋体"/>
                <w:kern w:val="0"/>
              </w:rPr>
            </w:pPr>
            <w:r>
              <w:rPr>
                <w:rFonts w:hint="eastAsia" w:eastAsia="宋体"/>
                <w:kern w:val="0"/>
              </w:rPr>
              <w:t>2</w:t>
            </w:r>
          </w:p>
        </w:tc>
        <w:tc>
          <w:tcPr>
            <w:tcW w:w="1071" w:type="dxa"/>
            <w:tcBorders>
              <w:top w:val="nil"/>
              <w:left w:val="nil"/>
              <w:bottom w:val="single" w:color="auto" w:sz="4" w:space="0"/>
              <w:right w:val="single" w:color="auto" w:sz="4" w:space="0"/>
            </w:tcBorders>
            <w:shd w:val="clear" w:color="auto" w:fill="auto"/>
            <w:vAlign w:val="center"/>
          </w:tcPr>
          <w:p>
            <w:pPr>
              <w:pStyle w:val="114"/>
              <w:spacing w:line="240" w:lineRule="auto"/>
              <w:rPr>
                <w:kern w:val="0"/>
              </w:rPr>
            </w:pPr>
            <w:r>
              <w:rPr>
                <w:rFonts w:hint="eastAsia"/>
                <w:kern w:val="0"/>
              </w:rPr>
              <w:t>芒瓦村</w:t>
            </w:r>
          </w:p>
        </w:tc>
        <w:tc>
          <w:tcPr>
            <w:tcW w:w="1093"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75</w:t>
            </w:r>
          </w:p>
        </w:tc>
        <w:tc>
          <w:tcPr>
            <w:tcW w:w="1242"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0.75</w:t>
            </w:r>
          </w:p>
        </w:tc>
        <w:tc>
          <w:tcPr>
            <w:tcW w:w="1493"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12</w:t>
            </w:r>
          </w:p>
        </w:tc>
        <w:tc>
          <w:tcPr>
            <w:tcW w:w="1187"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 xml:space="preserve">2.0 </w:t>
            </w:r>
          </w:p>
        </w:tc>
        <w:tc>
          <w:tcPr>
            <w:tcW w:w="1431" w:type="dxa"/>
            <w:tcBorders>
              <w:top w:val="nil"/>
              <w:left w:val="nil"/>
              <w:bottom w:val="single" w:color="auto" w:sz="4" w:space="0"/>
              <w:right w:val="single" w:color="auto" w:sz="4" w:space="0"/>
            </w:tcBorders>
            <w:shd w:val="clear" w:color="auto" w:fill="auto"/>
            <w:noWrap/>
            <w:vAlign w:val="center"/>
          </w:tcPr>
          <w:p>
            <w:pPr>
              <w:pStyle w:val="114"/>
              <w:rPr>
                <w:rFonts w:eastAsia="宋体"/>
              </w:rPr>
            </w:pPr>
            <w:r>
              <w:t>12</w:t>
            </w:r>
          </w:p>
        </w:tc>
      </w:tr>
      <w:tr>
        <w:tblPrEx>
          <w:tblCellMar>
            <w:top w:w="0" w:type="dxa"/>
            <w:left w:w="108" w:type="dxa"/>
            <w:bottom w:w="0" w:type="dxa"/>
            <w:right w:w="108" w:type="dxa"/>
          </w:tblCellMar>
        </w:tblPrEx>
        <w:trPr>
          <w:trHeight w:val="369" w:hRule="atLeast"/>
        </w:trPr>
        <w:tc>
          <w:tcPr>
            <w:tcW w:w="1789" w:type="dxa"/>
            <w:gridSpan w:val="2"/>
            <w:tcBorders>
              <w:top w:val="nil"/>
              <w:left w:val="single" w:color="auto" w:sz="8" w:space="0"/>
              <w:bottom w:val="single" w:color="auto" w:sz="8" w:space="0"/>
              <w:right w:val="single" w:color="000000" w:sz="8" w:space="0"/>
            </w:tcBorders>
            <w:shd w:val="clear" w:color="auto" w:fill="auto"/>
            <w:vAlign w:val="center"/>
          </w:tcPr>
          <w:p>
            <w:pPr>
              <w:pStyle w:val="114"/>
              <w:spacing w:line="240" w:lineRule="auto"/>
              <w:rPr>
                <w:kern w:val="0"/>
              </w:rPr>
            </w:pPr>
            <w:r>
              <w:rPr>
                <w:rFonts w:hint="eastAsia"/>
                <w:kern w:val="0"/>
              </w:rPr>
              <w:t>合计</w:t>
            </w:r>
          </w:p>
        </w:tc>
        <w:tc>
          <w:tcPr>
            <w:tcW w:w="6446" w:type="dxa"/>
            <w:gridSpan w:val="5"/>
            <w:tcBorders>
              <w:top w:val="single" w:color="auto" w:sz="4" w:space="0"/>
              <w:left w:val="nil"/>
              <w:bottom w:val="single" w:color="auto" w:sz="8" w:space="0"/>
              <w:right w:val="single" w:color="000000" w:sz="8" w:space="0"/>
            </w:tcBorders>
            <w:shd w:val="clear" w:color="auto" w:fill="auto"/>
            <w:noWrap/>
            <w:vAlign w:val="center"/>
          </w:tcPr>
          <w:p>
            <w:pPr>
              <w:pStyle w:val="114"/>
              <w:spacing w:line="240" w:lineRule="auto"/>
              <w:rPr>
                <w:kern w:val="0"/>
              </w:rPr>
            </w:pPr>
            <w:r>
              <w:rPr>
                <w:rFonts w:hint="eastAsia"/>
                <w:kern w:val="0"/>
              </w:rPr>
              <w:t>66</w:t>
            </w:r>
            <w:r>
              <w:rPr>
                <w:kern w:val="0"/>
              </w:rPr>
              <w:t>kwh/d</w:t>
            </w:r>
          </w:p>
        </w:tc>
      </w:tr>
    </w:tbl>
    <w:p>
      <w:pPr>
        <w:pStyle w:val="116"/>
        <w:rPr>
          <w:color w:val="auto"/>
        </w:rPr>
      </w:pPr>
      <w:r>
        <w:rPr>
          <w:color w:val="auto"/>
        </w:rPr>
        <w:t>电气管缆敷设</w:t>
      </w:r>
    </w:p>
    <w:p>
      <w:pPr>
        <w:ind w:firstLine="480"/>
        <w:rPr>
          <w:rFonts w:cs="Times New Roman"/>
          <w:color w:val="auto"/>
          <w:kern w:val="0"/>
        </w:rPr>
      </w:pPr>
      <w:r>
        <w:rPr>
          <w:rFonts w:cs="Times New Roman"/>
          <w:color w:val="auto"/>
          <w:kern w:val="0"/>
        </w:rPr>
        <w:t>室外管线敷设方式主要有三种方式：电缆沿电缆沟桥架敷设、电缆穿管敷设和直埋敷设。站前区及至设备末端处，电缆较少，采用穿镀锌钢管暗敷设。站区照明基本采用电缆直埋敷设方式，过路穿管。</w:t>
      </w:r>
    </w:p>
    <w:p>
      <w:pPr>
        <w:pStyle w:val="5"/>
      </w:pPr>
      <w:bookmarkStart w:id="250" w:name="_Toc48640768"/>
      <w:bookmarkStart w:id="251" w:name="_Toc36126961"/>
      <w:r>
        <w:t>仪表与自控</w:t>
      </w:r>
      <w:bookmarkEnd w:id="250"/>
      <w:bookmarkEnd w:id="251"/>
    </w:p>
    <w:p>
      <w:pPr>
        <w:ind w:firstLine="480"/>
        <w:rPr>
          <w:rFonts w:cs="Times New Roman"/>
          <w:color w:val="auto"/>
          <w:kern w:val="0"/>
        </w:rPr>
      </w:pPr>
      <w:r>
        <w:rPr>
          <w:rFonts w:cs="Times New Roman"/>
          <w:color w:val="auto"/>
          <w:kern w:val="0"/>
        </w:rPr>
        <w:t>本项目</w:t>
      </w:r>
      <w:r>
        <w:rPr>
          <w:rFonts w:hint="eastAsia" w:cs="Times New Roman"/>
          <w:color w:val="auto"/>
          <w:kern w:val="0"/>
        </w:rPr>
        <w:t>有</w:t>
      </w:r>
      <w:r>
        <w:rPr>
          <w:rFonts w:cs="Times New Roman"/>
          <w:color w:val="auto"/>
          <w:kern w:val="0"/>
        </w:rPr>
        <w:t>提升设备</w:t>
      </w:r>
      <w:r>
        <w:rPr>
          <w:rFonts w:hint="eastAsia" w:cs="Times New Roman"/>
          <w:color w:val="auto"/>
          <w:kern w:val="0"/>
        </w:rPr>
        <w:t>和曝气机，</w:t>
      </w:r>
      <w:r>
        <w:rPr>
          <w:rFonts w:cs="Times New Roman"/>
          <w:color w:val="auto"/>
          <w:kern w:val="0"/>
        </w:rPr>
        <w:t>本项目设置自控系统。</w:t>
      </w:r>
    </w:p>
    <w:p>
      <w:pPr>
        <w:pStyle w:val="5"/>
      </w:pPr>
      <w:bookmarkStart w:id="252" w:name="_Toc48640769"/>
      <w:bookmarkStart w:id="253" w:name="_Toc36126962"/>
      <w:r>
        <w:t>机械设计</w:t>
      </w:r>
      <w:bookmarkEnd w:id="252"/>
      <w:bookmarkEnd w:id="253"/>
    </w:p>
    <w:p>
      <w:pPr>
        <w:pStyle w:val="116"/>
        <w:rPr>
          <w:color w:val="auto"/>
        </w:rPr>
      </w:pPr>
      <w:r>
        <w:rPr>
          <w:color w:val="auto"/>
        </w:rPr>
        <w:t>设计原则</w:t>
      </w:r>
    </w:p>
    <w:p>
      <w:pPr>
        <w:ind w:firstLine="480"/>
        <w:rPr>
          <w:rFonts w:cs="Times New Roman"/>
          <w:color w:val="auto"/>
          <w:kern w:val="0"/>
        </w:rPr>
      </w:pPr>
      <w:r>
        <w:rPr>
          <w:rFonts w:cs="Times New Roman"/>
          <w:color w:val="auto"/>
          <w:kern w:val="0"/>
        </w:rPr>
        <w:t>（1）各设备的选型力求先进实用、经济合理，确保工艺的需要，并配合土建构筑物形式的要求。</w:t>
      </w:r>
    </w:p>
    <w:p>
      <w:pPr>
        <w:ind w:firstLine="480"/>
        <w:rPr>
          <w:rFonts w:cs="Times New Roman"/>
          <w:color w:val="auto"/>
          <w:kern w:val="0"/>
        </w:rPr>
      </w:pPr>
      <w:r>
        <w:rPr>
          <w:rFonts w:cs="Times New Roman"/>
          <w:color w:val="auto"/>
          <w:kern w:val="0"/>
        </w:rPr>
        <w:t>（2）设备的工作能力根据处理水量和各系统的处理水质要求，确定所需台数及设备的运行方式，并考虑在最大负荷条件下，备有余量。</w:t>
      </w:r>
    </w:p>
    <w:p>
      <w:pPr>
        <w:ind w:firstLine="480"/>
        <w:rPr>
          <w:rFonts w:cs="Times New Roman"/>
          <w:color w:val="auto"/>
          <w:kern w:val="0"/>
        </w:rPr>
      </w:pPr>
      <w:r>
        <w:rPr>
          <w:rFonts w:cs="Times New Roman"/>
          <w:color w:val="auto"/>
          <w:kern w:val="0"/>
        </w:rPr>
        <w:t>（3）所有设备的供货均需提供出厂合格标志。</w:t>
      </w:r>
    </w:p>
    <w:p>
      <w:pPr>
        <w:ind w:firstLine="480"/>
        <w:rPr>
          <w:rFonts w:cs="Times New Roman"/>
          <w:color w:val="auto"/>
          <w:kern w:val="0"/>
        </w:rPr>
      </w:pPr>
      <w:r>
        <w:rPr>
          <w:rFonts w:cs="Times New Roman"/>
          <w:color w:val="auto"/>
          <w:kern w:val="0"/>
        </w:rPr>
        <w:t>（4）考虑污水腐蚀的环境，对材料选用的原则为水下部分（含不可分割的延伸段）采用铬镍不锈钢或铸铁等耐蚀材料，或碳钢涂环氧树脂，平台以上部分为铝合金或碳钢（镀锌或涂刷环氧漆）。</w:t>
      </w:r>
    </w:p>
    <w:p>
      <w:pPr>
        <w:pStyle w:val="116"/>
        <w:rPr>
          <w:color w:val="auto"/>
        </w:rPr>
      </w:pPr>
      <w:r>
        <w:rPr>
          <w:color w:val="auto"/>
        </w:rPr>
        <w:t>设计参考标准</w:t>
      </w:r>
    </w:p>
    <w:p>
      <w:pPr>
        <w:ind w:firstLine="480"/>
        <w:rPr>
          <w:rFonts w:cs="Times New Roman"/>
          <w:color w:val="auto"/>
          <w:kern w:val="0"/>
        </w:rPr>
      </w:pPr>
      <w:r>
        <w:rPr>
          <w:rFonts w:cs="Times New Roman"/>
          <w:color w:val="auto"/>
          <w:kern w:val="0"/>
        </w:rPr>
        <w:t>1）平面格栅除污机：（CJ/T3048-95）</w:t>
      </w:r>
    </w:p>
    <w:p>
      <w:pPr>
        <w:ind w:firstLine="480"/>
        <w:rPr>
          <w:rFonts w:cs="Times New Roman"/>
          <w:color w:val="auto"/>
          <w:kern w:val="0"/>
        </w:rPr>
      </w:pPr>
      <w:r>
        <w:rPr>
          <w:rFonts w:cs="Times New Roman"/>
          <w:color w:val="auto"/>
          <w:kern w:val="0"/>
        </w:rPr>
        <w:t>2）钢闸门设计规范钢闸门：（SDJ13-81）</w:t>
      </w:r>
    </w:p>
    <w:p>
      <w:pPr>
        <w:ind w:firstLine="480"/>
        <w:rPr>
          <w:rFonts w:cs="Times New Roman"/>
          <w:color w:val="auto"/>
          <w:kern w:val="0"/>
        </w:rPr>
      </w:pPr>
      <w:r>
        <w:rPr>
          <w:rFonts w:cs="Times New Roman"/>
          <w:color w:val="auto"/>
          <w:kern w:val="0"/>
        </w:rPr>
        <w:t>3）其它建设部科学技术司（94）建科开字第041 号关于水工机械设备首批优选产品目录通知。</w:t>
      </w:r>
    </w:p>
    <w:p>
      <w:pPr>
        <w:pStyle w:val="5"/>
      </w:pPr>
      <w:bookmarkStart w:id="254" w:name="_Toc36126963"/>
      <w:bookmarkStart w:id="255" w:name="_Toc48640770"/>
      <w:r>
        <w:rPr>
          <w:rFonts w:hint="eastAsia"/>
        </w:rPr>
        <w:t>污水处理设施工程量</w:t>
      </w:r>
      <w:bookmarkEnd w:id="254"/>
      <w:bookmarkEnd w:id="255"/>
    </w:p>
    <w:p>
      <w:pPr>
        <w:ind w:firstLine="480"/>
        <w:rPr>
          <w:color w:val="auto"/>
        </w:rPr>
      </w:pPr>
      <w:r>
        <w:rPr>
          <w:rFonts w:hint="eastAsia"/>
          <w:color w:val="auto"/>
        </w:rPr>
        <w:t>本项目工涉及2个自然村，共建设2套污水处理系统，均采用“</w:t>
      </w:r>
      <w:r>
        <w:rPr>
          <w:rFonts w:hint="eastAsia" w:ascii="仿宋_GB2312"/>
          <w:color w:val="auto"/>
          <w:kern w:val="0"/>
          <w:szCs w:val="24"/>
        </w:rPr>
        <w:t>预处理</w:t>
      </w:r>
      <w:r>
        <w:rPr>
          <w:rFonts w:cs="Times New Roman"/>
          <w:color w:val="auto"/>
          <w:kern w:val="0"/>
          <w:szCs w:val="24"/>
        </w:rPr>
        <w:t>+</w:t>
      </w:r>
      <w:r>
        <w:rPr>
          <w:rFonts w:hint="eastAsia" w:ascii="仿宋_GB2312"/>
          <w:color w:val="auto"/>
          <w:kern w:val="0"/>
          <w:szCs w:val="24"/>
        </w:rPr>
        <w:t>接触氧化</w:t>
      </w:r>
      <w:r>
        <w:rPr>
          <w:rFonts w:cs="Times New Roman"/>
          <w:color w:val="auto"/>
          <w:kern w:val="0"/>
          <w:szCs w:val="24"/>
        </w:rPr>
        <w:t>+</w:t>
      </w:r>
      <w:r>
        <w:rPr>
          <w:rFonts w:hint="eastAsia" w:ascii="仿宋_GB2312"/>
          <w:color w:val="auto"/>
          <w:kern w:val="0"/>
          <w:szCs w:val="24"/>
        </w:rPr>
        <w:t>碎石滤床</w:t>
      </w:r>
      <w:r>
        <w:rPr>
          <w:rFonts w:hint="eastAsia"/>
          <w:color w:val="auto"/>
        </w:rPr>
        <w:t>”的处理工艺，污水处理设施统计表如下：</w:t>
      </w: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6.2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rFonts w:hint="eastAsia"/>
          <w:color w:val="auto"/>
        </w:rPr>
        <w:t xml:space="preserve"> 污水处理系统工程量</w:t>
      </w:r>
    </w:p>
    <w:tbl>
      <w:tblPr>
        <w:tblStyle w:val="88"/>
        <w:tblW w:w="8746" w:type="dxa"/>
        <w:jc w:val="center"/>
        <w:tblLayout w:type="autofit"/>
        <w:tblCellMar>
          <w:top w:w="0" w:type="dxa"/>
          <w:left w:w="108" w:type="dxa"/>
          <w:bottom w:w="0" w:type="dxa"/>
          <w:right w:w="108" w:type="dxa"/>
        </w:tblCellMar>
      </w:tblPr>
      <w:tblGrid>
        <w:gridCol w:w="856"/>
        <w:gridCol w:w="2646"/>
        <w:gridCol w:w="2976"/>
        <w:gridCol w:w="1080"/>
        <w:gridCol w:w="1188"/>
      </w:tblGrid>
      <w:tr>
        <w:tblPrEx>
          <w:tblCellMar>
            <w:top w:w="0" w:type="dxa"/>
            <w:left w:w="108" w:type="dxa"/>
            <w:bottom w:w="0" w:type="dxa"/>
            <w:right w:w="108" w:type="dxa"/>
          </w:tblCellMar>
        </w:tblPrEx>
        <w:trPr>
          <w:trHeight w:val="369" w:hRule="atLeast"/>
          <w:tblHeader/>
          <w:jc w:val="center"/>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14"/>
              <w:rPr>
                <w:b/>
                <w:kern w:val="0"/>
              </w:rPr>
            </w:pPr>
            <w:r>
              <w:rPr>
                <w:rFonts w:hint="eastAsia"/>
                <w:b/>
                <w:kern w:val="0"/>
              </w:rPr>
              <w:t>序号</w:t>
            </w:r>
          </w:p>
        </w:tc>
        <w:tc>
          <w:tcPr>
            <w:tcW w:w="2646"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rPr>
            </w:pPr>
            <w:r>
              <w:rPr>
                <w:rFonts w:hint="eastAsia"/>
                <w:b/>
                <w:kern w:val="0"/>
              </w:rPr>
              <w:t>工程名称</w:t>
            </w:r>
          </w:p>
        </w:tc>
        <w:tc>
          <w:tcPr>
            <w:tcW w:w="2976"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rPr>
            </w:pPr>
            <w:r>
              <w:rPr>
                <w:rFonts w:hint="eastAsia"/>
                <w:b/>
                <w:kern w:val="0"/>
              </w:rPr>
              <w:t>规格</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rPr>
            </w:pPr>
            <w:r>
              <w:rPr>
                <w:rFonts w:hint="eastAsia"/>
                <w:b/>
                <w:kern w:val="0"/>
              </w:rPr>
              <w:t>单位</w:t>
            </w:r>
          </w:p>
        </w:tc>
        <w:tc>
          <w:tcPr>
            <w:tcW w:w="1188" w:type="dxa"/>
            <w:tcBorders>
              <w:top w:val="single" w:color="auto" w:sz="4" w:space="0"/>
              <w:left w:val="nil"/>
              <w:bottom w:val="single" w:color="auto" w:sz="4" w:space="0"/>
              <w:right w:val="single" w:color="auto" w:sz="4" w:space="0"/>
            </w:tcBorders>
            <w:shd w:val="clear" w:color="auto" w:fill="auto"/>
            <w:noWrap/>
            <w:vAlign w:val="center"/>
          </w:tcPr>
          <w:p>
            <w:pPr>
              <w:pStyle w:val="114"/>
              <w:rPr>
                <w:b/>
                <w:kern w:val="0"/>
              </w:rPr>
            </w:pPr>
            <w:r>
              <w:rPr>
                <w:rFonts w:hint="eastAsia"/>
                <w:b/>
                <w:kern w:val="0"/>
              </w:rPr>
              <w:t>数量</w:t>
            </w:r>
          </w:p>
        </w:tc>
      </w:tr>
      <w:tr>
        <w:tblPrEx>
          <w:tblCellMar>
            <w:top w:w="0" w:type="dxa"/>
            <w:left w:w="108" w:type="dxa"/>
            <w:bottom w:w="0" w:type="dxa"/>
            <w:right w:w="108" w:type="dxa"/>
          </w:tblCellMar>
        </w:tblPrEx>
        <w:trPr>
          <w:trHeight w:val="369"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1</w:t>
            </w:r>
          </w:p>
        </w:tc>
        <w:tc>
          <w:tcPr>
            <w:tcW w:w="2646" w:type="dxa"/>
            <w:tcBorders>
              <w:top w:val="nil"/>
              <w:left w:val="nil"/>
              <w:bottom w:val="single" w:color="auto" w:sz="4" w:space="0"/>
              <w:right w:val="single" w:color="auto" w:sz="4" w:space="0"/>
            </w:tcBorders>
            <w:shd w:val="clear" w:color="auto" w:fill="auto"/>
            <w:noWrap/>
            <w:vAlign w:val="center"/>
          </w:tcPr>
          <w:p>
            <w:pPr>
              <w:pStyle w:val="114"/>
              <w:rPr>
                <w:b/>
                <w:bCs/>
                <w:kern w:val="0"/>
              </w:rPr>
            </w:pPr>
            <w:r>
              <w:rPr>
                <w:rFonts w:hint="eastAsia"/>
                <w:b/>
                <w:bCs/>
                <w:kern w:val="0"/>
              </w:rPr>
              <w:t>4</w:t>
            </w:r>
            <w:r>
              <w:rPr>
                <w:b/>
                <w:bCs/>
                <w:kern w:val="0"/>
              </w:rPr>
              <w:t>0 m</w:t>
            </w:r>
            <w:r>
              <w:rPr>
                <w:b/>
                <w:bCs/>
                <w:kern w:val="0"/>
                <w:vertAlign w:val="superscript"/>
              </w:rPr>
              <w:t>3</w:t>
            </w:r>
            <w:r>
              <w:rPr>
                <w:b/>
                <w:bCs/>
                <w:kern w:val="0"/>
              </w:rPr>
              <w:t>/d</w:t>
            </w:r>
            <w:r>
              <w:rPr>
                <w:rFonts w:hint="eastAsia"/>
                <w:b/>
                <w:bCs/>
                <w:kern w:val="0"/>
              </w:rPr>
              <w:t>污水处理系统</w:t>
            </w:r>
          </w:p>
        </w:tc>
        <w:tc>
          <w:tcPr>
            <w:tcW w:w="2976"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预处理</w:t>
            </w:r>
            <w:r>
              <w:rPr>
                <w:kern w:val="0"/>
              </w:rPr>
              <w:t>+</w:t>
            </w:r>
            <w:r>
              <w:rPr>
                <w:rFonts w:hint="eastAsia" w:ascii="仿宋_GB2312"/>
                <w:kern w:val="0"/>
              </w:rPr>
              <w:t>接触氧化</w:t>
            </w:r>
            <w:r>
              <w:rPr>
                <w:kern w:val="0"/>
              </w:rPr>
              <w:t>+</w:t>
            </w:r>
            <w:r>
              <w:rPr>
                <w:rFonts w:hint="eastAsia" w:ascii="仿宋_GB2312"/>
                <w:kern w:val="0"/>
              </w:rPr>
              <w:t>碎石滤床</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套</w:t>
            </w:r>
          </w:p>
        </w:tc>
        <w:tc>
          <w:tcPr>
            <w:tcW w:w="1188"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1</w:t>
            </w:r>
          </w:p>
        </w:tc>
      </w:tr>
      <w:tr>
        <w:tblPrEx>
          <w:tblCellMar>
            <w:top w:w="0" w:type="dxa"/>
            <w:left w:w="108" w:type="dxa"/>
            <w:bottom w:w="0" w:type="dxa"/>
            <w:right w:w="108" w:type="dxa"/>
          </w:tblCellMar>
        </w:tblPrEx>
        <w:trPr>
          <w:trHeight w:val="369"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pStyle w:val="114"/>
              <w:rPr>
                <w:kern w:val="0"/>
              </w:rPr>
            </w:pPr>
            <w:r>
              <w:rPr>
                <w:rFonts w:hint="eastAsia"/>
                <w:kern w:val="0"/>
              </w:rPr>
              <w:t>2</w:t>
            </w:r>
          </w:p>
        </w:tc>
        <w:tc>
          <w:tcPr>
            <w:tcW w:w="2646" w:type="dxa"/>
            <w:tcBorders>
              <w:top w:val="nil"/>
              <w:left w:val="nil"/>
              <w:bottom w:val="single" w:color="auto" w:sz="4" w:space="0"/>
              <w:right w:val="single" w:color="auto" w:sz="4" w:space="0"/>
            </w:tcBorders>
            <w:shd w:val="clear" w:color="auto" w:fill="auto"/>
            <w:noWrap/>
            <w:vAlign w:val="center"/>
          </w:tcPr>
          <w:p>
            <w:pPr>
              <w:pStyle w:val="114"/>
              <w:rPr>
                <w:b/>
                <w:bCs/>
                <w:kern w:val="0"/>
              </w:rPr>
            </w:pPr>
            <w:r>
              <w:rPr>
                <w:b/>
                <w:bCs/>
                <w:kern w:val="0"/>
              </w:rPr>
              <w:t>75 m</w:t>
            </w:r>
            <w:r>
              <w:rPr>
                <w:b/>
                <w:bCs/>
                <w:kern w:val="0"/>
                <w:vertAlign w:val="superscript"/>
              </w:rPr>
              <w:t>3</w:t>
            </w:r>
            <w:r>
              <w:rPr>
                <w:b/>
                <w:bCs/>
                <w:kern w:val="0"/>
              </w:rPr>
              <w:t>/d</w:t>
            </w:r>
            <w:r>
              <w:rPr>
                <w:rFonts w:hint="eastAsia"/>
                <w:b/>
                <w:bCs/>
                <w:kern w:val="0"/>
              </w:rPr>
              <w:t>污水处理系统</w:t>
            </w:r>
          </w:p>
        </w:tc>
        <w:tc>
          <w:tcPr>
            <w:tcW w:w="2976" w:type="dxa"/>
            <w:tcBorders>
              <w:top w:val="nil"/>
              <w:left w:val="nil"/>
              <w:bottom w:val="single" w:color="auto" w:sz="4" w:space="0"/>
              <w:right w:val="single" w:color="auto" w:sz="4" w:space="0"/>
            </w:tcBorders>
            <w:shd w:val="clear" w:color="auto" w:fill="auto"/>
            <w:noWrap/>
            <w:vAlign w:val="center"/>
          </w:tcPr>
          <w:p>
            <w:pPr>
              <w:pStyle w:val="114"/>
              <w:rPr>
                <w:rFonts w:ascii="仿宋_GB2312"/>
                <w:kern w:val="0"/>
              </w:rPr>
            </w:pPr>
            <w:r>
              <w:rPr>
                <w:rFonts w:hint="eastAsia" w:ascii="仿宋_GB2312"/>
                <w:kern w:val="0"/>
              </w:rPr>
              <w:t>预处理</w:t>
            </w:r>
            <w:r>
              <w:rPr>
                <w:kern w:val="0"/>
              </w:rPr>
              <w:t>+</w:t>
            </w:r>
            <w:r>
              <w:rPr>
                <w:rFonts w:hint="eastAsia" w:ascii="仿宋_GB2312"/>
                <w:kern w:val="0"/>
              </w:rPr>
              <w:t>接触氧化</w:t>
            </w:r>
            <w:r>
              <w:rPr>
                <w:kern w:val="0"/>
              </w:rPr>
              <w:t>+</w:t>
            </w:r>
            <w:r>
              <w:rPr>
                <w:rFonts w:hint="eastAsia" w:ascii="仿宋_GB2312"/>
                <w:kern w:val="0"/>
              </w:rPr>
              <w:t>碎石滤床</w:t>
            </w:r>
          </w:p>
        </w:tc>
        <w:tc>
          <w:tcPr>
            <w:tcW w:w="1080"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套</w:t>
            </w:r>
          </w:p>
        </w:tc>
        <w:tc>
          <w:tcPr>
            <w:tcW w:w="1188" w:type="dxa"/>
            <w:tcBorders>
              <w:top w:val="nil"/>
              <w:left w:val="nil"/>
              <w:bottom w:val="single" w:color="auto" w:sz="4" w:space="0"/>
              <w:right w:val="single" w:color="auto" w:sz="4" w:space="0"/>
            </w:tcBorders>
            <w:shd w:val="clear" w:color="auto" w:fill="auto"/>
            <w:noWrap/>
            <w:vAlign w:val="center"/>
          </w:tcPr>
          <w:p>
            <w:pPr>
              <w:pStyle w:val="114"/>
              <w:rPr>
                <w:kern w:val="0"/>
              </w:rPr>
            </w:pPr>
            <w:r>
              <w:rPr>
                <w:rFonts w:hint="eastAsia"/>
                <w:kern w:val="0"/>
              </w:rPr>
              <w:t>1</w:t>
            </w:r>
          </w:p>
        </w:tc>
      </w:tr>
    </w:tbl>
    <w:p>
      <w:pPr>
        <w:ind w:firstLine="480"/>
        <w:rPr>
          <w:color w:val="auto"/>
        </w:rPr>
      </w:pPr>
    </w:p>
    <w:p>
      <w:pPr>
        <w:widowControl/>
        <w:spacing w:line="240" w:lineRule="auto"/>
        <w:ind w:firstLine="0" w:firstLineChars="0"/>
        <w:jc w:val="left"/>
        <w:rPr>
          <w:rFonts w:cs="Times New Roman"/>
          <w:b/>
          <w:bCs/>
          <w:color w:val="auto"/>
          <w:kern w:val="44"/>
          <w:sz w:val="32"/>
          <w:szCs w:val="44"/>
        </w:rPr>
      </w:pPr>
      <w:r>
        <w:rPr>
          <w:color w:val="auto"/>
        </w:rPr>
        <w:br w:type="page"/>
      </w:r>
    </w:p>
    <w:p>
      <w:pPr>
        <w:pStyle w:val="3"/>
        <w:rPr>
          <w:color w:val="auto"/>
        </w:rPr>
      </w:pPr>
      <w:bookmarkStart w:id="256" w:name="_Toc48640771"/>
      <w:bookmarkStart w:id="257" w:name="_Toc35615139"/>
      <w:bookmarkStart w:id="258" w:name="_Toc36126964"/>
      <w:r>
        <w:rPr>
          <w:color w:val="auto"/>
        </w:rPr>
        <w:t>项目组织管理与验收</w:t>
      </w:r>
      <w:bookmarkEnd w:id="256"/>
      <w:bookmarkEnd w:id="257"/>
      <w:bookmarkEnd w:id="258"/>
    </w:p>
    <w:p>
      <w:pPr>
        <w:pStyle w:val="4"/>
      </w:pPr>
      <w:bookmarkStart w:id="259" w:name="_Toc48640772"/>
      <w:bookmarkStart w:id="260" w:name="_Toc36126965"/>
      <w:r>
        <w:t>实施原则</w:t>
      </w:r>
      <w:bookmarkEnd w:id="259"/>
      <w:bookmarkEnd w:id="260"/>
    </w:p>
    <w:p>
      <w:pPr>
        <w:ind w:firstLine="480"/>
        <w:rPr>
          <w:rFonts w:cs="Times New Roman"/>
          <w:color w:val="auto"/>
          <w:kern w:val="0"/>
        </w:rPr>
      </w:pPr>
      <w:r>
        <w:rPr>
          <w:rFonts w:cs="Times New Roman"/>
          <w:color w:val="auto"/>
          <w:kern w:val="0"/>
        </w:rPr>
        <w:t>（1）本工程项目的实施，首先应符合国内基本建设项目的审批程序，同时各有关单位应协调配合，为项目的顺利实施创造良好条件。</w:t>
      </w:r>
    </w:p>
    <w:p>
      <w:pPr>
        <w:ind w:firstLine="480"/>
        <w:rPr>
          <w:rFonts w:cs="Times New Roman"/>
          <w:color w:val="auto"/>
          <w:kern w:val="0"/>
        </w:rPr>
      </w:pPr>
      <w:r>
        <w:rPr>
          <w:rFonts w:cs="Times New Roman"/>
          <w:color w:val="auto"/>
          <w:kern w:val="0"/>
        </w:rPr>
        <w:t>（2）成立相关机构，负责项目实施的组织、协调及管理工作，委派专人担任项目负责人，负责项目实施过程中的决策、指挥、执行及对内对外谈判与联络工作。</w:t>
      </w:r>
    </w:p>
    <w:p>
      <w:pPr>
        <w:ind w:firstLine="480"/>
        <w:rPr>
          <w:rFonts w:cs="Times New Roman"/>
          <w:color w:val="auto"/>
          <w:kern w:val="0"/>
        </w:rPr>
      </w:pPr>
      <w:r>
        <w:rPr>
          <w:rFonts w:cs="Times New Roman"/>
          <w:color w:val="auto"/>
          <w:kern w:val="0"/>
        </w:rPr>
        <w:t>（3）委派专人担任项目的法人代表，项目实施过程中的决策、指挥、执行等均由该法人代表负责。</w:t>
      </w:r>
    </w:p>
    <w:p>
      <w:pPr>
        <w:ind w:firstLine="480"/>
        <w:rPr>
          <w:rFonts w:cs="Times New Roman"/>
          <w:color w:val="auto"/>
          <w:kern w:val="0"/>
        </w:rPr>
      </w:pPr>
      <w:r>
        <w:rPr>
          <w:rFonts w:cs="Times New Roman"/>
          <w:color w:val="auto"/>
          <w:kern w:val="0"/>
        </w:rPr>
        <w:t>（4）项目应按照国家及地方有关法规，择优选择勘察、设计、供货、施工安装、监理等履行单位。各履行单位应与本项目执行单位履行必要的法律手续，按照国家有关法律、法规及合同认真履行合约责任。违约责任应按照国家有关法律法规执行。</w:t>
      </w:r>
    </w:p>
    <w:p>
      <w:pPr>
        <w:ind w:firstLine="480"/>
        <w:rPr>
          <w:rFonts w:cs="Times New Roman"/>
          <w:color w:val="auto"/>
          <w:kern w:val="0"/>
        </w:rPr>
      </w:pPr>
      <w:r>
        <w:rPr>
          <w:rFonts w:cs="Times New Roman"/>
          <w:color w:val="auto"/>
          <w:kern w:val="0"/>
        </w:rPr>
        <w:t>（5）在建设过程中，投资单位应与项目履行单位协商确定项目的实施进度计划，并于履行前通知有关各方；同时应为项目履行单位开展工作创造有利条件。项目履行单位应服从项目法人单位的指挥和调度。</w:t>
      </w:r>
    </w:p>
    <w:p>
      <w:pPr>
        <w:ind w:firstLine="480"/>
        <w:rPr>
          <w:rFonts w:cs="Times New Roman"/>
          <w:color w:val="auto"/>
          <w:kern w:val="0"/>
        </w:rPr>
      </w:pPr>
      <w:r>
        <w:rPr>
          <w:rFonts w:cs="Times New Roman"/>
          <w:color w:val="auto"/>
          <w:kern w:val="0"/>
        </w:rPr>
        <w:t>（6）土建施工、设备安装与仪表、电气系统的安装工程，应选择专业施工单位。</w:t>
      </w:r>
    </w:p>
    <w:p>
      <w:pPr>
        <w:pStyle w:val="4"/>
      </w:pPr>
      <w:bookmarkStart w:id="261" w:name="_Toc36126966"/>
      <w:bookmarkStart w:id="262" w:name="_Toc35615140"/>
      <w:bookmarkStart w:id="263" w:name="_Toc48640773"/>
      <w:r>
        <w:t>项目组织与制度保障</w:t>
      </w:r>
      <w:bookmarkEnd w:id="261"/>
      <w:bookmarkEnd w:id="262"/>
      <w:bookmarkEnd w:id="263"/>
    </w:p>
    <w:p>
      <w:pPr>
        <w:pStyle w:val="5"/>
      </w:pPr>
      <w:bookmarkStart w:id="264" w:name="_Toc36126967"/>
      <w:bookmarkStart w:id="265" w:name="_Toc48640774"/>
      <w:r>
        <w:t>组织保障</w:t>
      </w:r>
      <w:bookmarkEnd w:id="264"/>
      <w:bookmarkEnd w:id="265"/>
    </w:p>
    <w:p>
      <w:pPr>
        <w:ind w:firstLine="480"/>
        <w:rPr>
          <w:rFonts w:cs="Times New Roman"/>
          <w:color w:val="auto"/>
          <w:lang w:val="zh-CN"/>
        </w:rPr>
      </w:pPr>
      <w:r>
        <w:rPr>
          <w:rFonts w:cs="Times New Roman"/>
          <w:color w:val="auto"/>
          <w:lang w:val="zh-CN"/>
        </w:rPr>
        <w:t>本项目主要工程内容包括污水收集工程、污水处理工程两项工程，为了确保整个项目的顺利实施，建议各级政府共同参与，密切配合，整合相关涉农资金和资源，扩大整治成效，推动村落环境综合整治工作。</w:t>
      </w:r>
    </w:p>
    <w:p>
      <w:pPr>
        <w:ind w:firstLine="480"/>
        <w:rPr>
          <w:rFonts w:cs="Times New Roman"/>
          <w:color w:val="auto"/>
          <w:lang w:val="zh-CN"/>
        </w:rPr>
      </w:pPr>
      <w:r>
        <w:rPr>
          <w:rFonts w:cs="Times New Roman"/>
          <w:color w:val="auto"/>
          <w:lang w:val="zh-CN"/>
        </w:rPr>
        <w:t>项目的建设应按规定实行项目业主负责制、建设监理制和招投标制。芒市人民政府为主管部门，负责组织协调部门间互相函接，达成一致意见，形成书面确认函后再实施工程建设。建设期间尽量减少或消除环境、交通、水利等给居民带来的不便和影响。建设期管理体系如下：</w:t>
      </w:r>
    </w:p>
    <w:p>
      <w:pPr>
        <w:ind w:firstLine="480"/>
        <w:rPr>
          <w:rFonts w:cs="Times New Roman"/>
          <w:color w:val="auto"/>
        </w:rPr>
      </w:pPr>
      <w:r>
        <w:rPr>
          <w:rFonts w:cs="Times New Roman"/>
          <w:color w:val="auto"/>
        </w:rPr>
        <w:t>（1）成立县工程项目领导小组及领导小组办公室</w:t>
      </w:r>
    </w:p>
    <w:p>
      <w:pPr>
        <w:ind w:firstLine="480"/>
        <w:rPr>
          <w:rFonts w:cs="Times New Roman"/>
          <w:color w:val="auto"/>
        </w:rPr>
      </w:pPr>
      <w:r>
        <w:rPr>
          <w:rFonts w:cs="Times New Roman"/>
          <w:color w:val="auto"/>
        </w:rPr>
        <w:t>全面负责项目的领导和管理，定期向县政府项目领导小组报告工作。领导小组办公室设立在县环保局，为县领导小组处理日常事务的办事机构，其任务为：负责办理项目实施前的准备工作、实施期间的管理和监督、定期向县项目领导小组报告工作。</w:t>
      </w:r>
    </w:p>
    <w:p>
      <w:pPr>
        <w:ind w:firstLine="480"/>
        <w:rPr>
          <w:rFonts w:cs="Times New Roman"/>
          <w:color w:val="auto"/>
        </w:rPr>
      </w:pPr>
      <w:r>
        <w:rPr>
          <w:rFonts w:cs="Times New Roman"/>
          <w:color w:val="auto"/>
        </w:rPr>
        <w:t>（2）项目业主</w:t>
      </w:r>
    </w:p>
    <w:p>
      <w:pPr>
        <w:ind w:firstLine="480"/>
        <w:rPr>
          <w:rFonts w:cs="Times New Roman"/>
          <w:color w:val="auto"/>
        </w:rPr>
      </w:pPr>
      <w:r>
        <w:rPr>
          <w:rFonts w:cs="Times New Roman"/>
          <w:color w:val="auto"/>
        </w:rPr>
        <w:t>项目业主设立项目办公室。其任务为：从事项目具体准备、与上级部门及村组的沟通（如土地租用、征用相关事宜），以及具体工程的实施，定期向项目领导小组报告工作。组织实施项目的建设、运营、管理、维护；负责项目建设的资金管理；项目实施期内，接受主管单位的指导、监督和检查，接受审计部门的审计。</w:t>
      </w:r>
    </w:p>
    <w:p>
      <w:pPr>
        <w:ind w:firstLine="480"/>
        <w:rPr>
          <w:rFonts w:cs="Times New Roman"/>
          <w:color w:val="auto"/>
        </w:rPr>
      </w:pPr>
      <w:r>
        <w:rPr>
          <w:rFonts w:cs="Times New Roman"/>
          <w:color w:val="auto"/>
        </w:rPr>
        <w:t>（3）相关部门的参与和协作</w:t>
      </w:r>
    </w:p>
    <w:p>
      <w:pPr>
        <w:ind w:firstLine="480"/>
        <w:rPr>
          <w:rFonts w:cs="Times New Roman"/>
          <w:color w:val="auto"/>
        </w:rPr>
      </w:pPr>
      <w:r>
        <w:rPr>
          <w:rFonts w:cs="Times New Roman"/>
          <w:color w:val="auto"/>
        </w:rPr>
        <w:t>德宏州生态环境局芒市分局</w:t>
      </w:r>
      <w:r>
        <w:rPr>
          <w:rFonts w:cs="Times New Roman"/>
          <w:color w:val="auto"/>
          <w:kern w:val="0"/>
          <w:lang w:val="zh-CN"/>
        </w:rPr>
        <w:t>一是组织审查项目编制的《实施方案》，并及时对方案予以批复；二是审核镇政府编制的《实施计划》；三是在政策、部门协调等方面为项目的实施提供全面指导，与财政局配合做好项目资金使用的监督管理工作</w:t>
      </w:r>
      <w:r>
        <w:rPr>
          <w:rFonts w:cs="Times New Roman"/>
          <w:color w:val="auto"/>
        </w:rPr>
        <w:t>。</w:t>
      </w:r>
    </w:p>
    <w:p>
      <w:pPr>
        <w:ind w:firstLine="480"/>
        <w:rPr>
          <w:rFonts w:cs="Times New Roman"/>
          <w:color w:val="auto"/>
        </w:rPr>
      </w:pPr>
      <w:r>
        <w:rPr>
          <w:rFonts w:cs="Times New Roman"/>
          <w:color w:val="auto"/>
        </w:rPr>
        <w:t>芒市发展改革部门要统筹区域发展规划和村落产业发展规划，对流域</w:t>
      </w:r>
      <w:r>
        <w:rPr>
          <w:rFonts w:hint="eastAsia" w:cs="Times New Roman"/>
          <w:color w:val="auto"/>
        </w:rPr>
        <w:t>水质提升</w:t>
      </w:r>
      <w:r>
        <w:rPr>
          <w:rFonts w:cs="Times New Roman"/>
          <w:color w:val="auto"/>
        </w:rPr>
        <w:t>项目具备条件的应尽快组织审批，并上报积极争取国家支持。</w:t>
      </w:r>
    </w:p>
    <w:p>
      <w:pPr>
        <w:ind w:firstLine="480"/>
        <w:rPr>
          <w:rFonts w:cs="Times New Roman"/>
          <w:color w:val="auto"/>
          <w:kern w:val="0"/>
          <w:lang w:val="zh-CN"/>
        </w:rPr>
      </w:pPr>
      <w:r>
        <w:rPr>
          <w:rFonts w:cs="Times New Roman"/>
          <w:color w:val="auto"/>
          <w:kern w:val="0"/>
          <w:lang w:val="zh-CN"/>
        </w:rPr>
        <w:t>根据专项资金使用规定，组成</w:t>
      </w:r>
      <w:r>
        <w:rPr>
          <w:rFonts w:cs="Times New Roman"/>
          <w:color w:val="auto"/>
        </w:rPr>
        <w:t>项目建设指挥部，负责工程的筹建、</w:t>
      </w:r>
      <w:r>
        <w:rPr>
          <w:rFonts w:cs="Times New Roman"/>
          <w:color w:val="auto"/>
          <w:kern w:val="0"/>
          <w:lang w:val="zh-CN"/>
        </w:rPr>
        <w:t>项目实施的组织工作和管理工作及后期运行维护工作</w:t>
      </w:r>
      <w:r>
        <w:rPr>
          <w:rFonts w:cs="Times New Roman"/>
          <w:color w:val="auto"/>
        </w:rPr>
        <w:t>。在工程建设过程中，</w:t>
      </w:r>
      <w:r>
        <w:rPr>
          <w:rFonts w:cs="Times New Roman"/>
          <w:color w:val="auto"/>
          <w:kern w:val="0"/>
          <w:lang w:val="zh-CN"/>
        </w:rPr>
        <w:t>定期组织召开项目进展推进会议，研究解决项目建设中的存在问题。</w:t>
      </w:r>
    </w:p>
    <w:p>
      <w:pPr>
        <w:ind w:firstLine="480"/>
        <w:rPr>
          <w:rFonts w:cs="Times New Roman"/>
          <w:color w:val="auto"/>
        </w:rPr>
      </w:pPr>
      <w:r>
        <w:rPr>
          <w:rFonts w:cs="Times New Roman"/>
          <w:color w:val="auto"/>
        </w:rPr>
        <w:t>芒市经济运行管理部门负责指导农村清洁生产的开展，淘汰污染严重和落后的生产项目、工艺、设备。。</w:t>
      </w:r>
    </w:p>
    <w:p>
      <w:pPr>
        <w:ind w:firstLine="480"/>
        <w:rPr>
          <w:rFonts w:cs="Times New Roman"/>
          <w:color w:val="auto"/>
        </w:rPr>
      </w:pPr>
      <w:r>
        <w:rPr>
          <w:rFonts w:cs="Times New Roman"/>
          <w:color w:val="auto"/>
        </w:rPr>
        <w:t>芒市各部门要积极配合涉及管理范围内</w:t>
      </w:r>
      <w:r>
        <w:rPr>
          <w:rFonts w:hint="eastAsia" w:cs="Times New Roman"/>
          <w:color w:val="auto"/>
        </w:rPr>
        <w:t>流域水质提升</w:t>
      </w:r>
      <w:r>
        <w:rPr>
          <w:rFonts w:cs="Times New Roman"/>
          <w:color w:val="auto"/>
        </w:rPr>
        <w:t>工作。指导各村制定管理管理措施，并对今后项目的运行管理进行监督管理。</w:t>
      </w:r>
    </w:p>
    <w:p>
      <w:pPr>
        <w:pStyle w:val="5"/>
      </w:pPr>
      <w:bookmarkStart w:id="266" w:name="_Toc35615142"/>
      <w:bookmarkStart w:id="267" w:name="_Toc48640775"/>
      <w:bookmarkStart w:id="268" w:name="_Toc36126968"/>
      <w:r>
        <w:t>制度保障</w:t>
      </w:r>
      <w:bookmarkEnd w:id="266"/>
      <w:bookmarkEnd w:id="267"/>
      <w:bookmarkEnd w:id="268"/>
    </w:p>
    <w:p>
      <w:pPr>
        <w:ind w:firstLine="480"/>
        <w:rPr>
          <w:rFonts w:cs="Times New Roman"/>
          <w:color w:val="auto"/>
          <w:kern w:val="0"/>
          <w:lang w:val="zh-CN"/>
        </w:rPr>
      </w:pPr>
      <w:r>
        <w:rPr>
          <w:rFonts w:cs="Times New Roman"/>
          <w:color w:val="auto"/>
          <w:kern w:val="0"/>
          <w:lang w:val="zh-CN"/>
        </w:rPr>
        <w:t>（1）工作目标责任制</w:t>
      </w:r>
    </w:p>
    <w:p>
      <w:pPr>
        <w:ind w:firstLine="480"/>
        <w:rPr>
          <w:rFonts w:cs="Times New Roman"/>
          <w:color w:val="auto"/>
          <w:kern w:val="0"/>
          <w:lang w:val="zh-CN"/>
        </w:rPr>
      </w:pPr>
      <w:r>
        <w:rPr>
          <w:rFonts w:cs="Times New Roman"/>
          <w:color w:val="auto"/>
          <w:kern w:val="0"/>
          <w:lang w:val="zh-CN"/>
        </w:rPr>
        <w:t>将项目的各项工程任务分解后，下达到镇主要部门，镇政府与各部门签订目标责任书，将分配的目标任务的完成情况纳入各部门绩效考核的范畴。</w:t>
      </w:r>
    </w:p>
    <w:p>
      <w:pPr>
        <w:ind w:firstLine="480"/>
        <w:rPr>
          <w:rFonts w:cs="Times New Roman"/>
          <w:color w:val="auto"/>
          <w:kern w:val="0"/>
          <w:lang w:val="zh-CN"/>
        </w:rPr>
      </w:pPr>
      <w:r>
        <w:rPr>
          <w:rFonts w:cs="Times New Roman"/>
          <w:color w:val="auto"/>
          <w:kern w:val="0"/>
          <w:lang w:val="zh-CN"/>
        </w:rPr>
        <w:t>加大监督考核工作力度，重点监督考核是否存在弄虚作假或重大违规现象、自筹资金到位情况、工程进展情况、运行维管费保障情况等。</w:t>
      </w:r>
    </w:p>
    <w:p>
      <w:pPr>
        <w:ind w:firstLine="480"/>
        <w:rPr>
          <w:rFonts w:cs="Times New Roman"/>
          <w:color w:val="auto"/>
          <w:kern w:val="0"/>
          <w:lang w:val="zh-CN"/>
        </w:rPr>
      </w:pPr>
      <w:r>
        <w:rPr>
          <w:rFonts w:cs="Times New Roman"/>
          <w:color w:val="auto"/>
          <w:kern w:val="0"/>
          <w:lang w:val="zh-CN"/>
        </w:rPr>
        <w:t>（2）完善部门联动机制，建立工作调度会制度</w:t>
      </w:r>
    </w:p>
    <w:p>
      <w:pPr>
        <w:ind w:firstLine="480"/>
        <w:rPr>
          <w:rFonts w:cs="Times New Roman"/>
          <w:color w:val="auto"/>
          <w:kern w:val="0"/>
          <w:lang w:val="zh-CN"/>
        </w:rPr>
      </w:pPr>
      <w:r>
        <w:rPr>
          <w:rFonts w:cs="Times New Roman"/>
          <w:color w:val="auto"/>
          <w:kern w:val="0"/>
          <w:lang w:val="zh-CN"/>
        </w:rPr>
        <w:t>建立健全“职责明确，权责统一、环保部门牵头、多部门齐抓共管”的体制。</w:t>
      </w:r>
    </w:p>
    <w:p>
      <w:pPr>
        <w:ind w:firstLine="480"/>
        <w:rPr>
          <w:rFonts w:cs="Times New Roman"/>
          <w:color w:val="auto"/>
          <w:kern w:val="0"/>
          <w:lang w:val="zh-CN"/>
        </w:rPr>
      </w:pPr>
      <w:r>
        <w:rPr>
          <w:rFonts w:cs="Times New Roman"/>
          <w:color w:val="auto"/>
          <w:kern w:val="0"/>
          <w:lang w:val="zh-CN"/>
        </w:rPr>
        <w:t>完善农村环境保护工作的部门联动机制，突破条块分割、部门分割的资源配置瓶颈，实现部门联动和公共管理资源最有效配置。</w:t>
      </w:r>
    </w:p>
    <w:p>
      <w:pPr>
        <w:ind w:firstLine="480"/>
        <w:rPr>
          <w:rFonts w:cs="Times New Roman"/>
          <w:color w:val="auto"/>
        </w:rPr>
      </w:pPr>
      <w:r>
        <w:rPr>
          <w:rFonts w:cs="Times New Roman"/>
          <w:color w:val="auto"/>
        </w:rPr>
        <w:t>（3）工程实施前，要严格执行项目法人制、招标制、监理制、公示制，要对实施地的村民公开工程实施内容，引导当地群众监督工程的实施。</w:t>
      </w:r>
    </w:p>
    <w:p>
      <w:pPr>
        <w:ind w:firstLine="480"/>
        <w:rPr>
          <w:rFonts w:cs="Times New Roman"/>
          <w:color w:val="auto"/>
        </w:rPr>
      </w:pPr>
      <w:r>
        <w:rPr>
          <w:rFonts w:cs="Times New Roman"/>
          <w:color w:val="auto"/>
        </w:rPr>
        <w:t>（4）工程实施中，任何工程的变更，在不影响工程目标实现、不突破工程总投资的基础上，必须由业主、监理、设计和施工方会议商讨议定，并出具变更会议纪要和变更说明。</w:t>
      </w:r>
    </w:p>
    <w:p>
      <w:pPr>
        <w:ind w:firstLine="480"/>
        <w:rPr>
          <w:rFonts w:cs="Times New Roman"/>
          <w:color w:val="auto"/>
        </w:rPr>
      </w:pPr>
      <w:r>
        <w:rPr>
          <w:rFonts w:cs="Times New Roman"/>
          <w:color w:val="auto"/>
        </w:rPr>
        <w:t>（5）工程实施中的财务管理采用县级财政报账制，以保证项目资金的正常使用。</w:t>
      </w:r>
    </w:p>
    <w:p>
      <w:pPr>
        <w:ind w:firstLine="480"/>
        <w:rPr>
          <w:rFonts w:cs="Times New Roman"/>
          <w:color w:val="auto"/>
        </w:rPr>
      </w:pPr>
      <w:r>
        <w:rPr>
          <w:rFonts w:cs="Times New Roman"/>
          <w:color w:val="auto"/>
        </w:rPr>
        <w:t>（6）工程实施过程中，需要芒市发展改革、农业、建设、卫生、水利、国土、林业等部门积极配合，提高项目实施过程中的管理效率，形成工作合力。</w:t>
      </w:r>
    </w:p>
    <w:p>
      <w:pPr>
        <w:pStyle w:val="5"/>
      </w:pPr>
      <w:bookmarkStart w:id="269" w:name="_Toc36126969"/>
      <w:bookmarkStart w:id="270" w:name="_Toc48640776"/>
      <w:r>
        <w:t>工程管理</w:t>
      </w:r>
      <w:bookmarkEnd w:id="269"/>
      <w:bookmarkEnd w:id="270"/>
    </w:p>
    <w:p>
      <w:pPr>
        <w:ind w:firstLine="480"/>
        <w:rPr>
          <w:rFonts w:cs="Times New Roman"/>
          <w:color w:val="auto"/>
          <w:kern w:val="0"/>
        </w:rPr>
      </w:pPr>
      <w:r>
        <w:rPr>
          <w:rFonts w:cs="Times New Roman"/>
          <w:color w:val="auto"/>
          <w:kern w:val="0"/>
        </w:rPr>
        <w:t>（1）严格按照基建程序要求，充分做好项目前期准备工作，完善各项报批手续，组织好工程设计和实施方案，编制工程施工计划，按工程施工进度实施工程管理。</w:t>
      </w:r>
    </w:p>
    <w:p>
      <w:pPr>
        <w:ind w:firstLine="480"/>
        <w:rPr>
          <w:rFonts w:cs="Times New Roman"/>
          <w:color w:val="auto"/>
          <w:kern w:val="0"/>
        </w:rPr>
      </w:pPr>
      <w:r>
        <w:rPr>
          <w:rFonts w:cs="Times New Roman"/>
          <w:color w:val="auto"/>
          <w:kern w:val="0"/>
        </w:rPr>
        <w:t>（2）严格执行建设项目信息反馈制度。应严格按照项目审批单位和主管部门的要求，按月上报工程进展情况。</w:t>
      </w:r>
    </w:p>
    <w:p>
      <w:pPr>
        <w:ind w:firstLine="480"/>
        <w:rPr>
          <w:rFonts w:cs="Times New Roman"/>
          <w:color w:val="auto"/>
          <w:kern w:val="0"/>
        </w:rPr>
      </w:pPr>
      <w:r>
        <w:rPr>
          <w:rFonts w:cs="Times New Roman"/>
          <w:color w:val="auto"/>
          <w:kern w:val="0"/>
        </w:rPr>
        <w:t>（3）实行工程建设项目质量一票否决制。严格执行国家的有关质量标准和技术规范，实行原材料和每道建设工序的检验制度，对不符合工程质量要求的实施一票否决制。</w:t>
      </w:r>
    </w:p>
    <w:p>
      <w:pPr>
        <w:ind w:firstLine="480"/>
        <w:rPr>
          <w:rFonts w:cs="Times New Roman"/>
          <w:color w:val="auto"/>
          <w:kern w:val="0"/>
        </w:rPr>
      </w:pPr>
      <w:r>
        <w:rPr>
          <w:rFonts w:cs="Times New Roman"/>
          <w:color w:val="auto"/>
          <w:kern w:val="0"/>
        </w:rPr>
        <w:t>（4）实行工程建设项目竣工验收制。项目建成后，应在3 个月内严格按照国家规范要求进行查验和评审，并完备竣工验收手续。</w:t>
      </w:r>
    </w:p>
    <w:p>
      <w:pPr>
        <w:ind w:firstLine="480"/>
        <w:rPr>
          <w:rFonts w:cs="Times New Roman"/>
          <w:color w:val="auto"/>
          <w:kern w:val="0"/>
        </w:rPr>
      </w:pPr>
      <w:r>
        <w:rPr>
          <w:rFonts w:cs="Times New Roman"/>
          <w:color w:val="auto"/>
          <w:kern w:val="0"/>
        </w:rPr>
        <w:t>（5）实行工程建设项目质量终身制。对建设项目的质量，业主单位、勘察单位、设计单位、施工单位、质量监督等单位的法人代表和直接管理人员都有监督和管理责任，并实行终身负责制。</w:t>
      </w:r>
    </w:p>
    <w:p>
      <w:pPr>
        <w:pStyle w:val="4"/>
      </w:pPr>
      <w:bookmarkStart w:id="271" w:name="_Toc48640777"/>
      <w:bookmarkStart w:id="272" w:name="_Toc35615143"/>
      <w:bookmarkStart w:id="273" w:name="_Toc36126970"/>
      <w:r>
        <w:t>运行维护管理</w:t>
      </w:r>
      <w:bookmarkEnd w:id="271"/>
      <w:bookmarkEnd w:id="272"/>
      <w:bookmarkEnd w:id="273"/>
    </w:p>
    <w:p>
      <w:pPr>
        <w:adjustRightInd w:val="0"/>
        <w:snapToGrid w:val="0"/>
        <w:ind w:firstLine="361" w:firstLineChars="150"/>
        <w:rPr>
          <w:rFonts w:cs="Times New Roman"/>
          <w:b/>
          <w:color w:val="auto"/>
          <w:szCs w:val="24"/>
        </w:rPr>
      </w:pPr>
      <w:r>
        <w:rPr>
          <w:rFonts w:cs="Times New Roman"/>
          <w:b/>
          <w:color w:val="auto"/>
          <w:szCs w:val="24"/>
        </w:rPr>
        <w:t>（1）组织管理</w:t>
      </w:r>
    </w:p>
    <w:p>
      <w:pPr>
        <w:adjustRightInd w:val="0"/>
        <w:snapToGrid w:val="0"/>
        <w:ind w:firstLine="480"/>
        <w:rPr>
          <w:rFonts w:cs="Times New Roman"/>
          <w:color w:val="auto"/>
          <w:szCs w:val="24"/>
        </w:rPr>
      </w:pPr>
      <w:r>
        <w:rPr>
          <w:rFonts w:cs="Times New Roman"/>
          <w:color w:val="auto"/>
          <w:szCs w:val="24"/>
        </w:rPr>
        <w:t>组织管理按照当地排水设施管理相关部门已建立的岗位负责制，安全操作等管理规章制度模式进行管理。</w:t>
      </w:r>
    </w:p>
    <w:p>
      <w:pPr>
        <w:adjustRightInd w:val="0"/>
        <w:snapToGrid w:val="0"/>
        <w:ind w:firstLine="361" w:firstLineChars="150"/>
        <w:rPr>
          <w:rFonts w:cs="Times New Roman"/>
          <w:b/>
          <w:color w:val="auto"/>
          <w:szCs w:val="24"/>
        </w:rPr>
      </w:pPr>
      <w:r>
        <w:rPr>
          <w:rFonts w:cs="Times New Roman"/>
          <w:b/>
          <w:color w:val="auto"/>
          <w:szCs w:val="24"/>
        </w:rPr>
        <w:t>（2）技术管理</w:t>
      </w:r>
    </w:p>
    <w:p>
      <w:pPr>
        <w:numPr>
          <w:ilvl w:val="0"/>
          <w:numId w:val="21"/>
        </w:numPr>
        <w:adjustRightInd w:val="0"/>
        <w:snapToGrid w:val="0"/>
        <w:ind w:firstLineChars="0"/>
        <w:rPr>
          <w:rFonts w:cs="Times New Roman"/>
          <w:color w:val="auto"/>
          <w:szCs w:val="24"/>
        </w:rPr>
      </w:pPr>
      <w:r>
        <w:rPr>
          <w:rFonts w:cs="Times New Roman"/>
          <w:color w:val="auto"/>
          <w:szCs w:val="24"/>
        </w:rPr>
        <w:t>及时整理汇总、分析运行记录，建立运行技术档案。</w:t>
      </w:r>
    </w:p>
    <w:p>
      <w:pPr>
        <w:numPr>
          <w:ilvl w:val="0"/>
          <w:numId w:val="21"/>
        </w:numPr>
        <w:adjustRightInd w:val="0"/>
        <w:snapToGrid w:val="0"/>
        <w:ind w:firstLineChars="0"/>
        <w:rPr>
          <w:rFonts w:cs="Times New Roman"/>
          <w:color w:val="auto"/>
          <w:szCs w:val="24"/>
        </w:rPr>
      </w:pPr>
      <w:r>
        <w:rPr>
          <w:rFonts w:cs="Times New Roman"/>
          <w:color w:val="auto"/>
          <w:szCs w:val="24"/>
        </w:rPr>
        <w:t>建立管网维护保养工作和维护记录的存档。</w:t>
      </w:r>
    </w:p>
    <w:p>
      <w:pPr>
        <w:numPr>
          <w:ilvl w:val="0"/>
          <w:numId w:val="21"/>
        </w:numPr>
        <w:adjustRightInd w:val="0"/>
        <w:snapToGrid w:val="0"/>
        <w:ind w:firstLineChars="0"/>
        <w:rPr>
          <w:rFonts w:cs="Times New Roman"/>
          <w:color w:val="auto"/>
          <w:szCs w:val="24"/>
        </w:rPr>
      </w:pPr>
      <w:r>
        <w:rPr>
          <w:rFonts w:cs="Times New Roman"/>
          <w:color w:val="auto"/>
          <w:szCs w:val="24"/>
        </w:rPr>
        <w:t>建立信息系统，定期总结运行维护经验。</w:t>
      </w:r>
    </w:p>
    <w:p>
      <w:pPr>
        <w:adjustRightInd w:val="0"/>
        <w:snapToGrid w:val="0"/>
        <w:ind w:firstLine="361" w:firstLineChars="150"/>
        <w:rPr>
          <w:rFonts w:cs="Times New Roman"/>
          <w:b/>
          <w:color w:val="auto"/>
          <w:szCs w:val="24"/>
        </w:rPr>
      </w:pPr>
      <w:r>
        <w:rPr>
          <w:rFonts w:cs="Times New Roman"/>
          <w:b/>
          <w:color w:val="auto"/>
          <w:szCs w:val="24"/>
        </w:rPr>
        <w:t>（3）人员编制</w:t>
      </w:r>
    </w:p>
    <w:p>
      <w:pPr>
        <w:adjustRightInd w:val="0"/>
        <w:snapToGrid w:val="0"/>
        <w:ind w:firstLine="480"/>
        <w:rPr>
          <w:rFonts w:cs="Times New Roman"/>
          <w:color w:val="auto"/>
          <w:szCs w:val="24"/>
        </w:rPr>
      </w:pPr>
      <w:r>
        <w:rPr>
          <w:rFonts w:cs="Times New Roman"/>
          <w:color w:val="auto"/>
          <w:szCs w:val="24"/>
        </w:rPr>
        <w:t>本工程完成后，应加强管网维护管理，建议由现有村庄保洁人员进行污水管道的维护管理。</w:t>
      </w:r>
    </w:p>
    <w:p>
      <w:pPr>
        <w:adjustRightInd w:val="0"/>
        <w:snapToGrid w:val="0"/>
        <w:ind w:firstLine="361" w:firstLineChars="150"/>
        <w:rPr>
          <w:rFonts w:cs="Times New Roman"/>
          <w:b/>
          <w:color w:val="auto"/>
          <w:szCs w:val="24"/>
        </w:rPr>
      </w:pPr>
      <w:r>
        <w:rPr>
          <w:rFonts w:cs="Times New Roman"/>
          <w:b/>
          <w:color w:val="auto"/>
          <w:szCs w:val="24"/>
        </w:rPr>
        <w:t>（4）运行管理方案</w:t>
      </w:r>
    </w:p>
    <w:p>
      <w:pPr>
        <w:adjustRightInd w:val="0"/>
        <w:snapToGrid w:val="0"/>
        <w:ind w:firstLine="480"/>
        <w:rPr>
          <w:rFonts w:cs="Times New Roman"/>
          <w:b/>
          <w:color w:val="auto"/>
          <w:szCs w:val="24"/>
        </w:rPr>
      </w:pPr>
      <w:r>
        <w:rPr>
          <w:rFonts w:cs="Times New Roman"/>
          <w:color w:val="auto"/>
          <w:szCs w:val="24"/>
        </w:rPr>
        <w:t>由聘用的污水处理管理人员组成污水收集处理维护管理队伍，负责管网和污水处理系统的日常运行、管理、维护等相关工作。</w:t>
      </w:r>
    </w:p>
    <w:p>
      <w:pPr>
        <w:numPr>
          <w:ilvl w:val="1"/>
          <w:numId w:val="22"/>
        </w:numPr>
        <w:adjustRightInd w:val="0"/>
        <w:snapToGrid w:val="0"/>
        <w:ind w:firstLineChars="0"/>
        <w:rPr>
          <w:rFonts w:cs="Times New Roman"/>
          <w:b/>
          <w:color w:val="auto"/>
          <w:szCs w:val="24"/>
        </w:rPr>
      </w:pPr>
      <w:r>
        <w:rPr>
          <w:rFonts w:cs="Times New Roman"/>
          <w:b/>
          <w:color w:val="auto"/>
          <w:szCs w:val="24"/>
        </w:rPr>
        <w:t>生活污水收集处理</w:t>
      </w:r>
    </w:p>
    <w:p>
      <w:pPr>
        <w:adjustRightInd w:val="0"/>
        <w:snapToGrid w:val="0"/>
        <w:ind w:firstLine="480"/>
        <w:rPr>
          <w:rFonts w:cs="Times New Roman"/>
          <w:b/>
          <w:color w:val="auto"/>
          <w:szCs w:val="24"/>
        </w:rPr>
      </w:pPr>
      <w:r>
        <w:rPr>
          <w:rFonts w:cs="Times New Roman"/>
          <w:color w:val="auto"/>
          <w:szCs w:val="24"/>
        </w:rPr>
        <w:t>新建的村落污水收集管道，建议各村民小组在雨季来临前，对排水系统进行清淤、清杂，一是保证排水系统的畅通，二是防止受雨水的冲刷，淤积于渠底的污染物进入河流。</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应对管道检查井进行定时的清障、清淤及混凝土结构的沉泥井及塑料检查井的维修，观测混凝土结构及塑料检查井是否变形、开裂，并注意疏漏情况。定期观测其沉降、位移并做象衬砌结构的检修。</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购置一定的排水管网疏通、清理工具，以确保管网保持畅通；</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管网管理维护人员定期或不定期对管网进行调查、清理，收集管网的相关资料；</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由于检查井和地下管槽内积聚了大量的有毒气体，清理人员应在通风；</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本项目实施后，维护人员应对本项目中的管网及附属设施进行维护管理，包含：污水管的日常清掏、检查井的维护，同时，沉砂池、化粪池也应当定期清掏，若运行时间较长，导致沉砂池、化粪池中大量的淤泥淤积，应及时上报社区，并组织清掏维护;</w:t>
      </w:r>
    </w:p>
    <w:p>
      <w:pPr>
        <w:numPr>
          <w:ilvl w:val="1"/>
          <w:numId w:val="23"/>
        </w:numPr>
        <w:adjustRightInd w:val="0"/>
        <w:snapToGrid w:val="0"/>
        <w:ind w:left="6" w:firstLine="420" w:firstLineChars="0"/>
        <w:rPr>
          <w:rFonts w:cs="Times New Roman"/>
          <w:color w:val="auto"/>
          <w:szCs w:val="24"/>
        </w:rPr>
      </w:pPr>
      <w:r>
        <w:rPr>
          <w:rFonts w:cs="Times New Roman"/>
          <w:color w:val="auto"/>
          <w:szCs w:val="24"/>
        </w:rPr>
        <w:t>户用格栅井、入户预留井及隔油池由村民自行负责维护管理，并及时清掏。</w:t>
      </w:r>
    </w:p>
    <w:p>
      <w:pPr>
        <w:numPr>
          <w:ilvl w:val="1"/>
          <w:numId w:val="22"/>
        </w:numPr>
        <w:adjustRightInd w:val="0"/>
        <w:snapToGrid w:val="0"/>
        <w:ind w:firstLineChars="0"/>
        <w:rPr>
          <w:rFonts w:cs="Times New Roman"/>
          <w:b/>
          <w:color w:val="auto"/>
          <w:szCs w:val="24"/>
        </w:rPr>
      </w:pPr>
      <w:r>
        <w:rPr>
          <w:rFonts w:cs="Times New Roman"/>
          <w:b/>
          <w:color w:val="auto"/>
          <w:szCs w:val="24"/>
        </w:rPr>
        <w:t>污水处理系统维护管理</w:t>
      </w:r>
    </w:p>
    <w:p>
      <w:pPr>
        <w:ind w:firstLine="480"/>
        <w:rPr>
          <w:rFonts w:cs="Times New Roman"/>
          <w:color w:val="auto"/>
          <w:szCs w:val="24"/>
        </w:rPr>
      </w:pPr>
      <w:r>
        <w:rPr>
          <w:rFonts w:cs="Times New Roman"/>
          <w:color w:val="auto"/>
          <w:szCs w:val="24"/>
        </w:rPr>
        <w:t>根据进污水处理系统水质、水量变化，调整运行条件。做好日常维护管理工作、保存记录完整的各项资料。</w:t>
      </w:r>
    </w:p>
    <w:p>
      <w:pPr>
        <w:numPr>
          <w:ilvl w:val="2"/>
          <w:numId w:val="24"/>
        </w:numPr>
        <w:ind w:left="0" w:firstLine="424" w:firstLineChars="177"/>
        <w:rPr>
          <w:rFonts w:cs="Times New Roman"/>
          <w:color w:val="auto"/>
          <w:szCs w:val="24"/>
        </w:rPr>
      </w:pPr>
      <w:r>
        <w:rPr>
          <w:rFonts w:cs="Times New Roman"/>
          <w:color w:val="auto"/>
          <w:szCs w:val="24"/>
        </w:rPr>
        <w:t>定期清理清运人工湿地前置构筑物格栅井、沉淀塘中的淤泥及垃圾，避免堵塞后续处理系统的堵塞。</w:t>
      </w:r>
    </w:p>
    <w:p>
      <w:pPr>
        <w:numPr>
          <w:ilvl w:val="2"/>
          <w:numId w:val="24"/>
        </w:numPr>
        <w:ind w:left="0" w:firstLine="424" w:firstLineChars="177"/>
        <w:rPr>
          <w:rFonts w:cs="Times New Roman"/>
          <w:color w:val="auto"/>
          <w:szCs w:val="24"/>
        </w:rPr>
      </w:pPr>
      <w:r>
        <w:rPr>
          <w:rFonts w:cs="Times New Roman"/>
          <w:color w:val="auto"/>
          <w:szCs w:val="24"/>
        </w:rPr>
        <w:t>定期清理人工湿地内的植物残体、塘底沉积物等，对湿地的进出水口应适时清理，对湿地内植物枯败的植物残体定期清理，避免布水不均匀和植物残体腐烂造成的二次污染。</w:t>
      </w:r>
    </w:p>
    <w:p>
      <w:pPr>
        <w:numPr>
          <w:ilvl w:val="2"/>
          <w:numId w:val="24"/>
        </w:numPr>
        <w:ind w:left="0" w:firstLine="424" w:firstLineChars="177"/>
        <w:rPr>
          <w:rFonts w:cs="Times New Roman"/>
          <w:color w:val="auto"/>
          <w:szCs w:val="24"/>
        </w:rPr>
      </w:pPr>
      <w:r>
        <w:rPr>
          <w:rFonts w:cs="Times New Roman"/>
          <w:color w:val="auto"/>
          <w:szCs w:val="24"/>
        </w:rPr>
        <w:t xml:space="preserve">户用格栅井由村民自行维护，相关社区和施工单位应在收集处理系统完成后向村民说明维护事项。 </w:t>
      </w:r>
    </w:p>
    <w:p>
      <w:pPr>
        <w:pStyle w:val="5"/>
      </w:pPr>
      <w:bookmarkStart w:id="274" w:name="_Toc35615144"/>
      <w:bookmarkStart w:id="275" w:name="_Toc48640778"/>
      <w:bookmarkStart w:id="276" w:name="_Toc36126971"/>
      <w:r>
        <w:t>运行费用及资金保障</w:t>
      </w:r>
      <w:bookmarkEnd w:id="274"/>
      <w:bookmarkEnd w:id="275"/>
      <w:bookmarkEnd w:id="276"/>
    </w:p>
    <w:p>
      <w:pPr>
        <w:ind w:firstLine="480"/>
        <w:rPr>
          <w:rFonts w:cs="Times New Roman"/>
          <w:color w:val="auto"/>
          <w:lang w:val="zh-CN"/>
        </w:rPr>
      </w:pPr>
      <w:r>
        <w:rPr>
          <w:rFonts w:cs="Times New Roman"/>
          <w:color w:val="auto"/>
          <w:lang w:val="zh-CN"/>
        </w:rPr>
        <w:t>本项目运行费用主要为污水处理系统的日常维护管理、管道的清掏维护费用及所需电费。</w:t>
      </w:r>
    </w:p>
    <w:p>
      <w:pPr>
        <w:ind w:firstLine="480"/>
        <w:rPr>
          <w:rFonts w:cs="Times New Roman"/>
          <w:color w:val="auto"/>
        </w:rPr>
      </w:pPr>
      <w:r>
        <w:rPr>
          <w:rFonts w:cs="Times New Roman"/>
          <w:color w:val="auto"/>
        </w:rPr>
        <w:t>（1）管理人员工资</w:t>
      </w:r>
    </w:p>
    <w:p>
      <w:pPr>
        <w:ind w:firstLine="480"/>
        <w:rPr>
          <w:rFonts w:cs="Times New Roman"/>
          <w:color w:val="auto"/>
        </w:rPr>
      </w:pPr>
      <w:r>
        <w:rPr>
          <w:rFonts w:cs="Times New Roman"/>
          <w:color w:val="auto"/>
          <w:lang w:val="zh-CN"/>
        </w:rPr>
        <w:t>按每套集中式污水处理系统配备管理人员一名，负责污水处理系统的日常维护管理及相应村庄的管道清掏维护，本项目共计</w:t>
      </w:r>
      <w:r>
        <w:rPr>
          <w:rFonts w:hint="eastAsia" w:cs="Times New Roman"/>
          <w:color w:val="auto"/>
          <w:lang w:val="zh-CN"/>
        </w:rPr>
        <w:t>2</w:t>
      </w:r>
      <w:r>
        <w:rPr>
          <w:rFonts w:cs="Times New Roman"/>
          <w:color w:val="auto"/>
          <w:lang w:val="zh-CN"/>
        </w:rPr>
        <w:t>座污水处理系统“预处理+生物接触氧化池</w:t>
      </w:r>
      <w:r>
        <w:rPr>
          <w:rFonts w:hint="eastAsia" w:cs="Times New Roman"/>
          <w:color w:val="auto"/>
          <w:lang w:val="zh-CN"/>
        </w:rPr>
        <w:t>+碎石滤床</w:t>
      </w:r>
      <w:r>
        <w:rPr>
          <w:rFonts w:cs="Times New Roman"/>
          <w:color w:val="auto"/>
          <w:lang w:val="zh-CN"/>
        </w:rPr>
        <w:t>”，共聘用管理人员</w:t>
      </w:r>
      <w:r>
        <w:rPr>
          <w:rFonts w:hint="eastAsia" w:cs="Times New Roman"/>
          <w:color w:val="auto"/>
          <w:lang w:val="zh-CN"/>
        </w:rPr>
        <w:t>2</w:t>
      </w:r>
      <w:r>
        <w:rPr>
          <w:rFonts w:cs="Times New Roman"/>
          <w:color w:val="auto"/>
          <w:lang w:val="zh-CN"/>
        </w:rPr>
        <w:t>名，</w:t>
      </w:r>
      <w:r>
        <w:rPr>
          <w:rFonts w:hint="eastAsia" w:cs="Times New Roman"/>
          <w:color w:val="auto"/>
          <w:lang w:val="zh-CN"/>
        </w:rPr>
        <w:t>处理系统</w:t>
      </w:r>
      <w:r>
        <w:rPr>
          <w:rFonts w:cs="Times New Roman"/>
          <w:color w:val="auto"/>
          <w:lang w:val="zh-CN"/>
        </w:rPr>
        <w:t>管理人员</w:t>
      </w:r>
      <w:r>
        <w:rPr>
          <w:rFonts w:hint="eastAsia" w:cs="Times New Roman"/>
          <w:color w:val="auto"/>
          <w:lang w:val="zh-CN"/>
        </w:rPr>
        <w:t>每人10</w:t>
      </w:r>
      <w:r>
        <w:rPr>
          <w:rFonts w:cs="Times New Roman"/>
          <w:color w:val="auto"/>
          <w:lang w:val="zh-CN"/>
        </w:rPr>
        <w:t>00</w:t>
      </w:r>
      <w:r>
        <w:rPr>
          <w:rFonts w:hint="eastAsia" w:cs="Times New Roman"/>
          <w:color w:val="auto"/>
          <w:lang w:val="zh-CN"/>
        </w:rPr>
        <w:t>元</w:t>
      </w:r>
      <w:r>
        <w:rPr>
          <w:rFonts w:cs="Times New Roman"/>
          <w:color w:val="auto"/>
          <w:lang w:val="zh-CN"/>
        </w:rPr>
        <w:t>/月</w:t>
      </w:r>
      <w:r>
        <w:rPr>
          <w:rFonts w:hint="eastAsia" w:cs="Times New Roman"/>
          <w:color w:val="auto"/>
          <w:lang w:val="zh-CN"/>
        </w:rPr>
        <w:t>，</w:t>
      </w:r>
      <w:r>
        <w:rPr>
          <w:rFonts w:cs="Times New Roman"/>
          <w:color w:val="auto"/>
          <w:lang w:val="zh-CN"/>
        </w:rPr>
        <w:t>维护</w:t>
      </w:r>
      <w:r>
        <w:rPr>
          <w:rFonts w:hint="eastAsia" w:cs="Times New Roman"/>
          <w:color w:val="auto"/>
          <w:lang w:val="zh-CN"/>
        </w:rPr>
        <w:t>人员工资</w:t>
      </w:r>
      <w:r>
        <w:rPr>
          <w:rFonts w:cs="Times New Roman"/>
          <w:color w:val="auto"/>
          <w:lang w:val="zh-CN"/>
        </w:rPr>
        <w:t>费用</w:t>
      </w:r>
      <w:r>
        <w:rPr>
          <w:rFonts w:hint="eastAsia" w:cs="Times New Roman"/>
          <w:color w:val="auto"/>
          <w:lang w:val="zh-CN"/>
        </w:rPr>
        <w:t>合计</w:t>
      </w:r>
      <w:r>
        <w:rPr>
          <w:rFonts w:cs="Times New Roman"/>
          <w:color w:val="auto"/>
          <w:lang w:val="zh-CN"/>
        </w:rPr>
        <w:t>为：</w:t>
      </w:r>
      <w:r>
        <w:rPr>
          <w:rFonts w:hint="eastAsia" w:cs="Times New Roman"/>
          <w:color w:val="auto"/>
          <w:lang w:val="zh-CN"/>
        </w:rPr>
        <w:t>2.4</w:t>
      </w:r>
      <w:r>
        <w:rPr>
          <w:rFonts w:cs="Times New Roman"/>
          <w:color w:val="auto"/>
          <w:lang w:val="zh-CN"/>
        </w:rPr>
        <w:t>万元</w:t>
      </w:r>
      <w:r>
        <w:rPr>
          <w:rFonts w:hint="eastAsia" w:cs="Times New Roman"/>
          <w:color w:val="auto"/>
          <w:lang w:val="zh-CN"/>
        </w:rPr>
        <w:t>/年</w:t>
      </w:r>
      <w:r>
        <w:rPr>
          <w:rFonts w:cs="Times New Roman"/>
          <w:color w:val="auto"/>
          <w:lang w:val="zh-CN"/>
        </w:rPr>
        <w:t>。</w:t>
      </w:r>
    </w:p>
    <w:p>
      <w:pPr>
        <w:ind w:firstLine="480"/>
        <w:rPr>
          <w:rFonts w:cs="Times New Roman"/>
          <w:color w:val="auto"/>
        </w:rPr>
      </w:pPr>
      <w:r>
        <w:rPr>
          <w:rFonts w:cs="Times New Roman"/>
          <w:color w:val="auto"/>
        </w:rPr>
        <w:t>（2）污水处理系统电费</w:t>
      </w:r>
    </w:p>
    <w:p>
      <w:pPr>
        <w:ind w:firstLine="480"/>
        <w:rPr>
          <w:rFonts w:cs="Times New Roman"/>
          <w:color w:val="auto"/>
          <w:lang w:val="zh-CN"/>
        </w:rPr>
      </w:pPr>
      <w:r>
        <w:rPr>
          <w:rFonts w:cs="Times New Roman"/>
          <w:color w:val="auto"/>
          <w:lang w:val="zh-CN"/>
        </w:rPr>
        <w:t>本项目电耗主要为生物接触氧化池曝气设备及提升泵电耗。具体所需电耗见表</w:t>
      </w:r>
      <w:r>
        <w:rPr>
          <w:rFonts w:hint="eastAsia" w:cs="Times New Roman"/>
          <w:color w:val="auto"/>
          <w:lang w:val="zh-CN"/>
        </w:rPr>
        <w:t>6.2-7</w:t>
      </w:r>
      <w:r>
        <w:rPr>
          <w:rFonts w:cs="Times New Roman"/>
          <w:color w:val="auto"/>
          <w:lang w:val="zh-CN"/>
        </w:rPr>
        <w:t>。</w:t>
      </w:r>
    </w:p>
    <w:p>
      <w:pPr>
        <w:ind w:firstLine="480"/>
        <w:rPr>
          <w:rFonts w:cs="Times New Roman"/>
          <w:color w:val="auto"/>
        </w:rPr>
      </w:pPr>
      <w:r>
        <w:rPr>
          <w:rFonts w:cs="Times New Roman"/>
          <w:color w:val="auto"/>
        </w:rPr>
        <w:t>以上</w:t>
      </w:r>
      <w:r>
        <w:rPr>
          <w:rFonts w:hint="eastAsia" w:cs="Times New Roman"/>
          <w:color w:val="auto"/>
        </w:rPr>
        <w:t>污水处理系统每月合计耗电66度/天，</w:t>
      </w:r>
      <w:r>
        <w:rPr>
          <w:rFonts w:cs="Times New Roman"/>
          <w:color w:val="auto"/>
        </w:rPr>
        <w:t>合计年需耗电量为</w:t>
      </w:r>
      <w:r>
        <w:rPr>
          <w:rFonts w:hint="eastAsia" w:cs="Times New Roman"/>
          <w:color w:val="auto"/>
        </w:rPr>
        <w:t>2.409万</w:t>
      </w:r>
      <w:r>
        <w:rPr>
          <w:rFonts w:cs="Times New Roman"/>
          <w:color w:val="auto"/>
        </w:rPr>
        <w:t>度，电费按0.5元/度计算，合计每年所需电费为</w:t>
      </w:r>
      <w:r>
        <w:rPr>
          <w:rFonts w:hint="eastAsia" w:cs="Times New Roman"/>
          <w:color w:val="auto"/>
        </w:rPr>
        <w:t>1.2</w:t>
      </w:r>
      <w:r>
        <w:rPr>
          <w:rFonts w:cs="Times New Roman"/>
          <w:color w:val="auto"/>
        </w:rPr>
        <w:t>万元。</w:t>
      </w:r>
    </w:p>
    <w:p>
      <w:pPr>
        <w:ind w:firstLine="480"/>
        <w:rPr>
          <w:rFonts w:cs="Times New Roman"/>
          <w:color w:val="auto"/>
        </w:rPr>
      </w:pPr>
      <w:r>
        <w:rPr>
          <w:rFonts w:cs="Times New Roman"/>
          <w:color w:val="auto"/>
        </w:rPr>
        <w:t>以上运行费用合计</w:t>
      </w:r>
      <w:r>
        <w:rPr>
          <w:rFonts w:hint="eastAsia" w:cs="Times New Roman"/>
          <w:color w:val="auto"/>
        </w:rPr>
        <w:t>3.6</w:t>
      </w:r>
      <w:r>
        <w:rPr>
          <w:rFonts w:cs="Times New Roman"/>
          <w:color w:val="auto"/>
        </w:rPr>
        <w:t>万元。</w:t>
      </w:r>
    </w:p>
    <w:p>
      <w:pPr>
        <w:pStyle w:val="5"/>
      </w:pPr>
      <w:bookmarkStart w:id="277" w:name="_Toc48640779"/>
      <w:bookmarkStart w:id="278" w:name="_Toc35615145"/>
      <w:bookmarkStart w:id="279" w:name="_Toc36126972"/>
      <w:r>
        <w:t>资金保障</w:t>
      </w:r>
      <w:bookmarkEnd w:id="277"/>
      <w:bookmarkEnd w:id="278"/>
      <w:bookmarkEnd w:id="279"/>
    </w:p>
    <w:p>
      <w:pPr>
        <w:ind w:firstLine="480"/>
        <w:rPr>
          <w:rFonts w:cs="Times New Roman"/>
          <w:color w:val="auto"/>
          <w:lang w:val="zh-CN"/>
        </w:rPr>
      </w:pPr>
      <w:r>
        <w:rPr>
          <w:rFonts w:cs="Times New Roman"/>
          <w:color w:val="auto"/>
          <w:lang w:val="zh-CN"/>
        </w:rPr>
        <w:t>本项目主要受益人为项目区村民，考虑村民与城镇居民的经济水平差距，建议对村民征收适量的工程运行管理费，建议每户收取</w:t>
      </w:r>
      <w:r>
        <w:rPr>
          <w:rFonts w:hint="eastAsia" w:cs="Times New Roman"/>
          <w:color w:val="auto"/>
          <w:lang w:val="zh-CN"/>
        </w:rPr>
        <w:t>5</w:t>
      </w:r>
      <w:r>
        <w:rPr>
          <w:rFonts w:cs="Times New Roman"/>
          <w:color w:val="auto"/>
          <w:lang w:val="zh-CN"/>
        </w:rPr>
        <w:t>0元/年，运行费用不足的部分，建议由财政补贴，此外，各村委应在村规民约中注明，制定相应的违反村内环境卫生约定的罚款措施，意在告知村民要维护村落环境卫生，建立良好的环境保护习惯。</w:t>
      </w:r>
    </w:p>
    <w:p>
      <w:pPr>
        <w:pStyle w:val="4"/>
      </w:pPr>
      <w:bookmarkStart w:id="280" w:name="_Toc48640780"/>
      <w:bookmarkStart w:id="281" w:name="_Toc35615146"/>
      <w:bookmarkStart w:id="282" w:name="_Toc36126973"/>
      <w:r>
        <w:t>项目监测及验收</w:t>
      </w:r>
      <w:bookmarkEnd w:id="280"/>
      <w:bookmarkEnd w:id="281"/>
      <w:bookmarkEnd w:id="282"/>
    </w:p>
    <w:p>
      <w:pPr>
        <w:ind w:firstLine="480"/>
        <w:rPr>
          <w:rFonts w:cs="Times New Roman"/>
          <w:color w:val="auto"/>
        </w:rPr>
      </w:pPr>
      <w:r>
        <w:rPr>
          <w:rFonts w:cs="Times New Roman"/>
          <w:color w:val="auto"/>
        </w:rPr>
        <w:t>本项目污水收集处理工程是指通过建设村落内截污管道对村内居民生活及养殖所产生的污水进行收集并引入各自的污水处理系统进行处理，使污水达到设计出水指标后</w:t>
      </w:r>
      <w:r>
        <w:rPr>
          <w:rFonts w:hint="eastAsia" w:cs="Times New Roman"/>
          <w:color w:val="auto"/>
        </w:rPr>
        <w:t>排放或作为灌溉用水</w:t>
      </w:r>
      <w:r>
        <w:rPr>
          <w:rFonts w:cs="Times New Roman"/>
          <w:color w:val="auto"/>
        </w:rPr>
        <w:t>，项目验收前应提供污水处理系统进出水水质监测报告，达到处理要求方可验收。</w:t>
      </w:r>
    </w:p>
    <w:p>
      <w:pPr>
        <w:ind w:firstLine="480"/>
        <w:rPr>
          <w:rFonts w:cs="Times New Roman"/>
          <w:color w:val="auto"/>
        </w:rPr>
      </w:pPr>
      <w:r>
        <w:rPr>
          <w:rFonts w:cs="Times New Roman"/>
          <w:color w:val="auto"/>
        </w:rPr>
        <w:t>项目验收主要按设定的工程建设内容中各单项工程量进行验收；工程质量严格按照相关结构、建筑、生态工程标准和规范进行验收；环境效益按污染削减量指标验收。各个子项目严格按照验收程序办理验收，验收结束审批后交由成立的管理系统实施运行管理。</w:t>
      </w:r>
    </w:p>
    <w:p>
      <w:pPr>
        <w:ind w:firstLine="480"/>
        <w:rPr>
          <w:rFonts w:cs="Times New Roman"/>
          <w:color w:val="auto"/>
        </w:rPr>
      </w:pPr>
      <w:r>
        <w:rPr>
          <w:rFonts w:cs="Times New Roman"/>
          <w:color w:val="auto"/>
        </w:rPr>
        <w:t>项目正常运行后，每年由县级环境监测部门在旱季和雨季分别对各处理系统进出水水质进行一次监测，如发现水质异常，应及时排查原因，并对处理系统进行维修。</w:t>
      </w:r>
    </w:p>
    <w:p>
      <w:pPr>
        <w:pStyle w:val="5"/>
      </w:pPr>
      <w:bookmarkStart w:id="283" w:name="_Toc36126974"/>
      <w:bookmarkStart w:id="284" w:name="_Toc48640781"/>
      <w:bookmarkStart w:id="285" w:name="_Toc28060756"/>
      <w:bookmarkStart w:id="286" w:name="_Toc514312409"/>
      <w:r>
        <w:t>工程验收</w:t>
      </w:r>
      <w:bookmarkEnd w:id="283"/>
      <w:bookmarkEnd w:id="284"/>
      <w:bookmarkEnd w:id="285"/>
      <w:bookmarkEnd w:id="286"/>
    </w:p>
    <w:p>
      <w:pPr>
        <w:ind w:firstLine="480"/>
        <w:rPr>
          <w:color w:val="auto"/>
        </w:rPr>
      </w:pPr>
      <w:r>
        <w:rPr>
          <w:color w:val="auto"/>
        </w:rPr>
        <w:t>本项目包括</w:t>
      </w:r>
      <w:r>
        <w:rPr>
          <w:rFonts w:hint="eastAsia"/>
          <w:color w:val="auto"/>
        </w:rPr>
        <w:t>污水收集和处理</w:t>
      </w:r>
      <w:r>
        <w:rPr>
          <w:color w:val="auto"/>
        </w:rPr>
        <w:t>工程</w:t>
      </w:r>
      <w:r>
        <w:rPr>
          <w:rFonts w:hint="eastAsia"/>
          <w:color w:val="auto"/>
        </w:rPr>
        <w:t>，按照村庄分为9个子工程</w:t>
      </w:r>
      <w:r>
        <w:rPr>
          <w:color w:val="auto"/>
        </w:rPr>
        <w:t>，各工程在实施进度上各有差异，工程的验收应结合各工程的实施进度，采取总体控制、逐个验收的方式，从工程量、运行效果和削减目标等方面进行验收。</w:t>
      </w:r>
    </w:p>
    <w:p>
      <w:pPr>
        <w:ind w:firstLine="480"/>
        <w:rPr>
          <w:rFonts w:cs="Times New Roman"/>
          <w:color w:val="auto"/>
        </w:rPr>
      </w:pPr>
      <w:r>
        <w:rPr>
          <w:rFonts w:cs="Times New Roman"/>
          <w:color w:val="auto"/>
        </w:rPr>
        <w:t>本项目采取招投标和监理制，项目完成后必须通过审计部门审计，因此工程建设期的施工及安装必须按照国家现行的专业技术规范和标准执行，验收时出具招投标说明、监理日志、竣工资料、审计报告、监测报告等。</w:t>
      </w:r>
    </w:p>
    <w:p>
      <w:pPr>
        <w:pStyle w:val="5"/>
      </w:pPr>
      <w:bookmarkStart w:id="287" w:name="_Toc48640782"/>
      <w:bookmarkStart w:id="288" w:name="_Toc36126975"/>
      <w:r>
        <w:t>验收标准</w:t>
      </w:r>
      <w:bookmarkEnd w:id="287"/>
      <w:bookmarkEnd w:id="288"/>
    </w:p>
    <w:p>
      <w:pPr>
        <w:ind w:firstLine="480"/>
        <w:rPr>
          <w:rFonts w:cs="Times New Roman"/>
          <w:color w:val="auto"/>
        </w:rPr>
      </w:pPr>
      <w:r>
        <w:rPr>
          <w:rFonts w:hint="eastAsia" w:cs="Times New Roman"/>
          <w:color w:val="auto"/>
        </w:rPr>
        <w:t>工程质量</w:t>
      </w:r>
      <w:r>
        <w:rPr>
          <w:rFonts w:cs="Times New Roman"/>
          <w:color w:val="auto"/>
        </w:rPr>
        <w:t>按当前施行的国家或行业标准进行验收。</w:t>
      </w:r>
    </w:p>
    <w:p>
      <w:pPr>
        <w:ind w:firstLine="480"/>
        <w:rPr>
          <w:rFonts w:cs="Times New Roman"/>
          <w:color w:val="auto"/>
        </w:rPr>
      </w:pPr>
      <w:r>
        <w:rPr>
          <w:rFonts w:hint="eastAsia" w:cs="Times New Roman"/>
          <w:color w:val="auto"/>
        </w:rPr>
        <w:t>工程量按施工图和施工过程签证进行验收。</w:t>
      </w:r>
    </w:p>
    <w:p>
      <w:pPr>
        <w:pStyle w:val="5"/>
      </w:pPr>
      <w:bookmarkStart w:id="289" w:name="_Toc48640783"/>
      <w:bookmarkStart w:id="290" w:name="_Toc36126976"/>
      <w:r>
        <w:t>工程量考核指标</w:t>
      </w:r>
      <w:bookmarkEnd w:id="289"/>
      <w:bookmarkEnd w:id="290"/>
    </w:p>
    <w:p>
      <w:pPr>
        <w:ind w:firstLine="480"/>
        <w:rPr>
          <w:rFonts w:cs="Times New Roman"/>
          <w:color w:val="auto"/>
        </w:rPr>
      </w:pPr>
      <w:r>
        <w:rPr>
          <w:rFonts w:cs="Times New Roman"/>
          <w:color w:val="auto"/>
        </w:rPr>
        <w:t>农村生活</w:t>
      </w:r>
      <w:r>
        <w:rPr>
          <w:rFonts w:hint="eastAsia" w:cs="Times New Roman"/>
          <w:color w:val="auto"/>
        </w:rPr>
        <w:t>污水</w:t>
      </w:r>
      <w:r>
        <w:rPr>
          <w:rFonts w:cs="Times New Roman"/>
          <w:color w:val="auto"/>
        </w:rPr>
        <w:t>收集</w:t>
      </w:r>
      <w:r>
        <w:rPr>
          <w:rFonts w:hint="eastAsia" w:cs="Times New Roman"/>
          <w:color w:val="auto"/>
        </w:rPr>
        <w:t>处理</w:t>
      </w:r>
      <w:r>
        <w:rPr>
          <w:rFonts w:cs="Times New Roman"/>
          <w:color w:val="auto"/>
        </w:rPr>
        <w:t xml:space="preserve">率： </w:t>
      </w:r>
      <w:r>
        <w:rPr>
          <w:rFonts w:hint="eastAsia" w:cs="Times New Roman"/>
          <w:color w:val="auto"/>
        </w:rPr>
        <w:t>8</w:t>
      </w:r>
      <w:r>
        <w:rPr>
          <w:rFonts w:cs="Times New Roman"/>
          <w:color w:val="auto"/>
        </w:rPr>
        <w:t>0%；</w:t>
      </w:r>
    </w:p>
    <w:p>
      <w:pPr>
        <w:ind w:firstLine="480"/>
        <w:rPr>
          <w:rFonts w:cs="Times New Roman"/>
          <w:color w:val="auto"/>
        </w:rPr>
      </w:pPr>
      <w:r>
        <w:rPr>
          <w:rFonts w:hint="eastAsia" w:cs="Times New Roman"/>
          <w:color w:val="auto"/>
        </w:rPr>
        <w:t>污水处理系统排水达标率：大于95%。</w:t>
      </w:r>
    </w:p>
    <w:p>
      <w:pPr>
        <w:ind w:firstLine="480"/>
        <w:rPr>
          <w:rFonts w:cs="Times New Roman"/>
          <w:color w:val="auto"/>
        </w:rPr>
      </w:pPr>
      <w:r>
        <w:rPr>
          <w:rFonts w:cs="Times New Roman"/>
          <w:color w:val="auto"/>
        </w:rPr>
        <w:t>按照各工程设定建设内容进行项目验收工程量考核，验收内容见各项工程相应章节的工程量统计表。工程验收需严格按照验收程序办理，验收结束被审批后交由芒市水利局实施运行管理。</w:t>
      </w:r>
    </w:p>
    <w:p>
      <w:pPr>
        <w:pStyle w:val="5"/>
      </w:pPr>
      <w:bookmarkStart w:id="291" w:name="_Toc36126977"/>
      <w:bookmarkStart w:id="292" w:name="_Toc48640784"/>
      <w:r>
        <w:t>削减目标考核指标</w:t>
      </w:r>
      <w:bookmarkEnd w:id="291"/>
      <w:bookmarkEnd w:id="292"/>
    </w:p>
    <w:p>
      <w:pPr>
        <w:ind w:firstLine="480"/>
        <w:rPr>
          <w:rFonts w:cs="Times New Roman"/>
          <w:color w:val="FF0000"/>
          <w:kern w:val="0"/>
        </w:rPr>
      </w:pPr>
      <w:r>
        <w:rPr>
          <w:rFonts w:cs="Times New Roman"/>
          <w:color w:val="auto"/>
        </w:rPr>
        <w:t>每年削减农村生活污水污染负荷：COD</w:t>
      </w:r>
      <w:r>
        <w:rPr>
          <w:rFonts w:hint="eastAsia" w:cs="Times New Roman"/>
          <w:color w:val="auto"/>
        </w:rPr>
        <w:t>5.04</w:t>
      </w:r>
      <w:r>
        <w:rPr>
          <w:rFonts w:cs="Times New Roman"/>
          <w:color w:val="auto"/>
        </w:rPr>
        <w:t>t/a，TN</w:t>
      </w:r>
      <w:r>
        <w:rPr>
          <w:rFonts w:hint="eastAsia" w:cs="Times New Roman"/>
          <w:color w:val="auto"/>
          <w:kern w:val="0"/>
        </w:rPr>
        <w:t>0.51</w:t>
      </w:r>
      <w:r>
        <w:rPr>
          <w:rFonts w:cs="Times New Roman"/>
          <w:color w:val="auto"/>
          <w:kern w:val="0"/>
        </w:rPr>
        <w:t>t/a，TP</w:t>
      </w:r>
      <w:r>
        <w:rPr>
          <w:rFonts w:hint="eastAsia" w:cs="Times New Roman"/>
          <w:color w:val="auto"/>
          <w:kern w:val="0"/>
        </w:rPr>
        <w:t>0.05</w:t>
      </w:r>
      <w:r>
        <w:rPr>
          <w:rFonts w:cs="Times New Roman"/>
          <w:color w:val="auto"/>
          <w:kern w:val="0"/>
        </w:rPr>
        <w:t>t/a，NH</w:t>
      </w:r>
      <w:r>
        <w:rPr>
          <w:rFonts w:cs="Times New Roman"/>
          <w:color w:val="auto"/>
          <w:kern w:val="0"/>
          <w:vertAlign w:val="subscript"/>
        </w:rPr>
        <w:t>3</w:t>
      </w:r>
      <w:r>
        <w:rPr>
          <w:rFonts w:cs="Times New Roman"/>
          <w:color w:val="auto"/>
          <w:kern w:val="0"/>
        </w:rPr>
        <w:t>-N</w:t>
      </w:r>
      <w:r>
        <w:rPr>
          <w:rFonts w:hint="eastAsia" w:cs="Times New Roman"/>
          <w:color w:val="auto"/>
          <w:kern w:val="0"/>
        </w:rPr>
        <w:t>0.93</w:t>
      </w:r>
      <w:r>
        <w:rPr>
          <w:rFonts w:cs="Times New Roman"/>
          <w:color w:val="auto"/>
          <w:kern w:val="0"/>
        </w:rPr>
        <w:t>t/a。</w:t>
      </w:r>
    </w:p>
    <w:p>
      <w:pPr>
        <w:pStyle w:val="4"/>
      </w:pPr>
      <w:bookmarkStart w:id="293" w:name="_Toc35615149"/>
      <w:bookmarkStart w:id="294" w:name="_Toc36126978"/>
      <w:bookmarkStart w:id="295" w:name="_Toc48640785"/>
      <w:r>
        <w:t>项目实施计划</w:t>
      </w:r>
      <w:bookmarkEnd w:id="293"/>
      <w:bookmarkEnd w:id="294"/>
      <w:bookmarkEnd w:id="295"/>
    </w:p>
    <w:p>
      <w:pPr>
        <w:pStyle w:val="5"/>
      </w:pPr>
      <w:bookmarkStart w:id="296" w:name="_Toc48640786"/>
      <w:bookmarkStart w:id="297" w:name="_Toc35615150"/>
      <w:bookmarkStart w:id="298" w:name="_Toc36126979"/>
      <w:r>
        <w:t>建设实施周期</w:t>
      </w:r>
      <w:bookmarkEnd w:id="296"/>
      <w:bookmarkEnd w:id="297"/>
      <w:bookmarkEnd w:id="298"/>
    </w:p>
    <w:p>
      <w:pPr>
        <w:ind w:firstLine="480"/>
        <w:rPr>
          <w:rFonts w:cs="Times New Roman"/>
          <w:snapToGrid w:val="0"/>
          <w:color w:val="auto"/>
        </w:rPr>
      </w:pPr>
      <w:r>
        <w:rPr>
          <w:rFonts w:cs="Times New Roman"/>
          <w:snapToGrid w:val="0"/>
          <w:color w:val="auto"/>
        </w:rPr>
        <w:t>本建设项目的建设周期初步规划为</w:t>
      </w:r>
      <w:r>
        <w:rPr>
          <w:rFonts w:hint="eastAsia" w:cs="Times New Roman"/>
          <w:snapToGrid w:val="0"/>
          <w:color w:val="auto"/>
        </w:rPr>
        <w:t>六</w:t>
      </w:r>
      <w:r>
        <w:rPr>
          <w:rFonts w:cs="Times New Roman"/>
          <w:snapToGrid w:val="0"/>
          <w:color w:val="auto"/>
        </w:rPr>
        <w:t>个阶段：</w:t>
      </w:r>
    </w:p>
    <w:p>
      <w:pPr>
        <w:numPr>
          <w:ilvl w:val="0"/>
          <w:numId w:val="25"/>
        </w:numPr>
        <w:snapToGrid w:val="0"/>
        <w:ind w:firstLineChars="0"/>
        <w:rPr>
          <w:rFonts w:cs="Times New Roman"/>
          <w:snapToGrid w:val="0"/>
          <w:color w:val="auto"/>
        </w:rPr>
      </w:pPr>
      <w:r>
        <w:rPr>
          <w:rFonts w:cs="Times New Roman"/>
          <w:snapToGrid w:val="0"/>
          <w:color w:val="auto"/>
        </w:rPr>
        <w:t>前期工作阶段</w:t>
      </w:r>
    </w:p>
    <w:p>
      <w:pPr>
        <w:numPr>
          <w:ilvl w:val="0"/>
          <w:numId w:val="25"/>
        </w:numPr>
        <w:snapToGrid w:val="0"/>
        <w:ind w:firstLineChars="0"/>
        <w:rPr>
          <w:rFonts w:cs="Times New Roman"/>
          <w:snapToGrid w:val="0"/>
          <w:color w:val="auto"/>
        </w:rPr>
      </w:pPr>
      <w:r>
        <w:rPr>
          <w:color w:val="auto"/>
        </w:rPr>
        <w:t>完成初步设计及施工图设计</w:t>
      </w:r>
    </w:p>
    <w:p>
      <w:pPr>
        <w:numPr>
          <w:ilvl w:val="0"/>
          <w:numId w:val="25"/>
        </w:numPr>
        <w:snapToGrid w:val="0"/>
        <w:ind w:firstLineChars="0"/>
        <w:rPr>
          <w:rFonts w:cs="Times New Roman"/>
          <w:snapToGrid w:val="0"/>
          <w:color w:val="auto"/>
        </w:rPr>
      </w:pPr>
      <w:r>
        <w:rPr>
          <w:rFonts w:cs="Times New Roman"/>
          <w:snapToGrid w:val="0"/>
          <w:color w:val="auto"/>
        </w:rPr>
        <w:t>建设前期工作阶段</w:t>
      </w:r>
    </w:p>
    <w:p>
      <w:pPr>
        <w:numPr>
          <w:ilvl w:val="0"/>
          <w:numId w:val="25"/>
        </w:numPr>
        <w:snapToGrid w:val="0"/>
        <w:ind w:firstLineChars="0"/>
        <w:rPr>
          <w:rFonts w:cs="Times New Roman"/>
          <w:snapToGrid w:val="0"/>
          <w:color w:val="auto"/>
        </w:rPr>
      </w:pPr>
      <w:r>
        <w:rPr>
          <w:rFonts w:cs="Times New Roman"/>
          <w:snapToGrid w:val="0"/>
          <w:color w:val="auto"/>
        </w:rPr>
        <w:t>施工阶段</w:t>
      </w:r>
    </w:p>
    <w:p>
      <w:pPr>
        <w:numPr>
          <w:ilvl w:val="0"/>
          <w:numId w:val="25"/>
        </w:numPr>
        <w:snapToGrid w:val="0"/>
        <w:ind w:firstLineChars="0"/>
        <w:rPr>
          <w:rFonts w:cs="Times New Roman"/>
          <w:snapToGrid w:val="0"/>
          <w:color w:val="auto"/>
        </w:rPr>
      </w:pPr>
      <w:r>
        <w:rPr>
          <w:rFonts w:hint="eastAsia" w:cs="Times New Roman"/>
          <w:snapToGrid w:val="0"/>
          <w:color w:val="auto"/>
        </w:rPr>
        <w:t>试运行</w:t>
      </w:r>
      <w:r>
        <w:rPr>
          <w:rFonts w:cs="Times New Roman"/>
          <w:snapToGrid w:val="0"/>
          <w:color w:val="auto"/>
        </w:rPr>
        <w:t>阶段</w:t>
      </w:r>
    </w:p>
    <w:p>
      <w:pPr>
        <w:numPr>
          <w:ilvl w:val="0"/>
          <w:numId w:val="25"/>
        </w:numPr>
        <w:snapToGrid w:val="0"/>
        <w:ind w:firstLineChars="0"/>
        <w:rPr>
          <w:rFonts w:cs="Times New Roman"/>
          <w:snapToGrid w:val="0"/>
          <w:color w:val="auto"/>
        </w:rPr>
      </w:pPr>
      <w:r>
        <w:rPr>
          <w:rFonts w:hint="eastAsia" w:cs="Times New Roman"/>
          <w:snapToGrid w:val="0"/>
          <w:color w:val="auto"/>
        </w:rPr>
        <w:t>验收</w:t>
      </w:r>
      <w:r>
        <w:rPr>
          <w:rFonts w:cs="Times New Roman"/>
          <w:snapToGrid w:val="0"/>
          <w:color w:val="auto"/>
        </w:rPr>
        <w:t>阶段</w:t>
      </w:r>
    </w:p>
    <w:p>
      <w:pPr>
        <w:ind w:firstLine="480"/>
        <w:rPr>
          <w:rFonts w:cs="Times New Roman"/>
          <w:snapToGrid w:val="0"/>
          <w:color w:val="auto"/>
        </w:rPr>
      </w:pPr>
      <w:r>
        <w:rPr>
          <w:rFonts w:cs="Times New Roman"/>
          <w:snapToGrid w:val="0"/>
          <w:color w:val="auto"/>
        </w:rPr>
        <w:t>建设周期：本项目各阶段统筹安排、合理交叉，整个项目的建设周期为共1年。具体见“项目实施进度计划”。</w:t>
      </w:r>
    </w:p>
    <w:p>
      <w:pPr>
        <w:pStyle w:val="5"/>
      </w:pPr>
      <w:bookmarkStart w:id="299" w:name="_Toc48640787"/>
      <w:bookmarkStart w:id="300" w:name="_Toc36126980"/>
      <w:bookmarkStart w:id="301" w:name="_Toc35615151"/>
      <w:r>
        <w:t>项目实施进度安排</w:t>
      </w:r>
      <w:bookmarkEnd w:id="299"/>
      <w:bookmarkEnd w:id="300"/>
      <w:bookmarkEnd w:id="301"/>
    </w:p>
    <w:p>
      <w:pPr>
        <w:ind w:firstLine="480"/>
        <w:rPr>
          <w:rFonts w:cs="Times New Roman"/>
          <w:snapToGrid w:val="0"/>
          <w:color w:val="auto"/>
        </w:rPr>
      </w:pPr>
      <w:r>
        <w:rPr>
          <w:rFonts w:cs="Times New Roman"/>
          <w:snapToGrid w:val="0"/>
          <w:color w:val="auto"/>
        </w:rPr>
        <w:t>初步项目实施计划安排如下：</w:t>
      </w:r>
    </w:p>
    <w:p>
      <w:pPr>
        <w:ind w:firstLine="480"/>
        <w:rPr>
          <w:rFonts w:cs="Times New Roman"/>
          <w:snapToGrid w:val="0"/>
          <w:color w:val="auto"/>
        </w:rPr>
      </w:pPr>
      <w:r>
        <w:rPr>
          <w:rFonts w:cs="Times New Roman"/>
          <w:color w:val="auto"/>
        </w:rPr>
        <w:t>根据对</w:t>
      </w:r>
      <w:r>
        <w:rPr>
          <w:rFonts w:hint="eastAsia" w:cs="Times New Roman"/>
          <w:color w:val="auto"/>
        </w:rPr>
        <w:t>本</w:t>
      </w:r>
      <w:r>
        <w:rPr>
          <w:rFonts w:cs="Times New Roman"/>
          <w:color w:val="auto"/>
        </w:rPr>
        <w:t>次</w:t>
      </w:r>
      <w:r>
        <w:rPr>
          <w:rFonts w:hint="eastAsia" w:cs="Times New Roman"/>
          <w:color w:val="auto"/>
          <w:szCs w:val="32"/>
          <w:lang w:val="zh-CN"/>
        </w:rPr>
        <w:t>项目区</w:t>
      </w:r>
      <w:r>
        <w:rPr>
          <w:rFonts w:cs="Times New Roman"/>
          <w:color w:val="auto"/>
        </w:rPr>
        <w:t>各村落现状的调查，结合各村落已有现状，拟在一年内完成该项目。项目进度计划</w:t>
      </w:r>
      <w:r>
        <w:rPr>
          <w:rFonts w:cs="Times New Roman"/>
          <w:snapToGrid w:val="0"/>
          <w:color w:val="auto"/>
        </w:rPr>
        <w:t>见表</w:t>
      </w:r>
      <w:r>
        <w:rPr>
          <w:rFonts w:cs="Times New Roman"/>
          <w:color w:val="auto"/>
        </w:rPr>
        <w:t>7.</w:t>
      </w:r>
      <w:r>
        <w:rPr>
          <w:rFonts w:hint="eastAsia" w:cs="Times New Roman"/>
          <w:color w:val="auto"/>
        </w:rPr>
        <w:t>5</w:t>
      </w:r>
      <w:r>
        <w:rPr>
          <w:rFonts w:cs="Times New Roman"/>
          <w:color w:val="auto"/>
        </w:rPr>
        <w:t>-1</w:t>
      </w:r>
      <w:r>
        <w:rPr>
          <w:rFonts w:cs="Times New Roman"/>
          <w:snapToGrid w:val="0"/>
          <w:color w:val="auto"/>
        </w:rPr>
        <w:t>。</w:t>
      </w:r>
    </w:p>
    <w:p>
      <w:pPr>
        <w:pStyle w:val="149"/>
        <w:ind w:firstLine="0" w:firstLineChars="0"/>
        <w:jc w:val="center"/>
        <w:rPr>
          <w:b/>
        </w:rPr>
        <w:sectPr>
          <w:pgSz w:w="11906" w:h="16838"/>
          <w:pgMar w:top="1440" w:right="1559" w:bottom="1440" w:left="1559" w:header="708" w:footer="708" w:gutter="0"/>
          <w:cols w:space="708" w:num="1"/>
          <w:docGrid w:linePitch="360" w:charSpace="0"/>
        </w:sectPr>
      </w:pP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7.5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w:t>
      </w:r>
      <w:r>
        <w:rPr>
          <w:color w:val="auto"/>
        </w:rPr>
        <w:t>项目实施进度计划</w:t>
      </w:r>
    </w:p>
    <w:tbl>
      <w:tblPr>
        <w:tblStyle w:val="88"/>
        <w:tblW w:w="13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949"/>
        <w:gridCol w:w="998"/>
        <w:gridCol w:w="920"/>
        <w:gridCol w:w="906"/>
        <w:gridCol w:w="893"/>
        <w:gridCol w:w="936"/>
        <w:gridCol w:w="945"/>
        <w:gridCol w:w="922"/>
        <w:gridCol w:w="766"/>
        <w:gridCol w:w="895"/>
        <w:gridCol w:w="885"/>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序号</w:t>
            </w:r>
          </w:p>
        </w:tc>
        <w:tc>
          <w:tcPr>
            <w:tcW w:w="1949" w:type="dxa"/>
            <w:vAlign w:val="center"/>
          </w:tcPr>
          <w:p>
            <w:pPr>
              <w:pStyle w:val="114"/>
            </w:pPr>
            <w:r>
              <w:t>项目实施计划</w:t>
            </w:r>
          </w:p>
        </w:tc>
        <w:tc>
          <w:tcPr>
            <w:tcW w:w="998" w:type="dxa"/>
            <w:vAlign w:val="center"/>
          </w:tcPr>
          <w:p>
            <w:pPr>
              <w:pStyle w:val="114"/>
            </w:pPr>
            <w:r>
              <w:t>1月</w:t>
            </w:r>
          </w:p>
        </w:tc>
        <w:tc>
          <w:tcPr>
            <w:tcW w:w="920" w:type="dxa"/>
            <w:vAlign w:val="center"/>
          </w:tcPr>
          <w:p>
            <w:pPr>
              <w:pStyle w:val="114"/>
            </w:pPr>
            <w:r>
              <w:t>2月</w:t>
            </w:r>
          </w:p>
        </w:tc>
        <w:tc>
          <w:tcPr>
            <w:tcW w:w="906" w:type="dxa"/>
            <w:vAlign w:val="center"/>
          </w:tcPr>
          <w:p>
            <w:pPr>
              <w:pStyle w:val="114"/>
            </w:pPr>
            <w:r>
              <w:t>3月</w:t>
            </w:r>
          </w:p>
        </w:tc>
        <w:tc>
          <w:tcPr>
            <w:tcW w:w="893" w:type="dxa"/>
            <w:vAlign w:val="center"/>
          </w:tcPr>
          <w:p>
            <w:pPr>
              <w:pStyle w:val="114"/>
            </w:pPr>
            <w:r>
              <w:t>4月</w:t>
            </w:r>
          </w:p>
        </w:tc>
        <w:tc>
          <w:tcPr>
            <w:tcW w:w="936" w:type="dxa"/>
            <w:vAlign w:val="center"/>
          </w:tcPr>
          <w:p>
            <w:pPr>
              <w:pStyle w:val="114"/>
            </w:pPr>
            <w:r>
              <w:t>5月</w:t>
            </w:r>
          </w:p>
        </w:tc>
        <w:tc>
          <w:tcPr>
            <w:tcW w:w="945" w:type="dxa"/>
            <w:vAlign w:val="center"/>
          </w:tcPr>
          <w:p>
            <w:pPr>
              <w:pStyle w:val="114"/>
            </w:pPr>
            <w:r>
              <w:t>6月</w:t>
            </w:r>
          </w:p>
        </w:tc>
        <w:tc>
          <w:tcPr>
            <w:tcW w:w="922" w:type="dxa"/>
            <w:vAlign w:val="center"/>
          </w:tcPr>
          <w:p>
            <w:pPr>
              <w:pStyle w:val="114"/>
            </w:pPr>
            <w:r>
              <w:t>7月</w:t>
            </w:r>
          </w:p>
        </w:tc>
        <w:tc>
          <w:tcPr>
            <w:tcW w:w="766" w:type="dxa"/>
            <w:vAlign w:val="center"/>
          </w:tcPr>
          <w:p>
            <w:pPr>
              <w:pStyle w:val="114"/>
            </w:pPr>
            <w:r>
              <w:t>8月</w:t>
            </w:r>
          </w:p>
        </w:tc>
        <w:tc>
          <w:tcPr>
            <w:tcW w:w="895" w:type="dxa"/>
            <w:vAlign w:val="center"/>
          </w:tcPr>
          <w:p>
            <w:pPr>
              <w:pStyle w:val="114"/>
            </w:pPr>
            <w:r>
              <w:t>9月</w:t>
            </w:r>
          </w:p>
        </w:tc>
        <w:tc>
          <w:tcPr>
            <w:tcW w:w="885" w:type="dxa"/>
            <w:vAlign w:val="center"/>
          </w:tcPr>
          <w:p>
            <w:pPr>
              <w:pStyle w:val="114"/>
            </w:pPr>
            <w:r>
              <w:t>10月</w:t>
            </w:r>
          </w:p>
        </w:tc>
        <w:tc>
          <w:tcPr>
            <w:tcW w:w="992" w:type="dxa"/>
            <w:vAlign w:val="center"/>
          </w:tcPr>
          <w:p>
            <w:pPr>
              <w:pStyle w:val="114"/>
            </w:pPr>
            <w:r>
              <w:t>11月</w:t>
            </w:r>
          </w:p>
        </w:tc>
        <w:tc>
          <w:tcPr>
            <w:tcW w:w="992" w:type="dxa"/>
            <w:vAlign w:val="center"/>
          </w:tcPr>
          <w:p>
            <w:pPr>
              <w:pStyle w:val="114"/>
            </w:pPr>
            <w: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1</w:t>
            </w:r>
          </w:p>
        </w:tc>
        <w:tc>
          <w:tcPr>
            <w:tcW w:w="1949" w:type="dxa"/>
            <w:vAlign w:val="center"/>
          </w:tcPr>
          <w:p>
            <w:pPr>
              <w:pStyle w:val="114"/>
            </w:pPr>
            <w:r>
              <w:t>前期工作</w:t>
            </w:r>
          </w:p>
        </w:tc>
        <w:tc>
          <w:tcPr>
            <w:tcW w:w="998" w:type="dxa"/>
            <w:vAlign w:val="center"/>
          </w:tcPr>
          <w:p>
            <w:pPr>
              <w:pStyle w:val="114"/>
            </w:pPr>
            <w:r>
              <w:pict>
                <v:shape id="_x0000_s1034" o:spid="_x0000_s1034" o:spt="32" type="#_x0000_t32" style="position:absolute;left:0pt;margin-left:-5.1pt;margin-top:8.95pt;height:0.05pt;width:46.8pt;z-index:251661312;mso-width-relative:page;mso-height-relative:page;" o:connectortype="straight" filled="f" stroked="t" coordsize="21600,21600">
                  <v:path arrowok="t"/>
                  <v:fill on="f" focussize="0,0"/>
                  <v:stroke weight="3pt" color="#000000"/>
                  <v:imagedata o:title=""/>
                  <o:lock v:ext="edit"/>
                </v:shape>
              </w:pict>
            </w:r>
          </w:p>
        </w:tc>
        <w:tc>
          <w:tcPr>
            <w:tcW w:w="920" w:type="dxa"/>
            <w:vAlign w:val="center"/>
          </w:tcPr>
          <w:p>
            <w:pPr>
              <w:pStyle w:val="114"/>
            </w:pPr>
          </w:p>
        </w:tc>
        <w:tc>
          <w:tcPr>
            <w:tcW w:w="906" w:type="dxa"/>
            <w:vAlign w:val="center"/>
          </w:tcPr>
          <w:p>
            <w:pPr>
              <w:pStyle w:val="114"/>
            </w:pPr>
          </w:p>
        </w:tc>
        <w:tc>
          <w:tcPr>
            <w:tcW w:w="893" w:type="dxa"/>
            <w:vAlign w:val="center"/>
          </w:tcPr>
          <w:p>
            <w:pPr>
              <w:pStyle w:val="114"/>
            </w:pPr>
          </w:p>
        </w:tc>
        <w:tc>
          <w:tcPr>
            <w:tcW w:w="936" w:type="dxa"/>
            <w:vAlign w:val="center"/>
          </w:tcPr>
          <w:p>
            <w:pPr>
              <w:pStyle w:val="114"/>
            </w:pP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p>
        </w:tc>
        <w:tc>
          <w:tcPr>
            <w:tcW w:w="992" w:type="dxa"/>
            <w:vAlign w:val="center"/>
          </w:tcPr>
          <w:p>
            <w:pPr>
              <w:pStyle w:val="114"/>
            </w:pPr>
          </w:p>
        </w:tc>
        <w:tc>
          <w:tcPr>
            <w:tcW w:w="992" w:type="dxa"/>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2</w:t>
            </w:r>
          </w:p>
        </w:tc>
        <w:tc>
          <w:tcPr>
            <w:tcW w:w="1949" w:type="dxa"/>
            <w:vAlign w:val="center"/>
          </w:tcPr>
          <w:p>
            <w:pPr>
              <w:pStyle w:val="114"/>
            </w:pPr>
            <w:r>
              <w:t>初步设计及施工图设计</w:t>
            </w:r>
          </w:p>
        </w:tc>
        <w:tc>
          <w:tcPr>
            <w:tcW w:w="998" w:type="dxa"/>
            <w:vAlign w:val="center"/>
          </w:tcPr>
          <w:p>
            <w:pPr>
              <w:pStyle w:val="114"/>
            </w:pPr>
          </w:p>
        </w:tc>
        <w:tc>
          <w:tcPr>
            <w:tcW w:w="920" w:type="dxa"/>
            <w:vAlign w:val="center"/>
          </w:tcPr>
          <w:p>
            <w:pPr>
              <w:pStyle w:val="114"/>
            </w:pPr>
            <w:r>
              <w:pict>
                <v:shape id="_x0000_s1037" o:spid="_x0000_s1037" o:spt="32" type="#_x0000_t32" style="position:absolute;left:0pt;margin-left:-3.75pt;margin-top:11.8pt;height:0.05pt;width:84pt;z-index:251664384;mso-width-relative:page;mso-height-relative:page;" o:connectortype="straight" filled="f" stroked="t" coordsize="21600,21600">
                  <v:path arrowok="t"/>
                  <v:fill on="f" focussize="0,0"/>
                  <v:stroke weight="3pt" color="#000000"/>
                  <v:imagedata o:title=""/>
                  <o:lock v:ext="edit"/>
                </v:shape>
              </w:pict>
            </w:r>
          </w:p>
        </w:tc>
        <w:tc>
          <w:tcPr>
            <w:tcW w:w="906" w:type="dxa"/>
            <w:vAlign w:val="center"/>
          </w:tcPr>
          <w:p>
            <w:pPr>
              <w:pStyle w:val="114"/>
            </w:pPr>
          </w:p>
        </w:tc>
        <w:tc>
          <w:tcPr>
            <w:tcW w:w="893" w:type="dxa"/>
            <w:vAlign w:val="center"/>
          </w:tcPr>
          <w:p>
            <w:pPr>
              <w:pStyle w:val="114"/>
            </w:pPr>
          </w:p>
        </w:tc>
        <w:tc>
          <w:tcPr>
            <w:tcW w:w="936" w:type="dxa"/>
            <w:vAlign w:val="center"/>
          </w:tcPr>
          <w:p>
            <w:pPr>
              <w:pStyle w:val="114"/>
            </w:pP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p>
        </w:tc>
        <w:tc>
          <w:tcPr>
            <w:tcW w:w="992" w:type="dxa"/>
            <w:vAlign w:val="center"/>
          </w:tcPr>
          <w:p>
            <w:pPr>
              <w:pStyle w:val="114"/>
            </w:pPr>
          </w:p>
        </w:tc>
        <w:tc>
          <w:tcPr>
            <w:tcW w:w="992" w:type="dxa"/>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3</w:t>
            </w:r>
          </w:p>
        </w:tc>
        <w:tc>
          <w:tcPr>
            <w:tcW w:w="1949" w:type="dxa"/>
            <w:vAlign w:val="center"/>
          </w:tcPr>
          <w:p>
            <w:pPr>
              <w:pStyle w:val="114"/>
            </w:pPr>
            <w:r>
              <w:t>工程开工前准备</w:t>
            </w:r>
          </w:p>
        </w:tc>
        <w:tc>
          <w:tcPr>
            <w:tcW w:w="998" w:type="dxa"/>
            <w:vAlign w:val="center"/>
          </w:tcPr>
          <w:p>
            <w:pPr>
              <w:pStyle w:val="114"/>
            </w:pPr>
          </w:p>
        </w:tc>
        <w:tc>
          <w:tcPr>
            <w:tcW w:w="920" w:type="dxa"/>
            <w:vAlign w:val="center"/>
          </w:tcPr>
          <w:p>
            <w:pPr>
              <w:pStyle w:val="114"/>
            </w:pPr>
          </w:p>
        </w:tc>
        <w:tc>
          <w:tcPr>
            <w:tcW w:w="906" w:type="dxa"/>
            <w:vAlign w:val="center"/>
          </w:tcPr>
          <w:p>
            <w:pPr>
              <w:pStyle w:val="114"/>
            </w:pPr>
            <w:r>
              <w:pict>
                <v:shape id="_x0000_s1038" o:spid="_x0000_s1038" o:spt="32" type="#_x0000_t32" style="position:absolute;left:0pt;margin-left:37.6pt;margin-top:10.05pt;height:0.05pt;width:46.8pt;z-index:251665408;mso-width-relative:page;mso-height-relative:page;" o:connectortype="straight" filled="f" stroked="t" coordsize="21600,21600">
                  <v:path arrowok="t"/>
                  <v:fill on="f" focussize="0,0"/>
                  <v:stroke weight="3pt" color="#000000"/>
                  <v:imagedata o:title=""/>
                  <o:lock v:ext="edit"/>
                </v:shape>
              </w:pict>
            </w:r>
          </w:p>
        </w:tc>
        <w:tc>
          <w:tcPr>
            <w:tcW w:w="893" w:type="dxa"/>
            <w:vAlign w:val="center"/>
          </w:tcPr>
          <w:p>
            <w:pPr>
              <w:pStyle w:val="114"/>
            </w:pPr>
          </w:p>
        </w:tc>
        <w:tc>
          <w:tcPr>
            <w:tcW w:w="936" w:type="dxa"/>
            <w:vAlign w:val="center"/>
          </w:tcPr>
          <w:p>
            <w:pPr>
              <w:pStyle w:val="114"/>
            </w:pP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p>
        </w:tc>
        <w:tc>
          <w:tcPr>
            <w:tcW w:w="992" w:type="dxa"/>
            <w:vAlign w:val="center"/>
          </w:tcPr>
          <w:p>
            <w:pPr>
              <w:pStyle w:val="114"/>
            </w:pPr>
          </w:p>
        </w:tc>
        <w:tc>
          <w:tcPr>
            <w:tcW w:w="992" w:type="dxa"/>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4</w:t>
            </w:r>
          </w:p>
        </w:tc>
        <w:tc>
          <w:tcPr>
            <w:tcW w:w="1949" w:type="dxa"/>
            <w:vAlign w:val="center"/>
          </w:tcPr>
          <w:p>
            <w:pPr>
              <w:pStyle w:val="114"/>
            </w:pPr>
            <w:r>
              <w:t>施工</w:t>
            </w:r>
          </w:p>
        </w:tc>
        <w:tc>
          <w:tcPr>
            <w:tcW w:w="998" w:type="dxa"/>
            <w:vAlign w:val="center"/>
          </w:tcPr>
          <w:p>
            <w:pPr>
              <w:pStyle w:val="114"/>
            </w:pPr>
          </w:p>
        </w:tc>
        <w:tc>
          <w:tcPr>
            <w:tcW w:w="920" w:type="dxa"/>
            <w:vAlign w:val="center"/>
          </w:tcPr>
          <w:p>
            <w:pPr>
              <w:pStyle w:val="114"/>
            </w:pPr>
          </w:p>
        </w:tc>
        <w:tc>
          <w:tcPr>
            <w:tcW w:w="906" w:type="dxa"/>
            <w:vAlign w:val="center"/>
          </w:tcPr>
          <w:p>
            <w:pPr>
              <w:pStyle w:val="114"/>
            </w:pPr>
          </w:p>
        </w:tc>
        <w:tc>
          <w:tcPr>
            <w:tcW w:w="893" w:type="dxa"/>
            <w:vAlign w:val="center"/>
          </w:tcPr>
          <w:p>
            <w:pPr>
              <w:pStyle w:val="114"/>
            </w:pPr>
          </w:p>
        </w:tc>
        <w:tc>
          <w:tcPr>
            <w:tcW w:w="936" w:type="dxa"/>
            <w:vAlign w:val="center"/>
          </w:tcPr>
          <w:p>
            <w:pPr>
              <w:pStyle w:val="114"/>
            </w:pPr>
            <w:r>
              <w:pict>
                <v:shape id="_x0000_s1032" o:spid="_x0000_s1032" o:spt="32" type="#_x0000_t32" style="position:absolute;left:0pt;margin-left:-3.5pt;margin-top:6.65pt;height:0.05pt;width:263.05pt;z-index:251660288;mso-width-relative:page;mso-height-relative:page;" o:connectortype="straight" filled="f" stroked="t" coordsize="21600,21600">
                  <v:path arrowok="t"/>
                  <v:fill on="f" focussize="0,0"/>
                  <v:stroke weight="3pt" color="#000000"/>
                  <v:imagedata o:title=""/>
                  <o:lock v:ext="edit"/>
                </v:shape>
              </w:pict>
            </w: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p>
        </w:tc>
        <w:tc>
          <w:tcPr>
            <w:tcW w:w="992" w:type="dxa"/>
            <w:vAlign w:val="center"/>
          </w:tcPr>
          <w:p>
            <w:pPr>
              <w:pStyle w:val="114"/>
            </w:pPr>
          </w:p>
        </w:tc>
        <w:tc>
          <w:tcPr>
            <w:tcW w:w="992" w:type="dxa"/>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5</w:t>
            </w:r>
          </w:p>
        </w:tc>
        <w:tc>
          <w:tcPr>
            <w:tcW w:w="1949" w:type="dxa"/>
            <w:vAlign w:val="center"/>
          </w:tcPr>
          <w:p>
            <w:pPr>
              <w:pStyle w:val="114"/>
            </w:pPr>
            <w:r>
              <w:t>试运行</w:t>
            </w:r>
          </w:p>
        </w:tc>
        <w:tc>
          <w:tcPr>
            <w:tcW w:w="998" w:type="dxa"/>
            <w:vAlign w:val="center"/>
          </w:tcPr>
          <w:p>
            <w:pPr>
              <w:pStyle w:val="114"/>
            </w:pPr>
          </w:p>
        </w:tc>
        <w:tc>
          <w:tcPr>
            <w:tcW w:w="920" w:type="dxa"/>
            <w:vAlign w:val="center"/>
          </w:tcPr>
          <w:p>
            <w:pPr>
              <w:pStyle w:val="114"/>
            </w:pPr>
          </w:p>
        </w:tc>
        <w:tc>
          <w:tcPr>
            <w:tcW w:w="906" w:type="dxa"/>
            <w:vAlign w:val="center"/>
          </w:tcPr>
          <w:p>
            <w:pPr>
              <w:pStyle w:val="114"/>
            </w:pPr>
          </w:p>
        </w:tc>
        <w:tc>
          <w:tcPr>
            <w:tcW w:w="893" w:type="dxa"/>
            <w:vAlign w:val="center"/>
          </w:tcPr>
          <w:p>
            <w:pPr>
              <w:pStyle w:val="114"/>
            </w:pPr>
          </w:p>
        </w:tc>
        <w:tc>
          <w:tcPr>
            <w:tcW w:w="936" w:type="dxa"/>
            <w:vAlign w:val="center"/>
          </w:tcPr>
          <w:p>
            <w:pPr>
              <w:pStyle w:val="114"/>
            </w:pP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r>
              <w:pict>
                <v:shape id="_x0000_s1035" o:spid="_x0000_s1035" o:spt="32" type="#_x0000_t32" style="position:absolute;left:0pt;margin-left:36.25pt;margin-top:14.45pt;height:0.05pt;width:54pt;z-index:251662336;mso-width-relative:page;mso-height-relative:page;" o:connectortype="straight" filled="f" stroked="t" coordsize="21600,21600">
                  <v:path arrowok="t"/>
                  <v:fill on="f" focussize="0,0"/>
                  <v:stroke weight="3pt" color="#000000"/>
                  <v:imagedata o:title=""/>
                  <o:lock v:ext="edit"/>
                </v:shape>
              </w:pict>
            </w:r>
          </w:p>
        </w:tc>
        <w:tc>
          <w:tcPr>
            <w:tcW w:w="992" w:type="dxa"/>
            <w:vAlign w:val="center"/>
          </w:tcPr>
          <w:p>
            <w:pPr>
              <w:pStyle w:val="114"/>
            </w:pPr>
          </w:p>
        </w:tc>
        <w:tc>
          <w:tcPr>
            <w:tcW w:w="992" w:type="dxa"/>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70" w:type="dxa"/>
            <w:vAlign w:val="center"/>
          </w:tcPr>
          <w:p>
            <w:pPr>
              <w:pStyle w:val="114"/>
            </w:pPr>
            <w:r>
              <w:t>6</w:t>
            </w:r>
          </w:p>
        </w:tc>
        <w:tc>
          <w:tcPr>
            <w:tcW w:w="1949" w:type="dxa"/>
            <w:vAlign w:val="center"/>
          </w:tcPr>
          <w:p>
            <w:pPr>
              <w:pStyle w:val="114"/>
            </w:pPr>
            <w:r>
              <w:t>验收</w:t>
            </w:r>
          </w:p>
        </w:tc>
        <w:tc>
          <w:tcPr>
            <w:tcW w:w="998" w:type="dxa"/>
            <w:vAlign w:val="center"/>
          </w:tcPr>
          <w:p>
            <w:pPr>
              <w:pStyle w:val="114"/>
            </w:pPr>
          </w:p>
        </w:tc>
        <w:tc>
          <w:tcPr>
            <w:tcW w:w="920" w:type="dxa"/>
            <w:vAlign w:val="center"/>
          </w:tcPr>
          <w:p>
            <w:pPr>
              <w:pStyle w:val="114"/>
            </w:pPr>
          </w:p>
        </w:tc>
        <w:tc>
          <w:tcPr>
            <w:tcW w:w="906" w:type="dxa"/>
            <w:vAlign w:val="center"/>
          </w:tcPr>
          <w:p>
            <w:pPr>
              <w:pStyle w:val="114"/>
            </w:pPr>
          </w:p>
        </w:tc>
        <w:tc>
          <w:tcPr>
            <w:tcW w:w="893" w:type="dxa"/>
            <w:vAlign w:val="center"/>
          </w:tcPr>
          <w:p>
            <w:pPr>
              <w:pStyle w:val="114"/>
            </w:pPr>
          </w:p>
        </w:tc>
        <w:tc>
          <w:tcPr>
            <w:tcW w:w="936" w:type="dxa"/>
            <w:vAlign w:val="center"/>
          </w:tcPr>
          <w:p>
            <w:pPr>
              <w:pStyle w:val="114"/>
            </w:pPr>
          </w:p>
        </w:tc>
        <w:tc>
          <w:tcPr>
            <w:tcW w:w="945" w:type="dxa"/>
            <w:vAlign w:val="center"/>
          </w:tcPr>
          <w:p>
            <w:pPr>
              <w:pStyle w:val="114"/>
            </w:pPr>
          </w:p>
        </w:tc>
        <w:tc>
          <w:tcPr>
            <w:tcW w:w="922" w:type="dxa"/>
            <w:vAlign w:val="center"/>
          </w:tcPr>
          <w:p>
            <w:pPr>
              <w:pStyle w:val="114"/>
            </w:pPr>
          </w:p>
        </w:tc>
        <w:tc>
          <w:tcPr>
            <w:tcW w:w="766" w:type="dxa"/>
            <w:vAlign w:val="center"/>
          </w:tcPr>
          <w:p>
            <w:pPr>
              <w:pStyle w:val="114"/>
            </w:pPr>
          </w:p>
        </w:tc>
        <w:tc>
          <w:tcPr>
            <w:tcW w:w="895" w:type="dxa"/>
            <w:vAlign w:val="center"/>
          </w:tcPr>
          <w:p>
            <w:pPr>
              <w:pStyle w:val="114"/>
            </w:pPr>
          </w:p>
        </w:tc>
        <w:tc>
          <w:tcPr>
            <w:tcW w:w="885" w:type="dxa"/>
            <w:vAlign w:val="center"/>
          </w:tcPr>
          <w:p>
            <w:pPr>
              <w:pStyle w:val="114"/>
            </w:pPr>
          </w:p>
        </w:tc>
        <w:tc>
          <w:tcPr>
            <w:tcW w:w="992" w:type="dxa"/>
            <w:vAlign w:val="center"/>
          </w:tcPr>
          <w:p>
            <w:pPr>
              <w:pStyle w:val="114"/>
            </w:pPr>
          </w:p>
        </w:tc>
        <w:tc>
          <w:tcPr>
            <w:tcW w:w="992" w:type="dxa"/>
            <w:vAlign w:val="center"/>
          </w:tcPr>
          <w:p>
            <w:pPr>
              <w:pStyle w:val="114"/>
            </w:pPr>
            <w:r>
              <w:pict>
                <v:shape id="_x0000_s1036" o:spid="_x0000_s1036" o:spt="32" type="#_x0000_t32" style="position:absolute;left:0pt;margin-left:-3.9pt;margin-top:7.3pt;height:0pt;width:48pt;z-index:251663360;mso-width-relative:page;mso-height-relative:page;" o:connectortype="straight" filled="f" stroked="t" coordsize="21600,21600">
                  <v:path arrowok="t"/>
                  <v:fill on="f" focussize="0,0"/>
                  <v:stroke weight="3pt" color="#000000"/>
                  <v:imagedata o:title=""/>
                  <o:lock v:ext="edit"/>
                </v:shape>
              </w:pict>
            </w:r>
          </w:p>
        </w:tc>
      </w:tr>
    </w:tbl>
    <w:p>
      <w:pPr>
        <w:ind w:firstLine="480"/>
        <w:rPr>
          <w:rFonts w:cs="Times New Roman"/>
          <w:color w:val="auto"/>
          <w:lang w:val="zh-CN"/>
        </w:rPr>
        <w:sectPr>
          <w:pgSz w:w="16838" w:h="11906" w:orient="landscape"/>
          <w:pgMar w:top="1559" w:right="1440" w:bottom="1559" w:left="1440" w:header="708" w:footer="708" w:gutter="0"/>
          <w:cols w:space="708" w:num="1"/>
          <w:docGrid w:linePitch="360" w:charSpace="0"/>
        </w:sectPr>
      </w:pPr>
    </w:p>
    <w:p>
      <w:pPr>
        <w:pStyle w:val="3"/>
        <w:rPr>
          <w:color w:val="auto"/>
          <w:sz w:val="28"/>
          <w:szCs w:val="28"/>
        </w:rPr>
      </w:pPr>
      <w:bookmarkStart w:id="302" w:name="_Toc288824601"/>
      <w:bookmarkStart w:id="303" w:name="_Toc48640788"/>
      <w:bookmarkStart w:id="304" w:name="_Toc518481734"/>
      <w:bookmarkStart w:id="305" w:name="_Toc36126981"/>
      <w:r>
        <w:rPr>
          <w:color w:val="auto"/>
        </w:rPr>
        <w:t>环境保护与安全施工</w:t>
      </w:r>
      <w:bookmarkEnd w:id="302"/>
      <w:bookmarkEnd w:id="303"/>
      <w:bookmarkEnd w:id="304"/>
      <w:bookmarkEnd w:id="305"/>
    </w:p>
    <w:p>
      <w:pPr>
        <w:pStyle w:val="4"/>
      </w:pPr>
      <w:bookmarkStart w:id="306" w:name="_Toc48640789"/>
      <w:bookmarkStart w:id="307" w:name="_Toc36126982"/>
      <w:bookmarkStart w:id="308" w:name="_Toc288824604"/>
      <w:bookmarkStart w:id="309" w:name="_Toc518481737"/>
      <w:r>
        <w:t>环境保护</w:t>
      </w:r>
      <w:bookmarkEnd w:id="306"/>
      <w:bookmarkEnd w:id="307"/>
    </w:p>
    <w:p>
      <w:pPr>
        <w:pStyle w:val="5"/>
        <w:rPr>
          <w:lang w:val="zh-CN"/>
        </w:rPr>
      </w:pPr>
      <w:bookmarkStart w:id="310" w:name="_Toc36126983"/>
      <w:bookmarkStart w:id="311" w:name="_Toc48640790"/>
      <w:r>
        <w:rPr>
          <w:lang w:val="zh-CN"/>
        </w:rPr>
        <w:t>主要污染源分析</w:t>
      </w:r>
      <w:bookmarkEnd w:id="310"/>
      <w:bookmarkEnd w:id="311"/>
    </w:p>
    <w:p>
      <w:pPr>
        <w:pStyle w:val="116"/>
        <w:rPr>
          <w:color w:val="auto"/>
        </w:rPr>
      </w:pPr>
      <w:bookmarkStart w:id="312" w:name="_Toc465796244"/>
      <w:bookmarkStart w:id="313" w:name="_Toc322263583"/>
      <w:r>
        <w:rPr>
          <w:color w:val="auto"/>
        </w:rPr>
        <w:t>扬尘</w:t>
      </w:r>
      <w:bookmarkEnd w:id="312"/>
      <w:bookmarkEnd w:id="313"/>
    </w:p>
    <w:p>
      <w:pPr>
        <w:ind w:firstLine="439" w:firstLineChars="183"/>
        <w:rPr>
          <w:rFonts w:cs="Times New Roman"/>
          <w:color w:val="auto"/>
          <w:kern w:val="0"/>
          <w:szCs w:val="20"/>
          <w:lang w:val="zh-CN"/>
        </w:rPr>
      </w:pPr>
      <w:r>
        <w:rPr>
          <w:rFonts w:cs="Times New Roman"/>
          <w:color w:val="auto"/>
          <w:kern w:val="0"/>
          <w:szCs w:val="20"/>
          <w:lang w:val="zh-CN"/>
        </w:rPr>
        <w:t>工程施工时，必然要在地面上堆积大量的回填土和部分弃土。当土风干时，在启动风速下会形成扬尘。在采取较好的防尘措施时，扬尘的影响范围基本上控制在150m以内，在150m以内不超过1.0mg/m</w:t>
      </w:r>
      <w:r>
        <w:rPr>
          <w:rFonts w:cs="Times New Roman"/>
          <w:color w:val="auto"/>
          <w:kern w:val="0"/>
          <w:szCs w:val="20"/>
          <w:vertAlign w:val="superscript"/>
          <w:lang w:val="zh-CN"/>
        </w:rPr>
        <w:t>3</w:t>
      </w:r>
      <w:r>
        <w:rPr>
          <w:rFonts w:cs="Times New Roman"/>
          <w:color w:val="auto"/>
          <w:kern w:val="0"/>
          <w:szCs w:val="20"/>
          <w:lang w:val="zh-CN"/>
        </w:rPr>
        <w:t>，200m左右TSP浓度贡献已降至0.39mg/m</w:t>
      </w:r>
      <w:r>
        <w:rPr>
          <w:rFonts w:cs="Times New Roman"/>
          <w:color w:val="auto"/>
          <w:kern w:val="0"/>
          <w:szCs w:val="20"/>
          <w:vertAlign w:val="superscript"/>
          <w:lang w:val="zh-CN"/>
        </w:rPr>
        <w:t>3</w:t>
      </w:r>
      <w:r>
        <w:rPr>
          <w:rFonts w:cs="Times New Roman"/>
          <w:color w:val="auto"/>
          <w:kern w:val="0"/>
          <w:szCs w:val="20"/>
          <w:lang w:val="zh-CN"/>
        </w:rPr>
        <w:t>。受影响较大的主要是镇区临街的居民。</w:t>
      </w:r>
    </w:p>
    <w:p>
      <w:pPr>
        <w:ind w:firstLine="439" w:firstLineChars="183"/>
        <w:rPr>
          <w:rFonts w:cs="Times New Roman"/>
          <w:color w:val="auto"/>
          <w:kern w:val="0"/>
          <w:szCs w:val="20"/>
          <w:lang w:val="zh-CN"/>
        </w:rPr>
      </w:pPr>
      <w:r>
        <w:rPr>
          <w:rFonts w:cs="Times New Roman"/>
          <w:color w:val="auto"/>
          <w:kern w:val="0"/>
          <w:szCs w:val="20"/>
          <w:lang w:val="zh-CN"/>
        </w:rPr>
        <w:t>如果基本不采取防尘措施，450m以内将会受到施工扬尘的严重影响，施工现场周围的单位和住宅小区等的TSP浓度将大幅度超标。因此，本工程的施工应采取严格的防尘措施，将施工扬尘的污染程度降到最低。</w:t>
      </w:r>
    </w:p>
    <w:p>
      <w:pPr>
        <w:pStyle w:val="116"/>
        <w:rPr>
          <w:color w:val="auto"/>
        </w:rPr>
      </w:pPr>
      <w:bookmarkStart w:id="314" w:name="_Toc465796245"/>
      <w:bookmarkStart w:id="315" w:name="_Toc322263584"/>
      <w:r>
        <w:rPr>
          <w:color w:val="auto"/>
        </w:rPr>
        <w:t>噪声</w:t>
      </w:r>
      <w:bookmarkEnd w:id="314"/>
      <w:bookmarkEnd w:id="315"/>
    </w:p>
    <w:p>
      <w:pPr>
        <w:ind w:firstLine="439" w:firstLineChars="183"/>
        <w:rPr>
          <w:rFonts w:cs="Times New Roman"/>
          <w:color w:val="auto"/>
          <w:kern w:val="0"/>
          <w:szCs w:val="20"/>
          <w:lang w:val="zh-CN"/>
        </w:rPr>
      </w:pPr>
      <w:r>
        <w:rPr>
          <w:rFonts w:cs="Times New Roman"/>
          <w:color w:val="auto"/>
          <w:kern w:val="0"/>
          <w:szCs w:val="20"/>
          <w:lang w:val="zh-CN"/>
        </w:rPr>
        <w:t>本工程施工期使用的机械主要有挖掘机、混凝土搅拌机、卡车等，这些施工机械的运行噪声在100～120dB(A)时，噪声随距离衰减的预测结果如表7.1-1所示。</w:t>
      </w:r>
    </w:p>
    <w:p>
      <w:pPr>
        <w:pStyle w:val="112"/>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8.1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施工噪声预测结果</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20"/>
        <w:gridCol w:w="720"/>
        <w:gridCol w:w="720"/>
        <w:gridCol w:w="720"/>
        <w:gridCol w:w="900"/>
        <w:gridCol w:w="900"/>
        <w:gridCol w:w="90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8" w:type="dxa"/>
            <w:vAlign w:val="center"/>
          </w:tcPr>
          <w:p>
            <w:pPr>
              <w:pStyle w:val="108"/>
              <w:rPr>
                <w:color w:val="auto"/>
              </w:rPr>
            </w:pPr>
            <w:r>
              <w:rPr>
                <w:color w:val="auto"/>
              </w:rPr>
              <w:t>距生源距离m</w:t>
            </w:r>
          </w:p>
        </w:tc>
        <w:tc>
          <w:tcPr>
            <w:tcW w:w="720" w:type="dxa"/>
            <w:vAlign w:val="center"/>
          </w:tcPr>
          <w:p>
            <w:pPr>
              <w:pStyle w:val="108"/>
              <w:rPr>
                <w:color w:val="auto"/>
              </w:rPr>
            </w:pPr>
            <w:r>
              <w:rPr>
                <w:color w:val="auto"/>
              </w:rPr>
              <w:t>200</w:t>
            </w:r>
          </w:p>
        </w:tc>
        <w:tc>
          <w:tcPr>
            <w:tcW w:w="720" w:type="dxa"/>
            <w:vAlign w:val="center"/>
          </w:tcPr>
          <w:p>
            <w:pPr>
              <w:pStyle w:val="108"/>
              <w:rPr>
                <w:color w:val="auto"/>
              </w:rPr>
            </w:pPr>
            <w:r>
              <w:rPr>
                <w:color w:val="auto"/>
              </w:rPr>
              <w:t>400</w:t>
            </w:r>
          </w:p>
        </w:tc>
        <w:tc>
          <w:tcPr>
            <w:tcW w:w="720" w:type="dxa"/>
            <w:vAlign w:val="center"/>
          </w:tcPr>
          <w:p>
            <w:pPr>
              <w:pStyle w:val="108"/>
              <w:rPr>
                <w:color w:val="auto"/>
              </w:rPr>
            </w:pPr>
            <w:r>
              <w:rPr>
                <w:color w:val="auto"/>
              </w:rPr>
              <w:t>600</w:t>
            </w:r>
          </w:p>
        </w:tc>
        <w:tc>
          <w:tcPr>
            <w:tcW w:w="720" w:type="dxa"/>
            <w:vAlign w:val="center"/>
          </w:tcPr>
          <w:p>
            <w:pPr>
              <w:pStyle w:val="108"/>
              <w:rPr>
                <w:color w:val="auto"/>
              </w:rPr>
            </w:pPr>
            <w:r>
              <w:rPr>
                <w:color w:val="auto"/>
              </w:rPr>
              <w:t>800</w:t>
            </w:r>
          </w:p>
        </w:tc>
        <w:tc>
          <w:tcPr>
            <w:tcW w:w="900" w:type="dxa"/>
            <w:vAlign w:val="center"/>
          </w:tcPr>
          <w:p>
            <w:pPr>
              <w:pStyle w:val="108"/>
              <w:rPr>
                <w:color w:val="auto"/>
              </w:rPr>
            </w:pPr>
            <w:r>
              <w:rPr>
                <w:color w:val="auto"/>
              </w:rPr>
              <w:t>1000</w:t>
            </w:r>
          </w:p>
        </w:tc>
        <w:tc>
          <w:tcPr>
            <w:tcW w:w="900" w:type="dxa"/>
            <w:vAlign w:val="center"/>
          </w:tcPr>
          <w:p>
            <w:pPr>
              <w:pStyle w:val="108"/>
              <w:rPr>
                <w:color w:val="auto"/>
              </w:rPr>
            </w:pPr>
            <w:r>
              <w:rPr>
                <w:color w:val="auto"/>
              </w:rPr>
              <w:t>1200</w:t>
            </w:r>
          </w:p>
        </w:tc>
        <w:tc>
          <w:tcPr>
            <w:tcW w:w="900" w:type="dxa"/>
            <w:vAlign w:val="center"/>
          </w:tcPr>
          <w:p>
            <w:pPr>
              <w:pStyle w:val="108"/>
              <w:rPr>
                <w:color w:val="auto"/>
              </w:rPr>
            </w:pPr>
            <w:r>
              <w:rPr>
                <w:color w:val="auto"/>
              </w:rPr>
              <w:t>1400</w:t>
            </w:r>
          </w:p>
        </w:tc>
        <w:tc>
          <w:tcPr>
            <w:tcW w:w="854" w:type="dxa"/>
            <w:vAlign w:val="center"/>
          </w:tcPr>
          <w:p>
            <w:pPr>
              <w:pStyle w:val="108"/>
              <w:rPr>
                <w:color w:val="auto"/>
              </w:rPr>
            </w:pPr>
            <w:r>
              <w:rPr>
                <w:color w:val="auto"/>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8" w:type="dxa"/>
            <w:vAlign w:val="center"/>
          </w:tcPr>
          <w:p>
            <w:pPr>
              <w:pStyle w:val="108"/>
              <w:rPr>
                <w:color w:val="auto"/>
              </w:rPr>
            </w:pPr>
            <w:r>
              <w:rPr>
                <w:color w:val="auto"/>
              </w:rPr>
              <w:t>噪声值dB(A)</w:t>
            </w:r>
          </w:p>
        </w:tc>
        <w:tc>
          <w:tcPr>
            <w:tcW w:w="720" w:type="dxa"/>
            <w:vAlign w:val="center"/>
          </w:tcPr>
          <w:p>
            <w:pPr>
              <w:pStyle w:val="108"/>
              <w:rPr>
                <w:color w:val="auto"/>
              </w:rPr>
            </w:pPr>
            <w:r>
              <w:rPr>
                <w:color w:val="auto"/>
              </w:rPr>
              <w:t>73</w:t>
            </w:r>
          </w:p>
        </w:tc>
        <w:tc>
          <w:tcPr>
            <w:tcW w:w="720" w:type="dxa"/>
            <w:vAlign w:val="center"/>
          </w:tcPr>
          <w:p>
            <w:pPr>
              <w:pStyle w:val="108"/>
              <w:rPr>
                <w:color w:val="auto"/>
              </w:rPr>
            </w:pPr>
            <w:r>
              <w:rPr>
                <w:color w:val="auto"/>
              </w:rPr>
              <w:t>67</w:t>
            </w:r>
          </w:p>
        </w:tc>
        <w:tc>
          <w:tcPr>
            <w:tcW w:w="720" w:type="dxa"/>
            <w:vAlign w:val="center"/>
          </w:tcPr>
          <w:p>
            <w:pPr>
              <w:pStyle w:val="108"/>
              <w:rPr>
                <w:color w:val="auto"/>
              </w:rPr>
            </w:pPr>
            <w:r>
              <w:rPr>
                <w:color w:val="auto"/>
              </w:rPr>
              <w:t>63</w:t>
            </w:r>
          </w:p>
        </w:tc>
        <w:tc>
          <w:tcPr>
            <w:tcW w:w="720" w:type="dxa"/>
            <w:vAlign w:val="center"/>
          </w:tcPr>
          <w:p>
            <w:pPr>
              <w:pStyle w:val="108"/>
              <w:rPr>
                <w:color w:val="auto"/>
              </w:rPr>
            </w:pPr>
            <w:r>
              <w:rPr>
                <w:color w:val="auto"/>
              </w:rPr>
              <w:t>61</w:t>
            </w:r>
          </w:p>
        </w:tc>
        <w:tc>
          <w:tcPr>
            <w:tcW w:w="900" w:type="dxa"/>
            <w:vAlign w:val="center"/>
          </w:tcPr>
          <w:p>
            <w:pPr>
              <w:pStyle w:val="108"/>
              <w:rPr>
                <w:color w:val="auto"/>
              </w:rPr>
            </w:pPr>
            <w:r>
              <w:rPr>
                <w:color w:val="auto"/>
              </w:rPr>
              <w:t>59</w:t>
            </w:r>
          </w:p>
        </w:tc>
        <w:tc>
          <w:tcPr>
            <w:tcW w:w="900" w:type="dxa"/>
            <w:vAlign w:val="center"/>
          </w:tcPr>
          <w:p>
            <w:pPr>
              <w:pStyle w:val="108"/>
              <w:rPr>
                <w:color w:val="auto"/>
              </w:rPr>
            </w:pPr>
            <w:r>
              <w:rPr>
                <w:color w:val="auto"/>
              </w:rPr>
              <w:t>57</w:t>
            </w:r>
          </w:p>
        </w:tc>
        <w:tc>
          <w:tcPr>
            <w:tcW w:w="900" w:type="dxa"/>
            <w:vAlign w:val="center"/>
          </w:tcPr>
          <w:p>
            <w:pPr>
              <w:pStyle w:val="108"/>
              <w:rPr>
                <w:color w:val="auto"/>
              </w:rPr>
            </w:pPr>
            <w:r>
              <w:rPr>
                <w:color w:val="auto"/>
              </w:rPr>
              <w:t>56</w:t>
            </w:r>
          </w:p>
        </w:tc>
        <w:tc>
          <w:tcPr>
            <w:tcW w:w="854" w:type="dxa"/>
            <w:vAlign w:val="center"/>
          </w:tcPr>
          <w:p>
            <w:pPr>
              <w:pStyle w:val="108"/>
              <w:rPr>
                <w:color w:val="auto"/>
              </w:rPr>
            </w:pPr>
            <w:r>
              <w:rPr>
                <w:color w:val="auto"/>
              </w:rPr>
              <w:t>55</w:t>
            </w:r>
          </w:p>
        </w:tc>
      </w:tr>
    </w:tbl>
    <w:p>
      <w:pPr>
        <w:pStyle w:val="116"/>
        <w:rPr>
          <w:color w:val="auto"/>
        </w:rPr>
      </w:pPr>
      <w:bookmarkStart w:id="316" w:name="_Toc322263585"/>
      <w:bookmarkStart w:id="317" w:name="_Toc465796246"/>
      <w:r>
        <w:rPr>
          <w:color w:val="auto"/>
        </w:rPr>
        <w:t>固体废弃物</w:t>
      </w:r>
      <w:bookmarkEnd w:id="316"/>
      <w:bookmarkEnd w:id="317"/>
    </w:p>
    <w:p>
      <w:pPr>
        <w:ind w:firstLine="439" w:firstLineChars="183"/>
        <w:rPr>
          <w:rFonts w:cs="Times New Roman"/>
          <w:color w:val="auto"/>
          <w:kern w:val="0"/>
          <w:szCs w:val="20"/>
          <w:lang w:val="zh-CN"/>
        </w:rPr>
      </w:pPr>
      <w:r>
        <w:rPr>
          <w:rFonts w:cs="Times New Roman"/>
          <w:color w:val="auto"/>
          <w:kern w:val="0"/>
          <w:szCs w:val="20"/>
          <w:lang w:val="zh-CN"/>
        </w:rPr>
        <w:t>工程施工时，有部分弃土和建筑垃圾需要遗弃。工程弃土可以用于平整场地、垫道等。这部分土基本未受污染，和当地的土壤分析成分一样，除了在堆放、搬运过程中，可能会有散漏、产生扬尘外，不会对环境造成永久的影响。施工过程产生的建筑垃圾主要为施工中废弃的砖头、路面碎块、混凝土块、废木料、钢筋头、废油漆、涂料等，其量比较有限，可送附近的填埋场处理。</w:t>
      </w:r>
    </w:p>
    <w:p>
      <w:pPr>
        <w:pStyle w:val="116"/>
        <w:rPr>
          <w:color w:val="auto"/>
        </w:rPr>
      </w:pPr>
      <w:bookmarkStart w:id="318" w:name="_Toc465796247"/>
      <w:bookmarkStart w:id="319" w:name="_Toc322263586"/>
      <w:r>
        <w:rPr>
          <w:color w:val="auto"/>
        </w:rPr>
        <w:t>对交通的影响分析</w:t>
      </w:r>
      <w:bookmarkEnd w:id="318"/>
      <w:bookmarkEnd w:id="319"/>
    </w:p>
    <w:p>
      <w:pPr>
        <w:ind w:firstLine="439" w:firstLineChars="183"/>
        <w:rPr>
          <w:rFonts w:cs="Times New Roman"/>
          <w:color w:val="auto"/>
          <w:kern w:val="0"/>
          <w:szCs w:val="20"/>
          <w:lang w:val="zh-CN"/>
        </w:rPr>
      </w:pPr>
      <w:r>
        <w:rPr>
          <w:rFonts w:cs="Times New Roman"/>
          <w:color w:val="auto"/>
          <w:kern w:val="0"/>
          <w:szCs w:val="20"/>
          <w:lang w:val="zh-CN"/>
        </w:rPr>
        <w:t>本工程中以管网施工对交通的影响最大，道路开挖、施工期间堆积的回填土、管道、建筑材料等，必然占用车行道和人行道。这些都会影响市区交通。</w:t>
      </w:r>
    </w:p>
    <w:p>
      <w:pPr>
        <w:pStyle w:val="116"/>
        <w:rPr>
          <w:color w:val="auto"/>
        </w:rPr>
      </w:pPr>
      <w:bookmarkStart w:id="320" w:name="_Toc465796248"/>
      <w:bookmarkStart w:id="321" w:name="_Toc322263587"/>
      <w:r>
        <w:rPr>
          <w:color w:val="auto"/>
        </w:rPr>
        <w:t>对镇区景观的影响分析</w:t>
      </w:r>
      <w:bookmarkEnd w:id="320"/>
      <w:bookmarkEnd w:id="321"/>
    </w:p>
    <w:p>
      <w:pPr>
        <w:ind w:firstLine="439" w:firstLineChars="183"/>
        <w:rPr>
          <w:rFonts w:cs="Times New Roman"/>
          <w:color w:val="auto"/>
          <w:kern w:val="0"/>
          <w:szCs w:val="20"/>
          <w:lang w:val="zh-CN"/>
        </w:rPr>
      </w:pPr>
      <w:r>
        <w:rPr>
          <w:rFonts w:cs="Times New Roman"/>
          <w:color w:val="auto"/>
          <w:kern w:val="0"/>
          <w:szCs w:val="20"/>
          <w:lang w:val="zh-CN"/>
        </w:rPr>
        <w:t>施工期，由于建设材料所占道路两侧堆满砂石、水泥管、弃土，同时破坏部分绿地、树木，对镇区景观造成不良影响，但施工期的这些影响是短期、局部和可逆的。</w:t>
      </w:r>
    </w:p>
    <w:p>
      <w:pPr>
        <w:pStyle w:val="116"/>
        <w:rPr>
          <w:color w:val="auto"/>
        </w:rPr>
      </w:pPr>
      <w:bookmarkStart w:id="322" w:name="_Toc465796249"/>
      <w:bookmarkStart w:id="323" w:name="_Toc322263588"/>
      <w:r>
        <w:rPr>
          <w:color w:val="auto"/>
        </w:rPr>
        <w:t>对人群健康的影响分析</w:t>
      </w:r>
      <w:bookmarkEnd w:id="322"/>
      <w:bookmarkEnd w:id="323"/>
    </w:p>
    <w:p>
      <w:pPr>
        <w:ind w:firstLine="439" w:firstLineChars="183"/>
        <w:rPr>
          <w:rFonts w:cs="Times New Roman"/>
          <w:color w:val="auto"/>
          <w:kern w:val="0"/>
          <w:szCs w:val="20"/>
          <w:lang w:val="zh-CN"/>
        </w:rPr>
      </w:pPr>
      <w:r>
        <w:rPr>
          <w:rFonts w:cs="Times New Roman"/>
          <w:color w:val="auto"/>
          <w:kern w:val="0"/>
          <w:szCs w:val="20"/>
          <w:lang w:val="zh-CN"/>
        </w:rPr>
        <w:t>工程施工期，外来流动人口进出频繁，增加了各种疾病传播和流行的机会，可能带入一些施工区域原来没有的流行病，也可能使施工区域的一些传染病向外扩散。</w:t>
      </w:r>
    </w:p>
    <w:p>
      <w:pPr>
        <w:ind w:firstLine="439" w:firstLineChars="183"/>
        <w:rPr>
          <w:rFonts w:cs="Times New Roman"/>
          <w:color w:val="auto"/>
          <w:kern w:val="0"/>
          <w:szCs w:val="20"/>
          <w:lang w:val="zh-CN"/>
        </w:rPr>
      </w:pPr>
      <w:r>
        <w:rPr>
          <w:rFonts w:cs="Times New Roman"/>
          <w:color w:val="auto"/>
          <w:kern w:val="0"/>
          <w:szCs w:val="20"/>
          <w:lang w:val="zh-CN"/>
        </w:rPr>
        <w:t>施工过程产生的扬尘易导致呼吸道病人的增加：施工噪声可通过损害听觉系统而危害健康。由于劳动强度较大，施工人员的体质相对下降，更易于感染疾病。因此，施工单位必须密切注意工程施工对施工人员及附近居民健康所带来的不利影响，采取必要的预防措施，杜绝疾病的传播和流行。</w:t>
      </w:r>
    </w:p>
    <w:p>
      <w:pPr>
        <w:pStyle w:val="5"/>
        <w:rPr>
          <w:lang w:val="zh-CN"/>
        </w:rPr>
      </w:pPr>
      <w:bookmarkStart w:id="324" w:name="_Toc394325036"/>
      <w:bookmarkStart w:id="325" w:name="_Toc438121858"/>
      <w:bookmarkStart w:id="326" w:name="_Toc465796250"/>
      <w:bookmarkStart w:id="327" w:name="_Toc48640791"/>
      <w:bookmarkStart w:id="328" w:name="_Toc36126984"/>
      <w:r>
        <w:rPr>
          <w:lang w:val="zh-CN"/>
        </w:rPr>
        <w:t>环保措施分析</w:t>
      </w:r>
      <w:bookmarkEnd w:id="324"/>
      <w:bookmarkEnd w:id="325"/>
      <w:bookmarkEnd w:id="326"/>
      <w:bookmarkEnd w:id="327"/>
      <w:bookmarkEnd w:id="328"/>
    </w:p>
    <w:p>
      <w:pPr>
        <w:pStyle w:val="116"/>
        <w:rPr>
          <w:color w:val="auto"/>
        </w:rPr>
      </w:pPr>
      <w:bookmarkStart w:id="329" w:name="_Toc465796251"/>
      <w:bookmarkStart w:id="330" w:name="_Toc322263590"/>
      <w:r>
        <w:rPr>
          <w:color w:val="auto"/>
        </w:rPr>
        <w:t>施工期扬尘污染防治措施</w:t>
      </w:r>
      <w:bookmarkEnd w:id="329"/>
      <w:bookmarkEnd w:id="330"/>
    </w:p>
    <w:p>
      <w:pPr>
        <w:ind w:firstLine="439" w:firstLineChars="183"/>
        <w:rPr>
          <w:rFonts w:cs="Times New Roman"/>
          <w:color w:val="auto"/>
          <w:kern w:val="0"/>
          <w:szCs w:val="20"/>
          <w:lang w:val="zh-CN"/>
        </w:rPr>
      </w:pPr>
      <w:r>
        <w:rPr>
          <w:rFonts w:cs="Times New Roman"/>
          <w:color w:val="auto"/>
          <w:kern w:val="0"/>
          <w:szCs w:val="20"/>
          <w:lang w:val="zh-CN"/>
        </w:rPr>
        <w:t>1、施工期间应加强管理，贯彻边施工、边防护的原则。</w:t>
      </w:r>
    </w:p>
    <w:p>
      <w:pPr>
        <w:ind w:firstLine="439" w:firstLineChars="183"/>
        <w:rPr>
          <w:rFonts w:cs="Times New Roman"/>
          <w:color w:val="auto"/>
          <w:kern w:val="0"/>
          <w:szCs w:val="20"/>
          <w:lang w:val="zh-CN"/>
        </w:rPr>
      </w:pPr>
      <w:r>
        <w:rPr>
          <w:rFonts w:cs="Times New Roman"/>
          <w:color w:val="auto"/>
          <w:kern w:val="0"/>
          <w:szCs w:val="20"/>
          <w:lang w:val="zh-CN"/>
        </w:rPr>
        <w:t>2、施工现场要用塑料编织布围栏，以减少施工扬尘的扩散，减轻扬尘对周围居民和单位的污染。</w:t>
      </w:r>
    </w:p>
    <w:p>
      <w:pPr>
        <w:ind w:firstLine="439" w:firstLineChars="183"/>
        <w:rPr>
          <w:rFonts w:cs="Times New Roman"/>
          <w:color w:val="auto"/>
          <w:kern w:val="0"/>
          <w:szCs w:val="20"/>
          <w:lang w:val="zh-CN"/>
        </w:rPr>
      </w:pPr>
      <w:r>
        <w:rPr>
          <w:rFonts w:cs="Times New Roman"/>
          <w:color w:val="auto"/>
          <w:kern w:val="0"/>
          <w:szCs w:val="20"/>
          <w:lang w:val="zh-CN"/>
        </w:rPr>
        <w:t>3、施工现场只存放回填的土方量，弃土要及时清运。晴天干燥季节对存土、铲土运输，要常洒水，以保持表面湿润，减少扬尘产生量。</w:t>
      </w:r>
    </w:p>
    <w:p>
      <w:pPr>
        <w:ind w:firstLine="439" w:firstLineChars="183"/>
        <w:rPr>
          <w:rFonts w:cs="Times New Roman"/>
          <w:color w:val="auto"/>
          <w:kern w:val="0"/>
          <w:szCs w:val="20"/>
          <w:lang w:val="zh-CN"/>
        </w:rPr>
      </w:pPr>
      <w:r>
        <w:rPr>
          <w:rFonts w:cs="Times New Roman"/>
          <w:color w:val="auto"/>
          <w:kern w:val="0"/>
          <w:szCs w:val="20"/>
          <w:lang w:val="zh-CN"/>
        </w:rPr>
        <w:t>4、运输原材料如水泥、白灰及施工垃圾等车辆要严密遮盖，避免尘粒沿途散落。对施工现场车辆来往抛撒下来的灰土应及时清扫，减少扬尘产生。</w:t>
      </w:r>
    </w:p>
    <w:p>
      <w:pPr>
        <w:ind w:firstLine="439" w:firstLineChars="183"/>
        <w:rPr>
          <w:rFonts w:cs="Times New Roman"/>
          <w:color w:val="auto"/>
          <w:kern w:val="0"/>
          <w:szCs w:val="20"/>
          <w:lang w:val="zh-CN"/>
        </w:rPr>
      </w:pPr>
      <w:r>
        <w:rPr>
          <w:rFonts w:cs="Times New Roman"/>
          <w:color w:val="auto"/>
          <w:kern w:val="0"/>
          <w:szCs w:val="20"/>
          <w:lang w:val="zh-CN"/>
        </w:rPr>
        <w:t>5、施工时，周边应用棚布围栏，这样既可以防止扬尘飞扬，又可避免过路行人陷入。</w:t>
      </w:r>
    </w:p>
    <w:p>
      <w:pPr>
        <w:pStyle w:val="116"/>
        <w:rPr>
          <w:color w:val="auto"/>
          <w:kern w:val="0"/>
          <w:lang w:val="zh-CN"/>
        </w:rPr>
      </w:pPr>
      <w:bookmarkStart w:id="331" w:name="_Toc465796252"/>
      <w:bookmarkStart w:id="332" w:name="_Toc322263591"/>
      <w:r>
        <w:rPr>
          <w:color w:val="auto"/>
          <w:kern w:val="0"/>
          <w:lang w:val="zh-CN"/>
        </w:rPr>
        <w:t>施工噪声污染防治措施</w:t>
      </w:r>
      <w:bookmarkEnd w:id="331"/>
      <w:bookmarkEnd w:id="332"/>
    </w:p>
    <w:p>
      <w:pPr>
        <w:ind w:firstLine="439" w:firstLineChars="183"/>
        <w:rPr>
          <w:rFonts w:cs="Times New Roman"/>
          <w:color w:val="auto"/>
          <w:kern w:val="0"/>
          <w:szCs w:val="20"/>
          <w:lang w:val="zh-CN"/>
        </w:rPr>
      </w:pPr>
      <w:r>
        <w:rPr>
          <w:rFonts w:cs="Times New Roman"/>
          <w:color w:val="auto"/>
          <w:kern w:val="0"/>
          <w:szCs w:val="20"/>
          <w:lang w:val="zh-CN"/>
        </w:rPr>
        <w:t>1、严格执行GB12523-90《建筑施工场界噪声限值》中的规定。加强管理和调度，提高工效，午间和夜间应避免或禁止施工。</w:t>
      </w:r>
    </w:p>
    <w:p>
      <w:pPr>
        <w:ind w:firstLine="439" w:firstLineChars="183"/>
        <w:rPr>
          <w:rFonts w:cs="Times New Roman"/>
          <w:color w:val="auto"/>
          <w:kern w:val="0"/>
          <w:szCs w:val="20"/>
          <w:lang w:val="zh-CN"/>
        </w:rPr>
      </w:pPr>
      <w:r>
        <w:rPr>
          <w:rFonts w:cs="Times New Roman"/>
          <w:color w:val="auto"/>
          <w:kern w:val="0"/>
          <w:szCs w:val="20"/>
          <w:lang w:val="zh-CN"/>
        </w:rPr>
        <w:t>2、尽可能集中产生较大噪声的机械进行突击作业，优化施工时间，以便缩短施工噪声的污染时间，缩小施工噪声的影响范围。</w:t>
      </w:r>
    </w:p>
    <w:p>
      <w:pPr>
        <w:ind w:firstLine="439" w:firstLineChars="183"/>
        <w:rPr>
          <w:rFonts w:cs="Times New Roman"/>
          <w:color w:val="auto"/>
          <w:kern w:val="0"/>
          <w:szCs w:val="20"/>
          <w:lang w:val="zh-CN"/>
        </w:rPr>
      </w:pPr>
      <w:r>
        <w:rPr>
          <w:rFonts w:cs="Times New Roman"/>
          <w:color w:val="auto"/>
          <w:kern w:val="0"/>
          <w:szCs w:val="20"/>
          <w:lang w:val="zh-CN"/>
        </w:rPr>
        <w:t>3、选用低噪声设备，同时加强设备的维护和保养，对振动大的设备采用减振基座。</w:t>
      </w:r>
    </w:p>
    <w:p>
      <w:pPr>
        <w:ind w:firstLine="439" w:firstLineChars="183"/>
        <w:rPr>
          <w:rFonts w:cs="Times New Roman"/>
          <w:color w:val="auto"/>
          <w:kern w:val="0"/>
          <w:szCs w:val="20"/>
          <w:lang w:val="zh-CN"/>
        </w:rPr>
      </w:pPr>
      <w:r>
        <w:rPr>
          <w:rFonts w:cs="Times New Roman"/>
          <w:color w:val="auto"/>
          <w:kern w:val="0"/>
          <w:szCs w:val="20"/>
          <w:lang w:val="zh-CN"/>
        </w:rPr>
        <w:t>4、运输车辆在居民区应适当减速，禁止使用高音喇叭。</w:t>
      </w:r>
    </w:p>
    <w:p>
      <w:pPr>
        <w:pStyle w:val="116"/>
        <w:rPr>
          <w:color w:val="auto"/>
        </w:rPr>
      </w:pPr>
      <w:bookmarkStart w:id="333" w:name="_Toc465796253"/>
      <w:bookmarkStart w:id="334" w:name="_Toc322263592"/>
      <w:r>
        <w:rPr>
          <w:color w:val="auto"/>
        </w:rPr>
        <w:t>防止施工造成交通堵塞的措施</w:t>
      </w:r>
      <w:bookmarkEnd w:id="333"/>
      <w:bookmarkEnd w:id="334"/>
    </w:p>
    <w:p>
      <w:pPr>
        <w:ind w:firstLine="439" w:firstLineChars="183"/>
        <w:rPr>
          <w:rFonts w:cs="Times New Roman"/>
          <w:color w:val="auto"/>
          <w:kern w:val="0"/>
          <w:szCs w:val="20"/>
          <w:lang w:val="zh-CN"/>
        </w:rPr>
      </w:pPr>
      <w:r>
        <w:rPr>
          <w:rFonts w:cs="Times New Roman"/>
          <w:color w:val="auto"/>
          <w:kern w:val="0"/>
          <w:szCs w:val="20"/>
          <w:lang w:val="zh-CN"/>
        </w:rPr>
        <w:t>在穿过交通干线的施工，应周密计划，抓紧施工，并设置临时行车路线，设专人疏导交通，防止车辆阻塞，同时减轻施工期交通噪声污染加重的程度。</w:t>
      </w:r>
    </w:p>
    <w:p>
      <w:pPr>
        <w:ind w:firstLine="439" w:firstLineChars="183"/>
        <w:rPr>
          <w:rFonts w:cs="Times New Roman"/>
          <w:color w:val="auto"/>
          <w:kern w:val="0"/>
          <w:szCs w:val="20"/>
          <w:lang w:val="zh-CN"/>
        </w:rPr>
      </w:pPr>
      <w:r>
        <w:rPr>
          <w:rFonts w:cs="Times New Roman"/>
          <w:color w:val="auto"/>
          <w:kern w:val="0"/>
          <w:szCs w:val="20"/>
          <w:lang w:val="zh-CN"/>
        </w:rPr>
        <w:t>加强施工期的管理、计划和调度、分片、分段施工，提高工效，尽量缩短施工周期，及时覆土回填和复原道路，以减少施工作业对交通阻塞的影响范围和时段。</w:t>
      </w:r>
    </w:p>
    <w:p>
      <w:pPr>
        <w:pStyle w:val="116"/>
        <w:rPr>
          <w:color w:val="auto"/>
        </w:rPr>
      </w:pPr>
      <w:bookmarkStart w:id="335" w:name="_Toc465796254"/>
      <w:bookmarkStart w:id="336" w:name="_Toc322263593"/>
      <w:r>
        <w:rPr>
          <w:color w:val="auto"/>
        </w:rPr>
        <w:t>景观破坏控制对策</w:t>
      </w:r>
      <w:bookmarkEnd w:id="335"/>
      <w:bookmarkEnd w:id="336"/>
    </w:p>
    <w:p>
      <w:pPr>
        <w:ind w:firstLine="439" w:firstLineChars="183"/>
        <w:rPr>
          <w:rFonts w:cs="Times New Roman"/>
          <w:color w:val="auto"/>
          <w:kern w:val="0"/>
          <w:szCs w:val="20"/>
          <w:lang w:val="zh-CN"/>
        </w:rPr>
      </w:pPr>
      <w:r>
        <w:rPr>
          <w:rFonts w:cs="Times New Roman"/>
          <w:color w:val="auto"/>
          <w:kern w:val="0"/>
          <w:szCs w:val="20"/>
          <w:lang w:val="zh-CN"/>
        </w:rPr>
        <w:t>给施工挖出的土石方选择合适的地点，合理堆置，最好能直接利用。</w:t>
      </w:r>
    </w:p>
    <w:p>
      <w:pPr>
        <w:ind w:firstLine="439" w:firstLineChars="183"/>
        <w:rPr>
          <w:rFonts w:cs="Times New Roman"/>
          <w:color w:val="auto"/>
          <w:kern w:val="0"/>
          <w:szCs w:val="20"/>
          <w:lang w:val="zh-CN"/>
        </w:rPr>
      </w:pPr>
      <w:r>
        <w:rPr>
          <w:rFonts w:cs="Times New Roman"/>
          <w:color w:val="auto"/>
          <w:kern w:val="0"/>
          <w:szCs w:val="20"/>
          <w:lang w:val="zh-CN"/>
        </w:rPr>
        <w:t>出入施工现场的车辆，需对轮胎进行清洗，避免泥土带入镇区街道，影响镇区环境。</w:t>
      </w:r>
    </w:p>
    <w:p>
      <w:pPr>
        <w:pStyle w:val="116"/>
        <w:rPr>
          <w:color w:val="auto"/>
        </w:rPr>
      </w:pPr>
      <w:bookmarkStart w:id="337" w:name="_Toc322263594"/>
      <w:bookmarkStart w:id="338" w:name="_Toc465796255"/>
      <w:r>
        <w:rPr>
          <w:color w:val="auto"/>
        </w:rPr>
        <w:t>人群身体健康保障措施</w:t>
      </w:r>
      <w:bookmarkEnd w:id="337"/>
      <w:bookmarkEnd w:id="338"/>
    </w:p>
    <w:p>
      <w:pPr>
        <w:ind w:firstLine="439" w:firstLineChars="183"/>
        <w:rPr>
          <w:rFonts w:cs="Times New Roman"/>
          <w:color w:val="auto"/>
          <w:kern w:val="0"/>
          <w:szCs w:val="20"/>
          <w:lang w:val="zh-CN"/>
        </w:rPr>
      </w:pPr>
      <w:r>
        <w:rPr>
          <w:rFonts w:cs="Times New Roman"/>
          <w:color w:val="auto"/>
          <w:kern w:val="0"/>
          <w:szCs w:val="20"/>
          <w:lang w:val="zh-CN"/>
        </w:rPr>
        <w:t>1、对施工人员产生的生活污水和粪便进行消毒和简易沉淀处理，避免传染病的发生和传播，减少其对附近河流及地下水水质的影响。</w:t>
      </w:r>
    </w:p>
    <w:p>
      <w:pPr>
        <w:ind w:firstLine="439" w:firstLineChars="183"/>
        <w:rPr>
          <w:rFonts w:cs="Times New Roman"/>
          <w:color w:val="auto"/>
          <w:kern w:val="0"/>
          <w:szCs w:val="20"/>
          <w:lang w:val="zh-CN"/>
        </w:rPr>
      </w:pPr>
      <w:r>
        <w:rPr>
          <w:rFonts w:cs="Times New Roman"/>
          <w:color w:val="auto"/>
          <w:kern w:val="0"/>
          <w:szCs w:val="20"/>
          <w:lang w:val="zh-CN"/>
        </w:rPr>
        <w:t>2、对施工产生的洼湿地经常进行平整，做好杀虫灭蚊等的环境卫生工作，实行个人劳动保护，尽量避免夜间施工。</w:t>
      </w:r>
    </w:p>
    <w:p>
      <w:pPr>
        <w:ind w:firstLine="439" w:firstLineChars="183"/>
        <w:rPr>
          <w:rFonts w:cs="Times New Roman"/>
          <w:color w:val="auto"/>
          <w:kern w:val="0"/>
          <w:szCs w:val="20"/>
          <w:lang w:val="zh-CN"/>
        </w:rPr>
      </w:pPr>
      <w:r>
        <w:rPr>
          <w:rFonts w:cs="Times New Roman"/>
          <w:color w:val="auto"/>
          <w:kern w:val="0"/>
          <w:szCs w:val="20"/>
          <w:lang w:val="zh-CN"/>
        </w:rPr>
        <w:t>3、在施工中注意环境保护，如土石方开挖采用湿作业，拌和系统、破碎系统等配套防尘设施，施工场地、道路经常洒水等。</w:t>
      </w:r>
    </w:p>
    <w:p>
      <w:pPr>
        <w:ind w:firstLine="439" w:firstLineChars="183"/>
        <w:rPr>
          <w:rFonts w:cs="Times New Roman"/>
          <w:color w:val="auto"/>
          <w:kern w:val="0"/>
          <w:szCs w:val="20"/>
          <w:lang w:val="zh-CN"/>
        </w:rPr>
      </w:pPr>
      <w:r>
        <w:rPr>
          <w:rFonts w:cs="Times New Roman"/>
          <w:color w:val="auto"/>
          <w:kern w:val="0"/>
          <w:szCs w:val="20"/>
          <w:lang w:val="zh-CN"/>
        </w:rPr>
        <w:t>4、高噪声工段工人采用带耳塞来降低噪声危害。</w:t>
      </w:r>
    </w:p>
    <w:p>
      <w:pPr>
        <w:ind w:firstLine="439" w:firstLineChars="183"/>
        <w:rPr>
          <w:rFonts w:cs="Times New Roman"/>
          <w:color w:val="auto"/>
          <w:kern w:val="0"/>
          <w:szCs w:val="20"/>
          <w:lang w:val="zh-CN"/>
        </w:rPr>
      </w:pPr>
      <w:r>
        <w:rPr>
          <w:rFonts w:cs="Times New Roman"/>
          <w:color w:val="auto"/>
          <w:kern w:val="0"/>
          <w:szCs w:val="20"/>
          <w:lang w:val="zh-CN"/>
        </w:rPr>
        <w:t>5、聘请当地的卫生防疫部门对施工区进行疾病监测和防治，以保证施工人员和当地居民的健康。</w:t>
      </w:r>
    </w:p>
    <w:bookmarkEnd w:id="308"/>
    <w:bookmarkEnd w:id="309"/>
    <w:p>
      <w:pPr>
        <w:pStyle w:val="4"/>
      </w:pPr>
      <w:bookmarkStart w:id="339" w:name="_Toc36126985"/>
      <w:bookmarkStart w:id="340" w:name="_Toc48640792"/>
      <w:r>
        <w:t>劳动安全卫生</w:t>
      </w:r>
      <w:bookmarkEnd w:id="339"/>
      <w:bookmarkEnd w:id="340"/>
    </w:p>
    <w:p>
      <w:pPr>
        <w:pStyle w:val="5"/>
        <w:rPr>
          <w:lang w:val="zh-CN"/>
        </w:rPr>
      </w:pPr>
      <w:bookmarkStart w:id="341" w:name="_Toc36126986"/>
      <w:bookmarkStart w:id="342" w:name="_Toc48640793"/>
      <w:r>
        <w:rPr>
          <w:rFonts w:hint="eastAsia"/>
          <w:lang w:val="zh-CN"/>
        </w:rPr>
        <w:t>劳动安全</w:t>
      </w:r>
      <w:bookmarkEnd w:id="341"/>
      <w:bookmarkEnd w:id="342"/>
    </w:p>
    <w:p>
      <w:pPr>
        <w:ind w:firstLine="480"/>
        <w:rPr>
          <w:rFonts w:cs="Times New Roman"/>
          <w:color w:val="auto"/>
          <w:kern w:val="0"/>
        </w:rPr>
      </w:pPr>
      <w:r>
        <w:rPr>
          <w:rFonts w:cs="Times New Roman"/>
          <w:color w:val="auto"/>
          <w:kern w:val="0"/>
        </w:rPr>
        <w:t>安全生产是项目建设及运营期间各项工作能够顺利进行的保证，也是项目实施的重要前提。污水处理站设计需采取以下措施，以确保处理站的安全生产和运行管理人员的劳动保护。</w:t>
      </w:r>
    </w:p>
    <w:p>
      <w:pPr>
        <w:ind w:firstLine="480"/>
        <w:rPr>
          <w:rFonts w:cs="Times New Roman"/>
          <w:color w:val="auto"/>
          <w:kern w:val="0"/>
        </w:rPr>
      </w:pPr>
      <w:r>
        <w:rPr>
          <w:rFonts w:cs="Times New Roman"/>
          <w:color w:val="auto"/>
          <w:kern w:val="0"/>
        </w:rPr>
        <w:t>（1）各生产构筑物均设便于操作和行走的操作平台和走道板及安全护栏、扶手；</w:t>
      </w:r>
    </w:p>
    <w:p>
      <w:pPr>
        <w:ind w:firstLine="480"/>
        <w:rPr>
          <w:rFonts w:cs="Times New Roman"/>
          <w:color w:val="auto"/>
          <w:kern w:val="0"/>
        </w:rPr>
      </w:pPr>
      <w:r>
        <w:rPr>
          <w:rFonts w:cs="Times New Roman"/>
          <w:color w:val="auto"/>
          <w:kern w:val="0"/>
        </w:rPr>
        <w:t>（2）各种用电设备均按国家的有关标准作好接零接地保护；</w:t>
      </w:r>
    </w:p>
    <w:p>
      <w:pPr>
        <w:ind w:firstLine="480"/>
        <w:rPr>
          <w:rFonts w:cs="Times New Roman"/>
          <w:color w:val="auto"/>
          <w:kern w:val="0"/>
        </w:rPr>
      </w:pPr>
      <w:r>
        <w:rPr>
          <w:rFonts w:cs="Times New Roman"/>
          <w:color w:val="auto"/>
          <w:kern w:val="0"/>
        </w:rPr>
        <w:t>（3）电气及机械设备和布置注意留足够的安全操作距离及空间；</w:t>
      </w:r>
    </w:p>
    <w:p>
      <w:pPr>
        <w:ind w:firstLine="480"/>
        <w:rPr>
          <w:rFonts w:cs="Times New Roman"/>
          <w:color w:val="auto"/>
          <w:kern w:val="0"/>
        </w:rPr>
      </w:pPr>
      <w:r>
        <w:rPr>
          <w:rFonts w:cs="Times New Roman"/>
          <w:color w:val="auto"/>
          <w:kern w:val="0"/>
        </w:rPr>
        <w:t>（4）污水处理站工艺设计中充分考虑了生产运行过程的灵活调整，并在总图中设超越、溢流等管道，防止设备失灵时造成危险，使事故造成的影响减至最小；</w:t>
      </w:r>
    </w:p>
    <w:p>
      <w:pPr>
        <w:ind w:firstLine="480"/>
        <w:rPr>
          <w:rFonts w:cs="Times New Roman"/>
          <w:color w:val="auto"/>
          <w:kern w:val="0"/>
        </w:rPr>
      </w:pPr>
      <w:r>
        <w:rPr>
          <w:rFonts w:cs="Times New Roman"/>
          <w:color w:val="auto"/>
          <w:kern w:val="0"/>
        </w:rPr>
        <w:t>（5）污水处理站在运行前制定相应的安全规程，操作人员上岗前进行必要的专业技术培训，以确保污水站正常运转；</w:t>
      </w:r>
    </w:p>
    <w:p>
      <w:pPr>
        <w:ind w:firstLine="480"/>
        <w:rPr>
          <w:rFonts w:cs="Times New Roman"/>
          <w:color w:val="auto"/>
          <w:kern w:val="0"/>
        </w:rPr>
      </w:pPr>
      <w:r>
        <w:rPr>
          <w:rFonts w:cs="Times New Roman"/>
          <w:color w:val="auto"/>
          <w:kern w:val="0"/>
        </w:rPr>
        <w:t>（6）污水处理站水池栏杆设置必要的防落水救生设施。工作人员配备救生衣，并保证两人或两人以上同时作业；</w:t>
      </w:r>
    </w:p>
    <w:p>
      <w:pPr>
        <w:ind w:firstLine="480"/>
        <w:rPr>
          <w:rFonts w:cs="Times New Roman"/>
          <w:color w:val="auto"/>
          <w:kern w:val="0"/>
        </w:rPr>
      </w:pPr>
      <w:r>
        <w:rPr>
          <w:rFonts w:cs="Times New Roman"/>
          <w:color w:val="auto"/>
          <w:kern w:val="0"/>
        </w:rPr>
        <w:t>（7）一定程度的自动控制，降低劳动强度，尽量避免直接接触污水及有毒有害液体和气体；</w:t>
      </w:r>
    </w:p>
    <w:p>
      <w:pPr>
        <w:ind w:firstLine="480"/>
        <w:rPr>
          <w:rFonts w:cs="Times New Roman"/>
          <w:color w:val="auto"/>
          <w:kern w:val="0"/>
        </w:rPr>
      </w:pPr>
      <w:r>
        <w:rPr>
          <w:rFonts w:cs="Times New Roman"/>
          <w:color w:val="auto"/>
          <w:kern w:val="0"/>
        </w:rPr>
        <w:t>（8）采用空调器、太阳能热水器等作为生活采暖、沐浴设备，而不采用燃煤锅炉，确保使用安全、卫生、可靠，而且不会产生烟尘污染。</w:t>
      </w:r>
    </w:p>
    <w:p>
      <w:pPr>
        <w:ind w:firstLine="480"/>
        <w:rPr>
          <w:rFonts w:cs="Times New Roman"/>
          <w:color w:val="auto"/>
          <w:kern w:val="0"/>
        </w:rPr>
      </w:pPr>
      <w:r>
        <w:rPr>
          <w:rFonts w:cs="Times New Roman"/>
          <w:color w:val="auto"/>
          <w:kern w:val="0"/>
        </w:rPr>
        <w:t>9.2.1 职业危害分析</w:t>
      </w:r>
    </w:p>
    <w:p>
      <w:pPr>
        <w:ind w:firstLine="480"/>
        <w:rPr>
          <w:rFonts w:cs="Times New Roman"/>
          <w:color w:val="auto"/>
          <w:kern w:val="0"/>
        </w:rPr>
      </w:pPr>
      <w:r>
        <w:rPr>
          <w:rFonts w:cs="Times New Roman"/>
          <w:color w:val="auto"/>
          <w:kern w:val="0"/>
        </w:rPr>
        <w:t>本项目在建设和生产过程中存在机器伤害、电气事故、火灾、粉尘、噪音污染等不安全因素以及地震等自然灾害。站区在生产过程中必然使用化学药品，如不采取措施，将会对人身安全造成一定危险。</w:t>
      </w:r>
    </w:p>
    <w:p>
      <w:pPr>
        <w:pStyle w:val="5"/>
      </w:pPr>
      <w:bookmarkStart w:id="343" w:name="_Toc36126987"/>
      <w:bookmarkStart w:id="344" w:name="_Toc48640794"/>
      <w:r>
        <w:t>职业危害防护</w:t>
      </w:r>
      <w:bookmarkEnd w:id="343"/>
      <w:bookmarkEnd w:id="344"/>
    </w:p>
    <w:p>
      <w:pPr>
        <w:ind w:firstLine="480"/>
        <w:rPr>
          <w:rFonts w:cs="Times New Roman"/>
          <w:color w:val="auto"/>
          <w:kern w:val="0"/>
        </w:rPr>
      </w:pPr>
      <w:r>
        <w:rPr>
          <w:rFonts w:cs="Times New Roman"/>
          <w:color w:val="auto"/>
          <w:kern w:val="0"/>
        </w:rPr>
        <w:t>为贯彻“安全第一，预防为主”的安全生产方针，保障相关人员的安全和健康，设计及运行管理严格遵循劳动安全卫生相关规定。</w:t>
      </w:r>
    </w:p>
    <w:p>
      <w:pPr>
        <w:ind w:firstLine="480"/>
        <w:rPr>
          <w:rFonts w:cs="Times New Roman"/>
          <w:color w:val="auto"/>
          <w:kern w:val="0"/>
        </w:rPr>
      </w:pPr>
      <w:r>
        <w:rPr>
          <w:rFonts w:cs="Times New Roman"/>
          <w:color w:val="auto"/>
          <w:kern w:val="0"/>
        </w:rPr>
        <w:t>（1）设计及施工工艺和设备选择中的职业危害卫生防护措施</w:t>
      </w:r>
    </w:p>
    <w:p>
      <w:pPr>
        <w:ind w:firstLine="480"/>
        <w:rPr>
          <w:rFonts w:cs="Times New Roman"/>
          <w:color w:val="auto"/>
          <w:kern w:val="0"/>
        </w:rPr>
      </w:pPr>
      <w:r>
        <w:rPr>
          <w:rFonts w:cs="Times New Roman"/>
          <w:color w:val="auto"/>
          <w:kern w:val="0"/>
        </w:rPr>
        <w:t>a.设计严格执行各种设计规范和标准，认真设计，严格把关，满足相关规范、条例要求；</w:t>
      </w:r>
    </w:p>
    <w:p>
      <w:pPr>
        <w:ind w:firstLine="480"/>
        <w:rPr>
          <w:rFonts w:cs="Times New Roman"/>
          <w:color w:val="auto"/>
          <w:kern w:val="0"/>
        </w:rPr>
      </w:pPr>
      <w:r>
        <w:rPr>
          <w:rFonts w:cs="Times New Roman"/>
          <w:color w:val="auto"/>
          <w:kern w:val="0"/>
        </w:rPr>
        <w:t>b.电力设计严格按照规范选用合适的电气设备。对于因突然停电会引起火灾、爆炸危险的设备要备有双电源供电。对于可能由于静电原因引起的火灾、爆炸的设备，要采取静电接地措施。建（构）筑物屋面采用避雷网或避雷针，防止雷击或感应雷击。项目中的各种供配电设施、装置、电气装置的保护接地以及构筑物的防雷接地，项目的消防系统等设计，严格按有关标准规范执行；</w:t>
      </w:r>
    </w:p>
    <w:p>
      <w:pPr>
        <w:ind w:firstLine="480"/>
        <w:rPr>
          <w:rFonts w:cs="Times New Roman"/>
          <w:color w:val="auto"/>
          <w:kern w:val="0"/>
        </w:rPr>
      </w:pPr>
      <w:r>
        <w:rPr>
          <w:rFonts w:cs="Times New Roman"/>
          <w:color w:val="auto"/>
          <w:kern w:val="0"/>
        </w:rPr>
        <w:t>c.部分工艺设备和管道上设置必要的安全阀、止回阀等；</w:t>
      </w:r>
    </w:p>
    <w:p>
      <w:pPr>
        <w:ind w:firstLine="480"/>
        <w:rPr>
          <w:rFonts w:cs="Times New Roman"/>
          <w:color w:val="auto"/>
          <w:kern w:val="0"/>
        </w:rPr>
      </w:pPr>
      <w:r>
        <w:rPr>
          <w:rFonts w:cs="Times New Roman"/>
          <w:color w:val="auto"/>
          <w:kern w:val="0"/>
        </w:rPr>
        <w:t>d.所选择的施工工艺和设备必须符合国家相关要求。</w:t>
      </w:r>
    </w:p>
    <w:p>
      <w:pPr>
        <w:ind w:firstLine="480"/>
        <w:rPr>
          <w:rFonts w:cs="Times New Roman"/>
          <w:color w:val="auto"/>
          <w:kern w:val="0"/>
        </w:rPr>
      </w:pPr>
      <w:r>
        <w:rPr>
          <w:rFonts w:cs="Times New Roman"/>
          <w:color w:val="auto"/>
          <w:kern w:val="0"/>
        </w:rPr>
        <w:t>（2）项目总体布局中的职业危害防护措施</w:t>
      </w:r>
    </w:p>
    <w:p>
      <w:pPr>
        <w:ind w:firstLine="480"/>
        <w:rPr>
          <w:rFonts w:cs="Times New Roman"/>
          <w:color w:val="auto"/>
          <w:kern w:val="0"/>
        </w:rPr>
      </w:pPr>
      <w:r>
        <w:rPr>
          <w:rFonts w:cs="Times New Roman"/>
          <w:color w:val="auto"/>
          <w:kern w:val="0"/>
        </w:rPr>
        <w:t>a.总平面布置遵循设计规范要求，功能分区明确，布置集中紧凑的原则；</w:t>
      </w:r>
    </w:p>
    <w:p>
      <w:pPr>
        <w:ind w:firstLine="480"/>
        <w:rPr>
          <w:rFonts w:cs="Times New Roman"/>
          <w:color w:val="auto"/>
          <w:kern w:val="0"/>
        </w:rPr>
      </w:pPr>
      <w:r>
        <w:rPr>
          <w:rFonts w:cs="Times New Roman"/>
          <w:color w:val="auto"/>
          <w:kern w:val="0"/>
        </w:rPr>
        <w:t>b.总平面功能分区、建（构）筑物之间的防火间距及道路设置均满足有关规范要求；</w:t>
      </w:r>
    </w:p>
    <w:p>
      <w:pPr>
        <w:ind w:firstLine="480"/>
        <w:rPr>
          <w:rFonts w:cs="Times New Roman"/>
          <w:color w:val="auto"/>
          <w:kern w:val="0"/>
        </w:rPr>
      </w:pPr>
      <w:r>
        <w:rPr>
          <w:rFonts w:cs="Times New Roman"/>
          <w:color w:val="auto"/>
          <w:kern w:val="0"/>
        </w:rPr>
        <w:t>c.建筑物在满足各种需要的前提下，做到结构设计安全可靠、符合防火、抗震的要求；</w:t>
      </w:r>
    </w:p>
    <w:p>
      <w:pPr>
        <w:ind w:firstLine="480"/>
        <w:rPr>
          <w:rFonts w:cs="Times New Roman"/>
          <w:color w:val="auto"/>
          <w:kern w:val="0"/>
        </w:rPr>
      </w:pPr>
      <w:r>
        <w:rPr>
          <w:rFonts w:cs="Times New Roman"/>
          <w:color w:val="auto"/>
          <w:kern w:val="0"/>
        </w:rPr>
        <w:t>d.从建筑或安装工程整体考虑。土建工程首先考虑施工期内对周围道路，行人及邻近居民、设施的影响，采取相应的防护措施（全封闭防护或部分封闭防护）；平面布置应考虑施工区与生活区分隔，应考虑到施工排水，安全通道，以及高处作业对下部和地面人员的影响；临时用电线路的整体布置、架设方法；安装工程中的设备、构配件吊运，起重设备的选择和确定，起重半径以外安全防护范围等。复杂的吊装工程还应考虑视角、信号、步骤等细节。</w:t>
      </w:r>
    </w:p>
    <w:p>
      <w:pPr>
        <w:ind w:firstLine="480"/>
        <w:rPr>
          <w:rFonts w:cs="Times New Roman"/>
          <w:color w:val="auto"/>
          <w:kern w:val="0"/>
        </w:rPr>
      </w:pPr>
      <w:r>
        <w:rPr>
          <w:rFonts w:cs="Times New Roman"/>
          <w:color w:val="auto"/>
          <w:kern w:val="0"/>
        </w:rPr>
        <w:t>（3）施工过程中的职业危害防治</w:t>
      </w:r>
    </w:p>
    <w:p>
      <w:pPr>
        <w:ind w:firstLine="480"/>
        <w:rPr>
          <w:rFonts w:cs="Times New Roman"/>
          <w:color w:val="auto"/>
          <w:kern w:val="0"/>
        </w:rPr>
      </w:pPr>
      <w:r>
        <w:rPr>
          <w:rFonts w:cs="Times New Roman"/>
          <w:color w:val="auto"/>
          <w:kern w:val="0"/>
        </w:rPr>
        <w:t>a.施工过程中，操作人员应严格按操作规程生产操作，严格执行操作纪律和劳动纪律，建立健全安全管理规章制度和安全检查制度；</w:t>
      </w:r>
    </w:p>
    <w:p>
      <w:pPr>
        <w:ind w:firstLine="480"/>
        <w:rPr>
          <w:rFonts w:cs="Times New Roman"/>
          <w:color w:val="auto"/>
          <w:kern w:val="0"/>
        </w:rPr>
      </w:pPr>
      <w:r>
        <w:rPr>
          <w:rFonts w:cs="Times New Roman"/>
          <w:color w:val="auto"/>
          <w:kern w:val="0"/>
        </w:rPr>
        <w:t>b.对施工机械应注意严格管理，施工材料注意妥善存放；</w:t>
      </w:r>
    </w:p>
    <w:p>
      <w:pPr>
        <w:ind w:firstLine="480"/>
        <w:rPr>
          <w:rFonts w:cs="Times New Roman"/>
          <w:color w:val="auto"/>
          <w:kern w:val="0"/>
        </w:rPr>
      </w:pPr>
      <w:r>
        <w:rPr>
          <w:rFonts w:cs="Times New Roman"/>
          <w:color w:val="auto"/>
          <w:kern w:val="0"/>
        </w:rPr>
        <w:t>c.制定特殊危险事件及突发事件的应急机制；</w:t>
      </w:r>
    </w:p>
    <w:p>
      <w:pPr>
        <w:ind w:firstLine="480"/>
        <w:rPr>
          <w:rFonts w:cs="Times New Roman"/>
          <w:color w:val="auto"/>
          <w:kern w:val="0"/>
        </w:rPr>
      </w:pPr>
      <w:r>
        <w:rPr>
          <w:rFonts w:cs="Times New Roman"/>
          <w:color w:val="auto"/>
          <w:kern w:val="0"/>
        </w:rPr>
        <w:t>d.室外管线工程和道路工程施工时，应设置标志，避免事故；</w:t>
      </w:r>
    </w:p>
    <w:p>
      <w:pPr>
        <w:ind w:firstLine="480"/>
        <w:rPr>
          <w:rFonts w:cs="Times New Roman"/>
          <w:color w:val="auto"/>
          <w:kern w:val="0"/>
        </w:rPr>
      </w:pPr>
      <w:r>
        <w:rPr>
          <w:rFonts w:cs="Times New Roman"/>
          <w:color w:val="auto"/>
          <w:kern w:val="0"/>
        </w:rPr>
        <w:t>e.做好施工安全管理和人员安全教育培训工作，对可能发生的事故因素提高警惕；</w:t>
      </w:r>
    </w:p>
    <w:p>
      <w:pPr>
        <w:ind w:firstLine="480"/>
        <w:rPr>
          <w:rFonts w:cs="Times New Roman"/>
          <w:color w:val="auto"/>
          <w:kern w:val="0"/>
        </w:rPr>
      </w:pPr>
      <w:r>
        <w:rPr>
          <w:rFonts w:cs="Times New Roman"/>
          <w:color w:val="auto"/>
          <w:kern w:val="0"/>
        </w:rPr>
        <w:t>f.根据建设部《建筑施工安全检查标准》（JGJ 59-1999）的规定：在工程施工期间内，施工现场都能做到地坪硬化、场区绿化、五小设施（办公室、宿舍、食堂、厕所、浴室）卫生化、材料堆放标准化等文明施工的标准。</w:t>
      </w:r>
    </w:p>
    <w:p>
      <w:pPr>
        <w:ind w:firstLine="480"/>
        <w:rPr>
          <w:rFonts w:cs="Times New Roman"/>
          <w:color w:val="auto"/>
          <w:kern w:val="0"/>
        </w:rPr>
      </w:pPr>
      <w:r>
        <w:rPr>
          <w:rFonts w:cs="Times New Roman"/>
          <w:color w:val="auto"/>
          <w:kern w:val="0"/>
        </w:rPr>
        <w:t>（4）工程使用过程中的职业危害防护措施</w:t>
      </w:r>
    </w:p>
    <w:p>
      <w:pPr>
        <w:ind w:firstLine="480"/>
        <w:rPr>
          <w:rFonts w:cs="Times New Roman"/>
          <w:color w:val="auto"/>
          <w:kern w:val="0"/>
        </w:rPr>
      </w:pPr>
      <w:r>
        <w:rPr>
          <w:rFonts w:cs="Times New Roman"/>
          <w:color w:val="auto"/>
          <w:kern w:val="0"/>
        </w:rPr>
        <w:t>a.建设工程投入使用后，应建立完善的用电安全管理、消防管理制度、卫生检查和保障制度，专人负责，并严格遵守有关的设备设施操作、使用规定；</w:t>
      </w:r>
    </w:p>
    <w:p>
      <w:pPr>
        <w:ind w:firstLine="480"/>
        <w:rPr>
          <w:rFonts w:cs="Times New Roman"/>
          <w:color w:val="auto"/>
          <w:kern w:val="0"/>
        </w:rPr>
      </w:pPr>
      <w:r>
        <w:rPr>
          <w:rFonts w:cs="Times New Roman"/>
          <w:color w:val="auto"/>
          <w:kern w:val="0"/>
        </w:rPr>
        <w:t>b.经常检查和保持消防系统和器材的完好性，确保消防设施的可靠有效；</w:t>
      </w:r>
    </w:p>
    <w:p>
      <w:pPr>
        <w:ind w:firstLine="480"/>
        <w:rPr>
          <w:rFonts w:cs="Times New Roman"/>
          <w:color w:val="auto"/>
          <w:kern w:val="0"/>
        </w:rPr>
      </w:pPr>
      <w:r>
        <w:rPr>
          <w:rFonts w:cs="Times New Roman"/>
          <w:color w:val="auto"/>
          <w:kern w:val="0"/>
        </w:rPr>
        <w:t>c.防电击。凡在用电设备金属外壳均设置接地保护，变压器安装处隔绝外人进入，并设警示牌，配置用电保护瓶，闸刀装设距地坪1.5m 以上，避免裸闸、裸线现象。</w:t>
      </w:r>
    </w:p>
    <w:p>
      <w:pPr>
        <w:pStyle w:val="5"/>
      </w:pPr>
      <w:bookmarkStart w:id="345" w:name="_Toc48640795"/>
      <w:bookmarkStart w:id="346" w:name="_Toc36126988"/>
      <w:r>
        <w:t>劳动安全卫生措施</w:t>
      </w:r>
      <w:bookmarkEnd w:id="345"/>
      <w:bookmarkEnd w:id="346"/>
    </w:p>
    <w:p>
      <w:pPr>
        <w:ind w:firstLine="480"/>
        <w:rPr>
          <w:rFonts w:cs="Times New Roman"/>
          <w:color w:val="auto"/>
          <w:kern w:val="0"/>
        </w:rPr>
      </w:pPr>
      <w:r>
        <w:rPr>
          <w:rFonts w:cs="Times New Roman"/>
          <w:color w:val="auto"/>
          <w:kern w:val="0"/>
        </w:rPr>
        <w:t>（1）对处理站进行必要的监督管理，按国家有关法规、规范、规程及标准对项目在规划、设计、施工、生产等方面进行全过程管理。确保项目投产符合职业安全卫生要求。</w:t>
      </w:r>
    </w:p>
    <w:p>
      <w:pPr>
        <w:ind w:firstLine="480"/>
        <w:rPr>
          <w:rFonts w:cs="Times New Roman"/>
          <w:color w:val="auto"/>
          <w:kern w:val="0"/>
        </w:rPr>
      </w:pPr>
      <w:r>
        <w:rPr>
          <w:rFonts w:cs="Times New Roman"/>
          <w:color w:val="auto"/>
          <w:kern w:val="0"/>
        </w:rPr>
        <w:t>（2）监督污水站结合工业卫生、防火防爆安全等方面进行全面的综合研究，选择毒害少，有利于安全生产的工艺技术路线。在危险部位和关键部位以及存放、输送易燃易爆物料的设备、管道上采用先进可靠的检测技术，设置连锁报警自控系统，确保设备安全运行。</w:t>
      </w:r>
    </w:p>
    <w:p>
      <w:pPr>
        <w:ind w:firstLine="480"/>
        <w:rPr>
          <w:rFonts w:cs="Times New Roman"/>
          <w:color w:val="auto"/>
          <w:kern w:val="0"/>
        </w:rPr>
      </w:pPr>
      <w:r>
        <w:rPr>
          <w:rFonts w:cs="Times New Roman"/>
          <w:color w:val="auto"/>
          <w:kern w:val="0"/>
        </w:rPr>
        <w:t>（3）站区投产之前必须制订安全生产管理制度，例如安全教育制度、安全作业证制度、安全检查制度等。</w:t>
      </w:r>
    </w:p>
    <w:p>
      <w:pPr>
        <w:ind w:firstLine="480"/>
        <w:rPr>
          <w:rFonts w:cs="Times New Roman"/>
          <w:color w:val="auto"/>
          <w:kern w:val="0"/>
        </w:rPr>
      </w:pPr>
      <w:r>
        <w:rPr>
          <w:rFonts w:cs="Times New Roman"/>
          <w:color w:val="auto"/>
          <w:kern w:val="0"/>
        </w:rPr>
        <w:t>（4）根据《工业企业设计卫生标准》等国家和行业的有关规定进行设计，创造良好的劳动卫生环境，保护人员身体健康。</w:t>
      </w:r>
    </w:p>
    <w:p>
      <w:pPr>
        <w:pStyle w:val="5"/>
      </w:pPr>
      <w:bookmarkStart w:id="347" w:name="_Toc36126989"/>
      <w:bookmarkStart w:id="348" w:name="_Toc48640796"/>
      <w:r>
        <w:t>突发事件及应急措施</w:t>
      </w:r>
      <w:bookmarkEnd w:id="347"/>
      <w:bookmarkEnd w:id="348"/>
    </w:p>
    <w:p>
      <w:pPr>
        <w:ind w:firstLine="480"/>
        <w:rPr>
          <w:rFonts w:cs="Times New Roman"/>
          <w:color w:val="auto"/>
          <w:kern w:val="0"/>
        </w:rPr>
      </w:pPr>
      <w:r>
        <w:rPr>
          <w:rFonts w:cs="Times New Roman"/>
          <w:color w:val="auto"/>
          <w:kern w:val="0"/>
        </w:rPr>
        <w:t>（1）突发事件</w:t>
      </w:r>
    </w:p>
    <w:p>
      <w:pPr>
        <w:ind w:firstLine="480"/>
        <w:rPr>
          <w:rFonts w:cs="Times New Roman"/>
          <w:color w:val="auto"/>
          <w:kern w:val="0"/>
        </w:rPr>
      </w:pPr>
      <w:r>
        <w:rPr>
          <w:rFonts w:cs="Times New Roman"/>
          <w:color w:val="auto"/>
          <w:kern w:val="0"/>
        </w:rPr>
        <w:t>污水处理站突发事件是指在污水处理的运行管理中，由于自然的原因或者是人为的原因，造成场内火灾，机械故障、污水处理系统故障及地质灾害等，引起环境的污染和人体健康受到威胁。由于这些突发性事故没有固定的发生时间、地点、排放方式和排放途径，在瞬间或者在短时间内排出大量的污染物质，对周边的环境造成了严重的污染和破坏。为了有效地控制和消除突发性污染事故的发生，减少损失，维护自然生态环境，保护人民身心健康及正常的生产生活。需要建立一套高效的指挥协调系统处理突发性事故。</w:t>
      </w:r>
    </w:p>
    <w:p>
      <w:pPr>
        <w:ind w:firstLine="480"/>
        <w:rPr>
          <w:rFonts w:cs="Times New Roman"/>
          <w:color w:val="auto"/>
          <w:kern w:val="0"/>
        </w:rPr>
      </w:pPr>
      <w:r>
        <w:rPr>
          <w:rFonts w:cs="Times New Roman"/>
          <w:color w:val="auto"/>
          <w:kern w:val="0"/>
        </w:rPr>
        <w:t>（2）突发事件应急措施</w:t>
      </w:r>
    </w:p>
    <w:p>
      <w:pPr>
        <w:ind w:firstLine="480"/>
        <w:rPr>
          <w:rFonts w:cs="Times New Roman"/>
          <w:color w:val="auto"/>
          <w:kern w:val="0"/>
        </w:rPr>
      </w:pPr>
      <w:r>
        <w:rPr>
          <w:rFonts w:cs="Times New Roman"/>
          <w:color w:val="auto"/>
          <w:kern w:val="0"/>
        </w:rPr>
        <w:t>污水超标排放时，当班人员发现后应立即向领导小组组长及夜班值班人员汇报，并在事故处理过程中随时保持与领导小组的联系。当班人员排查造成超标的原因，查明原因后按照以下几方面应付：</w:t>
      </w:r>
    </w:p>
    <w:p>
      <w:pPr>
        <w:ind w:firstLine="480"/>
        <w:rPr>
          <w:rFonts w:cs="Times New Roman"/>
          <w:color w:val="auto"/>
          <w:kern w:val="0"/>
        </w:rPr>
      </w:pPr>
      <w:r>
        <w:rPr>
          <w:rFonts w:cs="Times New Roman"/>
          <w:color w:val="auto"/>
          <w:kern w:val="0"/>
        </w:rPr>
        <w:t>①发现进水超标</w:t>
      </w:r>
    </w:p>
    <w:p>
      <w:pPr>
        <w:ind w:firstLine="480"/>
        <w:rPr>
          <w:rFonts w:cs="Times New Roman"/>
          <w:color w:val="auto"/>
          <w:kern w:val="0"/>
        </w:rPr>
      </w:pPr>
      <w:r>
        <w:rPr>
          <w:rFonts w:cs="Times New Roman"/>
          <w:color w:val="auto"/>
          <w:kern w:val="0"/>
        </w:rPr>
        <w:t>立即向领导汇报，通知生产计划科，管网所减少送水量；立即组织化验班组对进水水质，工艺运行参数，出水水质数据进行分析，根据化验数据对相关工艺流程进行及时调整。</w:t>
      </w:r>
    </w:p>
    <w:p>
      <w:pPr>
        <w:ind w:firstLine="480"/>
        <w:rPr>
          <w:rFonts w:cs="Times New Roman"/>
          <w:color w:val="auto"/>
          <w:kern w:val="0"/>
        </w:rPr>
      </w:pPr>
      <w:r>
        <w:rPr>
          <w:rFonts w:cs="Times New Roman"/>
          <w:color w:val="auto"/>
          <w:kern w:val="0"/>
        </w:rPr>
        <w:t>②突发暴雨</w:t>
      </w:r>
    </w:p>
    <w:p>
      <w:pPr>
        <w:ind w:firstLine="480"/>
        <w:rPr>
          <w:rFonts w:cs="Times New Roman"/>
          <w:color w:val="auto"/>
          <w:kern w:val="0"/>
        </w:rPr>
      </w:pPr>
      <w:r>
        <w:rPr>
          <w:rFonts w:cs="Times New Roman"/>
          <w:color w:val="auto"/>
          <w:kern w:val="0"/>
        </w:rPr>
        <w:t>根据天气预报，组织机修班预先对各设备进行检查，确保完好，组织力量对厂区雨水管线进行疏通，确保畅通；各岗位将门窗关紧，防止雨水流入，影响设备运行；值班人员及时检查避雷是否发挥作用；站抢修人员、车辆做到随叫随到，以处置突发事件的发生。</w:t>
      </w:r>
    </w:p>
    <w:p>
      <w:pPr>
        <w:ind w:firstLine="480"/>
        <w:rPr>
          <w:rFonts w:cs="Times New Roman"/>
          <w:color w:val="auto"/>
          <w:kern w:val="0"/>
        </w:rPr>
      </w:pPr>
      <w:r>
        <w:rPr>
          <w:rFonts w:cs="Times New Roman"/>
          <w:color w:val="auto"/>
          <w:kern w:val="0"/>
        </w:rPr>
        <w:t>③突然停电</w:t>
      </w:r>
    </w:p>
    <w:p>
      <w:pPr>
        <w:ind w:firstLine="480"/>
        <w:rPr>
          <w:rFonts w:cs="Times New Roman"/>
          <w:color w:val="auto"/>
          <w:kern w:val="0"/>
        </w:rPr>
      </w:pPr>
      <w:r>
        <w:rPr>
          <w:rFonts w:cs="Times New Roman"/>
          <w:color w:val="auto"/>
          <w:kern w:val="0"/>
        </w:rPr>
        <w:t>值班人员将现场设备退出运行状态；如无法送电，则通知上级主管部门，减少污水处理站的进水量；来电后，按操作规程及时开启设备，恢复运行。</w:t>
      </w:r>
    </w:p>
    <w:p>
      <w:pPr>
        <w:spacing w:after="200" w:line="220" w:lineRule="atLeast"/>
        <w:ind w:firstLine="0" w:firstLineChars="0"/>
        <w:rPr>
          <w:rFonts w:cs="Times New Roman"/>
          <w:color w:val="auto"/>
        </w:rPr>
      </w:pPr>
      <w:r>
        <w:rPr>
          <w:rFonts w:cs="Times New Roman"/>
          <w:color w:val="auto"/>
        </w:rPr>
        <w:br w:type="page"/>
      </w:r>
    </w:p>
    <w:p>
      <w:pPr>
        <w:pStyle w:val="3"/>
        <w:rPr>
          <w:color w:val="auto"/>
        </w:rPr>
      </w:pPr>
      <w:bookmarkStart w:id="349" w:name="_Toc514312426"/>
      <w:bookmarkStart w:id="350" w:name="_Toc48640797"/>
      <w:bookmarkStart w:id="351" w:name="_Toc36126990"/>
      <w:bookmarkStart w:id="352" w:name="_Toc20401964"/>
      <w:r>
        <w:rPr>
          <w:color w:val="auto"/>
        </w:rPr>
        <w:t>节能</w:t>
      </w:r>
      <w:bookmarkEnd w:id="349"/>
      <w:bookmarkEnd w:id="350"/>
      <w:bookmarkEnd w:id="351"/>
      <w:bookmarkEnd w:id="352"/>
    </w:p>
    <w:p>
      <w:pPr>
        <w:ind w:firstLine="480"/>
        <w:rPr>
          <w:rFonts w:cs="Times New Roman"/>
          <w:color w:val="auto"/>
        </w:rPr>
      </w:pPr>
      <w:r>
        <w:rPr>
          <w:rFonts w:cs="Times New Roman"/>
          <w:color w:val="auto"/>
        </w:rPr>
        <w:t>节约能源是我国国民经济的一项基本国策，节能降耗是国家基本建设的一贯方针。《中华人民共和国节约能源法》、《国务院关于加强节能工作的决定》、《固定资产投资项目节能评估和审查暂行办法》对工程项目的节能管理做出了明确的要求。我国既是一个能源大国，按人均计算又是一个能源较匮乏的国家，尤其是电能资源、水资源更为紧张，需要全社会共同爱护、节约，综合利用各种能源资源。因此，本项目将按目前行业节能工艺技术进行设计。</w:t>
      </w:r>
    </w:p>
    <w:p>
      <w:pPr>
        <w:pStyle w:val="4"/>
      </w:pPr>
      <w:bookmarkStart w:id="353" w:name="_Toc20401965"/>
      <w:bookmarkStart w:id="354" w:name="_Toc36126991"/>
      <w:bookmarkStart w:id="355" w:name="_Toc48640798"/>
      <w:bookmarkStart w:id="356" w:name="_Toc514312427"/>
      <w:r>
        <w:t>编制依据</w:t>
      </w:r>
      <w:bookmarkEnd w:id="353"/>
      <w:bookmarkEnd w:id="354"/>
      <w:bookmarkEnd w:id="355"/>
      <w:bookmarkEnd w:id="356"/>
    </w:p>
    <w:p>
      <w:pPr>
        <w:ind w:firstLine="480"/>
        <w:rPr>
          <w:rFonts w:cs="Times New Roman"/>
          <w:color w:val="auto"/>
        </w:rPr>
      </w:pPr>
      <w:r>
        <w:rPr>
          <w:rFonts w:cs="Times New Roman"/>
          <w:color w:val="auto"/>
        </w:rPr>
        <w:t>（1）</w:t>
      </w:r>
      <w:r>
        <w:rPr>
          <w:rFonts w:cs="Times New Roman"/>
          <w:color w:val="auto"/>
        </w:rPr>
        <w:tab/>
      </w:r>
      <w:r>
        <w:rPr>
          <w:rFonts w:cs="Times New Roman"/>
          <w:color w:val="auto"/>
        </w:rPr>
        <w:t>《中华人民共和国节约能源法》（2007年10月28日）；</w:t>
      </w:r>
    </w:p>
    <w:p>
      <w:pPr>
        <w:ind w:firstLine="480"/>
        <w:rPr>
          <w:rFonts w:cs="Times New Roman"/>
          <w:color w:val="auto"/>
        </w:rPr>
      </w:pPr>
      <w:r>
        <w:rPr>
          <w:rFonts w:cs="Times New Roman"/>
          <w:color w:val="auto"/>
        </w:rPr>
        <w:t>（2）</w:t>
      </w:r>
      <w:r>
        <w:rPr>
          <w:rFonts w:cs="Times New Roman"/>
          <w:color w:val="auto"/>
        </w:rPr>
        <w:tab/>
      </w:r>
      <w:r>
        <w:rPr>
          <w:rFonts w:cs="Times New Roman"/>
          <w:color w:val="auto"/>
        </w:rPr>
        <w:t>《中华人民共和国可再生能源法》（2009年12月26日）；</w:t>
      </w:r>
    </w:p>
    <w:p>
      <w:pPr>
        <w:ind w:firstLine="480"/>
        <w:rPr>
          <w:rFonts w:cs="Times New Roman"/>
          <w:color w:val="auto"/>
        </w:rPr>
      </w:pPr>
      <w:r>
        <w:rPr>
          <w:rFonts w:cs="Times New Roman"/>
          <w:color w:val="auto"/>
        </w:rPr>
        <w:t>（3）</w:t>
      </w:r>
      <w:r>
        <w:rPr>
          <w:rFonts w:cs="Times New Roman"/>
          <w:color w:val="auto"/>
        </w:rPr>
        <w:tab/>
      </w:r>
      <w:r>
        <w:rPr>
          <w:rFonts w:cs="Times New Roman"/>
          <w:color w:val="auto"/>
        </w:rPr>
        <w:t>《中华人民共和国清洁生产促进法》（2012年）；</w:t>
      </w:r>
    </w:p>
    <w:p>
      <w:pPr>
        <w:ind w:firstLine="480"/>
        <w:rPr>
          <w:rFonts w:cs="Times New Roman"/>
          <w:color w:val="auto"/>
        </w:rPr>
      </w:pPr>
      <w:r>
        <w:rPr>
          <w:rFonts w:cs="Times New Roman"/>
          <w:color w:val="auto"/>
        </w:rPr>
        <w:t>（4）</w:t>
      </w:r>
      <w:r>
        <w:rPr>
          <w:rFonts w:cs="Times New Roman"/>
          <w:color w:val="auto"/>
        </w:rPr>
        <w:tab/>
      </w:r>
      <w:r>
        <w:rPr>
          <w:rFonts w:cs="Times New Roman"/>
          <w:color w:val="auto"/>
        </w:rPr>
        <w:t>《固定资产投资项目节能评估和审查暂行办法》（国家发改委第6号令）；</w:t>
      </w:r>
    </w:p>
    <w:p>
      <w:pPr>
        <w:ind w:firstLine="480"/>
        <w:rPr>
          <w:rFonts w:cs="Times New Roman"/>
          <w:color w:val="auto"/>
        </w:rPr>
      </w:pPr>
      <w:r>
        <w:rPr>
          <w:rFonts w:cs="Times New Roman"/>
          <w:color w:val="auto"/>
        </w:rPr>
        <w:t>（5）</w:t>
      </w:r>
      <w:r>
        <w:rPr>
          <w:rFonts w:cs="Times New Roman"/>
          <w:color w:val="auto"/>
        </w:rPr>
        <w:tab/>
      </w:r>
      <w:r>
        <w:rPr>
          <w:rFonts w:cs="Times New Roman"/>
          <w:color w:val="auto"/>
        </w:rPr>
        <w:t>《节能中长期专项规划》（发改环资（2004）2505号）；</w:t>
      </w:r>
    </w:p>
    <w:p>
      <w:pPr>
        <w:ind w:firstLine="480"/>
        <w:rPr>
          <w:rFonts w:cs="Times New Roman"/>
          <w:color w:val="auto"/>
        </w:rPr>
      </w:pPr>
      <w:r>
        <w:rPr>
          <w:rFonts w:cs="Times New Roman"/>
          <w:color w:val="auto"/>
        </w:rPr>
        <w:t>（6）</w:t>
      </w:r>
      <w:r>
        <w:rPr>
          <w:rFonts w:cs="Times New Roman"/>
          <w:color w:val="auto"/>
        </w:rPr>
        <w:tab/>
      </w:r>
      <w:r>
        <w:rPr>
          <w:rFonts w:cs="Times New Roman"/>
          <w:color w:val="auto"/>
        </w:rPr>
        <w:t>《国家鼓励发展的资源节约综合利用和环境保护技术》（国家发改委第65号）；</w:t>
      </w:r>
    </w:p>
    <w:p>
      <w:pPr>
        <w:ind w:firstLine="480"/>
        <w:rPr>
          <w:rFonts w:cs="Times New Roman"/>
          <w:color w:val="auto"/>
        </w:rPr>
      </w:pPr>
      <w:r>
        <w:rPr>
          <w:rFonts w:cs="Times New Roman"/>
          <w:color w:val="auto"/>
        </w:rPr>
        <w:t>（7）</w:t>
      </w:r>
      <w:r>
        <w:rPr>
          <w:rFonts w:cs="Times New Roman"/>
          <w:color w:val="auto"/>
        </w:rPr>
        <w:tab/>
      </w:r>
      <w:r>
        <w:rPr>
          <w:rFonts w:cs="Times New Roman"/>
          <w:color w:val="auto"/>
        </w:rPr>
        <w:t>《国民经济和社会发展第十二个五年计划纲要》（2011年3月）；</w:t>
      </w:r>
    </w:p>
    <w:p>
      <w:pPr>
        <w:ind w:firstLine="480"/>
        <w:rPr>
          <w:rFonts w:cs="Times New Roman"/>
          <w:color w:val="auto"/>
        </w:rPr>
      </w:pPr>
      <w:r>
        <w:rPr>
          <w:rFonts w:cs="Times New Roman"/>
          <w:color w:val="auto"/>
        </w:rPr>
        <w:t>（8）</w:t>
      </w:r>
      <w:r>
        <w:rPr>
          <w:rFonts w:cs="Times New Roman"/>
          <w:color w:val="auto"/>
        </w:rPr>
        <w:tab/>
      </w:r>
      <w:r>
        <w:rPr>
          <w:rFonts w:cs="Times New Roman"/>
          <w:color w:val="auto"/>
        </w:rPr>
        <w:t>《能源发展“十一五”规划》（国家发展改革委2007年4月）；</w:t>
      </w:r>
    </w:p>
    <w:p>
      <w:pPr>
        <w:ind w:firstLine="480"/>
        <w:rPr>
          <w:rFonts w:cs="Times New Roman"/>
          <w:color w:val="auto"/>
        </w:rPr>
      </w:pPr>
      <w:r>
        <w:rPr>
          <w:rFonts w:cs="Times New Roman"/>
          <w:color w:val="auto"/>
        </w:rPr>
        <w:t>（9）</w:t>
      </w:r>
      <w:r>
        <w:rPr>
          <w:rFonts w:cs="Times New Roman"/>
          <w:color w:val="auto"/>
        </w:rPr>
        <w:tab/>
      </w:r>
      <w:r>
        <w:rPr>
          <w:rFonts w:cs="Times New Roman"/>
          <w:color w:val="auto"/>
        </w:rPr>
        <w:t>《中国节能技术政策大纲》（国家发展改革委、科技部2006年）；</w:t>
      </w:r>
    </w:p>
    <w:p>
      <w:pPr>
        <w:ind w:firstLine="480"/>
        <w:rPr>
          <w:rFonts w:cs="Times New Roman"/>
          <w:color w:val="auto"/>
        </w:rPr>
      </w:pPr>
      <w:r>
        <w:rPr>
          <w:rFonts w:cs="Times New Roman"/>
          <w:color w:val="auto"/>
        </w:rPr>
        <w:t>（10）</w:t>
      </w:r>
      <w:r>
        <w:rPr>
          <w:rFonts w:cs="Times New Roman"/>
          <w:color w:val="auto"/>
        </w:rPr>
        <w:tab/>
      </w:r>
      <w:r>
        <w:rPr>
          <w:rFonts w:cs="Times New Roman"/>
          <w:color w:val="auto"/>
        </w:rPr>
        <w:t>《国务院关于加强节能工作的决定》（国发[2006]28号）；</w:t>
      </w:r>
    </w:p>
    <w:p>
      <w:pPr>
        <w:ind w:firstLine="480"/>
        <w:rPr>
          <w:rFonts w:cs="Times New Roman"/>
          <w:color w:val="auto"/>
        </w:rPr>
      </w:pPr>
      <w:r>
        <w:rPr>
          <w:rFonts w:cs="Times New Roman"/>
          <w:color w:val="auto"/>
        </w:rPr>
        <w:t>（11）</w:t>
      </w:r>
      <w:r>
        <w:rPr>
          <w:rFonts w:cs="Times New Roman"/>
          <w:color w:val="auto"/>
        </w:rPr>
        <w:tab/>
      </w:r>
      <w:r>
        <w:rPr>
          <w:rFonts w:cs="Times New Roman"/>
          <w:color w:val="auto"/>
        </w:rPr>
        <w:t>国务院关于发布实施《促进产业结构调整暂行规定》决定（国发[2005]40号）；</w:t>
      </w:r>
    </w:p>
    <w:p>
      <w:pPr>
        <w:ind w:firstLine="480"/>
        <w:rPr>
          <w:rFonts w:cs="Times New Roman"/>
          <w:color w:val="auto"/>
        </w:rPr>
      </w:pPr>
      <w:r>
        <w:rPr>
          <w:rFonts w:cs="Times New Roman"/>
          <w:color w:val="auto"/>
        </w:rPr>
        <w:t>（12）</w:t>
      </w:r>
      <w:r>
        <w:rPr>
          <w:rFonts w:cs="Times New Roman"/>
          <w:color w:val="auto"/>
        </w:rPr>
        <w:tab/>
      </w:r>
      <w:r>
        <w:rPr>
          <w:rFonts w:cs="Times New Roman"/>
          <w:color w:val="auto"/>
        </w:rPr>
        <w:t>《节能减排综合性工作方案》（国务院2007年5月23日）；</w:t>
      </w:r>
    </w:p>
    <w:p>
      <w:pPr>
        <w:ind w:firstLine="480"/>
        <w:rPr>
          <w:rFonts w:cs="Times New Roman"/>
          <w:color w:val="auto"/>
        </w:rPr>
      </w:pPr>
      <w:r>
        <w:rPr>
          <w:rFonts w:cs="Times New Roman"/>
          <w:color w:val="auto"/>
        </w:rPr>
        <w:t>（13）</w:t>
      </w:r>
      <w:r>
        <w:rPr>
          <w:rFonts w:cs="Times New Roman"/>
          <w:color w:val="auto"/>
        </w:rPr>
        <w:tab/>
      </w:r>
      <w:r>
        <w:rPr>
          <w:rFonts w:cs="Times New Roman"/>
          <w:color w:val="auto"/>
        </w:rPr>
        <w:t>《农业部关于加强农业和农村节能减排工作的意见》（2007年8月24日）；</w:t>
      </w:r>
    </w:p>
    <w:p>
      <w:pPr>
        <w:ind w:firstLine="480"/>
        <w:rPr>
          <w:rFonts w:cs="Times New Roman"/>
          <w:color w:val="auto"/>
        </w:rPr>
      </w:pPr>
      <w:r>
        <w:rPr>
          <w:rFonts w:cs="Times New Roman"/>
          <w:color w:val="auto"/>
        </w:rPr>
        <w:t>（14）</w:t>
      </w:r>
      <w:r>
        <w:rPr>
          <w:rFonts w:cs="Times New Roman"/>
          <w:color w:val="auto"/>
        </w:rPr>
        <w:tab/>
      </w:r>
      <w:r>
        <w:rPr>
          <w:rFonts w:cs="Times New Roman"/>
          <w:color w:val="auto"/>
        </w:rPr>
        <w:t>《云南省节约能源条例》（2000年5月26日）；</w:t>
      </w:r>
    </w:p>
    <w:p>
      <w:pPr>
        <w:ind w:firstLine="480"/>
        <w:rPr>
          <w:rFonts w:cs="Times New Roman"/>
          <w:color w:val="auto"/>
        </w:rPr>
      </w:pPr>
      <w:r>
        <w:rPr>
          <w:rFonts w:cs="Times New Roman"/>
          <w:color w:val="auto"/>
        </w:rPr>
        <w:t>（15）</w:t>
      </w:r>
      <w:r>
        <w:rPr>
          <w:rFonts w:cs="Times New Roman"/>
          <w:color w:val="auto"/>
        </w:rPr>
        <w:tab/>
      </w:r>
      <w:r>
        <w:rPr>
          <w:rFonts w:cs="Times New Roman"/>
          <w:color w:val="auto"/>
        </w:rPr>
        <w:t>云南省发展和改革委员会关于印发固定资产投资项目节能评估和审查实施暂行办法的通知（云发改资环〔2010〕2056号）；</w:t>
      </w:r>
    </w:p>
    <w:p>
      <w:pPr>
        <w:ind w:firstLine="480"/>
        <w:rPr>
          <w:rFonts w:cs="Times New Roman"/>
          <w:color w:val="auto"/>
        </w:rPr>
      </w:pPr>
      <w:r>
        <w:rPr>
          <w:rFonts w:cs="Times New Roman"/>
          <w:color w:val="auto"/>
        </w:rPr>
        <w:t>（16）</w:t>
      </w:r>
      <w:r>
        <w:rPr>
          <w:rFonts w:cs="Times New Roman"/>
          <w:color w:val="auto"/>
        </w:rPr>
        <w:tab/>
      </w:r>
      <w:r>
        <w:rPr>
          <w:rFonts w:cs="Times New Roman"/>
          <w:color w:val="auto"/>
        </w:rPr>
        <w:t>《综合能耗计算通则》（GB/T 2589-1990）；</w:t>
      </w:r>
    </w:p>
    <w:p>
      <w:pPr>
        <w:ind w:firstLine="480"/>
        <w:rPr>
          <w:rFonts w:cs="Times New Roman"/>
          <w:color w:val="auto"/>
        </w:rPr>
      </w:pPr>
      <w:r>
        <w:rPr>
          <w:rFonts w:cs="Times New Roman"/>
          <w:color w:val="auto"/>
        </w:rPr>
        <w:t>（17）</w:t>
      </w:r>
      <w:r>
        <w:rPr>
          <w:rFonts w:cs="Times New Roman"/>
          <w:color w:val="auto"/>
        </w:rPr>
        <w:tab/>
      </w:r>
      <w:r>
        <w:rPr>
          <w:rFonts w:cs="Times New Roman"/>
          <w:color w:val="auto"/>
        </w:rPr>
        <w:t>《公用建筑节能设计标准》（GB 50189-2005）；</w:t>
      </w:r>
    </w:p>
    <w:p>
      <w:pPr>
        <w:ind w:firstLine="480"/>
        <w:rPr>
          <w:rFonts w:cs="Times New Roman"/>
          <w:color w:val="auto"/>
        </w:rPr>
      </w:pPr>
      <w:r>
        <w:rPr>
          <w:rFonts w:cs="Times New Roman"/>
          <w:color w:val="auto"/>
        </w:rPr>
        <w:t>（18）</w:t>
      </w:r>
      <w:r>
        <w:rPr>
          <w:rFonts w:cs="Times New Roman"/>
          <w:color w:val="auto"/>
        </w:rPr>
        <w:tab/>
      </w:r>
      <w:r>
        <w:rPr>
          <w:rFonts w:cs="Times New Roman"/>
          <w:color w:val="auto"/>
        </w:rPr>
        <w:t>《节电措施经济效益计算与评价方法》（GB/T 13471-92）。</w:t>
      </w:r>
    </w:p>
    <w:p>
      <w:pPr>
        <w:pStyle w:val="4"/>
      </w:pPr>
      <w:bookmarkStart w:id="357" w:name="_Toc20401966"/>
      <w:bookmarkStart w:id="358" w:name="_Toc36126992"/>
      <w:bookmarkStart w:id="359" w:name="_Toc514312428"/>
      <w:bookmarkStart w:id="360" w:name="_Toc48640799"/>
      <w:r>
        <w:t>能源消耗</w:t>
      </w:r>
      <w:bookmarkEnd w:id="357"/>
      <w:bookmarkEnd w:id="358"/>
      <w:bookmarkEnd w:id="359"/>
      <w:bookmarkEnd w:id="360"/>
    </w:p>
    <w:p>
      <w:pPr>
        <w:ind w:firstLine="480"/>
        <w:rPr>
          <w:rFonts w:cs="Times New Roman"/>
          <w:color w:val="auto"/>
        </w:rPr>
      </w:pPr>
      <w:r>
        <w:rPr>
          <w:rFonts w:cs="Times New Roman"/>
          <w:color w:val="auto"/>
        </w:rPr>
        <w:t>本项目区所采用的的工艺和设备，仅有保洁船、监控系统耗能，其他均为不耗能工艺和设备。</w:t>
      </w:r>
    </w:p>
    <w:p>
      <w:pPr>
        <w:ind w:firstLine="480"/>
        <w:rPr>
          <w:rFonts w:cs="Times New Roman"/>
          <w:color w:val="auto"/>
        </w:rPr>
      </w:pPr>
      <w:r>
        <w:rPr>
          <w:rFonts w:cs="Times New Roman"/>
          <w:color w:val="auto"/>
        </w:rPr>
        <w:t>（1）能耗分类</w:t>
      </w:r>
    </w:p>
    <w:p>
      <w:pPr>
        <w:ind w:firstLine="480"/>
        <w:rPr>
          <w:rFonts w:cs="Times New Roman"/>
          <w:color w:val="auto"/>
        </w:rPr>
      </w:pPr>
      <w:r>
        <w:rPr>
          <w:rFonts w:cs="Times New Roman"/>
          <w:color w:val="auto"/>
        </w:rPr>
        <w:t>保洁船、监控系统耗电。</w:t>
      </w:r>
    </w:p>
    <w:p>
      <w:pPr>
        <w:ind w:firstLine="480"/>
        <w:rPr>
          <w:rFonts w:cs="Times New Roman"/>
          <w:color w:val="auto"/>
        </w:rPr>
      </w:pPr>
      <w:r>
        <w:rPr>
          <w:rFonts w:cs="Times New Roman"/>
          <w:color w:val="auto"/>
        </w:rPr>
        <w:t>（2）能耗分析</w:t>
      </w:r>
    </w:p>
    <w:p>
      <w:pPr>
        <w:ind w:firstLine="480"/>
        <w:rPr>
          <w:rFonts w:cs="Times New Roman"/>
          <w:color w:val="auto"/>
        </w:rPr>
      </w:pPr>
      <w:r>
        <w:rPr>
          <w:rFonts w:cs="Times New Roman"/>
          <w:color w:val="auto"/>
        </w:rPr>
        <w:t>根据</w:t>
      </w:r>
      <w:r>
        <w:rPr>
          <w:rFonts w:hint="eastAsia" w:cs="Times New Roman"/>
          <w:color w:val="auto"/>
        </w:rPr>
        <w:t>7.3.1</w:t>
      </w:r>
      <w:r>
        <w:rPr>
          <w:rFonts w:cs="Times New Roman"/>
          <w:color w:val="auto"/>
        </w:rPr>
        <w:t>章节所述，本次项目正常运行后，年耗电量</w:t>
      </w:r>
      <w:r>
        <w:rPr>
          <w:rFonts w:hint="eastAsia" w:cs="Times New Roman"/>
          <w:color w:val="auto"/>
        </w:rPr>
        <w:t>2.4万</w:t>
      </w:r>
      <w:r>
        <w:rPr>
          <w:rFonts w:cs="Times New Roman"/>
          <w:color w:val="auto"/>
        </w:rPr>
        <w:t>度。</w:t>
      </w:r>
    </w:p>
    <w:p>
      <w:pPr>
        <w:ind w:firstLine="480"/>
        <w:rPr>
          <w:rFonts w:cs="Times New Roman"/>
          <w:color w:val="auto"/>
        </w:rPr>
      </w:pPr>
      <w:r>
        <w:rPr>
          <w:rFonts w:cs="Times New Roman"/>
          <w:color w:val="auto"/>
        </w:rPr>
        <w:t>（3）能耗统计</w:t>
      </w:r>
    </w:p>
    <w:p>
      <w:pPr>
        <w:ind w:firstLine="480"/>
        <w:rPr>
          <w:rFonts w:cs="Times New Roman"/>
          <w:color w:val="auto"/>
        </w:rPr>
      </w:pPr>
      <w:r>
        <w:rPr>
          <w:rFonts w:cs="Times New Roman"/>
          <w:color w:val="auto"/>
        </w:rPr>
        <w:t>根据《国家统计局标准》和《炼油厂能量消耗计算方法》，本次整治项目年能耗总量折算成标煤为</w:t>
      </w:r>
      <w:r>
        <w:rPr>
          <w:rFonts w:hint="eastAsia" w:cs="Times New Roman"/>
          <w:color w:val="auto"/>
        </w:rPr>
        <w:t>2.9496</w:t>
      </w:r>
      <w:r>
        <w:rPr>
          <w:rFonts w:cs="Times New Roman"/>
          <w:color w:val="auto"/>
        </w:rPr>
        <w:t>t/a。</w:t>
      </w: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9.2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能耗统计表</w:t>
      </w:r>
    </w:p>
    <w:tbl>
      <w:tblPr>
        <w:tblStyle w:val="88"/>
        <w:tblW w:w="3079" w:type="pct"/>
        <w:jc w:val="center"/>
        <w:tblLayout w:type="autofit"/>
        <w:tblCellMar>
          <w:top w:w="0" w:type="dxa"/>
          <w:left w:w="108" w:type="dxa"/>
          <w:bottom w:w="0" w:type="dxa"/>
          <w:right w:w="108" w:type="dxa"/>
        </w:tblCellMar>
      </w:tblPr>
      <w:tblGrid>
        <w:gridCol w:w="2007"/>
        <w:gridCol w:w="1812"/>
        <w:gridCol w:w="1726"/>
      </w:tblGrid>
      <w:tr>
        <w:tblPrEx>
          <w:tblCellMar>
            <w:top w:w="0" w:type="dxa"/>
            <w:left w:w="108" w:type="dxa"/>
            <w:bottom w:w="0" w:type="dxa"/>
            <w:right w:w="108" w:type="dxa"/>
          </w:tblCellMar>
        </w:tblPrEx>
        <w:trPr>
          <w:trHeight w:val="402" w:hRule="atLeast"/>
          <w:tblHeader/>
          <w:jc w:val="center"/>
        </w:trPr>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rPr>
            </w:pPr>
            <w:r>
              <w:rPr>
                <w:b/>
              </w:rPr>
              <w:t>名称</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rPr>
            </w:pPr>
            <w:r>
              <w:rPr>
                <w:b/>
              </w:rPr>
              <w:t>电耗（万度）</w:t>
            </w:r>
          </w:p>
        </w:tc>
        <w:tc>
          <w:tcPr>
            <w:tcW w:w="1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rPr>
                <w:b/>
              </w:rPr>
            </w:pPr>
            <w:r>
              <w:rPr>
                <w:b/>
              </w:rPr>
              <w:t>合计</w:t>
            </w:r>
          </w:p>
        </w:tc>
      </w:tr>
      <w:tr>
        <w:tblPrEx>
          <w:tblCellMar>
            <w:top w:w="0" w:type="dxa"/>
            <w:left w:w="108" w:type="dxa"/>
            <w:bottom w:w="0" w:type="dxa"/>
            <w:right w:w="108" w:type="dxa"/>
          </w:tblCellMar>
        </w:tblPrEx>
        <w:trPr>
          <w:trHeight w:val="402" w:hRule="atLeast"/>
          <w:jc w:val="center"/>
        </w:trPr>
        <w:tc>
          <w:tcPr>
            <w:tcW w:w="1810" w:type="pct"/>
            <w:tcBorders>
              <w:top w:val="nil"/>
              <w:left w:val="single" w:color="auto" w:sz="4" w:space="0"/>
              <w:bottom w:val="single" w:color="auto" w:sz="4" w:space="0"/>
              <w:right w:val="single" w:color="auto" w:sz="4" w:space="0"/>
            </w:tcBorders>
            <w:shd w:val="clear" w:color="auto" w:fill="auto"/>
            <w:vAlign w:val="center"/>
          </w:tcPr>
          <w:p>
            <w:pPr>
              <w:pStyle w:val="114"/>
            </w:pPr>
            <w:r>
              <w:t>消耗量</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rPr>
                <w:rFonts w:hint="eastAsia"/>
              </w:rPr>
              <w:t>2.4</w:t>
            </w:r>
          </w:p>
        </w:tc>
        <w:tc>
          <w:tcPr>
            <w:tcW w:w="1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t>-</w:t>
            </w:r>
          </w:p>
        </w:tc>
      </w:tr>
      <w:tr>
        <w:tblPrEx>
          <w:tblCellMar>
            <w:top w:w="0" w:type="dxa"/>
            <w:left w:w="108" w:type="dxa"/>
            <w:bottom w:w="0" w:type="dxa"/>
            <w:right w:w="108" w:type="dxa"/>
          </w:tblCellMar>
        </w:tblPrEx>
        <w:trPr>
          <w:trHeight w:val="402" w:hRule="atLeast"/>
          <w:jc w:val="center"/>
        </w:trPr>
        <w:tc>
          <w:tcPr>
            <w:tcW w:w="1810" w:type="pct"/>
            <w:tcBorders>
              <w:top w:val="nil"/>
              <w:left w:val="single" w:color="auto" w:sz="4" w:space="0"/>
              <w:bottom w:val="single" w:color="auto" w:sz="4" w:space="0"/>
              <w:right w:val="single" w:color="auto" w:sz="4" w:space="0"/>
            </w:tcBorders>
            <w:shd w:val="clear" w:color="auto" w:fill="auto"/>
            <w:vAlign w:val="center"/>
          </w:tcPr>
          <w:p>
            <w:pPr>
              <w:pStyle w:val="114"/>
            </w:pPr>
            <w:r>
              <w:t>折标系数</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t>1.229</w:t>
            </w:r>
          </w:p>
        </w:tc>
        <w:tc>
          <w:tcPr>
            <w:tcW w:w="1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t>-</w:t>
            </w:r>
          </w:p>
        </w:tc>
      </w:tr>
      <w:tr>
        <w:tblPrEx>
          <w:tblCellMar>
            <w:top w:w="0" w:type="dxa"/>
            <w:left w:w="108" w:type="dxa"/>
            <w:bottom w:w="0" w:type="dxa"/>
            <w:right w:w="108" w:type="dxa"/>
          </w:tblCellMar>
        </w:tblPrEx>
        <w:trPr>
          <w:trHeight w:val="402" w:hRule="atLeast"/>
          <w:jc w:val="center"/>
        </w:trPr>
        <w:tc>
          <w:tcPr>
            <w:tcW w:w="1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t>折标煤（t）</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rPr>
                <w:rFonts w:hint="eastAsia"/>
              </w:rPr>
              <w:t>2.9496</w:t>
            </w:r>
          </w:p>
        </w:tc>
        <w:tc>
          <w:tcPr>
            <w:tcW w:w="1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14"/>
            </w:pPr>
            <w:r>
              <w:rPr>
                <w:rFonts w:hint="eastAsia"/>
              </w:rPr>
              <w:t>2.9496</w:t>
            </w:r>
          </w:p>
        </w:tc>
      </w:tr>
    </w:tbl>
    <w:p>
      <w:pPr>
        <w:pStyle w:val="4"/>
      </w:pPr>
      <w:bookmarkStart w:id="361" w:name="_Toc20401967"/>
      <w:bookmarkStart w:id="362" w:name="_Toc48640800"/>
      <w:bookmarkStart w:id="363" w:name="_Toc36126993"/>
      <w:bookmarkStart w:id="364" w:name="_Toc514312429"/>
      <w:r>
        <w:t>节能措施</w:t>
      </w:r>
      <w:bookmarkEnd w:id="361"/>
      <w:bookmarkEnd w:id="362"/>
      <w:bookmarkEnd w:id="363"/>
      <w:bookmarkEnd w:id="364"/>
    </w:p>
    <w:p>
      <w:pPr>
        <w:ind w:firstLine="480"/>
        <w:rPr>
          <w:rFonts w:cs="Times New Roman"/>
          <w:color w:val="auto"/>
        </w:rPr>
      </w:pPr>
      <w:r>
        <w:rPr>
          <w:rFonts w:cs="Times New Roman"/>
          <w:color w:val="auto"/>
        </w:rPr>
        <w:t>能源的可持续利用是当今科学技术发展所面临的问题，如何高效、合理的利用有限的能源已成为一个重要的议题。因此，选择节能型工艺、设备、科学合理的进行施工等方面是节能的主要措施。</w:t>
      </w:r>
    </w:p>
    <w:p>
      <w:pPr>
        <w:ind w:firstLine="480"/>
        <w:rPr>
          <w:rFonts w:cs="Times New Roman"/>
          <w:color w:val="auto"/>
        </w:rPr>
      </w:pPr>
      <w:r>
        <w:rPr>
          <w:rFonts w:cs="Times New Roman"/>
          <w:color w:val="auto"/>
        </w:rPr>
        <w:t>1）工艺</w:t>
      </w:r>
    </w:p>
    <w:p>
      <w:pPr>
        <w:ind w:firstLine="480"/>
        <w:rPr>
          <w:rFonts w:cs="Times New Roman"/>
          <w:color w:val="auto"/>
        </w:rPr>
      </w:pPr>
      <w:r>
        <w:rPr>
          <w:rFonts w:cs="Times New Roman"/>
          <w:color w:val="auto"/>
        </w:rPr>
        <w:t>新建</w:t>
      </w:r>
      <w:r>
        <w:rPr>
          <w:rFonts w:hint="eastAsia" w:cs="Times New Roman"/>
          <w:color w:val="auto"/>
        </w:rPr>
        <w:t>村庄</w:t>
      </w:r>
      <w:r>
        <w:rPr>
          <w:rFonts w:cs="Times New Roman"/>
          <w:color w:val="auto"/>
        </w:rPr>
        <w:t>村生活污水处理设施</w:t>
      </w:r>
      <w:r>
        <w:rPr>
          <w:rFonts w:hint="eastAsia" w:cs="Times New Roman"/>
          <w:color w:val="auto"/>
        </w:rPr>
        <w:t>在满足出水标准的要求下，</w:t>
      </w:r>
      <w:r>
        <w:rPr>
          <w:rFonts w:cs="Times New Roman"/>
          <w:color w:val="auto"/>
        </w:rPr>
        <w:t>尽量采用</w:t>
      </w:r>
      <w:r>
        <w:rPr>
          <w:rFonts w:hint="eastAsia" w:cs="Times New Roman"/>
          <w:color w:val="auto"/>
        </w:rPr>
        <w:t>自然生态</w:t>
      </w:r>
      <w:r>
        <w:rPr>
          <w:rFonts w:cs="Times New Roman"/>
          <w:color w:val="auto"/>
        </w:rPr>
        <w:t>不耗能</w:t>
      </w:r>
      <w:r>
        <w:rPr>
          <w:rFonts w:hint="eastAsia" w:cs="Times New Roman"/>
          <w:color w:val="auto"/>
        </w:rPr>
        <w:t>或</w:t>
      </w:r>
      <w:r>
        <w:rPr>
          <w:rFonts w:cs="Times New Roman"/>
          <w:color w:val="auto"/>
        </w:rPr>
        <w:t>低耗能源工艺。</w:t>
      </w:r>
    </w:p>
    <w:p>
      <w:pPr>
        <w:ind w:firstLine="480"/>
        <w:rPr>
          <w:rFonts w:cs="Times New Roman"/>
          <w:color w:val="auto"/>
        </w:rPr>
      </w:pPr>
      <w:r>
        <w:rPr>
          <w:rFonts w:cs="Times New Roman"/>
          <w:color w:val="auto"/>
        </w:rPr>
        <w:t>2）设备选型</w:t>
      </w:r>
    </w:p>
    <w:p>
      <w:pPr>
        <w:ind w:firstLine="480"/>
        <w:rPr>
          <w:rFonts w:cs="Times New Roman"/>
          <w:color w:val="auto"/>
        </w:rPr>
      </w:pPr>
      <w:r>
        <w:rPr>
          <w:rFonts w:cs="Times New Roman"/>
          <w:color w:val="auto"/>
        </w:rPr>
        <w:t>优先选用国内已开发的高效、节能、环保机电设备和</w:t>
      </w:r>
      <w:r>
        <w:rPr>
          <w:rFonts w:hint="eastAsia" w:cs="Times New Roman"/>
          <w:color w:val="auto"/>
        </w:rPr>
        <w:t>水泵等设备</w:t>
      </w:r>
      <w:r>
        <w:rPr>
          <w:rFonts w:cs="Times New Roman"/>
          <w:color w:val="auto"/>
        </w:rPr>
        <w:t>，并使其能合理使用，确保设备始终处于高效运转。</w:t>
      </w:r>
    </w:p>
    <w:p>
      <w:pPr>
        <w:ind w:firstLine="480"/>
        <w:rPr>
          <w:rFonts w:cs="Times New Roman"/>
          <w:color w:val="auto"/>
        </w:rPr>
      </w:pPr>
      <w:r>
        <w:rPr>
          <w:rFonts w:cs="Times New Roman"/>
          <w:color w:val="auto"/>
        </w:rPr>
        <w:t>3）施工材料</w:t>
      </w:r>
    </w:p>
    <w:p>
      <w:pPr>
        <w:ind w:firstLine="480"/>
        <w:rPr>
          <w:rFonts w:cs="Times New Roman"/>
          <w:color w:val="auto"/>
        </w:rPr>
      </w:pPr>
      <w:r>
        <w:rPr>
          <w:rFonts w:cs="Times New Roman"/>
          <w:color w:val="auto"/>
        </w:rPr>
        <w:t>统筹、合理安排各项施工工程，</w:t>
      </w:r>
      <w:r>
        <w:rPr>
          <w:rFonts w:cs="Times New Roman"/>
          <w:color w:val="auto"/>
          <w:kern w:val="0"/>
          <w:szCs w:val="20"/>
          <w:lang w:val="zh-CN"/>
        </w:rPr>
        <w:t>在保证工程安全与质量的前提下，制定节材措施</w:t>
      </w:r>
      <w:r>
        <w:rPr>
          <w:rFonts w:cs="Times New Roman"/>
          <w:color w:val="auto"/>
        </w:rPr>
        <w:t>。施工过程中尽量使用建设管理部门推荐的绿色节能材料，拒绝使用淘汰材料。</w:t>
      </w:r>
      <w:r>
        <w:rPr>
          <w:rFonts w:cs="Times New Roman"/>
          <w:color w:val="auto"/>
          <w:kern w:val="0"/>
          <w:szCs w:val="20"/>
          <w:lang w:val="zh-CN"/>
        </w:rPr>
        <w:t>进行施工方案的节材优化，建筑垃圾减量化，尽量利用可循环材料等。临时设施、周转材料、循环使用材料和机具的选用应充分利用易于回收材料，便于再次利用，减少现场作业与废料；减少建筑垃圾，充分利用废弃物；要推广使用绿色建材。</w:t>
      </w:r>
    </w:p>
    <w:p>
      <w:pPr>
        <w:ind w:firstLine="480"/>
        <w:rPr>
          <w:rFonts w:cs="Times New Roman"/>
          <w:color w:val="auto"/>
        </w:rPr>
      </w:pPr>
      <w:r>
        <w:rPr>
          <w:rFonts w:cs="Times New Roman"/>
          <w:color w:val="auto"/>
        </w:rPr>
        <w:t>4）节电</w:t>
      </w:r>
    </w:p>
    <w:p>
      <w:pPr>
        <w:ind w:firstLine="480"/>
        <w:rPr>
          <w:rFonts w:cs="Times New Roman"/>
          <w:color w:val="auto"/>
        </w:rPr>
      </w:pPr>
      <w:r>
        <w:rPr>
          <w:rFonts w:cs="Times New Roman"/>
          <w:color w:val="auto"/>
        </w:rPr>
        <w:t>施工临时设施的用电，应制定施工用电安全管理制度，合理设计和布置临时用电线路，定期实行安全检查和监测，优先选用节能电线盒节能灯等设备，提高能源利用效率。应注意对居民的日常生活用电节能方面进行宣传教育，鼓励使用节能灯，以节约用电。</w:t>
      </w:r>
    </w:p>
    <w:p>
      <w:pPr>
        <w:ind w:firstLine="480"/>
        <w:rPr>
          <w:rFonts w:cs="Times New Roman"/>
          <w:color w:val="auto"/>
        </w:rPr>
      </w:pPr>
      <w:r>
        <w:rPr>
          <w:rFonts w:cs="Times New Roman"/>
          <w:color w:val="auto"/>
        </w:rPr>
        <w:t>5）节水</w:t>
      </w:r>
    </w:p>
    <w:p>
      <w:pPr>
        <w:ind w:firstLine="480"/>
        <w:rPr>
          <w:rFonts w:cs="Times New Roman"/>
          <w:color w:val="auto"/>
        </w:rPr>
      </w:pPr>
      <w:r>
        <w:rPr>
          <w:rFonts w:cs="Times New Roman"/>
          <w:color w:val="auto"/>
        </w:rPr>
        <w:t>工程建设用水应合理布置管道，采用节水器具，现场建设临时蓄水池，同时合理利用现场雨水、山泉水等。</w:t>
      </w:r>
    </w:p>
    <w:p>
      <w:pPr>
        <w:ind w:firstLine="439" w:firstLineChars="183"/>
        <w:rPr>
          <w:rFonts w:cs="Times New Roman"/>
          <w:color w:val="auto"/>
          <w:kern w:val="0"/>
          <w:szCs w:val="20"/>
          <w:lang w:val="zh-CN"/>
        </w:rPr>
      </w:pPr>
      <w:r>
        <w:rPr>
          <w:rFonts w:cs="Times New Roman"/>
          <w:color w:val="auto"/>
          <w:kern w:val="0"/>
          <w:szCs w:val="20"/>
          <w:lang w:val="zh-CN"/>
        </w:rPr>
        <w:t>如混凝土表面采用苫草、草垫、覆膜，混凝土养护时可以在水管的前面加上喷头，进行淋浴，这样就可以减少水的用量和流失。砌体材料浇水场地应硬化，防止水渗漏。浇水湿润时不要固定在一个位置，要全面喷淋，这样可以使砌体材料全面湿润，避免湿润不全面。要严格混凝土配比制度，严防混凝土加水多使混凝土表面离析，影响混凝土的质量，也造成不必要的施工用水的浪费。水管经常维修，以防跑、冒、滴、漏浪费掉。</w:t>
      </w:r>
    </w:p>
    <w:p>
      <w:pPr>
        <w:ind w:firstLine="480" w:firstLineChars="0"/>
        <w:rPr>
          <w:rFonts w:cs="Times New Roman"/>
          <w:color w:val="auto"/>
        </w:rPr>
      </w:pPr>
    </w:p>
    <w:p>
      <w:pPr>
        <w:spacing w:after="200" w:line="220" w:lineRule="atLeast"/>
        <w:ind w:firstLine="0" w:firstLineChars="0"/>
        <w:rPr>
          <w:rFonts w:cs="Times New Roman"/>
          <w:color w:val="auto"/>
          <w:lang w:val="zh-CN"/>
        </w:rPr>
      </w:pPr>
      <w:r>
        <w:rPr>
          <w:rFonts w:cs="Times New Roman"/>
          <w:color w:val="auto"/>
          <w:lang w:val="zh-CN"/>
        </w:rPr>
        <w:br w:type="page"/>
      </w:r>
    </w:p>
    <w:p>
      <w:pPr>
        <w:pStyle w:val="3"/>
        <w:rPr>
          <w:color w:val="auto"/>
        </w:rPr>
      </w:pPr>
      <w:bookmarkStart w:id="365" w:name="_Toc35615152"/>
      <w:bookmarkStart w:id="366" w:name="_Toc36126994"/>
      <w:bookmarkStart w:id="367" w:name="_Toc48640801"/>
      <w:r>
        <w:rPr>
          <w:color w:val="auto"/>
        </w:rPr>
        <w:t>项目招标</w:t>
      </w:r>
      <w:bookmarkEnd w:id="365"/>
      <w:bookmarkEnd w:id="366"/>
      <w:bookmarkEnd w:id="367"/>
    </w:p>
    <w:p>
      <w:pPr>
        <w:pStyle w:val="4"/>
      </w:pPr>
      <w:bookmarkStart w:id="368" w:name="_Toc500233462"/>
      <w:bookmarkStart w:id="369" w:name="_Toc25705945"/>
      <w:bookmarkStart w:id="370" w:name="_Toc498634296"/>
      <w:bookmarkStart w:id="371" w:name="_Toc36126995"/>
      <w:bookmarkStart w:id="372" w:name="_Toc48640802"/>
      <w:bookmarkStart w:id="373" w:name="_Toc283211955"/>
      <w:bookmarkStart w:id="374" w:name="_Toc368132568"/>
      <w:bookmarkStart w:id="375" w:name="_Toc368133017"/>
      <w:bookmarkStart w:id="376" w:name="_Toc368131958"/>
      <w:r>
        <w:t>招标依据</w:t>
      </w:r>
      <w:bookmarkEnd w:id="368"/>
      <w:bookmarkEnd w:id="369"/>
      <w:bookmarkEnd w:id="370"/>
      <w:bookmarkEnd w:id="371"/>
      <w:bookmarkEnd w:id="372"/>
    </w:p>
    <w:p>
      <w:pPr>
        <w:ind w:firstLine="480"/>
        <w:rPr>
          <w:rFonts w:cs="Times New Roman"/>
          <w:color w:val="auto"/>
        </w:rPr>
      </w:pPr>
      <w:r>
        <w:rPr>
          <w:rFonts w:cs="Times New Roman"/>
          <w:color w:val="auto"/>
        </w:rPr>
        <w:t>(1)《</w:t>
      </w:r>
      <w:r>
        <w:rPr>
          <w:rFonts w:cs="Times New Roman"/>
          <w:color w:val="auto"/>
          <w:lang w:val="en-US"/>
        </w:rPr>
        <w:t>中华人民共和国招标投标法</w:t>
      </w:r>
      <w:r>
        <w:rPr>
          <w:rFonts w:cs="Times New Roman"/>
          <w:color w:val="auto"/>
        </w:rPr>
        <w:t>》；</w:t>
      </w:r>
    </w:p>
    <w:p>
      <w:pPr>
        <w:ind w:firstLine="480"/>
        <w:rPr>
          <w:rFonts w:cs="Times New Roman"/>
          <w:color w:val="auto"/>
        </w:rPr>
      </w:pPr>
      <w:r>
        <w:rPr>
          <w:rFonts w:cs="Times New Roman"/>
          <w:color w:val="auto"/>
        </w:rPr>
        <w:t>(2)《中华人民共和国招标投标法实施条例》；</w:t>
      </w:r>
    </w:p>
    <w:p>
      <w:pPr>
        <w:ind w:firstLine="480"/>
        <w:rPr>
          <w:rFonts w:cs="Times New Roman"/>
          <w:color w:val="auto"/>
        </w:rPr>
      </w:pPr>
      <w:r>
        <w:rPr>
          <w:rFonts w:cs="Times New Roman"/>
          <w:color w:val="auto"/>
        </w:rPr>
        <w:t>(3)《工程建设项目施工招标投标办法》；</w:t>
      </w:r>
    </w:p>
    <w:p>
      <w:pPr>
        <w:ind w:firstLine="480"/>
        <w:rPr>
          <w:rFonts w:cs="Times New Roman"/>
          <w:color w:val="auto"/>
        </w:rPr>
      </w:pPr>
      <w:r>
        <w:rPr>
          <w:rFonts w:cs="Times New Roman"/>
          <w:color w:val="auto"/>
        </w:rPr>
        <w:t>(4)《工程建设项目招标范围和规模标准确定》；</w:t>
      </w:r>
    </w:p>
    <w:p>
      <w:pPr>
        <w:ind w:firstLine="480"/>
        <w:rPr>
          <w:rFonts w:cs="Times New Roman"/>
          <w:color w:val="auto"/>
        </w:rPr>
      </w:pPr>
      <w:r>
        <w:rPr>
          <w:rFonts w:cs="Times New Roman"/>
          <w:color w:val="auto"/>
        </w:rPr>
        <w:t>(5)《招标公告发布暂行办法》；</w:t>
      </w:r>
    </w:p>
    <w:p>
      <w:pPr>
        <w:ind w:firstLine="480"/>
        <w:rPr>
          <w:rFonts w:cs="Times New Roman"/>
          <w:color w:val="auto"/>
        </w:rPr>
      </w:pPr>
      <w:r>
        <w:rPr>
          <w:rFonts w:cs="Times New Roman"/>
          <w:color w:val="auto"/>
        </w:rPr>
        <w:t>(6)《工程建设项目可行性研究报告增加招标内容和核准招标事项暂行规定》；</w:t>
      </w:r>
    </w:p>
    <w:p>
      <w:pPr>
        <w:ind w:firstLine="480"/>
        <w:rPr>
          <w:rFonts w:cs="Times New Roman"/>
          <w:color w:val="auto"/>
        </w:rPr>
      </w:pPr>
      <w:r>
        <w:rPr>
          <w:rFonts w:cs="Times New Roman"/>
          <w:color w:val="auto"/>
        </w:rPr>
        <w:t>(7)《评标委员会和评标方法暂行规定》；</w:t>
      </w:r>
    </w:p>
    <w:p>
      <w:pPr>
        <w:ind w:firstLine="480"/>
        <w:rPr>
          <w:rFonts w:cs="Times New Roman"/>
          <w:color w:val="auto"/>
        </w:rPr>
      </w:pPr>
      <w:r>
        <w:rPr>
          <w:rFonts w:cs="Times New Roman"/>
          <w:color w:val="auto"/>
        </w:rPr>
        <w:t>(8)《中华人民共和国政府采购法》；</w:t>
      </w:r>
    </w:p>
    <w:p>
      <w:pPr>
        <w:ind w:firstLine="480"/>
        <w:rPr>
          <w:rFonts w:cs="Times New Roman"/>
          <w:color w:val="auto"/>
        </w:rPr>
      </w:pPr>
      <w:r>
        <w:rPr>
          <w:rFonts w:cs="Times New Roman"/>
          <w:color w:val="auto"/>
        </w:rPr>
        <w:t>(9)《云南省招标投标条例》；</w:t>
      </w:r>
    </w:p>
    <w:p>
      <w:pPr>
        <w:ind w:firstLine="480"/>
        <w:rPr>
          <w:rFonts w:cs="Times New Roman"/>
          <w:color w:val="auto"/>
        </w:rPr>
      </w:pPr>
      <w:r>
        <w:rPr>
          <w:rFonts w:cs="Times New Roman"/>
          <w:color w:val="auto"/>
        </w:rPr>
        <w:t>(10)《云南省建设工程勘察设计管理条例》；</w:t>
      </w:r>
    </w:p>
    <w:p>
      <w:pPr>
        <w:ind w:firstLine="480"/>
        <w:rPr>
          <w:rFonts w:cs="Times New Roman"/>
          <w:color w:val="auto"/>
        </w:rPr>
      </w:pPr>
      <w:r>
        <w:rPr>
          <w:rFonts w:cs="Times New Roman"/>
          <w:color w:val="auto"/>
        </w:rPr>
        <w:t>(11)《云南省建筑和市政工程勘察招标投标管理办法》；</w:t>
      </w:r>
    </w:p>
    <w:p>
      <w:pPr>
        <w:ind w:firstLine="480"/>
        <w:rPr>
          <w:rFonts w:cs="Times New Roman"/>
          <w:color w:val="auto"/>
        </w:rPr>
      </w:pPr>
      <w:r>
        <w:rPr>
          <w:rFonts w:cs="Times New Roman"/>
          <w:color w:val="auto"/>
        </w:rPr>
        <w:t>(12)《云南省市政工程设计招标投标管理办法》。</w:t>
      </w:r>
    </w:p>
    <w:p>
      <w:pPr>
        <w:pStyle w:val="4"/>
      </w:pPr>
      <w:bookmarkStart w:id="377" w:name="_Toc25705946"/>
      <w:bookmarkStart w:id="378" w:name="_Toc36126996"/>
      <w:bookmarkStart w:id="379" w:name="_Toc498634297"/>
      <w:bookmarkStart w:id="380" w:name="_Toc48640803"/>
      <w:bookmarkStart w:id="381" w:name="_Toc500233463"/>
      <w:r>
        <w:t>招标组织原则</w:t>
      </w:r>
      <w:bookmarkEnd w:id="377"/>
      <w:bookmarkEnd w:id="378"/>
      <w:bookmarkEnd w:id="379"/>
      <w:bookmarkEnd w:id="380"/>
      <w:bookmarkEnd w:id="381"/>
    </w:p>
    <w:p>
      <w:pPr>
        <w:ind w:firstLine="480"/>
        <w:rPr>
          <w:rFonts w:cs="Times New Roman"/>
          <w:color w:val="auto"/>
        </w:rPr>
      </w:pPr>
      <w:r>
        <w:rPr>
          <w:rFonts w:cs="Times New Roman"/>
          <w:color w:val="auto"/>
        </w:rPr>
        <w:t>（1）严格执行国家及云南省招标制度；</w:t>
      </w:r>
    </w:p>
    <w:p>
      <w:pPr>
        <w:ind w:firstLine="480"/>
        <w:rPr>
          <w:rFonts w:cs="Times New Roman"/>
          <w:color w:val="auto"/>
        </w:rPr>
      </w:pPr>
      <w:r>
        <w:rPr>
          <w:rFonts w:cs="Times New Roman"/>
          <w:color w:val="auto"/>
        </w:rPr>
        <w:t>（2）遵循公开、公平、公正和诚实信用的原则，保证潜在招标人平等、便捷地获取招标信息，保证评标活动的公正性。</w:t>
      </w:r>
    </w:p>
    <w:p>
      <w:pPr>
        <w:pStyle w:val="4"/>
      </w:pPr>
      <w:bookmarkStart w:id="382" w:name="_Toc36126997"/>
      <w:bookmarkStart w:id="383" w:name="_Toc25705947"/>
      <w:bookmarkStart w:id="384" w:name="_Toc48640804"/>
      <w:bookmarkStart w:id="385" w:name="_Toc498634298"/>
      <w:bookmarkStart w:id="386" w:name="_Toc500233464"/>
      <w:r>
        <w:t>招标范围</w:t>
      </w:r>
      <w:bookmarkEnd w:id="382"/>
      <w:bookmarkEnd w:id="383"/>
      <w:bookmarkEnd w:id="384"/>
      <w:bookmarkEnd w:id="385"/>
      <w:bookmarkEnd w:id="386"/>
    </w:p>
    <w:p>
      <w:pPr>
        <w:ind w:firstLine="480"/>
        <w:rPr>
          <w:rFonts w:cs="Times New Roman"/>
          <w:color w:val="auto"/>
          <w:szCs w:val="28"/>
          <w:lang w:val="zh-CN"/>
        </w:rPr>
      </w:pPr>
      <w:r>
        <w:rPr>
          <w:rFonts w:cs="Times New Roman"/>
          <w:color w:val="auto"/>
          <w:szCs w:val="28"/>
          <w:lang w:val="zh-CN"/>
        </w:rPr>
        <w:t>根据国务院关于《必须招标的工程项目规定》的批复 国函(2018)56号，满足以下要求的工程项目必须进行招标。</w:t>
      </w:r>
    </w:p>
    <w:p>
      <w:pPr>
        <w:ind w:firstLine="480"/>
        <w:rPr>
          <w:rFonts w:cs="Times New Roman"/>
          <w:color w:val="auto"/>
          <w:szCs w:val="28"/>
          <w:lang w:val="zh-CN"/>
        </w:rPr>
      </w:pPr>
      <w:r>
        <w:rPr>
          <w:rFonts w:cs="Times New Roman"/>
          <w:color w:val="auto"/>
          <w:szCs w:val="28"/>
          <w:lang w:val="zh-CN"/>
        </w:rPr>
        <w:t>（一）全部或者部分使用国有资金投资或者国家融资的项目包括:</w:t>
      </w:r>
    </w:p>
    <w:p>
      <w:pPr>
        <w:ind w:firstLine="480"/>
        <w:rPr>
          <w:rFonts w:cs="Times New Roman"/>
          <w:color w:val="auto"/>
          <w:szCs w:val="28"/>
          <w:lang w:val="zh-CN"/>
        </w:rPr>
      </w:pPr>
      <w:r>
        <w:rPr>
          <w:rFonts w:cs="Times New Roman"/>
          <w:color w:val="auto"/>
          <w:szCs w:val="28"/>
          <w:lang w:val="zh-CN"/>
        </w:rPr>
        <w:t>（1）使用预算资金200万元人民币以上，并且该资金占投资额10%以上的项目;</w:t>
      </w:r>
    </w:p>
    <w:p>
      <w:pPr>
        <w:ind w:firstLine="480"/>
        <w:rPr>
          <w:rFonts w:cs="Times New Roman"/>
          <w:color w:val="auto"/>
          <w:szCs w:val="28"/>
          <w:lang w:val="zh-CN"/>
        </w:rPr>
      </w:pPr>
      <w:r>
        <w:rPr>
          <w:rFonts w:cs="Times New Roman"/>
          <w:color w:val="auto"/>
          <w:szCs w:val="28"/>
          <w:lang w:val="zh-CN"/>
        </w:rPr>
        <w:t>（2）使用国有企业事业单位资金，并且该资金占控股或者主导地位的项目。</w:t>
      </w:r>
    </w:p>
    <w:p>
      <w:pPr>
        <w:ind w:firstLine="480"/>
        <w:rPr>
          <w:rFonts w:cs="Times New Roman"/>
          <w:color w:val="auto"/>
          <w:szCs w:val="28"/>
          <w:lang w:val="zh-CN"/>
        </w:rPr>
      </w:pPr>
      <w:r>
        <w:rPr>
          <w:rFonts w:cs="Times New Roman"/>
          <w:color w:val="auto"/>
          <w:szCs w:val="28"/>
          <w:lang w:val="zh-CN"/>
        </w:rPr>
        <w:t>（二）使用国际组织或者外国政府贷款、援助资金的项目包括:</w:t>
      </w:r>
    </w:p>
    <w:p>
      <w:pPr>
        <w:ind w:firstLine="480"/>
        <w:rPr>
          <w:rFonts w:cs="Times New Roman"/>
          <w:color w:val="auto"/>
          <w:szCs w:val="28"/>
          <w:lang w:val="zh-CN"/>
        </w:rPr>
      </w:pPr>
      <w:r>
        <w:rPr>
          <w:rFonts w:cs="Times New Roman"/>
          <w:color w:val="auto"/>
          <w:szCs w:val="28"/>
          <w:lang w:val="zh-CN"/>
        </w:rPr>
        <w:t>（1）使用世界银行、亚洲开发银行等国际组织贷款、援助资金的项目;</w:t>
      </w:r>
    </w:p>
    <w:p>
      <w:pPr>
        <w:ind w:firstLine="480"/>
        <w:rPr>
          <w:rFonts w:cs="Times New Roman"/>
          <w:color w:val="auto"/>
          <w:szCs w:val="28"/>
          <w:lang w:val="zh-CN"/>
        </w:rPr>
      </w:pPr>
      <w:r>
        <w:rPr>
          <w:rFonts w:cs="Times New Roman"/>
          <w:color w:val="auto"/>
          <w:szCs w:val="28"/>
          <w:lang w:val="zh-CN"/>
        </w:rPr>
        <w:t>（2）使用外国政府及其机构贷款、援助资金的项目。</w:t>
      </w:r>
    </w:p>
    <w:p>
      <w:pPr>
        <w:ind w:firstLine="480"/>
        <w:rPr>
          <w:rFonts w:cs="Times New Roman"/>
          <w:color w:val="auto"/>
          <w:szCs w:val="28"/>
          <w:lang w:val="zh-CN"/>
        </w:rPr>
      </w:pPr>
      <w:r>
        <w:rPr>
          <w:rFonts w:cs="Times New Roman"/>
          <w:color w:val="auto"/>
          <w:szCs w:val="28"/>
          <w:lang w:val="zh-CN"/>
        </w:rPr>
        <w:t>（三）不属于本规定第二条、第三条规定情形的大型基础设施、公用事业等关系社会公共利益、公众安全的项目，必须招标的具体范围由国务院发展改革部门会同国务院有关部门按照确有必要、严格限定的原则制订，报国务院批准。</w:t>
      </w:r>
    </w:p>
    <w:p>
      <w:pPr>
        <w:ind w:firstLine="480"/>
        <w:rPr>
          <w:rFonts w:cs="Times New Roman"/>
          <w:color w:val="auto"/>
          <w:szCs w:val="28"/>
          <w:lang w:val="zh-CN"/>
        </w:rPr>
      </w:pPr>
      <w:r>
        <w:rPr>
          <w:rFonts w:cs="Times New Roman"/>
          <w:color w:val="auto"/>
          <w:szCs w:val="28"/>
          <w:lang w:val="zh-CN"/>
        </w:rPr>
        <w:t>（四）本规定第二条至第四条规定范围内的项目，其勘察、设计、施工、监理以及与工程建设有关的重要设备、材料等的采购达到下列标准之一的，必须招标:</w:t>
      </w:r>
    </w:p>
    <w:p>
      <w:pPr>
        <w:ind w:firstLine="480"/>
        <w:rPr>
          <w:rFonts w:cs="Times New Roman"/>
          <w:color w:val="auto"/>
          <w:szCs w:val="28"/>
          <w:lang w:val="zh-CN"/>
        </w:rPr>
      </w:pPr>
      <w:r>
        <w:rPr>
          <w:rFonts w:cs="Times New Roman"/>
          <w:color w:val="auto"/>
          <w:szCs w:val="28"/>
          <w:lang w:val="zh-CN"/>
        </w:rPr>
        <w:t>（1）施工单项合同估算价在400万元人民币以上;</w:t>
      </w:r>
    </w:p>
    <w:p>
      <w:pPr>
        <w:ind w:firstLine="480"/>
        <w:rPr>
          <w:rFonts w:cs="Times New Roman"/>
          <w:color w:val="auto"/>
          <w:szCs w:val="28"/>
          <w:lang w:val="zh-CN"/>
        </w:rPr>
      </w:pPr>
      <w:r>
        <w:rPr>
          <w:rFonts w:cs="Times New Roman"/>
          <w:color w:val="auto"/>
          <w:szCs w:val="28"/>
          <w:lang w:val="zh-CN"/>
        </w:rPr>
        <w:t>（2）重要设备、材料等货物的采购，单项合同估算价在200万元人民币以上;</w:t>
      </w:r>
    </w:p>
    <w:p>
      <w:pPr>
        <w:ind w:firstLine="480"/>
        <w:rPr>
          <w:rFonts w:cs="Times New Roman"/>
          <w:color w:val="auto"/>
          <w:szCs w:val="28"/>
          <w:lang w:val="zh-CN"/>
        </w:rPr>
      </w:pPr>
      <w:r>
        <w:rPr>
          <w:rFonts w:cs="Times New Roman"/>
          <w:color w:val="auto"/>
          <w:szCs w:val="28"/>
          <w:lang w:val="zh-CN"/>
        </w:rPr>
        <w:t>（3）勘察、设计、监理等服务的采购，单项合同估算价在100万元人民币以上。</w:t>
      </w:r>
    </w:p>
    <w:p>
      <w:pPr>
        <w:ind w:firstLine="480"/>
        <w:rPr>
          <w:rFonts w:cs="Times New Roman"/>
          <w:color w:val="auto"/>
          <w:lang w:val="zh-CN"/>
        </w:rPr>
      </w:pPr>
      <w:r>
        <w:rPr>
          <w:rFonts w:cs="Times New Roman"/>
          <w:color w:val="auto"/>
          <w:lang w:val="zh-CN"/>
        </w:rPr>
        <w:t>同一项目中可以合并进行的勘察、设计、施工、监理以及与工程建设有关的重要设备、材料等的采购，合同估算价合计达到前款规定标准的，必须招标。</w:t>
      </w:r>
    </w:p>
    <w:p>
      <w:pPr>
        <w:ind w:firstLine="480"/>
        <w:rPr>
          <w:rFonts w:cs="Times New Roman"/>
          <w:color w:val="auto"/>
          <w:szCs w:val="28"/>
          <w:lang w:val="zh-CN"/>
        </w:rPr>
      </w:pPr>
      <w:r>
        <w:rPr>
          <w:rFonts w:cs="Times New Roman"/>
          <w:color w:val="auto"/>
          <w:szCs w:val="28"/>
          <w:lang w:val="zh-CN"/>
        </w:rPr>
        <w:t>本项目属于关系社会公共利益的工程且部分使用国有资金投资，建议对建筑工程、安装工程、实施招投标，勘察、设计及监理由于投资金额较小，且具有一定的技术性和区域性，不进行招投标，但必须具备相应的资质要求。</w:t>
      </w:r>
    </w:p>
    <w:p>
      <w:pPr>
        <w:pStyle w:val="4"/>
      </w:pPr>
      <w:bookmarkStart w:id="387" w:name="_Toc498634299"/>
      <w:bookmarkStart w:id="388" w:name="_Toc25705948"/>
      <w:bookmarkStart w:id="389" w:name="_Toc36126998"/>
      <w:bookmarkStart w:id="390" w:name="_Toc48640805"/>
      <w:bookmarkStart w:id="391" w:name="_Toc500233465"/>
      <w:r>
        <w:t>招标组织形式与方式</w:t>
      </w:r>
      <w:bookmarkEnd w:id="387"/>
      <w:bookmarkEnd w:id="388"/>
      <w:bookmarkEnd w:id="389"/>
      <w:bookmarkEnd w:id="390"/>
      <w:bookmarkEnd w:id="391"/>
    </w:p>
    <w:p>
      <w:pPr>
        <w:ind w:firstLine="480"/>
        <w:rPr>
          <w:rFonts w:cs="Times New Roman"/>
          <w:color w:val="auto"/>
          <w:lang w:val="zh-CN"/>
        </w:rPr>
      </w:pPr>
      <w:r>
        <w:rPr>
          <w:rFonts w:cs="Times New Roman"/>
          <w:color w:val="auto"/>
          <w:lang w:val="zh-CN"/>
        </w:rPr>
        <w:t>招标人具有编制招标文件和组织评标能力的，可以自行办理招标事宜。国家发展计划委员会令第5号《工程建设项目自行招标试行办法》规定招标人自行办理招标事宜，应当具有编制招标文件和组织评标的能力，具体包括：</w:t>
      </w:r>
    </w:p>
    <w:p>
      <w:pPr>
        <w:pStyle w:val="110"/>
        <w:numPr>
          <w:ilvl w:val="0"/>
          <w:numId w:val="26"/>
        </w:numPr>
        <w:ind w:firstLineChars="0"/>
        <w:rPr>
          <w:szCs w:val="28"/>
        </w:rPr>
      </w:pPr>
      <w:r>
        <w:rPr>
          <w:szCs w:val="28"/>
        </w:rPr>
        <w:t>具有项目法人资格(或者法入资格)；</w:t>
      </w:r>
    </w:p>
    <w:p>
      <w:pPr>
        <w:pStyle w:val="110"/>
        <w:numPr>
          <w:ilvl w:val="0"/>
          <w:numId w:val="26"/>
        </w:numPr>
        <w:ind w:firstLineChars="0"/>
        <w:rPr>
          <w:szCs w:val="28"/>
        </w:rPr>
      </w:pPr>
      <w:r>
        <w:rPr>
          <w:szCs w:val="28"/>
        </w:rPr>
        <w:t>具有与招标项目规模和复杂程度相适应的工程技术、概预算、财务和工程管理等方面专业技术力量；</w:t>
      </w:r>
    </w:p>
    <w:p>
      <w:pPr>
        <w:pStyle w:val="110"/>
        <w:numPr>
          <w:ilvl w:val="0"/>
          <w:numId w:val="26"/>
        </w:numPr>
        <w:ind w:firstLineChars="0"/>
        <w:rPr>
          <w:szCs w:val="28"/>
        </w:rPr>
      </w:pPr>
      <w:r>
        <w:rPr>
          <w:szCs w:val="28"/>
        </w:rPr>
        <w:t>有从事同类工程建设项目招标的经验；</w:t>
      </w:r>
    </w:p>
    <w:p>
      <w:pPr>
        <w:pStyle w:val="110"/>
        <w:numPr>
          <w:ilvl w:val="0"/>
          <w:numId w:val="26"/>
        </w:numPr>
        <w:ind w:firstLineChars="0"/>
        <w:rPr>
          <w:szCs w:val="28"/>
        </w:rPr>
      </w:pPr>
      <w:r>
        <w:rPr>
          <w:szCs w:val="28"/>
        </w:rPr>
        <w:t>设有专门的招标机构或者拥有3名以上专职招标业务人员；</w:t>
      </w:r>
    </w:p>
    <w:p>
      <w:pPr>
        <w:pStyle w:val="110"/>
        <w:numPr>
          <w:ilvl w:val="0"/>
          <w:numId w:val="26"/>
        </w:numPr>
        <w:ind w:firstLineChars="0"/>
        <w:rPr>
          <w:szCs w:val="28"/>
        </w:rPr>
      </w:pPr>
      <w:r>
        <w:rPr>
          <w:szCs w:val="28"/>
        </w:rPr>
        <w:t>熟悉和掌握招标投标法及有关法规规章；</w:t>
      </w:r>
    </w:p>
    <w:p>
      <w:pPr>
        <w:ind w:firstLine="480"/>
        <w:rPr>
          <w:rFonts w:cs="Times New Roman"/>
          <w:color w:val="auto"/>
          <w:szCs w:val="28"/>
          <w:lang w:val="zh-CN"/>
        </w:rPr>
      </w:pPr>
      <w:r>
        <w:rPr>
          <w:rFonts w:cs="Times New Roman"/>
          <w:color w:val="auto"/>
          <w:szCs w:val="28"/>
          <w:lang w:val="zh-CN"/>
        </w:rPr>
        <w:t>本项目建设单位不具有编制招标文件和组织评标能力，必须委托招标代理机构招标。</w:t>
      </w:r>
    </w:p>
    <w:p>
      <w:pPr>
        <w:ind w:firstLine="480"/>
        <w:rPr>
          <w:rFonts w:cs="Times New Roman"/>
          <w:color w:val="auto"/>
          <w:kern w:val="0"/>
        </w:rPr>
      </w:pPr>
      <w:r>
        <w:rPr>
          <w:rFonts w:cs="Times New Roman"/>
          <w:color w:val="auto"/>
          <w:kern w:val="0"/>
        </w:rPr>
        <w:t>本项目各项内容招标的具体方式如下：</w:t>
      </w:r>
    </w:p>
    <w:p>
      <w:pPr>
        <w:ind w:firstLine="480"/>
        <w:rPr>
          <w:rFonts w:cs="Times New Roman"/>
          <w:color w:val="auto"/>
          <w:kern w:val="0"/>
        </w:rPr>
      </w:pPr>
      <w:r>
        <w:rPr>
          <w:rFonts w:cs="Times New Roman"/>
          <w:color w:val="auto"/>
          <w:kern w:val="0"/>
        </w:rPr>
        <w:t>1、勘察、设计、监理的招标</w:t>
      </w:r>
    </w:p>
    <w:p>
      <w:pPr>
        <w:ind w:firstLine="480"/>
        <w:rPr>
          <w:rFonts w:cs="Times New Roman"/>
          <w:color w:val="auto"/>
          <w:kern w:val="0"/>
        </w:rPr>
      </w:pPr>
      <w:r>
        <w:rPr>
          <w:rFonts w:cs="Times New Roman"/>
          <w:color w:val="auto"/>
          <w:kern w:val="0"/>
        </w:rPr>
        <w:t>根据招标方案审批意见，勘察、设计、监理的投资估算低于50万元，不采用招标方式。</w:t>
      </w:r>
    </w:p>
    <w:p>
      <w:pPr>
        <w:ind w:firstLine="480"/>
        <w:rPr>
          <w:rFonts w:cs="Times New Roman"/>
          <w:color w:val="auto"/>
          <w:kern w:val="0"/>
        </w:rPr>
      </w:pPr>
      <w:r>
        <w:rPr>
          <w:rFonts w:cs="Times New Roman"/>
          <w:color w:val="auto"/>
          <w:kern w:val="0"/>
        </w:rPr>
        <w:t>2、建筑工程、安装工程的招标</w:t>
      </w:r>
    </w:p>
    <w:p>
      <w:pPr>
        <w:ind w:firstLine="480"/>
        <w:rPr>
          <w:rFonts w:cs="Times New Roman"/>
          <w:color w:val="auto"/>
          <w:kern w:val="0"/>
        </w:rPr>
      </w:pPr>
      <w:r>
        <w:rPr>
          <w:rFonts w:cs="Times New Roman"/>
          <w:color w:val="auto"/>
          <w:kern w:val="0"/>
        </w:rPr>
        <w:t>建筑工程、安装工程的招标范围是全部招标，招标组织形式是委托招标，招标方式是公开招标。</w:t>
      </w:r>
    </w:p>
    <w:p>
      <w:pPr>
        <w:ind w:firstLine="480"/>
        <w:rPr>
          <w:rFonts w:cs="Times New Roman"/>
          <w:color w:val="auto"/>
          <w:kern w:val="0"/>
        </w:rPr>
      </w:pPr>
      <w:r>
        <w:rPr>
          <w:rFonts w:cs="Times New Roman"/>
          <w:color w:val="auto"/>
          <w:kern w:val="0"/>
        </w:rPr>
        <w:t>3、设备的招标</w:t>
      </w:r>
    </w:p>
    <w:p>
      <w:pPr>
        <w:ind w:firstLine="480"/>
        <w:rPr>
          <w:rFonts w:cs="Times New Roman"/>
          <w:color w:val="auto"/>
          <w:kern w:val="0"/>
        </w:rPr>
      </w:pPr>
      <w:r>
        <w:rPr>
          <w:rFonts w:cs="Times New Roman"/>
          <w:color w:val="auto"/>
          <w:kern w:val="0"/>
        </w:rPr>
        <w:t>本项工程的设备包括潜污泵、</w:t>
      </w:r>
      <w:r>
        <w:rPr>
          <w:rFonts w:hint="eastAsia" w:cs="Times New Roman"/>
          <w:color w:val="auto"/>
          <w:kern w:val="0"/>
        </w:rPr>
        <w:t>风机</w:t>
      </w:r>
      <w:r>
        <w:rPr>
          <w:rFonts w:cs="Times New Roman"/>
          <w:color w:val="auto"/>
          <w:kern w:val="0"/>
        </w:rPr>
        <w:t>等多项工艺设备</w:t>
      </w:r>
      <w:r>
        <w:rPr>
          <w:rFonts w:hint="eastAsia" w:cs="Times New Roman"/>
          <w:color w:val="auto"/>
          <w:kern w:val="0"/>
        </w:rPr>
        <w:t>、</w:t>
      </w:r>
      <w:r>
        <w:rPr>
          <w:rFonts w:cs="Times New Roman"/>
          <w:color w:val="auto"/>
          <w:kern w:val="0"/>
        </w:rPr>
        <w:t>电气设备等多项辅助设备。上述设备全部招标，招标组织形式是委托招标，招标方式是公开招标。</w:t>
      </w:r>
    </w:p>
    <w:p>
      <w:pPr>
        <w:ind w:firstLine="480"/>
        <w:rPr>
          <w:rFonts w:cs="Times New Roman"/>
          <w:color w:val="auto"/>
          <w:kern w:val="0"/>
        </w:rPr>
      </w:pPr>
      <w:r>
        <w:rPr>
          <w:rFonts w:cs="Times New Roman"/>
          <w:color w:val="auto"/>
          <w:kern w:val="0"/>
        </w:rPr>
        <w:t>4、材料的招标</w:t>
      </w:r>
    </w:p>
    <w:p>
      <w:pPr>
        <w:ind w:firstLine="480"/>
        <w:rPr>
          <w:rFonts w:cs="Times New Roman"/>
          <w:color w:val="auto"/>
          <w:kern w:val="0"/>
        </w:rPr>
      </w:pPr>
      <w:r>
        <w:rPr>
          <w:rFonts w:cs="Times New Roman"/>
          <w:color w:val="auto"/>
          <w:kern w:val="0"/>
        </w:rPr>
        <w:t>本项目中主要的材料是</w:t>
      </w:r>
      <w:r>
        <w:rPr>
          <w:rFonts w:hint="eastAsia" w:cs="Times New Roman"/>
          <w:color w:val="auto"/>
          <w:kern w:val="0"/>
        </w:rPr>
        <w:t>HDPE</w:t>
      </w:r>
      <w:r>
        <w:rPr>
          <w:rFonts w:cs="Times New Roman"/>
          <w:color w:val="auto"/>
          <w:kern w:val="0"/>
        </w:rPr>
        <w:t>管、</w:t>
      </w:r>
      <w:r>
        <w:rPr>
          <w:rFonts w:hint="eastAsia" w:cs="Times New Roman"/>
          <w:color w:val="auto"/>
          <w:kern w:val="0"/>
        </w:rPr>
        <w:t>焊接钢管、检查井、</w:t>
      </w:r>
      <w:r>
        <w:rPr>
          <w:rFonts w:cs="Times New Roman"/>
          <w:color w:val="auto"/>
          <w:kern w:val="0"/>
        </w:rPr>
        <w:t>钢管、钢筋、混凝土等。全部招标，招标组织形式是委托招标，招标方式是公开招标。重要材料包含在建筑工程中，设备包含在安装工程中。</w:t>
      </w:r>
    </w:p>
    <w:p>
      <w:pPr>
        <w:spacing w:after="200" w:line="220" w:lineRule="atLeast"/>
        <w:ind w:firstLine="0" w:firstLineChars="0"/>
        <w:rPr>
          <w:rFonts w:cs="Times New Roman"/>
          <w:color w:val="auto"/>
          <w:szCs w:val="28"/>
          <w:lang w:val="zh-CN"/>
        </w:rPr>
      </w:pPr>
      <w:r>
        <w:rPr>
          <w:rFonts w:cs="Times New Roman"/>
          <w:color w:val="auto"/>
          <w:szCs w:val="28"/>
          <w:lang w:val="zh-CN"/>
        </w:rPr>
        <w:t>具体见表10.4-1。</w:t>
      </w:r>
    </w:p>
    <w:p>
      <w:pPr>
        <w:spacing w:after="200" w:line="220" w:lineRule="atLeast"/>
        <w:ind w:firstLine="0" w:firstLineChars="0"/>
        <w:rPr>
          <w:rFonts w:cs="Times New Roman"/>
          <w:color w:val="auto"/>
        </w:rPr>
        <w:sectPr>
          <w:pgSz w:w="11906" w:h="16838"/>
          <w:pgMar w:top="1440" w:right="1559" w:bottom="1440" w:left="1559" w:header="708" w:footer="708" w:gutter="0"/>
          <w:cols w:space="708" w:num="1"/>
          <w:docGrid w:linePitch="360" w:charSpace="0"/>
        </w:sectPr>
      </w:pPr>
    </w:p>
    <w:bookmarkEnd w:id="373"/>
    <w:bookmarkEnd w:id="374"/>
    <w:bookmarkEnd w:id="375"/>
    <w:bookmarkEnd w:id="376"/>
    <w:p>
      <w:pPr>
        <w:pStyle w:val="366"/>
        <w:rPr>
          <w:rFonts w:eastAsia="仿宋_GB2312"/>
        </w:rPr>
      </w:pPr>
      <w:r>
        <w:rPr>
          <w:rFonts w:eastAsia="仿宋_GB2312"/>
        </w:rPr>
        <w:t>表10.4-1 项目招标情况</w:t>
      </w:r>
    </w:p>
    <w:p>
      <w:pPr>
        <w:ind w:firstLine="480"/>
        <w:rPr>
          <w:rFonts w:cs="Times New Roman"/>
          <w:color w:val="auto"/>
        </w:rPr>
      </w:pPr>
      <w:r>
        <w:rPr>
          <w:rFonts w:cs="Times New Roman"/>
          <w:color w:val="auto"/>
        </w:rPr>
        <w:t>项目单位：德宏州芒市人民政府</w:t>
      </w:r>
    </w:p>
    <w:p>
      <w:pPr>
        <w:ind w:firstLine="482"/>
        <w:rPr>
          <w:rFonts w:cs="Times New Roman"/>
          <w:b/>
          <w:color w:val="auto"/>
        </w:rPr>
      </w:pPr>
      <w:r>
        <w:rPr>
          <w:rFonts w:cs="Times New Roman"/>
          <w:b/>
          <w:color w:val="auto"/>
        </w:rPr>
        <w:t>项目名称：</w:t>
      </w:r>
      <w:r>
        <w:rPr>
          <w:rFonts w:hint="eastAsia" w:cs="Times New Roman"/>
          <w:color w:val="auto"/>
        </w:rPr>
        <w:t>德宏州芒市大河流域户拉断面水质提升项目</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04"/>
        <w:gridCol w:w="1236"/>
        <w:gridCol w:w="1236"/>
        <w:gridCol w:w="1236"/>
        <w:gridCol w:w="1236"/>
        <w:gridCol w:w="1236"/>
        <w:gridCol w:w="1236"/>
        <w:gridCol w:w="1237"/>
        <w:gridCol w:w="1863"/>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restart"/>
            <w:vAlign w:val="center"/>
          </w:tcPr>
          <w:p>
            <w:pPr>
              <w:pStyle w:val="114"/>
            </w:pPr>
            <w:r>
              <w:t>类别</w:t>
            </w:r>
          </w:p>
        </w:tc>
        <w:tc>
          <w:tcPr>
            <w:tcW w:w="0" w:type="auto"/>
            <w:gridSpan w:val="2"/>
            <w:vAlign w:val="center"/>
          </w:tcPr>
          <w:p>
            <w:pPr>
              <w:pStyle w:val="114"/>
            </w:pPr>
            <w:r>
              <w:t>招标范围</w:t>
            </w:r>
          </w:p>
        </w:tc>
        <w:tc>
          <w:tcPr>
            <w:tcW w:w="0" w:type="auto"/>
            <w:gridSpan w:val="2"/>
            <w:vAlign w:val="center"/>
          </w:tcPr>
          <w:p>
            <w:pPr>
              <w:pStyle w:val="114"/>
            </w:pPr>
            <w:r>
              <w:t>招标组织形式</w:t>
            </w:r>
          </w:p>
        </w:tc>
        <w:tc>
          <w:tcPr>
            <w:tcW w:w="0" w:type="auto"/>
            <w:gridSpan w:val="2"/>
            <w:vAlign w:val="center"/>
          </w:tcPr>
          <w:p>
            <w:pPr>
              <w:pStyle w:val="114"/>
            </w:pPr>
            <w:r>
              <w:t>招标方式</w:t>
            </w:r>
          </w:p>
        </w:tc>
        <w:tc>
          <w:tcPr>
            <w:tcW w:w="0" w:type="auto"/>
            <w:vMerge w:val="restart"/>
            <w:vAlign w:val="center"/>
          </w:tcPr>
          <w:p>
            <w:pPr>
              <w:pStyle w:val="114"/>
            </w:pPr>
            <w:r>
              <w:t>不采用</w:t>
            </w:r>
          </w:p>
          <w:p>
            <w:pPr>
              <w:pStyle w:val="114"/>
            </w:pPr>
            <w:r>
              <w:t>招标方式</w:t>
            </w:r>
          </w:p>
        </w:tc>
        <w:tc>
          <w:tcPr>
            <w:tcW w:w="0" w:type="auto"/>
            <w:vMerge w:val="restart"/>
            <w:vAlign w:val="center"/>
          </w:tcPr>
          <w:p>
            <w:pPr>
              <w:pStyle w:val="114"/>
            </w:pPr>
            <w:r>
              <w:t>招标估算金额</w:t>
            </w:r>
          </w:p>
          <w:p>
            <w:pPr>
              <w:pStyle w:val="114"/>
            </w:pPr>
            <w:r>
              <w:t>（万元）</w:t>
            </w:r>
          </w:p>
        </w:tc>
        <w:tc>
          <w:tcPr>
            <w:tcW w:w="0" w:type="auto"/>
            <w:vMerge w:val="restart"/>
            <w:vAlign w:val="center"/>
          </w:tcPr>
          <w:p>
            <w:pPr>
              <w:pStyle w:val="114"/>
            </w:pPr>
            <w: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Merge w:val="continue"/>
            <w:vAlign w:val="center"/>
          </w:tcPr>
          <w:p>
            <w:pPr>
              <w:pStyle w:val="114"/>
            </w:pPr>
          </w:p>
        </w:tc>
        <w:tc>
          <w:tcPr>
            <w:tcW w:w="0" w:type="auto"/>
            <w:vAlign w:val="center"/>
          </w:tcPr>
          <w:p>
            <w:pPr>
              <w:pStyle w:val="114"/>
            </w:pPr>
            <w:r>
              <w:t>全部招标</w:t>
            </w:r>
          </w:p>
        </w:tc>
        <w:tc>
          <w:tcPr>
            <w:tcW w:w="0" w:type="auto"/>
            <w:vAlign w:val="center"/>
          </w:tcPr>
          <w:p>
            <w:pPr>
              <w:pStyle w:val="114"/>
            </w:pPr>
            <w:r>
              <w:t>部分招标</w:t>
            </w:r>
          </w:p>
        </w:tc>
        <w:tc>
          <w:tcPr>
            <w:tcW w:w="0" w:type="auto"/>
            <w:vAlign w:val="center"/>
          </w:tcPr>
          <w:p>
            <w:pPr>
              <w:pStyle w:val="114"/>
            </w:pPr>
            <w:r>
              <w:t>自行招标</w:t>
            </w:r>
          </w:p>
        </w:tc>
        <w:tc>
          <w:tcPr>
            <w:tcW w:w="0" w:type="auto"/>
            <w:vAlign w:val="center"/>
          </w:tcPr>
          <w:p>
            <w:pPr>
              <w:pStyle w:val="114"/>
            </w:pPr>
            <w:r>
              <w:t>委托招标</w:t>
            </w:r>
          </w:p>
        </w:tc>
        <w:tc>
          <w:tcPr>
            <w:tcW w:w="0" w:type="auto"/>
            <w:vAlign w:val="center"/>
          </w:tcPr>
          <w:p>
            <w:pPr>
              <w:pStyle w:val="114"/>
            </w:pPr>
            <w:r>
              <w:t>公开招标</w:t>
            </w:r>
          </w:p>
        </w:tc>
        <w:tc>
          <w:tcPr>
            <w:tcW w:w="0" w:type="auto"/>
            <w:vAlign w:val="center"/>
          </w:tcPr>
          <w:p>
            <w:pPr>
              <w:pStyle w:val="114"/>
            </w:pPr>
            <w:r>
              <w:t>邀请招标</w:t>
            </w:r>
          </w:p>
        </w:tc>
        <w:tc>
          <w:tcPr>
            <w:tcW w:w="0" w:type="auto"/>
            <w:vMerge w:val="continue"/>
            <w:vAlign w:val="center"/>
          </w:tcPr>
          <w:p>
            <w:pPr>
              <w:pStyle w:val="114"/>
            </w:pPr>
          </w:p>
        </w:tc>
        <w:tc>
          <w:tcPr>
            <w:tcW w:w="0" w:type="auto"/>
            <w:vMerge w:val="continue"/>
            <w:vAlign w:val="center"/>
          </w:tcPr>
          <w:p>
            <w:pPr>
              <w:pStyle w:val="114"/>
            </w:pPr>
          </w:p>
        </w:tc>
        <w:tc>
          <w:tcPr>
            <w:tcW w:w="0" w:type="auto"/>
            <w:vMerge w:val="continue"/>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勘察</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rPr>
                <w:lang w:val="zh-CN"/>
              </w:rPr>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设计</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rPr>
                <w:lang w:val="zh-CN"/>
              </w:rPr>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建设工程及设备</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r>
              <w:t>含建筑材料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安装工程</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监理</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重要材料</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r>
              <w:t>√</w:t>
            </w:r>
          </w:p>
        </w:tc>
        <w:tc>
          <w:tcPr>
            <w:tcW w:w="0" w:type="auto"/>
            <w:vAlign w:val="center"/>
          </w:tcPr>
          <w:p>
            <w:pPr>
              <w:pStyle w:val="114"/>
            </w:pPr>
            <w:r>
              <w:t>√</w:t>
            </w: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其他</w:t>
            </w: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114"/>
            </w:pPr>
            <w:r>
              <w:t>合计</w:t>
            </w:r>
          </w:p>
        </w:tc>
        <w:tc>
          <w:tcPr>
            <w:tcW w:w="0" w:type="auto"/>
            <w:gridSpan w:val="7"/>
            <w:vAlign w:val="center"/>
          </w:tcPr>
          <w:p>
            <w:pPr>
              <w:pStyle w:val="114"/>
            </w:pPr>
          </w:p>
        </w:tc>
        <w:tc>
          <w:tcPr>
            <w:tcW w:w="0" w:type="auto"/>
            <w:vAlign w:val="center"/>
          </w:tcPr>
          <w:p>
            <w:pPr>
              <w:pStyle w:val="114"/>
            </w:pPr>
          </w:p>
        </w:tc>
        <w:tc>
          <w:tcPr>
            <w:tcW w:w="0" w:type="auto"/>
            <w:vAlign w:val="center"/>
          </w:tcPr>
          <w:p>
            <w:pPr>
              <w:pStyle w:val="11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gridSpan w:val="10"/>
            <w:vAlign w:val="center"/>
          </w:tcPr>
          <w:p>
            <w:pPr>
              <w:pStyle w:val="114"/>
            </w:pPr>
            <w:r>
              <w:t>情况说明：</w:t>
            </w:r>
          </w:p>
          <w:p>
            <w:pPr>
              <w:pStyle w:val="114"/>
            </w:pPr>
            <w:r>
              <w:t>根据</w:t>
            </w:r>
            <w:bookmarkStart w:id="487" w:name="_GoBack"/>
            <w:bookmarkEnd w:id="487"/>
            <w:r>
              <w:rPr>
                <w:lang w:val="en-US"/>
              </w:rPr>
              <w:t>《中华人民共和国招标投标法》</w:t>
            </w:r>
            <w:r>
              <w:t>的有关规定，该项目的建设工程和设备购置将委托有资质的招投标代理公司进行公开招标；其他项不采用招标方式，主要是有勘察、设计、监理和其他费用等；在实际实施过程中，如有涉及需要招标项目，按</w:t>
            </w:r>
            <w:r>
              <w:rPr>
                <w:lang w:val="en-US"/>
              </w:rPr>
              <w:t>《中华人民共和国招标投标法》</w:t>
            </w:r>
            <w:r>
              <w:t>的相关规定执行。</w:t>
            </w:r>
          </w:p>
          <w:p>
            <w:pPr>
              <w:pStyle w:val="114"/>
            </w:pPr>
            <w:r>
              <w:t xml:space="preserve">                                                                                          建设单位盖章：</w:t>
            </w:r>
          </w:p>
          <w:p>
            <w:pPr>
              <w:pStyle w:val="114"/>
            </w:pPr>
            <w:r>
              <w:t xml:space="preserve">                                                                                          年   月   日</w:t>
            </w:r>
          </w:p>
        </w:tc>
      </w:tr>
    </w:tbl>
    <w:p>
      <w:pPr>
        <w:ind w:firstLine="420"/>
        <w:rPr>
          <w:rFonts w:cs="Times New Roman"/>
          <w:color w:val="auto"/>
          <w:sz w:val="21"/>
          <w:szCs w:val="21"/>
        </w:rPr>
      </w:pPr>
      <w:r>
        <w:rPr>
          <w:rFonts w:cs="Times New Roman"/>
          <w:color w:val="auto"/>
          <w:sz w:val="21"/>
          <w:szCs w:val="21"/>
        </w:rPr>
        <w:t>注：情况说明在表内填写不下，可另附页。</w:t>
      </w:r>
    </w:p>
    <w:p>
      <w:pPr>
        <w:spacing w:after="200" w:line="220" w:lineRule="atLeast"/>
        <w:ind w:firstLine="0" w:firstLineChars="0"/>
        <w:rPr>
          <w:rFonts w:cs="Times New Roman"/>
          <w:color w:val="auto"/>
          <w:lang w:val="zh-CN"/>
        </w:rPr>
        <w:sectPr>
          <w:pgSz w:w="16838" w:h="11906" w:orient="landscape"/>
          <w:pgMar w:top="1800" w:right="1440" w:bottom="1800" w:left="1440" w:header="708" w:footer="708" w:gutter="0"/>
          <w:cols w:space="708" w:num="1"/>
          <w:docGrid w:linePitch="360" w:charSpace="0"/>
        </w:sectPr>
      </w:pPr>
    </w:p>
    <w:p>
      <w:pPr>
        <w:pStyle w:val="3"/>
        <w:rPr>
          <w:color w:val="auto"/>
        </w:rPr>
      </w:pPr>
      <w:bookmarkStart w:id="392" w:name="_Toc36126999"/>
      <w:bookmarkStart w:id="393" w:name="_Toc48640806"/>
      <w:bookmarkStart w:id="394" w:name="_Toc35615155"/>
      <w:r>
        <w:rPr>
          <w:color w:val="auto"/>
        </w:rPr>
        <w:t>工程投资与资金筹措</w:t>
      </w:r>
      <w:bookmarkEnd w:id="392"/>
      <w:bookmarkEnd w:id="393"/>
      <w:bookmarkEnd w:id="394"/>
    </w:p>
    <w:p>
      <w:pPr>
        <w:pStyle w:val="4"/>
      </w:pPr>
      <w:bookmarkStart w:id="395" w:name="_Toc36127000"/>
      <w:bookmarkStart w:id="396" w:name="_Toc48640807"/>
      <w:bookmarkStart w:id="397" w:name="_Toc420660111"/>
      <w:bookmarkStart w:id="398" w:name="_Toc447620807"/>
      <w:r>
        <w:t>编制依据</w:t>
      </w:r>
      <w:bookmarkEnd w:id="395"/>
      <w:bookmarkEnd w:id="396"/>
      <w:bookmarkEnd w:id="397"/>
      <w:bookmarkEnd w:id="398"/>
    </w:p>
    <w:p>
      <w:pPr>
        <w:pStyle w:val="5"/>
      </w:pPr>
      <w:bookmarkStart w:id="399" w:name="_Toc443896766"/>
      <w:bookmarkStart w:id="400" w:name="_Toc420660112"/>
      <w:bookmarkStart w:id="401" w:name="_Toc447620808"/>
      <w:bookmarkStart w:id="402" w:name="_Toc48640808"/>
      <w:bookmarkStart w:id="403" w:name="_Toc447117739"/>
      <w:bookmarkStart w:id="404" w:name="_Toc36127001"/>
      <w:bookmarkStart w:id="405" w:name="_Toc443991076"/>
      <w:bookmarkStart w:id="406" w:name="_Toc447117574"/>
      <w:bookmarkStart w:id="407" w:name="_Toc445545172"/>
      <w:r>
        <w:t>文件依据</w:t>
      </w:r>
      <w:bookmarkEnd w:id="399"/>
      <w:bookmarkEnd w:id="400"/>
      <w:bookmarkEnd w:id="401"/>
      <w:bookmarkEnd w:id="402"/>
      <w:bookmarkEnd w:id="403"/>
      <w:bookmarkEnd w:id="404"/>
      <w:bookmarkEnd w:id="405"/>
      <w:bookmarkEnd w:id="406"/>
      <w:bookmarkEnd w:id="407"/>
    </w:p>
    <w:p>
      <w:pPr>
        <w:ind w:firstLine="480"/>
        <w:rPr>
          <w:rFonts w:cs="Times New Roman"/>
          <w:color w:val="auto"/>
        </w:rPr>
      </w:pPr>
      <w:r>
        <w:rPr>
          <w:rFonts w:cs="Times New Roman"/>
          <w:color w:val="auto"/>
        </w:rPr>
        <w:t>本</w:t>
      </w:r>
      <w:r>
        <w:rPr>
          <w:rFonts w:hint="eastAsia" w:cs="Times New Roman"/>
          <w:color w:val="auto"/>
        </w:rPr>
        <w:t>估算</w:t>
      </w:r>
      <w:r>
        <w:rPr>
          <w:rFonts w:cs="Times New Roman"/>
          <w:color w:val="auto"/>
        </w:rPr>
        <w:t>以国家现行建设项目方案</w:t>
      </w:r>
      <w:r>
        <w:rPr>
          <w:rFonts w:hint="eastAsia" w:cs="Times New Roman"/>
          <w:color w:val="auto"/>
        </w:rPr>
        <w:t>估算</w:t>
      </w:r>
      <w:r>
        <w:rPr>
          <w:rFonts w:cs="Times New Roman"/>
          <w:color w:val="auto"/>
        </w:rPr>
        <w:t>编制办法及有关规定为原则编制，主要文件依据有：</w:t>
      </w:r>
    </w:p>
    <w:p>
      <w:pPr>
        <w:ind w:firstLine="480"/>
        <w:rPr>
          <w:rFonts w:cs="Times New Roman"/>
          <w:color w:val="auto"/>
        </w:rPr>
      </w:pPr>
      <w:r>
        <w:rPr>
          <w:rFonts w:cs="Times New Roman"/>
          <w:color w:val="auto"/>
        </w:rPr>
        <w:t>（1）以实施方案说明、图纸作为编制</w:t>
      </w:r>
      <w:r>
        <w:rPr>
          <w:rFonts w:hint="eastAsia" w:cs="Times New Roman"/>
          <w:color w:val="auto"/>
        </w:rPr>
        <w:t>估算</w:t>
      </w:r>
      <w:r>
        <w:rPr>
          <w:rFonts w:cs="Times New Roman"/>
          <w:color w:val="auto"/>
        </w:rPr>
        <w:t>的基础依据；</w:t>
      </w:r>
    </w:p>
    <w:p>
      <w:pPr>
        <w:ind w:firstLine="480"/>
        <w:rPr>
          <w:rFonts w:cs="Times New Roman"/>
          <w:color w:val="auto"/>
        </w:rPr>
      </w:pPr>
      <w:r>
        <w:rPr>
          <w:rFonts w:cs="Times New Roman"/>
          <w:color w:val="auto"/>
        </w:rPr>
        <w:t>（2）《建设工程工程量清单计价规范》（GB50500-2013）；</w:t>
      </w:r>
    </w:p>
    <w:p>
      <w:pPr>
        <w:ind w:firstLine="480"/>
        <w:rPr>
          <w:rFonts w:cs="Times New Roman"/>
          <w:color w:val="auto"/>
        </w:rPr>
      </w:pPr>
      <w:r>
        <w:rPr>
          <w:rFonts w:cs="Times New Roman"/>
          <w:color w:val="auto"/>
        </w:rPr>
        <w:t>（3）《云南省建设工程造价计价规则》（DBJ 53/T-58-2013）；</w:t>
      </w:r>
    </w:p>
    <w:p>
      <w:pPr>
        <w:ind w:firstLine="480"/>
        <w:rPr>
          <w:rFonts w:cs="Times New Roman"/>
          <w:color w:val="auto"/>
        </w:rPr>
      </w:pPr>
      <w:r>
        <w:rPr>
          <w:rFonts w:cs="Times New Roman"/>
          <w:color w:val="auto"/>
        </w:rPr>
        <w:t>（4）《云南省房屋建筑与装饰工程消耗量定额》（DBJ 53/T-61-2013）；</w:t>
      </w:r>
    </w:p>
    <w:p>
      <w:pPr>
        <w:ind w:firstLine="480"/>
        <w:rPr>
          <w:rFonts w:cs="Times New Roman"/>
          <w:color w:val="auto"/>
        </w:rPr>
      </w:pPr>
      <w:r>
        <w:rPr>
          <w:rFonts w:cs="Times New Roman"/>
          <w:color w:val="auto"/>
        </w:rPr>
        <w:t>（5）《云南省通用安装工程消耗量定额》（DBJ 53/T-61-2013）；</w:t>
      </w:r>
    </w:p>
    <w:p>
      <w:pPr>
        <w:ind w:firstLine="480"/>
        <w:rPr>
          <w:rFonts w:cs="Times New Roman"/>
          <w:color w:val="auto"/>
        </w:rPr>
      </w:pPr>
      <w:r>
        <w:rPr>
          <w:rFonts w:cs="Times New Roman"/>
          <w:color w:val="auto"/>
        </w:rPr>
        <w:t>（6）《市政工程设计设计概算编制办法》（建标【2011】1号文）；</w:t>
      </w:r>
    </w:p>
    <w:p>
      <w:pPr>
        <w:ind w:firstLine="480"/>
        <w:rPr>
          <w:rFonts w:cs="Times New Roman"/>
          <w:color w:val="auto"/>
        </w:rPr>
      </w:pPr>
      <w:r>
        <w:rPr>
          <w:rFonts w:cs="Times New Roman"/>
          <w:color w:val="auto"/>
        </w:rPr>
        <w:t>（7）关于调整建安工程造价税金计算系数的通知（云建标【2011】454号；</w:t>
      </w:r>
    </w:p>
    <w:p>
      <w:pPr>
        <w:ind w:firstLine="480"/>
        <w:rPr>
          <w:rFonts w:cs="Times New Roman"/>
          <w:color w:val="auto"/>
        </w:rPr>
      </w:pPr>
      <w:r>
        <w:rPr>
          <w:rFonts w:cs="Times New Roman"/>
          <w:color w:val="auto"/>
        </w:rPr>
        <w:t>（8）《云南省市政工程消耗量定额》（DBJ 53/T-59-2013）；</w:t>
      </w:r>
    </w:p>
    <w:p>
      <w:pPr>
        <w:ind w:firstLine="480"/>
        <w:rPr>
          <w:rFonts w:cs="Times New Roman"/>
          <w:color w:val="auto"/>
        </w:rPr>
      </w:pPr>
      <w:r>
        <w:rPr>
          <w:rFonts w:cs="Times New Roman"/>
          <w:color w:val="auto"/>
        </w:rPr>
        <w:t>（9）《云南省园林工程消耗量定额》（DBJ 53/T-60-2013）；</w:t>
      </w:r>
    </w:p>
    <w:p>
      <w:pPr>
        <w:ind w:firstLine="480"/>
        <w:rPr>
          <w:rFonts w:cs="Times New Roman"/>
          <w:color w:val="auto"/>
        </w:rPr>
      </w:pPr>
      <w:r>
        <w:rPr>
          <w:rFonts w:cs="Times New Roman"/>
          <w:color w:val="auto"/>
        </w:rPr>
        <w:t>（1</w:t>
      </w:r>
      <w:r>
        <w:rPr>
          <w:rFonts w:hint="eastAsia" w:cs="Times New Roman"/>
          <w:color w:val="auto"/>
        </w:rPr>
        <w:t>0</w:t>
      </w:r>
      <w:r>
        <w:rPr>
          <w:rFonts w:cs="Times New Roman"/>
          <w:color w:val="auto"/>
        </w:rPr>
        <w:t>）与该工程建设相关的建设相关的建设标准、规范、技术要求等</w:t>
      </w:r>
      <w:r>
        <w:rPr>
          <w:rFonts w:hint="eastAsia" w:cs="Times New Roman"/>
          <w:color w:val="auto"/>
        </w:rPr>
        <w:t>；</w:t>
      </w:r>
    </w:p>
    <w:p>
      <w:pPr>
        <w:ind w:firstLine="480"/>
        <w:rPr>
          <w:rFonts w:cs="Times New Roman"/>
          <w:color w:val="auto"/>
        </w:rPr>
      </w:pPr>
      <w:r>
        <w:rPr>
          <w:rFonts w:cs="Times New Roman"/>
          <w:color w:val="auto"/>
        </w:rPr>
        <w:t>（1</w:t>
      </w:r>
      <w:r>
        <w:rPr>
          <w:rFonts w:hint="eastAsia" w:cs="Times New Roman"/>
          <w:color w:val="auto"/>
        </w:rPr>
        <w:t>1</w:t>
      </w:r>
      <w:r>
        <w:rPr>
          <w:rFonts w:cs="Times New Roman"/>
          <w:color w:val="auto"/>
        </w:rPr>
        <w:t>）以上定额不足的部分采用现行有关概预算定额作为参考和补充。</w:t>
      </w:r>
    </w:p>
    <w:p>
      <w:pPr>
        <w:pStyle w:val="5"/>
      </w:pPr>
      <w:bookmarkStart w:id="408" w:name="_Toc447620809"/>
      <w:bookmarkStart w:id="409" w:name="_Toc447117740"/>
      <w:bookmarkStart w:id="410" w:name="_Toc36127002"/>
      <w:bookmarkStart w:id="411" w:name="_Toc420660113"/>
      <w:bookmarkStart w:id="412" w:name="_Toc48640809"/>
      <w:bookmarkStart w:id="413" w:name="_Toc443896767"/>
      <w:bookmarkStart w:id="414" w:name="_Toc445545173"/>
      <w:bookmarkStart w:id="415" w:name="_Toc447117575"/>
      <w:bookmarkStart w:id="416" w:name="_Toc443991077"/>
      <w:r>
        <w:t>工程材料价格</w:t>
      </w:r>
      <w:bookmarkEnd w:id="408"/>
      <w:bookmarkEnd w:id="409"/>
      <w:bookmarkEnd w:id="410"/>
      <w:bookmarkEnd w:id="411"/>
      <w:bookmarkEnd w:id="412"/>
      <w:bookmarkEnd w:id="413"/>
      <w:bookmarkEnd w:id="414"/>
      <w:bookmarkEnd w:id="415"/>
      <w:bookmarkEnd w:id="416"/>
    </w:p>
    <w:p>
      <w:pPr>
        <w:ind w:firstLine="480"/>
        <w:rPr>
          <w:rFonts w:cs="Times New Roman"/>
          <w:color w:val="auto"/>
        </w:rPr>
      </w:pPr>
      <w:r>
        <w:rPr>
          <w:rFonts w:cs="Times New Roman"/>
          <w:color w:val="auto"/>
        </w:rPr>
        <w:t>（1）材料价格：主要依据《德宏州建筑价格信息》 2020年</w:t>
      </w:r>
      <w:r>
        <w:rPr>
          <w:rFonts w:hint="eastAsia" w:cs="Times New Roman"/>
          <w:color w:val="auto"/>
        </w:rPr>
        <w:t>4</w:t>
      </w:r>
      <w:r>
        <w:rPr>
          <w:rFonts w:cs="Times New Roman"/>
          <w:color w:val="auto"/>
        </w:rPr>
        <w:t>月份价格。</w:t>
      </w:r>
    </w:p>
    <w:p>
      <w:pPr>
        <w:ind w:firstLine="480"/>
        <w:rPr>
          <w:rFonts w:cs="Times New Roman"/>
          <w:color w:val="auto"/>
        </w:rPr>
      </w:pPr>
      <w:r>
        <w:rPr>
          <w:rFonts w:cs="Times New Roman"/>
          <w:color w:val="auto"/>
        </w:rPr>
        <w:t>（2）设备及安装材料价格：根据现行市场价格（询价）及类似工程订货价格编制。</w:t>
      </w:r>
    </w:p>
    <w:p>
      <w:pPr>
        <w:pStyle w:val="5"/>
      </w:pPr>
      <w:bookmarkStart w:id="417" w:name="_Toc36127003"/>
      <w:bookmarkStart w:id="418" w:name="_Toc447620810"/>
      <w:bookmarkStart w:id="419" w:name="_Toc48640810"/>
      <w:bookmarkStart w:id="420" w:name="_Toc443991078"/>
      <w:bookmarkStart w:id="421" w:name="_Toc420660114"/>
      <w:bookmarkStart w:id="422" w:name="_Toc447117576"/>
      <w:bookmarkStart w:id="423" w:name="_Toc443896768"/>
      <w:bookmarkStart w:id="424" w:name="_Toc447117741"/>
      <w:bookmarkStart w:id="425" w:name="_Toc445545174"/>
      <w:r>
        <w:t>其它费用（部分）计算说明</w:t>
      </w:r>
      <w:bookmarkEnd w:id="417"/>
      <w:bookmarkEnd w:id="418"/>
      <w:bookmarkEnd w:id="419"/>
      <w:bookmarkEnd w:id="420"/>
      <w:bookmarkEnd w:id="421"/>
      <w:bookmarkEnd w:id="422"/>
      <w:bookmarkEnd w:id="423"/>
      <w:bookmarkEnd w:id="424"/>
      <w:bookmarkEnd w:id="425"/>
    </w:p>
    <w:p>
      <w:pPr>
        <w:pStyle w:val="110"/>
        <w:numPr>
          <w:ilvl w:val="0"/>
          <w:numId w:val="27"/>
        </w:numPr>
        <w:ind w:firstLineChars="0"/>
      </w:pPr>
      <w:r>
        <w:rPr>
          <w:rFonts w:hint="eastAsia"/>
        </w:rPr>
        <w:t>建设用地使用费</w:t>
      </w:r>
    </w:p>
    <w:p>
      <w:pPr>
        <w:ind w:firstLine="480"/>
        <w:rPr>
          <w:color w:val="auto"/>
        </w:rPr>
      </w:pPr>
      <w:r>
        <w:rPr>
          <w:color w:val="auto"/>
        </w:rPr>
        <w:t>本项目所涉及的污水处理系统</w:t>
      </w:r>
      <w:r>
        <w:rPr>
          <w:rFonts w:hint="eastAsia"/>
          <w:color w:val="auto"/>
          <w:kern w:val="0"/>
        </w:rPr>
        <w:t>合计占地0.7</w:t>
      </w:r>
      <w:r>
        <w:rPr>
          <w:color w:val="auto"/>
          <w:kern w:val="0"/>
        </w:rPr>
        <w:t>亩</w:t>
      </w:r>
      <w:r>
        <w:rPr>
          <w:color w:val="auto"/>
        </w:rPr>
        <w:t>，</w:t>
      </w:r>
      <w:r>
        <w:rPr>
          <w:rFonts w:hint="eastAsia"/>
          <w:color w:val="auto"/>
        </w:rPr>
        <w:t>采取征地形式，征地费为9.0万元/亩，青苗补偿费2000元/亩，</w:t>
      </w:r>
      <w:r>
        <w:rPr>
          <w:color w:val="auto"/>
        </w:rPr>
        <w:t>故本项目</w:t>
      </w:r>
      <w:r>
        <w:rPr>
          <w:rFonts w:hint="eastAsia"/>
          <w:color w:val="auto"/>
        </w:rPr>
        <w:t>建设用地费用6.49万元</w:t>
      </w:r>
      <w:r>
        <w:rPr>
          <w:color w:val="auto"/>
        </w:rPr>
        <w:t>。</w:t>
      </w:r>
    </w:p>
    <w:p>
      <w:pPr>
        <w:pStyle w:val="110"/>
        <w:numPr>
          <w:ilvl w:val="0"/>
          <w:numId w:val="27"/>
        </w:numPr>
        <w:ind w:firstLineChars="0"/>
      </w:pPr>
      <w:r>
        <w:t>建设单位管理费：按财建[20</w:t>
      </w:r>
      <w:r>
        <w:rPr>
          <w:rFonts w:hint="eastAsia"/>
        </w:rPr>
        <w:t>16</w:t>
      </w:r>
      <w:r>
        <w:t>]</w:t>
      </w:r>
      <w:r>
        <w:rPr>
          <w:rFonts w:hint="eastAsia"/>
        </w:rPr>
        <w:t xml:space="preserve"> 50</w:t>
      </w:r>
      <w:r>
        <w:t>4号文计算；</w:t>
      </w:r>
    </w:p>
    <w:p>
      <w:pPr>
        <w:pStyle w:val="110"/>
        <w:numPr>
          <w:ilvl w:val="0"/>
          <w:numId w:val="27"/>
        </w:numPr>
        <w:ind w:firstLineChars="0"/>
      </w:pPr>
      <w:r>
        <w:t>建设监理费：按2007年工程监理收费标准[20</w:t>
      </w:r>
      <w:r>
        <w:rPr>
          <w:rFonts w:hint="eastAsia"/>
        </w:rPr>
        <w:t>07</w:t>
      </w:r>
      <w:r>
        <w:t>]</w:t>
      </w:r>
      <w:r>
        <w:rPr>
          <w:rFonts w:hint="eastAsia"/>
        </w:rPr>
        <w:t xml:space="preserve"> 670</w:t>
      </w:r>
      <w:r>
        <w:t>号文；</w:t>
      </w:r>
    </w:p>
    <w:p>
      <w:pPr>
        <w:pStyle w:val="110"/>
        <w:numPr>
          <w:ilvl w:val="0"/>
          <w:numId w:val="27"/>
        </w:numPr>
        <w:ind w:firstLineChars="0"/>
      </w:pPr>
      <w:r>
        <w:t>前期工作费：按计价格[1999]1283号文计算；</w:t>
      </w:r>
    </w:p>
    <w:p>
      <w:pPr>
        <w:pStyle w:val="110"/>
        <w:numPr>
          <w:ilvl w:val="0"/>
          <w:numId w:val="27"/>
        </w:numPr>
        <w:ind w:firstLineChars="0"/>
      </w:pPr>
      <w:r>
        <w:t>勘测费：按建安工程费的1％计算；</w:t>
      </w:r>
    </w:p>
    <w:p>
      <w:pPr>
        <w:pStyle w:val="110"/>
        <w:numPr>
          <w:ilvl w:val="0"/>
          <w:numId w:val="27"/>
        </w:numPr>
        <w:ind w:firstLineChars="0"/>
      </w:pPr>
      <w:r>
        <w:t>设计费：按工程勘察设计收费标准（2002年修订本）计算；</w:t>
      </w:r>
    </w:p>
    <w:p>
      <w:pPr>
        <w:pStyle w:val="110"/>
        <w:numPr>
          <w:ilvl w:val="0"/>
          <w:numId w:val="27"/>
        </w:numPr>
        <w:ind w:firstLineChars="0"/>
      </w:pPr>
      <w:r>
        <w:t>施工图预算编制费：按设计费的10％计算；</w:t>
      </w:r>
    </w:p>
    <w:p>
      <w:pPr>
        <w:pStyle w:val="110"/>
        <w:numPr>
          <w:ilvl w:val="0"/>
          <w:numId w:val="27"/>
        </w:numPr>
        <w:ind w:firstLineChars="0"/>
      </w:pPr>
      <w:r>
        <w:t>环境影响咨询及验收费：按计价格[2002]125号计算；</w:t>
      </w:r>
    </w:p>
    <w:p>
      <w:pPr>
        <w:pStyle w:val="110"/>
        <w:numPr>
          <w:ilvl w:val="0"/>
          <w:numId w:val="27"/>
        </w:numPr>
        <w:ind w:firstLineChars="0"/>
      </w:pPr>
      <w:r>
        <w:t>水土保持方案编制费：水利部司局函保监(2005)22号；</w:t>
      </w:r>
    </w:p>
    <w:p>
      <w:pPr>
        <w:pStyle w:val="110"/>
        <w:numPr>
          <w:ilvl w:val="0"/>
          <w:numId w:val="27"/>
        </w:numPr>
        <w:ind w:firstLineChars="0"/>
      </w:pPr>
      <w:r>
        <w:t>工程造价咨询费：按云价综合[2012]66号计算，包括招标工程量清单编审，施工阶段全过程造价控制，竣工决算编审等费用。</w:t>
      </w:r>
    </w:p>
    <w:p>
      <w:pPr>
        <w:pStyle w:val="110"/>
        <w:numPr>
          <w:ilvl w:val="0"/>
          <w:numId w:val="27"/>
        </w:numPr>
        <w:ind w:firstLineChars="0"/>
      </w:pPr>
      <w:r>
        <w:t>劳动安全卫生审费：按建安工程费的0.25％计算；</w:t>
      </w:r>
    </w:p>
    <w:p>
      <w:pPr>
        <w:pStyle w:val="110"/>
        <w:numPr>
          <w:ilvl w:val="0"/>
          <w:numId w:val="27"/>
        </w:numPr>
        <w:ind w:firstLineChars="0"/>
      </w:pPr>
      <w:r>
        <w:t>场地准备及临时设施费：建安工程费的1％；</w:t>
      </w:r>
    </w:p>
    <w:p>
      <w:pPr>
        <w:pStyle w:val="110"/>
        <w:numPr>
          <w:ilvl w:val="0"/>
          <w:numId w:val="27"/>
        </w:numPr>
        <w:ind w:firstLineChars="0"/>
      </w:pPr>
      <w:r>
        <w:t>工程保险费：按建安工程费的0.5％计算；</w:t>
      </w:r>
    </w:p>
    <w:p>
      <w:pPr>
        <w:pStyle w:val="110"/>
        <w:numPr>
          <w:ilvl w:val="0"/>
          <w:numId w:val="27"/>
        </w:numPr>
        <w:ind w:firstLineChars="0"/>
      </w:pPr>
      <w:r>
        <w:t>施工图审查费：按勘测设计费的7％计算；</w:t>
      </w:r>
    </w:p>
    <w:p>
      <w:pPr>
        <w:pStyle w:val="110"/>
        <w:numPr>
          <w:ilvl w:val="0"/>
          <w:numId w:val="27"/>
        </w:numPr>
        <w:ind w:firstLineChars="0"/>
      </w:pPr>
      <w:r>
        <w:t>招标代理服务费：按计价格[2002]1980号文计算；</w:t>
      </w:r>
    </w:p>
    <w:p>
      <w:pPr>
        <w:pStyle w:val="110"/>
        <w:numPr>
          <w:ilvl w:val="0"/>
          <w:numId w:val="27"/>
        </w:numPr>
        <w:ind w:firstLineChars="0"/>
      </w:pPr>
      <w:r>
        <w:t>基本预备费：</w:t>
      </w:r>
      <w:r>
        <w:rPr>
          <w:rFonts w:hint="eastAsia"/>
        </w:rPr>
        <w:t>建筑安装设备费</w:t>
      </w:r>
      <w:r>
        <w:rPr>
          <w:rFonts w:eastAsia="宋体"/>
        </w:rPr>
        <w:t>+</w:t>
      </w:r>
      <w:r>
        <w:rPr>
          <w:rFonts w:hint="eastAsia"/>
        </w:rPr>
        <w:t>工程建设其他费用</w:t>
      </w:r>
      <w:r>
        <w:rPr>
          <w:rFonts w:eastAsia="宋体"/>
        </w:rPr>
        <w:t>-</w:t>
      </w:r>
      <w:r>
        <w:rPr>
          <w:rFonts w:hint="eastAsia"/>
        </w:rPr>
        <w:t>土地使用费</w:t>
      </w:r>
      <w:r>
        <w:rPr>
          <w:rFonts w:eastAsia="宋体"/>
        </w:rPr>
        <w:t>&gt;×</w:t>
      </w:r>
      <w:r>
        <w:rPr>
          <w:rFonts w:hint="eastAsia" w:eastAsia="宋体"/>
        </w:rPr>
        <w:t>5</w:t>
      </w:r>
      <w:r>
        <w:rPr>
          <w:rFonts w:eastAsia="宋体"/>
        </w:rPr>
        <w:t>%</w:t>
      </w:r>
      <w:r>
        <w:t>计算；</w:t>
      </w:r>
    </w:p>
    <w:p>
      <w:pPr>
        <w:ind w:firstLine="480"/>
        <w:rPr>
          <w:rFonts w:cs="Times New Roman"/>
          <w:color w:val="auto"/>
        </w:rPr>
      </w:pPr>
      <w:r>
        <w:rPr>
          <w:rFonts w:cs="Times New Roman"/>
          <w:color w:val="auto"/>
        </w:rPr>
        <w:t>（</w:t>
      </w:r>
      <w:r>
        <w:rPr>
          <w:rFonts w:hint="eastAsia" w:cs="Times New Roman"/>
          <w:color w:val="auto"/>
        </w:rPr>
        <w:t>17</w:t>
      </w:r>
      <w:r>
        <w:rPr>
          <w:rFonts w:cs="Times New Roman"/>
          <w:color w:val="auto"/>
        </w:rPr>
        <w:t>）运行费计算</w:t>
      </w:r>
    </w:p>
    <w:p>
      <w:pPr>
        <w:ind w:firstLine="480"/>
        <w:rPr>
          <w:rFonts w:cs="Times New Roman"/>
          <w:color w:val="auto"/>
        </w:rPr>
      </w:pPr>
      <w:r>
        <w:rPr>
          <w:rFonts w:cs="Times New Roman"/>
          <w:color w:val="auto"/>
        </w:rPr>
        <w:t>本项目运行费主要为污水收集处理的维护的运行费用，考虑建设完成后污水收集处理设施将由</w:t>
      </w:r>
      <w:r>
        <w:rPr>
          <w:rFonts w:hint="eastAsia" w:cs="Times New Roman"/>
          <w:color w:val="auto"/>
        </w:rPr>
        <w:t>遮放镇</w:t>
      </w:r>
      <w:r>
        <w:rPr>
          <w:rFonts w:cs="Times New Roman"/>
          <w:color w:val="auto"/>
        </w:rPr>
        <w:t>统一管理，项目运行费用共</w:t>
      </w:r>
      <w:r>
        <w:rPr>
          <w:rFonts w:hint="eastAsia" w:cs="Times New Roman"/>
          <w:color w:val="auto"/>
        </w:rPr>
        <w:t>3.6</w:t>
      </w:r>
      <w:r>
        <w:rPr>
          <w:rFonts w:cs="Times New Roman"/>
          <w:color w:val="auto"/>
        </w:rPr>
        <w:t>万元，不列入项目总投资之中。</w:t>
      </w:r>
    </w:p>
    <w:p>
      <w:pPr>
        <w:pStyle w:val="4"/>
      </w:pPr>
      <w:bookmarkStart w:id="426" w:name="_Toc447620811"/>
      <w:bookmarkStart w:id="427" w:name="_Toc36127004"/>
      <w:bookmarkStart w:id="428" w:name="_Toc48640811"/>
      <w:bookmarkStart w:id="429" w:name="_Toc420660115"/>
      <w:r>
        <w:t>项目投资</w:t>
      </w:r>
      <w:bookmarkEnd w:id="426"/>
      <w:bookmarkEnd w:id="427"/>
      <w:bookmarkEnd w:id="428"/>
      <w:bookmarkEnd w:id="429"/>
    </w:p>
    <w:p>
      <w:pPr>
        <w:ind w:firstLine="480"/>
        <w:rPr>
          <w:color w:val="auto"/>
        </w:rPr>
      </w:pPr>
      <w:r>
        <w:rPr>
          <w:color w:val="auto"/>
        </w:rPr>
        <w:t>工程总投资</w:t>
      </w:r>
      <w:r>
        <w:rPr>
          <w:rFonts w:hint="eastAsia"/>
          <w:color w:val="auto"/>
        </w:rPr>
        <w:t>992.22</w:t>
      </w:r>
      <w:r>
        <w:rPr>
          <w:color w:val="auto"/>
        </w:rPr>
        <w:t>万元，其中工程费用</w:t>
      </w:r>
      <w:r>
        <w:rPr>
          <w:rFonts w:hint="eastAsia"/>
          <w:color w:val="auto"/>
        </w:rPr>
        <w:t>805.02</w:t>
      </w:r>
      <w:r>
        <w:rPr>
          <w:color w:val="auto"/>
        </w:rPr>
        <w:t>万元（其中村庄污水收集工程</w:t>
      </w:r>
      <w:r>
        <w:rPr>
          <w:rFonts w:hint="eastAsia"/>
          <w:color w:val="auto"/>
        </w:rPr>
        <w:t>678.42</w:t>
      </w:r>
      <w:r>
        <w:rPr>
          <w:color w:val="auto"/>
        </w:rPr>
        <w:t>万元，生活污水处理工程</w:t>
      </w:r>
      <w:r>
        <w:rPr>
          <w:rFonts w:hint="eastAsia"/>
          <w:color w:val="auto"/>
        </w:rPr>
        <w:t>126.6</w:t>
      </w:r>
      <w:r>
        <w:rPr>
          <w:color w:val="auto"/>
        </w:rPr>
        <w:t>万元），工程建设其他费用为</w:t>
      </w:r>
      <w:r>
        <w:rPr>
          <w:rFonts w:hint="eastAsia"/>
          <w:color w:val="auto"/>
        </w:rPr>
        <w:t>140.26</w:t>
      </w:r>
      <w:r>
        <w:rPr>
          <w:color w:val="auto"/>
        </w:rPr>
        <w:t>万元，预备费用为</w:t>
      </w:r>
      <w:r>
        <w:rPr>
          <w:rFonts w:hint="eastAsia"/>
          <w:color w:val="auto"/>
        </w:rPr>
        <w:t>46.94</w:t>
      </w:r>
      <w:r>
        <w:rPr>
          <w:color w:val="auto"/>
        </w:rPr>
        <w:t>万元。</w:t>
      </w:r>
    </w:p>
    <w:p>
      <w:pPr>
        <w:ind w:firstLine="480"/>
        <w:rPr>
          <w:color w:val="auto"/>
        </w:rPr>
      </w:pPr>
    </w:p>
    <w:p>
      <w:pPr>
        <w:ind w:firstLine="480"/>
        <w:rPr>
          <w:color w:val="auto"/>
        </w:rPr>
      </w:pPr>
      <w:r>
        <w:rPr>
          <w:color w:val="auto"/>
        </w:rPr>
        <w:t>项目总投资估算为</w:t>
      </w:r>
      <w:r>
        <w:rPr>
          <w:rFonts w:hint="eastAsia"/>
          <w:b/>
          <w:color w:val="auto"/>
        </w:rPr>
        <w:t>992.22</w:t>
      </w:r>
      <w:r>
        <w:rPr>
          <w:color w:val="auto"/>
        </w:rPr>
        <w:t>万元，其构成如下：</w:t>
      </w:r>
    </w:p>
    <w:p>
      <w:pPr>
        <w:ind w:firstLine="480"/>
        <w:rPr>
          <w:color w:val="auto"/>
        </w:rPr>
      </w:pPr>
      <w:r>
        <w:rPr>
          <w:color w:val="auto"/>
        </w:rPr>
        <w:t>第一部分：工程费用</w:t>
      </w:r>
      <w:r>
        <w:rPr>
          <w:rFonts w:hint="eastAsia"/>
          <w:b/>
          <w:color w:val="auto"/>
        </w:rPr>
        <w:t>805.02</w:t>
      </w:r>
      <w:r>
        <w:rPr>
          <w:color w:val="auto"/>
        </w:rPr>
        <w:t>万元，占8</w:t>
      </w:r>
      <w:r>
        <w:rPr>
          <w:rFonts w:hint="eastAsia"/>
          <w:color w:val="auto"/>
        </w:rPr>
        <w:t>1.13</w:t>
      </w:r>
      <w:r>
        <w:rPr>
          <w:color w:val="auto"/>
        </w:rPr>
        <w:t>%；</w:t>
      </w:r>
      <w:r>
        <w:rPr>
          <w:rFonts w:cs="Times New Roman"/>
          <w:color w:val="auto"/>
        </w:rPr>
        <w:t>其中村庄污水收集工程</w:t>
      </w:r>
      <w:r>
        <w:rPr>
          <w:rFonts w:hint="eastAsia" w:cs="Times New Roman"/>
          <w:color w:val="auto"/>
        </w:rPr>
        <w:t>678.42</w:t>
      </w:r>
      <w:r>
        <w:rPr>
          <w:rFonts w:cs="Times New Roman"/>
          <w:color w:val="auto"/>
        </w:rPr>
        <w:t>万元，生活污水处理工程</w:t>
      </w:r>
      <w:r>
        <w:rPr>
          <w:rFonts w:hint="eastAsia" w:cs="Times New Roman"/>
          <w:color w:val="auto"/>
        </w:rPr>
        <w:t>126.6</w:t>
      </w:r>
      <w:r>
        <w:rPr>
          <w:rFonts w:cs="Times New Roman"/>
          <w:color w:val="auto"/>
        </w:rPr>
        <w:t>万元</w:t>
      </w:r>
      <w:r>
        <w:rPr>
          <w:rFonts w:hint="eastAsia" w:cs="Times New Roman"/>
          <w:color w:val="auto"/>
        </w:rPr>
        <w:t>；</w:t>
      </w:r>
    </w:p>
    <w:p>
      <w:pPr>
        <w:ind w:firstLine="480"/>
        <w:rPr>
          <w:color w:val="auto"/>
        </w:rPr>
      </w:pPr>
      <w:r>
        <w:rPr>
          <w:color w:val="auto"/>
        </w:rPr>
        <w:t>第二部分：其它费用</w:t>
      </w:r>
      <w:r>
        <w:rPr>
          <w:rFonts w:hint="eastAsia"/>
          <w:b/>
          <w:color w:val="auto"/>
        </w:rPr>
        <w:t>140.26</w:t>
      </w:r>
      <w:r>
        <w:rPr>
          <w:color w:val="auto"/>
        </w:rPr>
        <w:t>万元，占</w:t>
      </w:r>
      <w:r>
        <w:rPr>
          <w:rFonts w:hint="eastAsia"/>
          <w:color w:val="auto"/>
        </w:rPr>
        <w:t>14.14</w:t>
      </w:r>
      <w:r>
        <w:rPr>
          <w:color w:val="auto"/>
        </w:rPr>
        <w:t>%；</w:t>
      </w:r>
    </w:p>
    <w:p>
      <w:pPr>
        <w:ind w:firstLine="480"/>
        <w:rPr>
          <w:color w:val="auto"/>
        </w:rPr>
      </w:pPr>
      <w:r>
        <w:rPr>
          <w:color w:val="auto"/>
        </w:rPr>
        <w:t>第三部分：预备费</w:t>
      </w:r>
      <w:r>
        <w:rPr>
          <w:rFonts w:hint="eastAsia"/>
          <w:b/>
          <w:color w:val="auto"/>
        </w:rPr>
        <w:t>46.94</w:t>
      </w:r>
      <w:r>
        <w:rPr>
          <w:color w:val="auto"/>
        </w:rPr>
        <w:t>万元，占4.7</w:t>
      </w:r>
      <w:r>
        <w:rPr>
          <w:rFonts w:hint="eastAsia"/>
          <w:color w:val="auto"/>
        </w:rPr>
        <w:t>3</w:t>
      </w:r>
      <w:r>
        <w:rPr>
          <w:color w:val="auto"/>
        </w:rPr>
        <w:t>%。</w:t>
      </w:r>
    </w:p>
    <w:p>
      <w:pPr>
        <w:ind w:firstLine="480"/>
        <w:rPr>
          <w:color w:val="auto"/>
        </w:rPr>
        <w:sectPr>
          <w:headerReference r:id="rId13" w:type="default"/>
          <w:pgSz w:w="11906" w:h="16838"/>
          <w:pgMar w:top="1245" w:right="1800" w:bottom="1440" w:left="1800" w:header="851" w:footer="481" w:gutter="0"/>
          <w:cols w:space="425" w:num="1"/>
          <w:docGrid w:type="lines" w:linePitch="312" w:charSpace="0"/>
        </w:sectPr>
      </w:pPr>
      <w:r>
        <w:rPr>
          <w:color w:val="auto"/>
        </w:rPr>
        <w:t>投资估算汇总见表</w:t>
      </w:r>
      <w:r>
        <w:rPr>
          <w:rFonts w:hint="eastAsia"/>
          <w:color w:val="auto"/>
        </w:rPr>
        <w:t>11</w:t>
      </w:r>
      <w:r>
        <w:rPr>
          <w:color w:val="auto"/>
        </w:rPr>
        <w:t>.2-1。</w:t>
      </w:r>
    </w:p>
    <w:p>
      <w:pPr>
        <w:pStyle w:val="112"/>
        <w:rPr>
          <w:color w:val="auto"/>
        </w:rPr>
      </w:pPr>
      <w:r>
        <w:rPr>
          <w:rFonts w:hint="eastAsia"/>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总投资估算表</w:t>
      </w:r>
    </w:p>
    <w:tbl>
      <w:tblPr>
        <w:tblStyle w:val="88"/>
        <w:tblW w:w="5000" w:type="pct"/>
        <w:tblInd w:w="0" w:type="dxa"/>
        <w:tblLayout w:type="autofit"/>
        <w:tblCellMar>
          <w:top w:w="0" w:type="dxa"/>
          <w:left w:w="108" w:type="dxa"/>
          <w:bottom w:w="0" w:type="dxa"/>
          <w:right w:w="108" w:type="dxa"/>
        </w:tblCellMar>
      </w:tblPr>
      <w:tblGrid>
        <w:gridCol w:w="1031"/>
        <w:gridCol w:w="3909"/>
        <w:gridCol w:w="1032"/>
        <w:gridCol w:w="1032"/>
        <w:gridCol w:w="1032"/>
        <w:gridCol w:w="1032"/>
        <w:gridCol w:w="1060"/>
        <w:gridCol w:w="638"/>
        <w:gridCol w:w="849"/>
        <w:gridCol w:w="1374"/>
        <w:gridCol w:w="1380"/>
      </w:tblGrid>
      <w:tr>
        <w:tblPrEx>
          <w:tblCellMar>
            <w:top w:w="0" w:type="dxa"/>
            <w:left w:w="108" w:type="dxa"/>
            <w:bottom w:w="0" w:type="dxa"/>
            <w:right w:w="108" w:type="dxa"/>
          </w:tblCellMar>
        </w:tblPrEx>
        <w:trPr>
          <w:trHeight w:val="315" w:hRule="atLeast"/>
          <w:tblHeader/>
        </w:trPr>
        <w:tc>
          <w:tcPr>
            <w:tcW w:w="36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rPr>
                <w:rFonts w:cs="Times New Roman"/>
                <w:b/>
                <w:bCs/>
                <w:color w:val="auto"/>
                <w:kern w:val="0"/>
                <w:sz w:val="21"/>
                <w:szCs w:val="21"/>
              </w:rPr>
            </w:pPr>
            <w:r>
              <w:rPr>
                <w:rFonts w:cs="Times New Roman"/>
                <w:b/>
                <w:bCs/>
                <w:color w:val="auto"/>
                <w:kern w:val="0"/>
                <w:sz w:val="21"/>
                <w:szCs w:val="21"/>
              </w:rPr>
              <w:t>序号</w:t>
            </w:r>
          </w:p>
        </w:tc>
        <w:tc>
          <w:tcPr>
            <w:tcW w:w="1364"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工程项目或费用名称</w:t>
            </w:r>
          </w:p>
        </w:tc>
        <w:tc>
          <w:tcPr>
            <w:tcW w:w="1815" w:type="pct"/>
            <w:gridSpan w:val="5"/>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估算</w:t>
            </w:r>
            <w:r>
              <w:rPr>
                <w:rFonts w:cs="Times New Roman"/>
                <w:b/>
                <w:bCs/>
                <w:color w:val="auto"/>
                <w:kern w:val="0"/>
                <w:sz w:val="21"/>
                <w:szCs w:val="21"/>
              </w:rPr>
              <w:t>费用（万元）</w:t>
            </w:r>
          </w:p>
        </w:tc>
        <w:tc>
          <w:tcPr>
            <w:tcW w:w="974" w:type="pct"/>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技术经济指标</w:t>
            </w:r>
          </w:p>
        </w:tc>
        <w:tc>
          <w:tcPr>
            <w:tcW w:w="484"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备注</w:t>
            </w:r>
          </w:p>
        </w:tc>
      </w:tr>
      <w:tr>
        <w:tblPrEx>
          <w:tblCellMar>
            <w:top w:w="0" w:type="dxa"/>
            <w:left w:w="108" w:type="dxa"/>
            <w:bottom w:w="0" w:type="dxa"/>
            <w:right w:w="108" w:type="dxa"/>
          </w:tblCellMar>
        </w:tblPrEx>
        <w:trPr>
          <w:trHeight w:val="315" w:hRule="atLeast"/>
          <w:tblHeader/>
        </w:trPr>
        <w:tc>
          <w:tcPr>
            <w:tcW w:w="363"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cs="Times New Roman"/>
                <w:b/>
                <w:bCs/>
                <w:color w:val="auto"/>
                <w:kern w:val="0"/>
                <w:sz w:val="21"/>
                <w:szCs w:val="21"/>
              </w:rPr>
            </w:pPr>
          </w:p>
        </w:tc>
        <w:tc>
          <w:tcPr>
            <w:tcW w:w="1364" w:type="pct"/>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cs="Times New Roman"/>
                <w:b/>
                <w:bCs/>
                <w:color w:val="auto"/>
                <w:kern w:val="0"/>
                <w:sz w:val="21"/>
                <w:szCs w:val="21"/>
                <w:lang w:val="en-US"/>
              </w:rPr>
            </w:pPr>
            <w:r>
              <w:rPr>
                <w:rFonts w:cs="Times New Roman"/>
                <w:b/>
                <w:bCs/>
                <w:color w:val="auto"/>
                <w:kern w:val="0"/>
                <w:sz w:val="21"/>
                <w:szCs w:val="21"/>
              </w:rPr>
              <w:t>建筑</w:t>
            </w:r>
          </w:p>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工程费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cs="Times New Roman"/>
                <w:b/>
                <w:bCs/>
                <w:color w:val="auto"/>
                <w:kern w:val="0"/>
                <w:sz w:val="21"/>
                <w:szCs w:val="21"/>
                <w:lang w:val="en-US"/>
              </w:rPr>
            </w:pPr>
            <w:r>
              <w:rPr>
                <w:rFonts w:cs="Times New Roman"/>
                <w:b/>
                <w:bCs/>
                <w:color w:val="auto"/>
                <w:kern w:val="0"/>
                <w:sz w:val="21"/>
                <w:szCs w:val="21"/>
              </w:rPr>
              <w:t>设备</w:t>
            </w:r>
          </w:p>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购置费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cs="Times New Roman"/>
                <w:b/>
                <w:bCs/>
                <w:color w:val="auto"/>
                <w:kern w:val="0"/>
                <w:sz w:val="21"/>
                <w:szCs w:val="21"/>
                <w:lang w:val="en-US"/>
              </w:rPr>
            </w:pPr>
            <w:r>
              <w:rPr>
                <w:rFonts w:cs="Times New Roman"/>
                <w:b/>
                <w:bCs/>
                <w:color w:val="auto"/>
                <w:kern w:val="0"/>
                <w:sz w:val="21"/>
                <w:szCs w:val="21"/>
              </w:rPr>
              <w:t>安装</w:t>
            </w:r>
          </w:p>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工程费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cs="Times New Roman"/>
                <w:b/>
                <w:bCs/>
                <w:color w:val="auto"/>
                <w:kern w:val="0"/>
                <w:sz w:val="21"/>
                <w:szCs w:val="21"/>
                <w:lang w:val="en-US"/>
              </w:rPr>
            </w:pPr>
            <w:r>
              <w:rPr>
                <w:rFonts w:cs="Times New Roman"/>
                <w:b/>
                <w:bCs/>
                <w:color w:val="auto"/>
                <w:kern w:val="0"/>
                <w:sz w:val="21"/>
                <w:szCs w:val="21"/>
              </w:rPr>
              <w:t>其他</w:t>
            </w:r>
          </w:p>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费用</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cs="Times New Roman"/>
                <w:b/>
                <w:bCs/>
                <w:color w:val="auto"/>
                <w:kern w:val="0"/>
                <w:sz w:val="21"/>
                <w:szCs w:val="21"/>
                <w:lang w:val="en-US"/>
              </w:rPr>
            </w:pPr>
            <w:r>
              <w:rPr>
                <w:rFonts w:cs="Times New Roman"/>
                <w:b/>
                <w:bCs/>
                <w:color w:val="auto"/>
                <w:kern w:val="0"/>
                <w:sz w:val="21"/>
                <w:szCs w:val="21"/>
              </w:rPr>
              <w:t>合计</w:t>
            </w:r>
          </w:p>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（万元）</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单位</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工程量</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单价（元）</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90"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一</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工程费用</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805.0</w:t>
            </w:r>
            <w:r>
              <w:rPr>
                <w:rFonts w:hint="eastAsia" w:cs="Times New Roman"/>
                <w:b/>
                <w:bCs/>
                <w:color w:val="auto"/>
                <w:kern w:val="0"/>
                <w:sz w:val="21"/>
                <w:szCs w:val="21"/>
              </w:rPr>
              <w:t>2</w:t>
            </w:r>
            <w:r>
              <w:rPr>
                <w:rFonts w:cs="Times New Roman"/>
                <w:b/>
                <w:bCs/>
                <w:color w:val="auto"/>
                <w:kern w:val="0"/>
                <w:sz w:val="21"/>
                <w:szCs w:val="21"/>
              </w:rPr>
              <w:t xml:space="preserve">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（一）</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庭院外污水收集系统</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10.36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610.53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620.88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污水收集管 DN300 焊接钢管</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68.51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68.51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630</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1087.45</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含支墩</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污水收集管 DN400 HDPE</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24.80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24.80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380</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652.71</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1.3</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污水收集管 DN300 HDPE</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268.74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268.74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4870</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551.83</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1.4</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污水收集管 DN200 HDPE</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199.98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199.98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4552</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439.32</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1.5</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Φ700 HDPE检查井</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48.49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48.49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466</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1040.63</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1.6</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钢砼1000×1000检查井</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2.33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2.33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5830.65</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1.7</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钢砼700×700检查井</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8.03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8.03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3210.88</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（二）</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000000"/>
                <w:kern w:val="0"/>
                <w:sz w:val="21"/>
                <w:szCs w:val="21"/>
              </w:rPr>
            </w:pPr>
            <w:r>
              <w:rPr>
                <w:rFonts w:cs="Times New Roman"/>
                <w:b/>
                <w:bCs/>
                <w:color w:val="000000"/>
                <w:kern w:val="0"/>
                <w:sz w:val="21"/>
                <w:szCs w:val="21"/>
              </w:rPr>
              <w:t>庭院内污水收集系统</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20.83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36.71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57.54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1.8</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入户管 Φ100 PVC</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36.71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36.71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m</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4305</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85.28</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1.9</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户用格栅井</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20.83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20.83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座</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287</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725.71</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（三）</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000000"/>
                <w:kern w:val="0"/>
                <w:sz w:val="21"/>
                <w:szCs w:val="21"/>
              </w:rPr>
            </w:pPr>
            <w:r>
              <w:rPr>
                <w:rFonts w:cs="Times New Roman"/>
                <w:b/>
                <w:bCs/>
                <w:color w:val="000000"/>
                <w:kern w:val="0"/>
                <w:sz w:val="21"/>
                <w:szCs w:val="21"/>
              </w:rPr>
              <w:t>污水处理系统</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126.60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126.60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7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1.10</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50 m</w:t>
            </w:r>
            <w:r>
              <w:rPr>
                <w:rFonts w:cs="Times New Roman"/>
                <w:color w:val="000000"/>
                <w:kern w:val="0"/>
                <w:sz w:val="21"/>
                <w:szCs w:val="21"/>
                <w:vertAlign w:val="superscript"/>
              </w:rPr>
              <w:t>3</w:t>
            </w:r>
            <w:r>
              <w:rPr>
                <w:rFonts w:cs="Times New Roman"/>
                <w:color w:val="000000"/>
                <w:kern w:val="0"/>
                <w:sz w:val="21"/>
                <w:szCs w:val="21"/>
              </w:rPr>
              <w:t>/d污水处理系统</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52.00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52.00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right"/>
              <w:rPr>
                <w:rFonts w:cs="Times New Roman"/>
                <w:color w:val="000000"/>
                <w:kern w:val="0"/>
                <w:sz w:val="21"/>
                <w:szCs w:val="21"/>
              </w:rPr>
            </w:pPr>
            <w:r>
              <w:rPr>
                <w:rFonts w:cs="Times New Roman"/>
                <w:color w:val="000000"/>
                <w:kern w:val="0"/>
                <w:sz w:val="21"/>
                <w:szCs w:val="21"/>
              </w:rPr>
              <w:t>1</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520000</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7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75 m</w:t>
            </w:r>
            <w:r>
              <w:rPr>
                <w:rFonts w:cs="Times New Roman"/>
                <w:color w:val="000000"/>
                <w:kern w:val="0"/>
                <w:sz w:val="21"/>
                <w:szCs w:val="21"/>
                <w:vertAlign w:val="superscript"/>
              </w:rPr>
              <w:t>3</w:t>
            </w:r>
            <w:r>
              <w:rPr>
                <w:rFonts w:cs="Times New Roman"/>
                <w:color w:val="000000"/>
                <w:kern w:val="0"/>
                <w:sz w:val="21"/>
                <w:szCs w:val="21"/>
              </w:rPr>
              <w:t>/d污水处理系统</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74.60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74.60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000000"/>
                <w:kern w:val="0"/>
                <w:sz w:val="21"/>
                <w:szCs w:val="21"/>
              </w:rPr>
            </w:pPr>
            <w:r>
              <w:rPr>
                <w:rFonts w:cs="Times New Roman"/>
                <w:color w:val="000000"/>
                <w:kern w:val="0"/>
                <w:sz w:val="21"/>
                <w:szCs w:val="21"/>
              </w:rPr>
              <w:t>套</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right"/>
              <w:rPr>
                <w:rFonts w:cs="Times New Roman"/>
                <w:color w:val="000000"/>
                <w:kern w:val="0"/>
                <w:sz w:val="21"/>
                <w:szCs w:val="21"/>
              </w:rPr>
            </w:pPr>
            <w:r>
              <w:rPr>
                <w:rFonts w:cs="Times New Roman"/>
                <w:color w:val="000000"/>
                <w:kern w:val="0"/>
                <w:sz w:val="21"/>
                <w:szCs w:val="21"/>
              </w:rPr>
              <w:t>1</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746000</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二</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工程建设其他费用</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140.26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140.26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土地使用费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6.49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6.49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建设单位管理费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16.10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16.10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2.3</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工程建设监理费（内插法）</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26.57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26.57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2.4</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建设项目前期工作咨询费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10.50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10.50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2.4.1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编制可行性研究报告</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10.00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2.4.2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评估可行性研究报告</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0.50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0.50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勘察设计费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43.14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43.14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工程勘测费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8.05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8.05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2.5.2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工程设计费（内插法）</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32.80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32.80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2.6</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施工图预算编制费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2.30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2.30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2.7</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环境影响咨询服务费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2.8</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劳动安全卫生评审费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2.01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2.01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2.9</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水土保持方案编制费（估列）</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3.00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2.10</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场地准备及临时设施费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8.05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8.05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工程保险费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4.03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4.03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施工图审查费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3.02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3.02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2.13</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工程造价咨询费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8.42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8.42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2.13.1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招标工程量清单编制或审核</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2.45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2.45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2.13.2</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施工阶段全过程造价控制</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4.92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4.92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2.13.3</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竣工决算编审费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1.05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1.05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2.14</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招标代理服务费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5.94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5.94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三</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预备费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0.00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46.94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xml:space="preserve">46.94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r>
        <w:tblPrEx>
          <w:tblCellMar>
            <w:top w:w="0" w:type="dxa"/>
            <w:left w:w="108" w:type="dxa"/>
            <w:bottom w:w="0" w:type="dxa"/>
            <w:right w:w="108" w:type="dxa"/>
          </w:tblCellMar>
        </w:tblPrEx>
        <w:trPr>
          <w:trHeight w:val="411"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color w:val="auto"/>
                <w:kern w:val="0"/>
                <w:sz w:val="21"/>
                <w:szCs w:val="21"/>
              </w:rPr>
            </w:pPr>
            <w:r>
              <w:rPr>
                <w:rFonts w:cs="Times New Roman"/>
                <w:color w:val="auto"/>
                <w:kern w:val="0"/>
                <w:sz w:val="21"/>
                <w:szCs w:val="21"/>
              </w:rPr>
              <w:t>基本预备费</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46.94 </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xml:space="preserve">46.94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　</w:t>
            </w:r>
          </w:p>
        </w:tc>
        <w:tc>
          <w:tcPr>
            <w:tcW w:w="48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Times New Roman"/>
                <w:color w:val="auto"/>
                <w:kern w:val="0"/>
                <w:sz w:val="21"/>
                <w:szCs w:val="21"/>
              </w:rPr>
            </w:pPr>
          </w:p>
        </w:tc>
      </w:tr>
      <w:tr>
        <w:tblPrEx>
          <w:tblCellMar>
            <w:top w:w="0" w:type="dxa"/>
            <w:left w:w="108" w:type="dxa"/>
            <w:bottom w:w="0" w:type="dxa"/>
            <w:right w:w="108" w:type="dxa"/>
          </w:tblCellMar>
        </w:tblPrEx>
        <w:trPr>
          <w:trHeight w:val="315" w:hRule="atLeast"/>
        </w:trPr>
        <w:tc>
          <w:tcPr>
            <w:tcW w:w="363"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四</w:t>
            </w:r>
          </w:p>
        </w:tc>
        <w:tc>
          <w:tcPr>
            <w:tcW w:w="136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cs="Times New Roman"/>
                <w:b/>
                <w:bCs/>
                <w:color w:val="auto"/>
                <w:kern w:val="0"/>
                <w:sz w:val="21"/>
                <w:szCs w:val="21"/>
              </w:rPr>
            </w:pPr>
            <w:r>
              <w:rPr>
                <w:rFonts w:cs="Times New Roman"/>
                <w:b/>
                <w:bCs/>
                <w:color w:val="auto"/>
                <w:kern w:val="0"/>
                <w:sz w:val="21"/>
                <w:szCs w:val="21"/>
              </w:rPr>
              <w:t>总投资</w:t>
            </w: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p>
        </w:tc>
        <w:tc>
          <w:tcPr>
            <w:tcW w:w="36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992.2</w:t>
            </w:r>
            <w:r>
              <w:rPr>
                <w:rFonts w:hint="eastAsia" w:cs="Times New Roman"/>
                <w:b/>
                <w:bCs/>
                <w:color w:val="auto"/>
                <w:kern w:val="0"/>
                <w:sz w:val="21"/>
                <w:szCs w:val="21"/>
              </w:rPr>
              <w:t>2</w:t>
            </w:r>
            <w:r>
              <w:rPr>
                <w:rFonts w:cs="Times New Roman"/>
                <w:b/>
                <w:bCs/>
                <w:color w:val="auto"/>
                <w:kern w:val="0"/>
                <w:sz w:val="21"/>
                <w:szCs w:val="21"/>
              </w:rPr>
              <w:t xml:space="preserve"> </w:t>
            </w:r>
          </w:p>
        </w:tc>
        <w:tc>
          <w:tcPr>
            <w:tcW w:w="19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29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c>
          <w:tcPr>
            <w:tcW w:w="48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　</w:t>
            </w:r>
          </w:p>
        </w:tc>
      </w:tr>
    </w:tbl>
    <w:p>
      <w:pPr>
        <w:pStyle w:val="112"/>
        <w:jc w:val="both"/>
        <w:rPr>
          <w:color w:val="auto"/>
        </w:rPr>
        <w:sectPr>
          <w:pgSz w:w="16838" w:h="11906" w:orient="landscape"/>
          <w:pgMar w:top="1800" w:right="1245" w:bottom="1800" w:left="1440" w:header="851" w:footer="481" w:gutter="0"/>
          <w:cols w:space="425" w:num="1"/>
          <w:docGrid w:type="lines" w:linePitch="326" w:charSpace="0"/>
        </w:sectPr>
      </w:pPr>
    </w:p>
    <w:p>
      <w:pPr>
        <w:pStyle w:val="4"/>
      </w:pPr>
      <w:bookmarkStart w:id="430" w:name="_Toc360186666"/>
      <w:bookmarkStart w:id="431" w:name="_Toc420660116"/>
      <w:bookmarkStart w:id="432" w:name="_Toc48640812"/>
      <w:bookmarkStart w:id="433" w:name="_Toc36127005"/>
      <w:bookmarkStart w:id="434" w:name="_Toc447620812"/>
      <w:bookmarkStart w:id="435" w:name="_Toc360186809"/>
      <w:r>
        <w:t>资金筹措</w:t>
      </w:r>
      <w:bookmarkEnd w:id="430"/>
      <w:bookmarkEnd w:id="431"/>
      <w:bookmarkEnd w:id="432"/>
      <w:bookmarkEnd w:id="433"/>
      <w:bookmarkEnd w:id="434"/>
      <w:bookmarkEnd w:id="435"/>
    </w:p>
    <w:p>
      <w:pPr>
        <w:pStyle w:val="5"/>
      </w:pPr>
      <w:bookmarkStart w:id="436" w:name="_Toc447117744"/>
      <w:bookmarkStart w:id="437" w:name="_Toc443991081"/>
      <w:bookmarkStart w:id="438" w:name="_Toc420660117"/>
      <w:bookmarkStart w:id="439" w:name="_Toc443896771"/>
      <w:bookmarkStart w:id="440" w:name="_Toc447117579"/>
      <w:bookmarkStart w:id="441" w:name="_Toc445545177"/>
      <w:bookmarkStart w:id="442" w:name="_Toc36127006"/>
      <w:bookmarkStart w:id="443" w:name="_Toc447620813"/>
      <w:bookmarkStart w:id="444" w:name="_Toc48640813"/>
      <w:r>
        <w:t>资金筹措依据</w:t>
      </w:r>
      <w:bookmarkEnd w:id="436"/>
      <w:bookmarkEnd w:id="437"/>
      <w:bookmarkEnd w:id="438"/>
      <w:bookmarkEnd w:id="439"/>
      <w:bookmarkEnd w:id="440"/>
      <w:bookmarkEnd w:id="441"/>
      <w:bookmarkEnd w:id="442"/>
      <w:bookmarkEnd w:id="443"/>
      <w:bookmarkEnd w:id="444"/>
    </w:p>
    <w:p>
      <w:pPr>
        <w:ind w:firstLine="480"/>
        <w:rPr>
          <w:rFonts w:cs="Times New Roman"/>
          <w:color w:val="auto"/>
          <w:lang w:val="zh-CN"/>
        </w:rPr>
      </w:pPr>
      <w:bookmarkStart w:id="445" w:name="_Toc445545178"/>
      <w:bookmarkStart w:id="446" w:name="_Toc443991082"/>
      <w:bookmarkStart w:id="447" w:name="_Toc447117580"/>
      <w:bookmarkStart w:id="448" w:name="_Toc420660118"/>
      <w:bookmarkStart w:id="449" w:name="_Toc447117745"/>
      <w:bookmarkStart w:id="450" w:name="_Toc443896772"/>
      <w:r>
        <w:rPr>
          <w:rFonts w:cs="Times New Roman"/>
          <w:color w:val="auto"/>
          <w:lang w:val="zh-CN"/>
        </w:rPr>
        <w:t>（1）《中央农村节能减排资金使用管理办法》（财建[2015]919号）；</w:t>
      </w:r>
    </w:p>
    <w:p>
      <w:pPr>
        <w:ind w:firstLine="480"/>
        <w:rPr>
          <w:rFonts w:cs="Times New Roman"/>
          <w:color w:val="auto"/>
          <w:lang w:val="zh-CN"/>
        </w:rPr>
      </w:pPr>
      <w:r>
        <w:rPr>
          <w:rFonts w:cs="Times New Roman"/>
          <w:color w:val="auto"/>
          <w:lang w:val="zh-CN"/>
        </w:rPr>
        <w:t>（2）</w:t>
      </w:r>
      <w:r>
        <w:rPr>
          <w:rFonts w:cs="Times New Roman"/>
          <w:color w:val="auto"/>
        </w:rPr>
        <w:t>《关于印发〈国家级生态乡镇申报及管理规定（试行）〉的通知》</w:t>
      </w:r>
      <w:r>
        <w:rPr>
          <w:rFonts w:cs="Times New Roman"/>
          <w:color w:val="auto"/>
          <w:lang w:val="zh-CN"/>
        </w:rPr>
        <w:t>（环发[2010]75号）。</w:t>
      </w:r>
    </w:p>
    <w:p>
      <w:pPr>
        <w:pStyle w:val="5"/>
      </w:pPr>
      <w:bookmarkStart w:id="451" w:name="_Toc447620814"/>
      <w:bookmarkStart w:id="452" w:name="_Toc48640814"/>
      <w:bookmarkStart w:id="453" w:name="_Toc36127007"/>
      <w:r>
        <w:t>资金来源及筹措</w:t>
      </w:r>
      <w:bookmarkEnd w:id="445"/>
      <w:bookmarkEnd w:id="446"/>
      <w:bookmarkEnd w:id="447"/>
      <w:bookmarkEnd w:id="448"/>
      <w:bookmarkEnd w:id="449"/>
      <w:bookmarkEnd w:id="450"/>
      <w:bookmarkEnd w:id="451"/>
      <w:bookmarkEnd w:id="452"/>
      <w:bookmarkEnd w:id="453"/>
    </w:p>
    <w:p>
      <w:pPr>
        <w:ind w:firstLine="480"/>
        <w:rPr>
          <w:rFonts w:cs="Times New Roman"/>
          <w:color w:val="auto"/>
        </w:rPr>
      </w:pPr>
      <w:r>
        <w:rPr>
          <w:rFonts w:cs="Times New Roman"/>
          <w:color w:val="auto"/>
        </w:rPr>
        <w:t>该项目为</w:t>
      </w:r>
      <w:r>
        <w:rPr>
          <w:rFonts w:hint="eastAsia" w:cs="Times New Roman"/>
          <w:color w:val="auto"/>
        </w:rPr>
        <w:t>芒市大河户拉断面水质提升</w:t>
      </w:r>
      <w:r>
        <w:rPr>
          <w:rFonts w:cs="Times New Roman"/>
          <w:color w:val="auto"/>
        </w:rPr>
        <w:t>项目，是属有益于社会发展和环境保护的公益项目，具有良好的社会效益和环境效益。本次项目总投资</w:t>
      </w:r>
      <w:r>
        <w:rPr>
          <w:rFonts w:hint="eastAsia" w:cs="Times New Roman"/>
          <w:color w:val="auto"/>
        </w:rPr>
        <w:t>992.22</w:t>
      </w:r>
      <w:r>
        <w:rPr>
          <w:rFonts w:cs="Times New Roman"/>
          <w:color w:val="auto"/>
        </w:rPr>
        <w:t>万元，工程费用</w:t>
      </w:r>
      <w:r>
        <w:rPr>
          <w:rFonts w:hint="eastAsia" w:cs="Times New Roman"/>
          <w:color w:val="auto"/>
        </w:rPr>
        <w:t>805.02</w:t>
      </w:r>
      <w:r>
        <w:rPr>
          <w:rFonts w:cs="Times New Roman"/>
          <w:color w:val="auto"/>
        </w:rPr>
        <w:t>万元，拟向上级申请资金</w:t>
      </w:r>
      <w:r>
        <w:rPr>
          <w:rFonts w:hint="eastAsia" w:cs="Times New Roman"/>
          <w:color w:val="auto"/>
        </w:rPr>
        <w:t>805.02</w:t>
      </w:r>
      <w:r>
        <w:rPr>
          <w:rFonts w:cs="Times New Roman"/>
          <w:color w:val="auto"/>
        </w:rPr>
        <w:t>万元。不足部分由地方配套。</w:t>
      </w:r>
    </w:p>
    <w:p>
      <w:pPr>
        <w:ind w:firstLine="480"/>
        <w:rPr>
          <w:rFonts w:cs="Times New Roman"/>
          <w:color w:val="auto"/>
          <w:lang w:val="zh-CN"/>
        </w:rPr>
      </w:pPr>
      <w:r>
        <w:rPr>
          <w:rFonts w:cs="Times New Roman"/>
          <w:color w:val="auto"/>
          <w:lang w:val="zh-CN"/>
        </w:rPr>
        <w:br w:type="page"/>
      </w:r>
    </w:p>
    <w:p>
      <w:pPr>
        <w:pStyle w:val="3"/>
        <w:rPr>
          <w:color w:val="auto"/>
        </w:rPr>
      </w:pPr>
      <w:bookmarkStart w:id="454" w:name="_Toc35615156"/>
      <w:bookmarkStart w:id="455" w:name="_Toc48640815"/>
      <w:bookmarkStart w:id="456" w:name="_Toc36127008"/>
      <w:r>
        <w:rPr>
          <w:color w:val="auto"/>
        </w:rPr>
        <w:t>效益分析及可达性分析</w:t>
      </w:r>
      <w:bookmarkEnd w:id="454"/>
      <w:bookmarkEnd w:id="455"/>
      <w:bookmarkEnd w:id="456"/>
    </w:p>
    <w:p>
      <w:pPr>
        <w:pStyle w:val="5"/>
      </w:pPr>
      <w:bookmarkStart w:id="457" w:name="_Toc36127009"/>
      <w:bookmarkStart w:id="458" w:name="_Toc48640816"/>
      <w:r>
        <w:t>效益分析</w:t>
      </w:r>
      <w:bookmarkEnd w:id="457"/>
      <w:bookmarkEnd w:id="458"/>
    </w:p>
    <w:p>
      <w:pPr>
        <w:pStyle w:val="5"/>
        <w:rPr>
          <w:lang w:val="zh-CN"/>
        </w:rPr>
      </w:pPr>
      <w:bookmarkStart w:id="459" w:name="_Toc48640817"/>
      <w:bookmarkStart w:id="460" w:name="_Toc36127010"/>
      <w:r>
        <w:rPr>
          <w:lang w:val="zh-CN"/>
        </w:rPr>
        <w:t>社会效益</w:t>
      </w:r>
      <w:bookmarkEnd w:id="459"/>
      <w:bookmarkEnd w:id="460"/>
    </w:p>
    <w:p>
      <w:pPr>
        <w:ind w:firstLine="480"/>
        <w:rPr>
          <w:rFonts w:cs="Times New Roman"/>
          <w:color w:val="auto"/>
          <w:lang w:val="zh-CN"/>
        </w:rPr>
      </w:pPr>
      <w:r>
        <w:rPr>
          <w:rFonts w:cs="Times New Roman"/>
          <w:color w:val="auto"/>
          <w:lang w:val="zh-CN"/>
        </w:rPr>
        <w:t>本次项目是一项保护环境、建设美丽家园，为子孙后代造福的公用事业工程，其目的是改善农村卫生条件，保护水环境，通过完善项目区环境基础设施，实施村庄雨污分流，项目区内污水收集处理设施逐步完善，使自然环境质量逐步提高，项目区村民卫生环境质量将得到改善，疾病传播减少。通过工程的实施改善人民生活环境，可为区域类似村庄截污治污做试点示范，对促进整个社会环境的进一步稳定，带动整个地区的建设和发展，提高了芒市在市场竞争中的优势，促进各行各业的发展，对城市经济发展的可持续性起到了积极的作用。工程建设实施过程也是一次环境保护宣传过程，通过工程的实施，使人们能够体会到环境保护的重要，人们的环境意识会随之增强，将使保护环境、节约资源将成为居民的自觉行为。同时，由于实施该项目的社会公益性，提高了政府的威信，维持社会的稳定，促进经济社会的可持续发展，有着显著的社会效益。</w:t>
      </w:r>
    </w:p>
    <w:p>
      <w:pPr>
        <w:pStyle w:val="5"/>
        <w:rPr>
          <w:lang w:val="zh-CN"/>
        </w:rPr>
      </w:pPr>
      <w:bookmarkStart w:id="461" w:name="_Toc48640818"/>
      <w:bookmarkStart w:id="462" w:name="_Toc36127011"/>
      <w:r>
        <w:rPr>
          <w:lang w:val="zh-CN"/>
        </w:rPr>
        <w:t>环境效益</w:t>
      </w:r>
      <w:bookmarkEnd w:id="461"/>
      <w:bookmarkEnd w:id="462"/>
    </w:p>
    <w:p>
      <w:pPr>
        <w:ind w:firstLine="480"/>
        <w:rPr>
          <w:rFonts w:cs="Times New Roman"/>
          <w:color w:val="auto"/>
          <w:lang w:val="zh-CN"/>
        </w:rPr>
      </w:pPr>
      <w:r>
        <w:rPr>
          <w:rFonts w:cs="Times New Roman"/>
          <w:color w:val="auto"/>
          <w:lang w:val="zh-CN"/>
        </w:rPr>
        <w:t>环境效益是本项目实施的最主要的效益，也是最直接的效益，通过本项目村庄污水收集处理工程的实施，将村庄污水集中收集，最终进入污水处理系统进行处理，不仅可有效改善村庄环境卫生，提升村庄人居环境，同时，可有效减少区域村庄生活污水对流域水体的污染，降低入河污染负荷，并可为芒市类似村庄截污治污做示范，对今后区域水环境治理，村庄雨污分流项目作样板。</w:t>
      </w:r>
    </w:p>
    <w:p>
      <w:pPr>
        <w:ind w:firstLine="480"/>
        <w:rPr>
          <w:rFonts w:cs="Times New Roman"/>
          <w:color w:val="auto"/>
          <w:kern w:val="0"/>
        </w:rPr>
      </w:pPr>
      <w:r>
        <w:rPr>
          <w:rFonts w:cs="Times New Roman"/>
          <w:color w:val="auto"/>
          <w:lang w:val="zh-CN"/>
        </w:rPr>
        <w:t>本项目的实施将有效减少直接进入项目区水域的污染负荷，通过村庄污水管网的建设，将村庄污水接入村庄污水处理系统处理后，预计本工程每年可削减</w:t>
      </w:r>
      <w:r>
        <w:rPr>
          <w:rFonts w:cs="Times New Roman"/>
          <w:color w:val="auto"/>
        </w:rPr>
        <w:t>COD</w:t>
      </w:r>
      <w:r>
        <w:rPr>
          <w:rFonts w:hint="eastAsia" w:cs="Times New Roman"/>
          <w:color w:val="auto"/>
        </w:rPr>
        <w:t>5.04</w:t>
      </w:r>
      <w:r>
        <w:rPr>
          <w:rFonts w:cs="Times New Roman"/>
          <w:color w:val="auto"/>
        </w:rPr>
        <w:t>t/a，TN</w:t>
      </w:r>
      <w:r>
        <w:rPr>
          <w:rFonts w:hint="eastAsia" w:cs="Times New Roman"/>
          <w:color w:val="auto"/>
          <w:kern w:val="0"/>
        </w:rPr>
        <w:t>0.51</w:t>
      </w:r>
      <w:r>
        <w:rPr>
          <w:rFonts w:cs="Times New Roman"/>
          <w:color w:val="auto"/>
          <w:kern w:val="0"/>
        </w:rPr>
        <w:t>t/a，TP</w:t>
      </w:r>
      <w:r>
        <w:rPr>
          <w:rFonts w:hint="eastAsia" w:cs="Times New Roman"/>
          <w:color w:val="auto"/>
          <w:kern w:val="0"/>
        </w:rPr>
        <w:t>0.05</w:t>
      </w:r>
      <w:r>
        <w:rPr>
          <w:rFonts w:cs="Times New Roman"/>
          <w:color w:val="auto"/>
          <w:kern w:val="0"/>
        </w:rPr>
        <w:t>t/a，NH</w:t>
      </w:r>
      <w:r>
        <w:rPr>
          <w:rFonts w:cs="Times New Roman"/>
          <w:color w:val="auto"/>
          <w:kern w:val="0"/>
          <w:vertAlign w:val="subscript"/>
        </w:rPr>
        <w:t>3</w:t>
      </w:r>
      <w:r>
        <w:rPr>
          <w:rFonts w:cs="Times New Roman"/>
          <w:color w:val="auto"/>
          <w:kern w:val="0"/>
        </w:rPr>
        <w:t>-N</w:t>
      </w:r>
      <w:r>
        <w:rPr>
          <w:rFonts w:hint="eastAsia" w:cs="Times New Roman"/>
          <w:color w:val="auto"/>
          <w:kern w:val="0"/>
        </w:rPr>
        <w:t>0.93</w:t>
      </w:r>
      <w:r>
        <w:rPr>
          <w:rFonts w:cs="Times New Roman"/>
          <w:color w:val="auto"/>
          <w:kern w:val="0"/>
        </w:rPr>
        <w:t>t/a。</w:t>
      </w:r>
    </w:p>
    <w:p>
      <w:pPr>
        <w:ind w:firstLine="422"/>
        <w:jc w:val="center"/>
        <w:rPr>
          <w:b/>
          <w:color w:val="auto"/>
          <w:sz w:val="21"/>
          <w:szCs w:val="21"/>
        </w:rPr>
      </w:pPr>
      <w:r>
        <w:rPr>
          <w:b/>
          <w:color w:val="auto"/>
          <w:sz w:val="21"/>
          <w:szCs w:val="21"/>
        </w:rPr>
        <w:t>表</w:t>
      </w:r>
      <w:r>
        <w:rPr>
          <w:rFonts w:hint="eastAsia"/>
          <w:b/>
          <w:color w:val="auto"/>
          <w:sz w:val="21"/>
          <w:szCs w:val="21"/>
        </w:rPr>
        <w:t>12</w:t>
      </w:r>
      <w:r>
        <w:rPr>
          <w:b/>
          <w:color w:val="auto"/>
          <w:sz w:val="21"/>
          <w:szCs w:val="21"/>
        </w:rPr>
        <w:t>.1-</w:t>
      </w:r>
      <w:r>
        <w:rPr>
          <w:rFonts w:hint="eastAsia"/>
          <w:b/>
          <w:color w:val="auto"/>
          <w:sz w:val="21"/>
          <w:szCs w:val="21"/>
        </w:rPr>
        <w:t>1  村庄污染负荷削减量统计表</w:t>
      </w:r>
    </w:p>
    <w:tbl>
      <w:tblPr>
        <w:tblStyle w:val="88"/>
        <w:tblW w:w="9040" w:type="dxa"/>
        <w:tblInd w:w="94" w:type="dxa"/>
        <w:tblLayout w:type="autofit"/>
        <w:tblCellMar>
          <w:top w:w="0" w:type="dxa"/>
          <w:left w:w="108" w:type="dxa"/>
          <w:bottom w:w="0" w:type="dxa"/>
          <w:right w:w="108" w:type="dxa"/>
        </w:tblCellMar>
      </w:tblPr>
      <w:tblGrid>
        <w:gridCol w:w="720"/>
        <w:gridCol w:w="920"/>
        <w:gridCol w:w="2260"/>
        <w:gridCol w:w="1200"/>
        <w:gridCol w:w="1200"/>
        <w:gridCol w:w="1340"/>
        <w:gridCol w:w="1400"/>
      </w:tblGrid>
      <w:tr>
        <w:tblPrEx>
          <w:tblCellMar>
            <w:top w:w="0" w:type="dxa"/>
            <w:left w:w="108" w:type="dxa"/>
            <w:bottom w:w="0" w:type="dxa"/>
            <w:right w:w="108" w:type="dxa"/>
          </w:tblCellMar>
        </w:tblPrEx>
        <w:trPr>
          <w:trHeight w:val="360" w:hRule="atLeast"/>
        </w:trPr>
        <w:tc>
          <w:tcPr>
            <w:tcW w:w="72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rPr>
                <w:rFonts w:ascii="仿宋_GB2312" w:hAnsi="宋体" w:cs="宋体"/>
                <w:b/>
                <w:bCs/>
                <w:color w:val="auto"/>
                <w:kern w:val="0"/>
                <w:sz w:val="21"/>
                <w:szCs w:val="21"/>
              </w:rPr>
            </w:pPr>
            <w:r>
              <w:rPr>
                <w:rFonts w:hint="eastAsia" w:ascii="仿宋_GB2312" w:hAnsi="宋体" w:cs="宋体"/>
                <w:b/>
                <w:bCs/>
                <w:color w:val="auto"/>
                <w:kern w:val="0"/>
                <w:sz w:val="21"/>
                <w:szCs w:val="21"/>
              </w:rPr>
              <w:t>序号</w:t>
            </w:r>
          </w:p>
        </w:tc>
        <w:tc>
          <w:tcPr>
            <w:tcW w:w="3180" w:type="dxa"/>
            <w:gridSpan w:val="2"/>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仿宋_GB2312" w:hAnsi="宋体" w:cs="宋体"/>
                <w:b/>
                <w:bCs/>
                <w:color w:val="auto"/>
                <w:kern w:val="0"/>
                <w:sz w:val="21"/>
                <w:szCs w:val="21"/>
              </w:rPr>
            </w:pPr>
            <w:r>
              <w:rPr>
                <w:rFonts w:hint="eastAsia" w:ascii="仿宋_GB2312" w:hAnsi="宋体" w:cs="宋体"/>
                <w:b/>
                <w:bCs/>
                <w:color w:val="auto"/>
                <w:kern w:val="0"/>
                <w:sz w:val="21"/>
                <w:szCs w:val="21"/>
              </w:rPr>
              <w:t>类别</w:t>
            </w:r>
          </w:p>
        </w:tc>
        <w:tc>
          <w:tcPr>
            <w:tcW w:w="120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COD</w:t>
            </w:r>
            <w:r>
              <w:rPr>
                <w:rFonts w:hint="eastAsia" w:ascii="仿宋_GB2312"/>
                <w:b/>
                <w:bCs/>
                <w:color w:val="auto"/>
                <w:kern w:val="0"/>
                <w:sz w:val="21"/>
                <w:szCs w:val="21"/>
              </w:rPr>
              <w:t>（</w:t>
            </w:r>
            <w:r>
              <w:rPr>
                <w:rFonts w:eastAsia="宋体"/>
                <w:b/>
                <w:bCs/>
                <w:color w:val="auto"/>
                <w:kern w:val="0"/>
                <w:sz w:val="21"/>
                <w:szCs w:val="21"/>
              </w:rPr>
              <w:t>t/a</w:t>
            </w:r>
            <w:r>
              <w:rPr>
                <w:rFonts w:hint="eastAsia" w:ascii="仿宋_GB2312"/>
                <w:b/>
                <w:bCs/>
                <w:color w:val="auto"/>
                <w:kern w:val="0"/>
                <w:sz w:val="21"/>
                <w:szCs w:val="21"/>
              </w:rPr>
              <w:t>）</w:t>
            </w:r>
          </w:p>
        </w:tc>
        <w:tc>
          <w:tcPr>
            <w:tcW w:w="120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TN</w:t>
            </w:r>
            <w:r>
              <w:rPr>
                <w:rFonts w:hint="eastAsia" w:ascii="仿宋_GB2312"/>
                <w:b/>
                <w:bCs/>
                <w:color w:val="auto"/>
                <w:kern w:val="0"/>
                <w:sz w:val="21"/>
                <w:szCs w:val="21"/>
              </w:rPr>
              <w:t>（</w:t>
            </w:r>
            <w:r>
              <w:rPr>
                <w:rFonts w:eastAsia="宋体"/>
                <w:b/>
                <w:bCs/>
                <w:color w:val="auto"/>
                <w:kern w:val="0"/>
                <w:sz w:val="21"/>
                <w:szCs w:val="21"/>
              </w:rPr>
              <w:t>t/a</w:t>
            </w:r>
            <w:r>
              <w:rPr>
                <w:rFonts w:hint="eastAsia" w:ascii="仿宋_GB2312"/>
                <w:b/>
                <w:bCs/>
                <w:color w:val="auto"/>
                <w:kern w:val="0"/>
                <w:sz w:val="21"/>
                <w:szCs w:val="21"/>
              </w:rPr>
              <w:t>）</w:t>
            </w:r>
          </w:p>
        </w:tc>
        <w:tc>
          <w:tcPr>
            <w:tcW w:w="134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TP</w:t>
            </w:r>
            <w:r>
              <w:rPr>
                <w:rFonts w:hint="eastAsia" w:ascii="仿宋_GB2312"/>
                <w:b/>
                <w:bCs/>
                <w:color w:val="auto"/>
                <w:kern w:val="0"/>
                <w:sz w:val="21"/>
                <w:szCs w:val="21"/>
              </w:rPr>
              <w:t>（</w:t>
            </w:r>
            <w:r>
              <w:rPr>
                <w:rFonts w:eastAsia="宋体"/>
                <w:b/>
                <w:bCs/>
                <w:color w:val="auto"/>
                <w:kern w:val="0"/>
                <w:sz w:val="21"/>
                <w:szCs w:val="21"/>
              </w:rPr>
              <w:t>t/a</w:t>
            </w:r>
            <w:r>
              <w:rPr>
                <w:rFonts w:hint="eastAsia" w:ascii="仿宋_GB2312"/>
                <w:b/>
                <w:bCs/>
                <w:color w:val="auto"/>
                <w:kern w:val="0"/>
                <w:sz w:val="21"/>
                <w:szCs w:val="21"/>
              </w:rPr>
              <w:t>）</w:t>
            </w:r>
          </w:p>
        </w:tc>
        <w:tc>
          <w:tcPr>
            <w:tcW w:w="1400"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NH</w:t>
            </w:r>
            <w:r>
              <w:rPr>
                <w:rFonts w:eastAsia="宋体"/>
                <w:b/>
                <w:bCs/>
                <w:color w:val="auto"/>
                <w:kern w:val="0"/>
                <w:sz w:val="21"/>
                <w:szCs w:val="21"/>
                <w:vertAlign w:val="subscript"/>
              </w:rPr>
              <w:t>3</w:t>
            </w:r>
            <w:r>
              <w:rPr>
                <w:rFonts w:eastAsia="宋体"/>
                <w:b/>
                <w:bCs/>
                <w:color w:val="auto"/>
                <w:kern w:val="0"/>
                <w:sz w:val="21"/>
                <w:szCs w:val="21"/>
              </w:rPr>
              <w:t>-N</w:t>
            </w:r>
            <w:r>
              <w:rPr>
                <w:rFonts w:hint="eastAsia" w:ascii="仿宋_GB2312"/>
                <w:b/>
                <w:bCs/>
                <w:color w:val="auto"/>
                <w:kern w:val="0"/>
                <w:sz w:val="21"/>
                <w:szCs w:val="21"/>
              </w:rPr>
              <w:t>（</w:t>
            </w:r>
            <w:r>
              <w:rPr>
                <w:rFonts w:eastAsia="宋体"/>
                <w:b/>
                <w:bCs/>
                <w:color w:val="auto"/>
                <w:kern w:val="0"/>
                <w:sz w:val="21"/>
                <w:szCs w:val="21"/>
              </w:rPr>
              <w:t>t/a</w:t>
            </w:r>
            <w:r>
              <w:rPr>
                <w:rFonts w:hint="eastAsia" w:ascii="仿宋_GB2312"/>
                <w:b/>
                <w:bCs/>
                <w:color w:val="auto"/>
                <w:kern w:val="0"/>
                <w:sz w:val="21"/>
                <w:szCs w:val="21"/>
              </w:rPr>
              <w:t>）</w:t>
            </w:r>
          </w:p>
        </w:tc>
      </w:tr>
      <w:tr>
        <w:tblPrEx>
          <w:tblCellMar>
            <w:top w:w="0" w:type="dxa"/>
            <w:left w:w="108" w:type="dxa"/>
            <w:bottom w:w="0" w:type="dxa"/>
            <w:right w:w="108" w:type="dxa"/>
          </w:tblCellMar>
        </w:tblPrEx>
        <w:trPr>
          <w:trHeight w:val="360" w:hRule="atLeast"/>
        </w:trPr>
        <w:tc>
          <w:tcPr>
            <w:tcW w:w="720" w:type="dxa"/>
            <w:vMerge w:val="restart"/>
            <w:tcBorders>
              <w:top w:val="nil"/>
              <w:left w:val="single" w:color="auto" w:sz="8" w:space="0"/>
              <w:bottom w:val="single" w:color="000000" w:sz="8" w:space="0"/>
              <w:right w:val="single" w:color="auto" w:sz="8" w:space="0"/>
            </w:tcBorders>
            <w:shd w:val="clear" w:color="000000" w:fill="FFFFFF"/>
            <w:vAlign w:val="center"/>
          </w:tcPr>
          <w:p>
            <w:pPr>
              <w:widowControl/>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1</w:t>
            </w:r>
          </w:p>
        </w:tc>
        <w:tc>
          <w:tcPr>
            <w:tcW w:w="920" w:type="dxa"/>
            <w:vMerge w:val="restart"/>
            <w:tcBorders>
              <w:top w:val="nil"/>
              <w:left w:val="single" w:color="auto" w:sz="8" w:space="0"/>
              <w:bottom w:val="single" w:color="000000" w:sz="8" w:space="0"/>
              <w:right w:val="single" w:color="auto" w:sz="8" w:space="0"/>
            </w:tcBorders>
            <w:shd w:val="clear" w:color="000000" w:fill="FFFFFF"/>
            <w:vAlign w:val="center"/>
          </w:tcPr>
          <w:p>
            <w:pPr>
              <w:widowControl/>
              <w:spacing w:line="240" w:lineRule="auto"/>
              <w:ind w:firstLine="0" w:firstLineChars="0"/>
              <w:jc w:val="center"/>
              <w:rPr>
                <w:rFonts w:ascii="仿宋_GB2312" w:hAnsi="宋体" w:cs="宋体"/>
                <w:b/>
                <w:bCs/>
                <w:color w:val="auto"/>
                <w:kern w:val="0"/>
                <w:sz w:val="21"/>
                <w:szCs w:val="21"/>
              </w:rPr>
            </w:pPr>
            <w:r>
              <w:rPr>
                <w:rFonts w:hint="eastAsia" w:ascii="仿宋_GB2312" w:hAnsi="宋体" w:cs="宋体"/>
                <w:b/>
                <w:bCs/>
                <w:color w:val="auto"/>
                <w:kern w:val="0"/>
                <w:sz w:val="21"/>
                <w:szCs w:val="21"/>
              </w:rPr>
              <w:t>生活污水</w:t>
            </w:r>
          </w:p>
        </w:tc>
        <w:tc>
          <w:tcPr>
            <w:tcW w:w="2260" w:type="dxa"/>
            <w:tcBorders>
              <w:top w:val="nil"/>
              <w:left w:val="nil"/>
              <w:bottom w:val="single" w:color="auto" w:sz="8" w:space="0"/>
              <w:right w:val="single" w:color="000000" w:sz="8" w:space="0"/>
            </w:tcBorders>
            <w:shd w:val="clear" w:color="000000" w:fill="FFFFFF"/>
            <w:vAlign w:val="center"/>
          </w:tcPr>
          <w:p>
            <w:pPr>
              <w:widowControl/>
              <w:spacing w:line="240" w:lineRule="auto"/>
              <w:ind w:firstLine="0" w:firstLineChars="0"/>
              <w:jc w:val="center"/>
              <w:rPr>
                <w:rFonts w:ascii="仿宋_GB2312" w:hAnsi="宋体" w:cs="宋体"/>
                <w:b/>
                <w:bCs/>
                <w:color w:val="auto"/>
                <w:kern w:val="0"/>
                <w:sz w:val="21"/>
                <w:szCs w:val="21"/>
              </w:rPr>
            </w:pPr>
            <w:r>
              <w:rPr>
                <w:rFonts w:hint="eastAsia" w:ascii="仿宋_GB2312" w:hAnsi="宋体" w:cs="宋体"/>
                <w:b/>
                <w:bCs/>
                <w:color w:val="auto"/>
                <w:kern w:val="0"/>
                <w:sz w:val="21"/>
                <w:szCs w:val="21"/>
              </w:rPr>
              <w:t>流失量</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7.56</w:t>
            </w:r>
            <w:r>
              <w:rPr>
                <w:rFonts w:eastAsia="宋体"/>
                <w:color w:val="auto"/>
                <w:kern w:val="0"/>
                <w:sz w:val="21"/>
                <w:szCs w:val="21"/>
              </w:rPr>
              <w:t xml:space="preserve"> </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1.68</w:t>
            </w:r>
          </w:p>
        </w:tc>
        <w:tc>
          <w:tcPr>
            <w:tcW w:w="134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0.17</w:t>
            </w:r>
          </w:p>
        </w:tc>
        <w:tc>
          <w:tcPr>
            <w:tcW w:w="14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1.26</w:t>
            </w:r>
          </w:p>
        </w:tc>
      </w:tr>
      <w:tr>
        <w:tblPrEx>
          <w:tblCellMar>
            <w:top w:w="0" w:type="dxa"/>
            <w:left w:w="108" w:type="dxa"/>
            <w:bottom w:w="0" w:type="dxa"/>
            <w:right w:w="108" w:type="dxa"/>
          </w:tblCellMar>
        </w:tblPrEx>
        <w:trPr>
          <w:trHeight w:val="360" w:hRule="atLeast"/>
        </w:trPr>
        <w:tc>
          <w:tcPr>
            <w:tcW w:w="72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eastAsia="宋体"/>
                <w:b/>
                <w:bCs/>
                <w:color w:val="auto"/>
                <w:kern w:val="0"/>
                <w:sz w:val="21"/>
                <w:szCs w:val="21"/>
              </w:rPr>
            </w:pPr>
          </w:p>
        </w:tc>
        <w:tc>
          <w:tcPr>
            <w:tcW w:w="92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b/>
                <w:bCs/>
                <w:color w:val="auto"/>
                <w:kern w:val="0"/>
                <w:sz w:val="21"/>
                <w:szCs w:val="21"/>
              </w:rPr>
            </w:pPr>
          </w:p>
        </w:tc>
        <w:tc>
          <w:tcPr>
            <w:tcW w:w="2260" w:type="dxa"/>
            <w:tcBorders>
              <w:top w:val="nil"/>
              <w:left w:val="nil"/>
              <w:bottom w:val="single" w:color="auto" w:sz="8" w:space="0"/>
              <w:right w:val="single" w:color="000000" w:sz="8" w:space="0"/>
            </w:tcBorders>
            <w:shd w:val="clear" w:color="000000" w:fill="FFFFFF"/>
            <w:vAlign w:val="center"/>
          </w:tcPr>
          <w:p>
            <w:pPr>
              <w:widowControl/>
              <w:spacing w:line="240" w:lineRule="auto"/>
              <w:ind w:firstLine="0" w:firstLineChars="0"/>
              <w:jc w:val="center"/>
              <w:rPr>
                <w:rFonts w:ascii="仿宋_GB2312" w:hAnsi="宋体" w:cs="宋体"/>
                <w:b/>
                <w:bCs/>
                <w:color w:val="auto"/>
                <w:kern w:val="0"/>
                <w:sz w:val="21"/>
                <w:szCs w:val="21"/>
              </w:rPr>
            </w:pPr>
            <w:r>
              <w:rPr>
                <w:rFonts w:hint="eastAsia" w:ascii="仿宋_GB2312" w:hAnsi="宋体" w:cs="宋体"/>
                <w:b/>
                <w:bCs/>
                <w:color w:val="auto"/>
                <w:kern w:val="0"/>
                <w:sz w:val="21"/>
                <w:szCs w:val="21"/>
              </w:rPr>
              <w:t>削减比例</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66.7</w:t>
            </w:r>
            <w:r>
              <w:rPr>
                <w:rFonts w:eastAsia="宋体"/>
                <w:color w:val="auto"/>
                <w:kern w:val="0"/>
                <w:sz w:val="21"/>
                <w:szCs w:val="21"/>
              </w:rPr>
              <w:t>%</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30</w:t>
            </w:r>
            <w:r>
              <w:rPr>
                <w:rFonts w:eastAsia="宋体"/>
                <w:color w:val="auto"/>
                <w:kern w:val="0"/>
                <w:sz w:val="21"/>
                <w:szCs w:val="21"/>
              </w:rPr>
              <w:t>%</w:t>
            </w:r>
          </w:p>
        </w:tc>
        <w:tc>
          <w:tcPr>
            <w:tcW w:w="134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30</w:t>
            </w:r>
            <w:r>
              <w:rPr>
                <w:rFonts w:eastAsia="宋体"/>
                <w:color w:val="auto"/>
                <w:kern w:val="0"/>
                <w:sz w:val="21"/>
                <w:szCs w:val="21"/>
              </w:rPr>
              <w:t>%</w:t>
            </w:r>
          </w:p>
        </w:tc>
        <w:tc>
          <w:tcPr>
            <w:tcW w:w="14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73.8</w:t>
            </w:r>
            <w:r>
              <w:rPr>
                <w:rFonts w:eastAsia="宋体"/>
                <w:color w:val="auto"/>
                <w:kern w:val="0"/>
                <w:sz w:val="21"/>
                <w:szCs w:val="21"/>
              </w:rPr>
              <w:t>%</w:t>
            </w:r>
          </w:p>
        </w:tc>
      </w:tr>
      <w:tr>
        <w:tblPrEx>
          <w:tblCellMar>
            <w:top w:w="0" w:type="dxa"/>
            <w:left w:w="108" w:type="dxa"/>
            <w:bottom w:w="0" w:type="dxa"/>
            <w:right w:w="108" w:type="dxa"/>
          </w:tblCellMar>
        </w:tblPrEx>
        <w:trPr>
          <w:trHeight w:val="360" w:hRule="atLeast"/>
        </w:trPr>
        <w:tc>
          <w:tcPr>
            <w:tcW w:w="72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eastAsia="宋体"/>
                <w:b/>
                <w:bCs/>
                <w:color w:val="auto"/>
                <w:kern w:val="0"/>
                <w:sz w:val="21"/>
                <w:szCs w:val="21"/>
              </w:rPr>
            </w:pPr>
          </w:p>
        </w:tc>
        <w:tc>
          <w:tcPr>
            <w:tcW w:w="92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b/>
                <w:bCs/>
                <w:color w:val="auto"/>
                <w:kern w:val="0"/>
                <w:sz w:val="21"/>
                <w:szCs w:val="21"/>
              </w:rPr>
            </w:pPr>
          </w:p>
        </w:tc>
        <w:tc>
          <w:tcPr>
            <w:tcW w:w="2260" w:type="dxa"/>
            <w:tcBorders>
              <w:top w:val="nil"/>
              <w:left w:val="nil"/>
              <w:bottom w:val="single" w:color="auto" w:sz="8" w:space="0"/>
              <w:right w:val="single" w:color="000000" w:sz="8" w:space="0"/>
            </w:tcBorders>
            <w:shd w:val="clear" w:color="000000" w:fill="FFFFFF"/>
            <w:vAlign w:val="center"/>
          </w:tcPr>
          <w:p>
            <w:pPr>
              <w:widowControl/>
              <w:spacing w:line="240" w:lineRule="auto"/>
              <w:ind w:firstLine="0" w:firstLineChars="0"/>
              <w:jc w:val="center"/>
              <w:rPr>
                <w:rFonts w:ascii="仿宋_GB2312" w:hAnsi="宋体" w:cs="宋体"/>
                <w:b/>
                <w:bCs/>
                <w:color w:val="auto"/>
                <w:kern w:val="0"/>
                <w:sz w:val="21"/>
                <w:szCs w:val="21"/>
              </w:rPr>
            </w:pPr>
            <w:r>
              <w:rPr>
                <w:rFonts w:hint="eastAsia" w:ascii="仿宋_GB2312" w:hAnsi="宋体" w:cs="宋体"/>
                <w:b/>
                <w:bCs/>
                <w:color w:val="auto"/>
                <w:kern w:val="0"/>
                <w:sz w:val="21"/>
                <w:szCs w:val="21"/>
              </w:rPr>
              <w:t>削减量</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5.04</w:t>
            </w:r>
          </w:p>
        </w:tc>
        <w:tc>
          <w:tcPr>
            <w:tcW w:w="12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0.51</w:t>
            </w:r>
          </w:p>
        </w:tc>
        <w:tc>
          <w:tcPr>
            <w:tcW w:w="134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0.05</w:t>
            </w:r>
          </w:p>
        </w:tc>
        <w:tc>
          <w:tcPr>
            <w:tcW w:w="1400" w:type="dxa"/>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rFonts w:eastAsia="宋体"/>
                <w:color w:val="auto"/>
                <w:kern w:val="0"/>
                <w:sz w:val="21"/>
                <w:szCs w:val="21"/>
              </w:rPr>
            </w:pPr>
            <w:r>
              <w:rPr>
                <w:rFonts w:hint="eastAsia" w:eastAsia="宋体"/>
                <w:color w:val="auto"/>
                <w:kern w:val="0"/>
                <w:sz w:val="21"/>
                <w:szCs w:val="21"/>
              </w:rPr>
              <w:t>0.93</w:t>
            </w:r>
          </w:p>
        </w:tc>
      </w:tr>
    </w:tbl>
    <w:p>
      <w:pPr>
        <w:spacing w:line="240" w:lineRule="auto"/>
        <w:ind w:firstLine="0" w:firstLineChars="0"/>
        <w:rPr>
          <w:sz w:val="21"/>
          <w:szCs w:val="21"/>
        </w:rPr>
      </w:pPr>
      <w:r>
        <w:rPr>
          <w:rFonts w:hint="eastAsia"/>
          <w:sz w:val="21"/>
          <w:szCs w:val="21"/>
        </w:rPr>
        <w:t>注：污水收集率80%，排污系数0.8。该削减量是在设计进出水水质前提下核算（TP、TN按照去除率30%核算）；项目区养殖较少，且大部分用于农家肥，只有少量渗漏，本可研不再对畜禽粪便污染负荷进行核算。</w:t>
      </w:r>
    </w:p>
    <w:p>
      <w:pPr>
        <w:pStyle w:val="5"/>
        <w:rPr>
          <w:lang w:val="zh-CN"/>
        </w:rPr>
      </w:pPr>
      <w:bookmarkStart w:id="463" w:name="_Toc36127012"/>
      <w:bookmarkStart w:id="464" w:name="_Toc48640819"/>
      <w:r>
        <w:rPr>
          <w:lang w:val="zh-CN"/>
        </w:rPr>
        <w:t>经济效益</w:t>
      </w:r>
      <w:bookmarkEnd w:id="463"/>
      <w:bookmarkEnd w:id="464"/>
    </w:p>
    <w:p>
      <w:pPr>
        <w:ind w:firstLine="480"/>
        <w:rPr>
          <w:rFonts w:cs="Times New Roman"/>
          <w:color w:val="auto"/>
          <w:lang w:val="zh-CN"/>
        </w:rPr>
      </w:pPr>
      <w:r>
        <w:rPr>
          <w:rFonts w:cs="Times New Roman"/>
          <w:color w:val="auto"/>
          <w:lang w:val="zh-CN"/>
        </w:rPr>
        <w:t>作为环保基础设施建设项目，该项目的建设将不产生多大的直接经济效益，但无疑将对该地区产生广泛的影响，解除环境污染对社会经济和旅游业发展的制约，产生的间接效益远大于直接经济效益。</w:t>
      </w:r>
    </w:p>
    <w:p>
      <w:pPr>
        <w:pStyle w:val="5"/>
      </w:pPr>
      <w:bookmarkStart w:id="465" w:name="_Toc48640820"/>
      <w:bookmarkStart w:id="466" w:name="_Toc36127013"/>
      <w:r>
        <w:t>可达性分析</w:t>
      </w:r>
      <w:bookmarkEnd w:id="465"/>
      <w:bookmarkEnd w:id="466"/>
    </w:p>
    <w:p>
      <w:pPr>
        <w:ind w:firstLine="480"/>
        <w:rPr>
          <w:rFonts w:cs="Times New Roman"/>
          <w:color w:val="auto"/>
          <w:kern w:val="0"/>
        </w:rPr>
      </w:pPr>
      <w:r>
        <w:rPr>
          <w:rFonts w:cs="Times New Roman"/>
          <w:color w:val="auto"/>
          <w:kern w:val="0"/>
        </w:rPr>
        <w:t>（1）政策支持</w:t>
      </w:r>
    </w:p>
    <w:p>
      <w:pPr>
        <w:ind w:firstLine="480"/>
        <w:rPr>
          <w:rFonts w:cs="Times New Roman"/>
          <w:color w:val="auto"/>
          <w:kern w:val="0"/>
        </w:rPr>
      </w:pPr>
      <w:r>
        <w:rPr>
          <w:rFonts w:cs="Times New Roman"/>
          <w:color w:val="auto"/>
          <w:kern w:val="0"/>
        </w:rPr>
        <w:t>按照</w:t>
      </w:r>
      <w:r>
        <w:rPr>
          <w:rFonts w:cs="Times New Roman"/>
          <w:color w:val="auto"/>
        </w:rPr>
        <w:t>《农业农村污染治理攻坚战行动计划》（环土壤〔2018〕143号）、《云南省农村人居环境整治三年行动实施方案（2018-2020年）》（云办发〔2018〕15号）</w:t>
      </w:r>
      <w:r>
        <w:rPr>
          <w:rFonts w:cs="Times New Roman"/>
          <w:color w:val="auto"/>
          <w:kern w:val="0"/>
        </w:rPr>
        <w:t>通知要求规范项目前期工作，加快推进农村生活污水处理设施项目建设。为本项目提供了有力的政策支持。</w:t>
      </w:r>
    </w:p>
    <w:p>
      <w:pPr>
        <w:ind w:firstLine="480"/>
        <w:rPr>
          <w:rFonts w:cs="Times New Roman"/>
          <w:color w:val="auto"/>
          <w:lang w:val="zh-CN"/>
        </w:rPr>
      </w:pPr>
      <w:r>
        <w:rPr>
          <w:rFonts w:cs="Times New Roman"/>
          <w:color w:val="auto"/>
          <w:lang w:val="zh-CN"/>
        </w:rPr>
        <w:t>（2）已有工艺技术基础</w:t>
      </w:r>
    </w:p>
    <w:p>
      <w:pPr>
        <w:ind w:firstLine="480"/>
        <w:rPr>
          <w:rFonts w:cs="Times New Roman"/>
          <w:color w:val="auto"/>
          <w:lang w:val="zh-CN"/>
        </w:rPr>
      </w:pPr>
      <w:r>
        <w:rPr>
          <w:rFonts w:cs="Times New Roman"/>
          <w:color w:val="auto"/>
          <w:lang w:val="zh-CN"/>
        </w:rPr>
        <w:t>近年来农村生活污染控制技术已成为环保领域的热点，大量的技术已经得到了比较广泛应用，</w:t>
      </w:r>
      <w:r>
        <w:rPr>
          <w:rFonts w:hint="eastAsia" w:cs="Times New Roman"/>
          <w:color w:val="auto"/>
          <w:lang w:val="zh-CN"/>
        </w:rPr>
        <w:t>生物接触氧化法</w:t>
      </w:r>
      <w:r>
        <w:rPr>
          <w:rFonts w:cs="Times New Roman"/>
          <w:color w:val="auto"/>
          <w:lang w:val="zh-CN"/>
        </w:rPr>
        <w:t>、生物滤池、沉淀塘处理</w:t>
      </w:r>
      <w:r>
        <w:rPr>
          <w:rFonts w:hint="eastAsia" w:cs="Times New Roman"/>
          <w:color w:val="auto"/>
          <w:lang w:val="zh-CN"/>
        </w:rPr>
        <w:t>等</w:t>
      </w:r>
      <w:r>
        <w:rPr>
          <w:rFonts w:cs="Times New Roman"/>
          <w:color w:val="auto"/>
          <w:lang w:val="zh-CN"/>
        </w:rPr>
        <w:t>系统等已经被列入国家环保行业标准（村镇生活污染控制技术规范）加以推广；污水管网施工技术成熟，项目区所在地芒市范围内以往已实施过大量类似工程，也涉及部分村庄内部雨污分流管网的建设，以往因村庄巷道较窄等导致村民阻碍施工等技术原因本设计已按最易实施，村民易接受的方案进行设计，同时，以往入户管网裸露导致管道易破损、使用寿命短、不美观等因素本设计也加以重视，并采用相关的技术进行克服，因此，本设计结合以往实施项目，具有较强的技术和经验基础。</w:t>
      </w:r>
    </w:p>
    <w:p>
      <w:pPr>
        <w:ind w:firstLine="480"/>
        <w:rPr>
          <w:rFonts w:cs="Times New Roman"/>
          <w:color w:val="auto"/>
          <w:lang w:val="zh-CN"/>
        </w:rPr>
      </w:pPr>
      <w:r>
        <w:rPr>
          <w:rFonts w:cs="Times New Roman"/>
          <w:color w:val="auto"/>
          <w:lang w:val="zh-CN"/>
        </w:rPr>
        <w:t>（3）资金和政策等方面的支持</w:t>
      </w:r>
    </w:p>
    <w:p>
      <w:pPr>
        <w:ind w:firstLine="480"/>
        <w:rPr>
          <w:rFonts w:cs="Times New Roman"/>
          <w:color w:val="auto"/>
          <w:lang w:val="zh-CN"/>
        </w:rPr>
      </w:pPr>
      <w:r>
        <w:rPr>
          <w:rFonts w:cs="Times New Roman"/>
          <w:color w:val="auto"/>
          <w:lang w:val="zh-CN"/>
        </w:rPr>
        <w:t>本工程的建设主要针对农村生活污水收集工程、生活污水处理工程两方面，项目区本身生活污水污染防治基础设施较薄弱，给当地村民生产生活带来了极大的影响，生产生活对项目区水体污染影响也较大，同时与项目区村庄地理位置和环境造成的水资源缺乏现状相结合，区域环境保护区工作任务极为迫切。各级政府也高度重视项目区人居环境和生活质量，相继出台一系列治理政策，在资金投入及政策方面有充分的保障。</w:t>
      </w:r>
    </w:p>
    <w:p>
      <w:pPr>
        <w:ind w:firstLine="480"/>
        <w:rPr>
          <w:rFonts w:cs="Times New Roman"/>
          <w:color w:val="auto"/>
          <w:lang w:val="zh-CN"/>
        </w:rPr>
      </w:pPr>
      <w:r>
        <w:rPr>
          <w:rFonts w:cs="Times New Roman"/>
          <w:color w:val="auto"/>
          <w:lang w:val="zh-CN"/>
        </w:rPr>
        <w:t>（4）</w:t>
      </w:r>
      <w:r>
        <w:rPr>
          <w:rFonts w:hint="eastAsia" w:cs="Times New Roman"/>
          <w:color w:val="auto"/>
          <w:lang w:val="zh-CN"/>
        </w:rPr>
        <w:t>居民</w:t>
      </w:r>
      <w:r>
        <w:rPr>
          <w:rFonts w:cs="Times New Roman"/>
          <w:color w:val="auto"/>
          <w:lang w:val="zh-CN"/>
        </w:rPr>
        <w:t>对村庄良好环境的迫切需求</w:t>
      </w:r>
    </w:p>
    <w:p>
      <w:pPr>
        <w:ind w:firstLine="480"/>
        <w:rPr>
          <w:rFonts w:cs="Times New Roman"/>
          <w:color w:val="auto"/>
          <w:lang w:val="zh-CN"/>
        </w:rPr>
      </w:pPr>
      <w:r>
        <w:rPr>
          <w:rFonts w:cs="Times New Roman"/>
          <w:color w:val="auto"/>
          <w:lang w:val="zh-CN"/>
        </w:rPr>
        <w:t>项目所在地芒市以往已实施过部分村庄环境综合治理工程，从村庄末端污水处理系统的建设，到村庄末端截污、外围截污的实施，虽然可见一定的工程效益，但对村庄内部环境改善不突出，尤其是近年来经济快速发展，村庄基础建设加快，大量新建房屋配套设施建设有水冲厕，冲厕废水去向问题日益突出，村民对村庄污水管网建设要求越发迫切，项目前期踏勘得到了村民的积极配合和认可。降低了项目实施过程中的难度，可确保项目的可实施性。</w:t>
      </w:r>
    </w:p>
    <w:p>
      <w:pPr>
        <w:ind w:firstLine="480"/>
        <w:rPr>
          <w:rFonts w:cs="Times New Roman"/>
          <w:color w:val="auto"/>
          <w:kern w:val="0"/>
        </w:rPr>
      </w:pPr>
      <w:r>
        <w:rPr>
          <w:rFonts w:cs="Times New Roman"/>
          <w:color w:val="auto"/>
          <w:kern w:val="0"/>
        </w:rPr>
        <w:t>（5）施工条件可行</w:t>
      </w:r>
    </w:p>
    <w:p>
      <w:pPr>
        <w:ind w:firstLine="480"/>
        <w:rPr>
          <w:rFonts w:cs="Times New Roman"/>
          <w:color w:val="auto"/>
          <w:lang w:val="zh-CN"/>
        </w:rPr>
      </w:pPr>
      <w:r>
        <w:rPr>
          <w:rFonts w:cs="Times New Roman"/>
          <w:color w:val="auto"/>
          <w:lang w:val="zh-CN"/>
        </w:rPr>
        <w:t>项目地位于德宏州芒市</w:t>
      </w:r>
      <w:r>
        <w:rPr>
          <w:rFonts w:hint="eastAsia" w:cs="Times New Roman"/>
          <w:color w:val="auto"/>
          <w:lang w:val="zh-CN"/>
        </w:rPr>
        <w:t>遮放</w:t>
      </w:r>
      <w:r>
        <w:rPr>
          <w:rFonts w:cs="Times New Roman"/>
          <w:color w:val="auto"/>
          <w:lang w:val="zh-CN"/>
        </w:rPr>
        <w:t>镇</w:t>
      </w:r>
      <w:r>
        <w:rPr>
          <w:rFonts w:hint="eastAsia" w:cs="Times New Roman"/>
          <w:color w:val="auto"/>
          <w:lang w:val="zh-CN"/>
        </w:rPr>
        <w:t>户拉村、芒瓦村</w:t>
      </w:r>
      <w:r>
        <w:rPr>
          <w:rFonts w:cs="Times New Roman"/>
          <w:color w:val="auto"/>
          <w:lang w:val="zh-CN"/>
        </w:rPr>
        <w:t>，距离</w:t>
      </w:r>
      <w:r>
        <w:rPr>
          <w:rFonts w:hint="eastAsia" w:cs="Times New Roman"/>
          <w:color w:val="auto"/>
          <w:lang w:val="zh-CN"/>
        </w:rPr>
        <w:t>集镇</w:t>
      </w:r>
      <w:r>
        <w:rPr>
          <w:rFonts w:cs="Times New Roman"/>
          <w:color w:val="auto"/>
          <w:lang w:val="zh-CN"/>
        </w:rPr>
        <w:t>约1</w:t>
      </w:r>
      <w:r>
        <w:rPr>
          <w:rFonts w:hint="eastAsia" w:cs="Times New Roman"/>
          <w:color w:val="auto"/>
          <w:lang w:val="zh-CN"/>
        </w:rPr>
        <w:t>2</w:t>
      </w:r>
      <w:r>
        <w:rPr>
          <w:rFonts w:cs="Times New Roman"/>
          <w:color w:val="auto"/>
          <w:lang w:val="zh-CN"/>
        </w:rPr>
        <w:t>km，道路交通条件较好，施工材料便于采购，材料运输距离较短；施工过程中用水、用电有保障，</w:t>
      </w:r>
      <w:r>
        <w:rPr>
          <w:rFonts w:hint="eastAsia" w:cs="Times New Roman"/>
          <w:color w:val="auto"/>
          <w:lang w:val="zh-CN"/>
        </w:rPr>
        <w:t>遮放</w:t>
      </w:r>
      <w:r>
        <w:rPr>
          <w:rFonts w:cs="Times New Roman"/>
          <w:color w:val="auto"/>
          <w:lang w:val="zh-CN"/>
        </w:rPr>
        <w:t>镇工程地质条件较好。</w:t>
      </w:r>
    </w:p>
    <w:p>
      <w:pPr>
        <w:ind w:firstLine="480"/>
        <w:rPr>
          <w:rFonts w:cs="Times New Roman"/>
          <w:color w:val="auto"/>
        </w:rPr>
      </w:pPr>
      <w:r>
        <w:rPr>
          <w:rFonts w:cs="Times New Roman"/>
          <w:color w:val="auto"/>
        </w:rPr>
        <w:t>（5）</w:t>
      </w:r>
      <w:r>
        <w:rPr>
          <w:rFonts w:cs="Times New Roman"/>
          <w:color w:val="auto"/>
          <w:lang w:val="zh-CN"/>
        </w:rPr>
        <w:t>管理体系与管理机制的建立健全</w:t>
      </w:r>
    </w:p>
    <w:p>
      <w:pPr>
        <w:ind w:firstLine="480"/>
        <w:rPr>
          <w:rFonts w:cs="Times New Roman"/>
          <w:color w:val="auto"/>
          <w:lang w:val="zh-CN"/>
        </w:rPr>
      </w:pPr>
      <w:r>
        <w:rPr>
          <w:rFonts w:cs="Times New Roman"/>
          <w:color w:val="auto"/>
          <w:lang w:val="zh-CN"/>
        </w:rPr>
        <w:t>在方案工程实施实现治污的同时，强调环境宣传教育等措施，为了保障项目的顺利、稳步地推进，还提出了项目管理体系与管理机制的建立与健全，以及管理机制落实到位的保障措施，充分发挥项目监督管理的行政权。通过综合决策、科学管理、有效监督、考核与激励，以确保计划项目按期实施，确保工程质量达到要求，实现工程建设的预期目标。</w:t>
      </w:r>
    </w:p>
    <w:p>
      <w:pPr>
        <w:widowControl/>
        <w:spacing w:line="240" w:lineRule="auto"/>
        <w:ind w:firstLine="0" w:firstLineChars="0"/>
        <w:jc w:val="left"/>
        <w:rPr>
          <w:rFonts w:cs="Times New Roman"/>
          <w:color w:val="auto"/>
          <w:lang w:val="zh-CN"/>
        </w:rPr>
      </w:pPr>
      <w:r>
        <w:rPr>
          <w:rFonts w:cs="Times New Roman"/>
          <w:color w:val="auto"/>
          <w:lang w:val="zh-CN"/>
        </w:rPr>
        <w:br w:type="page"/>
      </w:r>
    </w:p>
    <w:p>
      <w:pPr>
        <w:pStyle w:val="3"/>
        <w:rPr>
          <w:color w:val="auto"/>
          <w:lang w:val="zh-CN"/>
        </w:rPr>
      </w:pPr>
      <w:bookmarkStart w:id="467" w:name="_Toc36127014"/>
      <w:bookmarkStart w:id="468" w:name="_Toc48640821"/>
      <w:r>
        <w:rPr>
          <w:rFonts w:hint="eastAsia"/>
          <w:color w:val="auto"/>
          <w:lang w:val="zh-CN"/>
        </w:rPr>
        <w:t>风险分析</w:t>
      </w:r>
      <w:bookmarkEnd w:id="467"/>
      <w:bookmarkEnd w:id="468"/>
    </w:p>
    <w:p>
      <w:pPr>
        <w:pStyle w:val="4"/>
      </w:pPr>
      <w:bookmarkStart w:id="469" w:name="_Toc48640822"/>
      <w:bookmarkStart w:id="470" w:name="_Toc36127015"/>
      <w:r>
        <w:rPr>
          <w:rFonts w:hint="eastAsia"/>
        </w:rPr>
        <w:t>工程风险</w:t>
      </w:r>
      <w:bookmarkEnd w:id="469"/>
      <w:bookmarkEnd w:id="470"/>
    </w:p>
    <w:p>
      <w:pPr>
        <w:ind w:firstLine="480"/>
        <w:rPr>
          <w:color w:val="auto"/>
          <w:lang w:val="zh-CN"/>
        </w:rPr>
      </w:pPr>
      <w:r>
        <w:rPr>
          <w:rFonts w:hint="eastAsia"/>
          <w:color w:val="auto"/>
          <w:lang w:val="zh-CN"/>
        </w:rPr>
        <w:t>项目实施过程中，可能因工程地质条件、水文地质条件和工程设计本身发生重大变化，导致工程量增加、投资增加、工期延长等风险。</w:t>
      </w:r>
    </w:p>
    <w:p>
      <w:pPr>
        <w:ind w:firstLine="480"/>
        <w:rPr>
          <w:color w:val="auto"/>
          <w:lang w:val="zh-CN"/>
        </w:rPr>
      </w:pPr>
      <w:r>
        <w:rPr>
          <w:rFonts w:hint="eastAsia"/>
          <w:color w:val="auto"/>
          <w:lang w:val="zh-CN"/>
        </w:rPr>
        <w:t>控制措施：加强地质、水文勘测测量工作，并在设计阶段全面考虑工程风险因素，采取针对性的措施，合理有效地组织施工和管理，使项目的质量、投资、进度控制在计划范围内，确保项目工程顺利完成。</w:t>
      </w:r>
    </w:p>
    <w:p>
      <w:pPr>
        <w:pStyle w:val="4"/>
      </w:pPr>
      <w:bookmarkStart w:id="471" w:name="_Toc48640823"/>
      <w:bookmarkStart w:id="472" w:name="_Toc36127016"/>
      <w:r>
        <w:rPr>
          <w:rFonts w:hint="eastAsia"/>
        </w:rPr>
        <w:t>其他风险</w:t>
      </w:r>
      <w:bookmarkEnd w:id="471"/>
      <w:bookmarkEnd w:id="472"/>
    </w:p>
    <w:p>
      <w:pPr>
        <w:ind w:firstLine="480"/>
        <w:rPr>
          <w:color w:val="auto"/>
          <w:lang w:val="zh-CN"/>
        </w:rPr>
      </w:pPr>
      <w:r>
        <w:rPr>
          <w:rFonts w:hint="eastAsia"/>
          <w:color w:val="auto"/>
          <w:lang w:val="zh-CN"/>
        </w:rPr>
        <w:t xml:space="preserve">（1）外部协作条件风险    </w:t>
      </w:r>
    </w:p>
    <w:p>
      <w:pPr>
        <w:ind w:firstLine="480"/>
        <w:rPr>
          <w:color w:val="auto"/>
          <w:lang w:val="zh-CN"/>
        </w:rPr>
      </w:pPr>
      <w:r>
        <w:rPr>
          <w:rFonts w:hint="eastAsia"/>
          <w:color w:val="auto"/>
          <w:lang w:val="zh-CN"/>
        </w:rPr>
        <w:t>指外部协作条件及项目所在地互适程度可能出现的问题，如政府规划、交通运输、以及当地居民的配合程度。由于项目可能对当地某些利益群体、组织机构带来负面影响等，故仍然存在外部配套设施没有如期落实的问题，致使投资项目不能发挥应有效益，从而带来风险。</w:t>
      </w:r>
    </w:p>
    <w:p>
      <w:pPr>
        <w:ind w:firstLine="480"/>
        <w:rPr>
          <w:color w:val="auto"/>
          <w:lang w:val="zh-CN"/>
        </w:rPr>
      </w:pPr>
      <w:r>
        <w:rPr>
          <w:rFonts w:hint="eastAsia"/>
          <w:color w:val="auto"/>
          <w:lang w:val="zh-CN"/>
        </w:rPr>
        <w:t>（2）社会风险</w:t>
      </w:r>
    </w:p>
    <w:p>
      <w:pPr>
        <w:ind w:firstLine="480"/>
        <w:rPr>
          <w:color w:val="auto"/>
          <w:lang w:val="zh-CN"/>
        </w:rPr>
      </w:pPr>
      <w:r>
        <w:rPr>
          <w:rFonts w:hint="eastAsia"/>
          <w:color w:val="auto"/>
          <w:lang w:val="zh-CN"/>
        </w:rPr>
        <w:t>根据风险估计结果，</w:t>
      </w:r>
      <w:r>
        <w:rPr>
          <w:color w:val="auto"/>
          <w:lang w:val="zh-CN"/>
        </w:rPr>
        <w:t>德宏州</w:t>
      </w:r>
      <w:r>
        <w:rPr>
          <w:rFonts w:hint="eastAsia"/>
          <w:color w:val="auto"/>
          <w:lang w:val="zh-CN"/>
        </w:rPr>
        <w:t>芒市大河流域户拉断面水质提升项目主要风验因素有：</w:t>
      </w:r>
    </w:p>
    <w:p>
      <w:pPr>
        <w:ind w:firstLine="480"/>
        <w:rPr>
          <w:color w:val="auto"/>
          <w:lang w:val="zh-CN"/>
        </w:rPr>
      </w:pPr>
      <w:r>
        <w:rPr>
          <w:rFonts w:hint="eastAsia"/>
          <w:color w:val="auto"/>
          <w:lang w:val="zh-CN"/>
        </w:rPr>
        <w:t>1）社会治安和公其安全：施工期间人数较多，若管理不当，可能与当地村民发生冲突，处理不当则会引起上访，暴力抗议等治安事件。</w:t>
      </w:r>
    </w:p>
    <w:p>
      <w:pPr>
        <w:ind w:firstLine="480"/>
        <w:rPr>
          <w:color w:val="auto"/>
          <w:lang w:val="zh-CN"/>
        </w:rPr>
      </w:pPr>
      <w:r>
        <w:rPr>
          <w:rFonts w:hint="eastAsia"/>
          <w:color w:val="auto"/>
          <w:lang w:val="zh-CN"/>
        </w:rPr>
        <w:t>2）生产安置方案：①征、租地能否取得村民的同意；②征、租地费用是否能够及时到位。</w:t>
      </w:r>
    </w:p>
    <w:p>
      <w:pPr>
        <w:ind w:firstLine="480"/>
        <w:rPr>
          <w:color w:val="auto"/>
          <w:lang w:val="zh-CN"/>
        </w:rPr>
      </w:pPr>
      <w:r>
        <w:rPr>
          <w:rFonts w:hint="eastAsia"/>
          <w:color w:val="auto"/>
          <w:lang w:val="zh-CN"/>
        </w:rPr>
        <w:t>3）对当地群众正常生产生活的影响：①受影响道路、供水、电力等设施复建不及时会影响村民正常生产生活。②施工期间需要占用部分现有道路，将给沿途居民带来一定的不便。</w:t>
      </w:r>
    </w:p>
    <w:p>
      <w:pPr>
        <w:ind w:firstLine="480"/>
        <w:rPr>
          <w:color w:val="auto"/>
          <w:lang w:val="zh-CN"/>
        </w:rPr>
      </w:pPr>
      <w:r>
        <w:rPr>
          <w:rFonts w:hint="eastAsia"/>
          <w:color w:val="auto"/>
          <w:lang w:val="zh-CN"/>
        </w:rPr>
        <w:t>主要防范化解措施：</w:t>
      </w:r>
    </w:p>
    <w:p>
      <w:pPr>
        <w:ind w:firstLine="480"/>
        <w:rPr>
          <w:color w:val="auto"/>
          <w:lang w:val="zh-CN"/>
        </w:rPr>
      </w:pPr>
      <w:r>
        <w:rPr>
          <w:rFonts w:hint="eastAsia"/>
          <w:color w:val="auto"/>
          <w:lang w:val="zh-CN"/>
        </w:rPr>
        <w:t>针对</w:t>
      </w:r>
      <w:r>
        <w:rPr>
          <w:rFonts w:cs="Times New Roman"/>
          <w:color w:val="auto"/>
        </w:rPr>
        <w:t>德宏州</w:t>
      </w:r>
      <w:r>
        <w:rPr>
          <w:rFonts w:hint="eastAsia" w:cs="Times New Roman"/>
          <w:color w:val="auto"/>
        </w:rPr>
        <w:t>芒市大河</w:t>
      </w:r>
      <w:r>
        <w:rPr>
          <w:rFonts w:hint="eastAsia"/>
          <w:color w:val="auto"/>
          <w:lang w:val="zh-CN"/>
        </w:rPr>
        <w:t>流域</w:t>
      </w:r>
      <w:r>
        <w:rPr>
          <w:color w:val="auto"/>
          <w:lang w:val="zh-CN"/>
        </w:rPr>
        <w:t>村庄生活污水治理工程</w:t>
      </w:r>
      <w:r>
        <w:rPr>
          <w:rFonts w:hint="eastAsia"/>
          <w:color w:val="auto"/>
          <w:lang w:val="zh-CN"/>
        </w:rPr>
        <w:t>主要风险因素，主要防范化解措施如下：</w:t>
      </w:r>
    </w:p>
    <w:p>
      <w:pPr>
        <w:ind w:firstLine="480"/>
        <w:rPr>
          <w:color w:val="auto"/>
          <w:lang w:val="zh-CN"/>
        </w:rPr>
      </w:pPr>
      <w:r>
        <w:rPr>
          <w:rFonts w:hint="eastAsia"/>
          <w:color w:val="auto"/>
          <w:lang w:val="zh-CN"/>
        </w:rPr>
        <w:t>1）社会治安和公共安全：规范施工期间人员管理和教育。</w:t>
      </w:r>
    </w:p>
    <w:p>
      <w:pPr>
        <w:ind w:firstLine="480"/>
        <w:rPr>
          <w:color w:val="auto"/>
          <w:lang w:val="zh-CN"/>
        </w:rPr>
      </w:pPr>
      <w:r>
        <w:rPr>
          <w:rFonts w:hint="eastAsia"/>
          <w:color w:val="auto"/>
          <w:lang w:val="zh-CN"/>
        </w:rPr>
        <w:t>2）客观公正对待移民需求，在政策允许范围内满足移民要求；③对于有违政策的诉求，予以详细的解释。</w:t>
      </w:r>
    </w:p>
    <w:p>
      <w:pPr>
        <w:ind w:firstLine="480"/>
        <w:rPr>
          <w:color w:val="auto"/>
          <w:lang w:val="zh-CN"/>
        </w:rPr>
      </w:pPr>
      <w:r>
        <w:rPr>
          <w:rFonts w:hint="eastAsia"/>
          <w:color w:val="auto"/>
          <w:lang w:val="zh-CN"/>
        </w:rPr>
        <w:t>3）对当地群众正常生产生活的影响：①移民搬迁之前建好交通、供水、供电和通信等基础设施；②及时建好库周机耕路绕线工程，不影响村民农业生产：③工程施工宣传告示，使当地群众知情；④施工期间合理安排运输时段：⑤施工期间做好驾驶员安全教育工作。</w:t>
      </w:r>
    </w:p>
    <w:p>
      <w:pPr>
        <w:ind w:firstLine="480"/>
        <w:rPr>
          <w:color w:val="auto"/>
          <w:lang w:val="zh-CN"/>
        </w:rPr>
      </w:pPr>
      <w:r>
        <w:rPr>
          <w:rFonts w:hint="eastAsia"/>
          <w:color w:val="auto"/>
          <w:lang w:val="zh-CN"/>
        </w:rPr>
        <w:t>（3）资金风险。</w:t>
      </w:r>
    </w:p>
    <w:p>
      <w:pPr>
        <w:ind w:firstLine="480"/>
        <w:rPr>
          <w:color w:val="auto"/>
          <w:lang w:val="zh-CN"/>
        </w:rPr>
      </w:pPr>
      <w:r>
        <w:rPr>
          <w:rFonts w:hint="eastAsia"/>
          <w:color w:val="auto"/>
          <w:lang w:val="zh-CN"/>
        </w:rPr>
        <w:t>本项目资金为地方资金配套，通过综合分析，本项目资金有保证，风险较小。项目实施过程中，可能存在资金落实不到位、资金管理使用不当等风险，影响项目施工进度或正常运营。</w:t>
      </w:r>
    </w:p>
    <w:p>
      <w:pPr>
        <w:ind w:firstLine="480"/>
        <w:rPr>
          <w:color w:val="auto"/>
          <w:lang w:val="zh-CN"/>
        </w:rPr>
      </w:pPr>
      <w:r>
        <w:rPr>
          <w:rFonts w:hint="eastAsia"/>
          <w:color w:val="auto"/>
          <w:lang w:val="zh-CN"/>
        </w:rPr>
        <w:t>控制措施：建设单位应建立健全基本建设资金管理制度，严格执行国家有关基本建设财务管理的规定。成立项目建设资金管理小组，建设资金按规定专账管理，专款专用，并建立健全财务审批、使用和报账制度，杜绝挤占、挪用。资金管理小组要严格执行财经纪律，管好用好建设资金，并按投资计划及工程进度将建设资金拨付到具体施工单位。充分发挥审计、监督及资金管理部门的作用，加强对资金的检查和监督力度，自觉接受上级有关部门的检查监督。</w:t>
      </w:r>
    </w:p>
    <w:p>
      <w:pPr>
        <w:ind w:firstLine="480"/>
        <w:rPr>
          <w:color w:val="auto"/>
          <w:lang w:val="zh-CN"/>
        </w:rPr>
      </w:pPr>
      <w:r>
        <w:rPr>
          <w:rFonts w:hint="eastAsia"/>
          <w:color w:val="auto"/>
          <w:lang w:val="zh-CN"/>
        </w:rPr>
        <w:t>（4）工程事故风险</w:t>
      </w:r>
    </w:p>
    <w:p>
      <w:pPr>
        <w:ind w:firstLine="480"/>
        <w:rPr>
          <w:color w:val="auto"/>
          <w:lang w:val="zh-CN"/>
        </w:rPr>
      </w:pPr>
      <w:r>
        <w:rPr>
          <w:rFonts w:hint="eastAsia"/>
          <w:color w:val="auto"/>
          <w:lang w:val="zh-CN"/>
        </w:rPr>
        <w:t>本项目施工过程中由于露天作业多、现场交叉作业环节多、方法多样、施工条件受自然环境影响大、场内人员流动性大等特点，工程现场安全隐患较多，存在发生工程事故的风险。</w:t>
      </w:r>
    </w:p>
    <w:p>
      <w:pPr>
        <w:ind w:firstLine="480"/>
        <w:rPr>
          <w:color w:val="auto"/>
          <w:lang w:val="zh-CN"/>
        </w:rPr>
      </w:pPr>
      <w:r>
        <w:rPr>
          <w:rFonts w:hint="eastAsia"/>
          <w:color w:val="auto"/>
          <w:lang w:val="zh-CN"/>
        </w:rPr>
        <w:t>控制措施：针对项目施工过程中可能出现的工程事故风险，完善生产安全事故风险防控和应急措施，加强应急预案管理工作，增强项目实施人员安全意识，提高应对突发生产安全事故的预防和处置能力，施工过程中进行应急管理诊断，完善应急救援预案的编制工作，定期组织人员进行应急预案演练，提高相关人员的应急救援处置能力。</w:t>
      </w:r>
    </w:p>
    <w:p>
      <w:pPr>
        <w:widowControl/>
        <w:spacing w:line="240" w:lineRule="auto"/>
        <w:ind w:firstLine="0" w:firstLineChars="0"/>
        <w:jc w:val="left"/>
        <w:rPr>
          <w:rFonts w:cs="Times New Roman"/>
          <w:color w:val="auto"/>
          <w:lang w:val="zh-CN"/>
        </w:rPr>
      </w:pPr>
    </w:p>
    <w:p>
      <w:pPr>
        <w:widowControl/>
        <w:spacing w:line="240" w:lineRule="auto"/>
        <w:ind w:firstLine="0" w:firstLineChars="0"/>
        <w:jc w:val="left"/>
        <w:rPr>
          <w:rFonts w:cs="Times New Roman"/>
          <w:color w:val="auto"/>
          <w:lang w:val="zh-CN"/>
        </w:rPr>
      </w:pPr>
    </w:p>
    <w:p>
      <w:pPr>
        <w:widowControl/>
        <w:spacing w:line="240" w:lineRule="auto"/>
        <w:ind w:firstLine="0" w:firstLineChars="0"/>
        <w:jc w:val="left"/>
        <w:rPr>
          <w:rFonts w:cs="Times New Roman"/>
          <w:color w:val="auto"/>
          <w:lang w:val="zh-CN"/>
        </w:rPr>
      </w:pPr>
    </w:p>
    <w:p>
      <w:pPr>
        <w:widowControl/>
        <w:spacing w:line="240" w:lineRule="auto"/>
        <w:ind w:firstLine="0" w:firstLineChars="0"/>
        <w:jc w:val="left"/>
        <w:rPr>
          <w:rFonts w:cs="Times New Roman"/>
          <w:color w:val="auto"/>
        </w:rPr>
      </w:pPr>
      <w:r>
        <w:rPr>
          <w:rFonts w:cs="Times New Roman"/>
          <w:color w:val="auto"/>
        </w:rPr>
        <w:br w:type="page"/>
      </w:r>
    </w:p>
    <w:p>
      <w:pPr>
        <w:pStyle w:val="3"/>
        <w:rPr>
          <w:color w:val="auto"/>
        </w:rPr>
      </w:pPr>
      <w:bookmarkStart w:id="473" w:name="_Toc35615157"/>
      <w:bookmarkStart w:id="474" w:name="_Toc36127017"/>
      <w:bookmarkStart w:id="475" w:name="_Toc48640824"/>
      <w:r>
        <w:rPr>
          <w:color w:val="auto"/>
        </w:rPr>
        <w:t>结论及建议</w:t>
      </w:r>
      <w:bookmarkEnd w:id="473"/>
      <w:bookmarkEnd w:id="474"/>
      <w:bookmarkEnd w:id="475"/>
    </w:p>
    <w:p>
      <w:pPr>
        <w:pStyle w:val="4"/>
      </w:pPr>
      <w:bookmarkStart w:id="476" w:name="_Toc36127018"/>
      <w:bookmarkStart w:id="477" w:name="_Toc48640825"/>
      <w:r>
        <w:t>结论</w:t>
      </w:r>
      <w:bookmarkEnd w:id="476"/>
      <w:bookmarkEnd w:id="477"/>
    </w:p>
    <w:p>
      <w:pPr>
        <w:ind w:firstLine="480"/>
        <w:rPr>
          <w:rFonts w:cs="Times New Roman"/>
          <w:color w:val="auto"/>
          <w:lang w:val="zh-CN"/>
        </w:rPr>
      </w:pPr>
      <w:r>
        <w:rPr>
          <w:rFonts w:cs="Times New Roman"/>
          <w:color w:val="auto"/>
          <w:lang w:val="zh-CN"/>
        </w:rPr>
        <w:t>（1）本工程为</w:t>
      </w:r>
      <w:r>
        <w:rPr>
          <w:rFonts w:hint="eastAsia" w:cs="Times New Roman"/>
          <w:color w:val="auto"/>
        </w:rPr>
        <w:t>芒市大河流域户拉断面水质提升</w:t>
      </w:r>
      <w:r>
        <w:rPr>
          <w:rFonts w:cs="Times New Roman"/>
          <w:color w:val="auto"/>
        </w:rPr>
        <w:t>项目</w:t>
      </w:r>
      <w:r>
        <w:rPr>
          <w:rFonts w:cs="Times New Roman"/>
          <w:color w:val="auto"/>
          <w:lang w:val="zh-CN"/>
        </w:rPr>
        <w:t>，通过村庄污水收集处理设施的建设，一方面确保了流域村庄污水得到有效治理，对改善流域水体水质具有重要作用，另一方面，从农户排口收集入手，通过村庄内部管网的建设，极大程度上改善了项目区村庄基础设施建设，对改善贫困乡镇基础设施建设，提升村庄人居环境，具有重要的作用。同时，本工程对项目区农村环境整治及保护项目区水环境和生态环境都将发挥巨大的作用，做到经济增长与环境保护协调发展，对友好人居环境建设发展有重大意义。</w:t>
      </w:r>
    </w:p>
    <w:p>
      <w:pPr>
        <w:ind w:firstLine="480"/>
        <w:rPr>
          <w:rFonts w:cs="Times New Roman"/>
          <w:color w:val="auto"/>
          <w:lang w:val="zh-CN"/>
        </w:rPr>
      </w:pPr>
      <w:r>
        <w:rPr>
          <w:rFonts w:cs="Times New Roman"/>
          <w:color w:val="auto"/>
          <w:lang w:val="zh-CN"/>
        </w:rPr>
        <w:t>本项目为水污染防治基础设施建设工程，从本质上是非盈利性质的社会公益性建设项目。其主要功能是改善居民的人居环境，提高居民的生活质量，提高了政府的威信，促进经济社会的可持续发展，其间接经济效益远大于工程的直接经济效益。</w:t>
      </w:r>
    </w:p>
    <w:p>
      <w:pPr>
        <w:ind w:firstLine="480"/>
        <w:rPr>
          <w:rFonts w:cs="Times New Roman"/>
          <w:color w:val="auto"/>
          <w:lang w:val="zh-CN"/>
        </w:rPr>
      </w:pPr>
      <w:r>
        <w:rPr>
          <w:rFonts w:cs="Times New Roman"/>
          <w:color w:val="auto"/>
          <w:lang w:val="zh-CN"/>
        </w:rPr>
        <w:t>（2）本项目的主要工程内容及规模：</w:t>
      </w:r>
    </w:p>
    <w:p>
      <w:pPr>
        <w:ind w:firstLine="480"/>
        <w:rPr>
          <w:rFonts w:cs="Times New Roman"/>
          <w:color w:val="auto"/>
        </w:rPr>
      </w:pPr>
      <w:r>
        <w:rPr>
          <w:rFonts w:cs="Times New Roman"/>
          <w:color w:val="auto"/>
        </w:rPr>
        <w:t>①污水收集工程</w:t>
      </w:r>
    </w:p>
    <w:p>
      <w:pPr>
        <w:ind w:firstLine="480"/>
        <w:rPr>
          <w:rFonts w:cs="Times New Roman"/>
          <w:color w:val="auto"/>
        </w:rPr>
      </w:pPr>
      <w:r>
        <w:rPr>
          <w:rFonts w:cs="Times New Roman"/>
          <w:color w:val="auto"/>
        </w:rPr>
        <w:t>新建DN</w:t>
      </w:r>
      <w:r>
        <w:rPr>
          <w:rFonts w:hint="eastAsia" w:cs="Times New Roman"/>
          <w:color w:val="auto"/>
        </w:rPr>
        <w:t>3</w:t>
      </w:r>
      <w:r>
        <w:rPr>
          <w:rFonts w:cs="Times New Roman"/>
          <w:color w:val="auto"/>
        </w:rPr>
        <w:t>00</w:t>
      </w:r>
      <w:r>
        <w:rPr>
          <w:rFonts w:hint="eastAsia" w:cs="Times New Roman"/>
          <w:color w:val="auto"/>
        </w:rPr>
        <w:t>焊接钢管630</w:t>
      </w:r>
      <w:r>
        <w:rPr>
          <w:rFonts w:cs="Times New Roman"/>
          <w:color w:val="auto"/>
        </w:rPr>
        <w:t>m，</w:t>
      </w:r>
    </w:p>
    <w:p>
      <w:pPr>
        <w:ind w:firstLine="480"/>
        <w:rPr>
          <w:rFonts w:cs="Times New Roman"/>
          <w:color w:val="auto"/>
        </w:rPr>
      </w:pPr>
      <w:r>
        <w:rPr>
          <w:rFonts w:cs="Times New Roman"/>
          <w:color w:val="auto"/>
        </w:rPr>
        <w:t>新建DN</w:t>
      </w:r>
      <w:r>
        <w:rPr>
          <w:rFonts w:hint="eastAsia" w:cs="Times New Roman"/>
          <w:color w:val="auto"/>
        </w:rPr>
        <w:t>4</w:t>
      </w:r>
      <w:r>
        <w:rPr>
          <w:rFonts w:cs="Times New Roman"/>
          <w:color w:val="auto"/>
        </w:rPr>
        <w:t>00HDPE污水收集管</w:t>
      </w:r>
      <w:r>
        <w:rPr>
          <w:rFonts w:hint="eastAsia" w:cs="Times New Roman"/>
          <w:color w:val="auto"/>
        </w:rPr>
        <w:t>380</w:t>
      </w:r>
      <w:r>
        <w:rPr>
          <w:rFonts w:cs="Times New Roman"/>
          <w:color w:val="auto"/>
        </w:rPr>
        <w:t>m，</w:t>
      </w:r>
    </w:p>
    <w:p>
      <w:pPr>
        <w:ind w:firstLine="480"/>
        <w:rPr>
          <w:rFonts w:cs="Times New Roman"/>
          <w:color w:val="auto"/>
        </w:rPr>
      </w:pPr>
      <w:r>
        <w:rPr>
          <w:rFonts w:cs="Times New Roman"/>
          <w:color w:val="auto"/>
        </w:rPr>
        <w:t>新建DN</w:t>
      </w:r>
      <w:r>
        <w:rPr>
          <w:rFonts w:hint="eastAsia" w:cs="Times New Roman"/>
          <w:color w:val="auto"/>
        </w:rPr>
        <w:t>3</w:t>
      </w:r>
      <w:r>
        <w:rPr>
          <w:rFonts w:cs="Times New Roman"/>
          <w:color w:val="auto"/>
        </w:rPr>
        <w:t>00HDPE污水收集管</w:t>
      </w:r>
      <w:r>
        <w:rPr>
          <w:rFonts w:hint="eastAsia" w:cs="Times New Roman"/>
          <w:color w:val="auto"/>
        </w:rPr>
        <w:t>4870</w:t>
      </w:r>
      <w:r>
        <w:rPr>
          <w:rFonts w:cs="Times New Roman"/>
          <w:color w:val="auto"/>
        </w:rPr>
        <w:t>m，</w:t>
      </w:r>
    </w:p>
    <w:p>
      <w:pPr>
        <w:ind w:firstLine="480"/>
        <w:rPr>
          <w:rFonts w:cs="Times New Roman"/>
          <w:color w:val="auto"/>
        </w:rPr>
      </w:pPr>
      <w:r>
        <w:rPr>
          <w:rFonts w:cs="Times New Roman"/>
          <w:color w:val="auto"/>
        </w:rPr>
        <w:t>新建DN</w:t>
      </w:r>
      <w:r>
        <w:rPr>
          <w:rFonts w:hint="eastAsia" w:cs="Times New Roman"/>
          <w:color w:val="auto"/>
        </w:rPr>
        <w:t>2</w:t>
      </w:r>
      <w:r>
        <w:rPr>
          <w:rFonts w:cs="Times New Roman"/>
          <w:color w:val="auto"/>
        </w:rPr>
        <w:t>00HDPE污水收集管</w:t>
      </w:r>
      <w:r>
        <w:rPr>
          <w:rFonts w:hint="eastAsia" w:cs="Times New Roman"/>
          <w:color w:val="auto"/>
        </w:rPr>
        <w:t>4552</w:t>
      </w:r>
      <w:r>
        <w:rPr>
          <w:rFonts w:cs="Times New Roman"/>
          <w:color w:val="auto"/>
        </w:rPr>
        <w:t>m，</w:t>
      </w:r>
    </w:p>
    <w:p>
      <w:pPr>
        <w:ind w:firstLine="480"/>
        <w:rPr>
          <w:rFonts w:cs="Times New Roman"/>
          <w:color w:val="auto"/>
        </w:rPr>
      </w:pPr>
      <w:r>
        <w:rPr>
          <w:rFonts w:cs="Times New Roman"/>
          <w:color w:val="auto"/>
        </w:rPr>
        <w:t>新建</w:t>
      </w:r>
      <w:r>
        <w:rPr>
          <w:rFonts w:hint="eastAsia" w:cs="Times New Roman"/>
          <w:color w:val="auto"/>
        </w:rPr>
        <w:t>Φ700 塑料</w:t>
      </w:r>
      <w:r>
        <w:rPr>
          <w:rFonts w:cs="Times New Roman"/>
          <w:color w:val="auto"/>
        </w:rPr>
        <w:t>检查井</w:t>
      </w:r>
      <w:r>
        <w:rPr>
          <w:rFonts w:hint="eastAsia" w:cs="Times New Roman"/>
          <w:color w:val="auto"/>
        </w:rPr>
        <w:t>466</w:t>
      </w:r>
      <w:r>
        <w:rPr>
          <w:rFonts w:cs="Times New Roman"/>
          <w:color w:val="auto"/>
        </w:rPr>
        <w:t>座，</w:t>
      </w:r>
    </w:p>
    <w:p>
      <w:pPr>
        <w:ind w:firstLine="480"/>
        <w:rPr>
          <w:rFonts w:cs="Times New Roman"/>
          <w:color w:val="auto"/>
        </w:rPr>
      </w:pPr>
      <w:r>
        <w:rPr>
          <w:rFonts w:cs="Times New Roman"/>
          <w:color w:val="auto"/>
        </w:rPr>
        <w:t>新建</w:t>
      </w:r>
      <w:r>
        <w:rPr>
          <w:rFonts w:hint="eastAsia" w:cs="Times New Roman"/>
          <w:color w:val="auto"/>
        </w:rPr>
        <w:t>1000*1000钢砼</w:t>
      </w:r>
      <w:r>
        <w:rPr>
          <w:rFonts w:cs="Times New Roman"/>
          <w:color w:val="auto"/>
        </w:rPr>
        <w:t>检查井</w:t>
      </w:r>
      <w:r>
        <w:rPr>
          <w:rFonts w:hint="eastAsia" w:cs="Times New Roman"/>
          <w:color w:val="auto"/>
        </w:rPr>
        <w:t>4</w:t>
      </w:r>
      <w:r>
        <w:rPr>
          <w:rFonts w:cs="Times New Roman"/>
          <w:color w:val="auto"/>
        </w:rPr>
        <w:t>座，</w:t>
      </w:r>
    </w:p>
    <w:p>
      <w:pPr>
        <w:ind w:firstLine="480"/>
        <w:rPr>
          <w:rFonts w:cs="Times New Roman"/>
          <w:color w:val="auto"/>
        </w:rPr>
      </w:pPr>
      <w:r>
        <w:rPr>
          <w:rFonts w:cs="Times New Roman"/>
          <w:color w:val="auto"/>
        </w:rPr>
        <w:t>新建</w:t>
      </w:r>
      <w:r>
        <w:rPr>
          <w:rFonts w:hint="eastAsia" w:cs="Times New Roman"/>
          <w:color w:val="auto"/>
        </w:rPr>
        <w:t>700*700钢砼</w:t>
      </w:r>
      <w:r>
        <w:rPr>
          <w:rFonts w:cs="Times New Roman"/>
          <w:color w:val="auto"/>
        </w:rPr>
        <w:t>检查井</w:t>
      </w:r>
      <w:r>
        <w:rPr>
          <w:rFonts w:hint="eastAsia" w:cs="Times New Roman"/>
          <w:color w:val="auto"/>
        </w:rPr>
        <w:t>25</w:t>
      </w:r>
      <w:r>
        <w:rPr>
          <w:rFonts w:cs="Times New Roman"/>
          <w:color w:val="auto"/>
        </w:rPr>
        <w:t>座，</w:t>
      </w:r>
    </w:p>
    <w:p>
      <w:pPr>
        <w:ind w:firstLine="480"/>
        <w:rPr>
          <w:rFonts w:cs="Times New Roman"/>
          <w:color w:val="auto"/>
        </w:rPr>
      </w:pPr>
      <w:r>
        <w:rPr>
          <w:rFonts w:cs="Times New Roman"/>
          <w:color w:val="auto"/>
        </w:rPr>
        <w:t>新建</w:t>
      </w:r>
      <w:r>
        <w:rPr>
          <w:rFonts w:hint="eastAsia" w:cs="Times New Roman"/>
          <w:color w:val="auto"/>
        </w:rPr>
        <w:t>φ</w:t>
      </w:r>
      <w:r>
        <w:rPr>
          <w:rFonts w:cs="Times New Roman"/>
          <w:color w:val="auto"/>
        </w:rPr>
        <w:t>1</w:t>
      </w:r>
      <w:r>
        <w:rPr>
          <w:rFonts w:hint="eastAsia" w:cs="Times New Roman"/>
          <w:color w:val="auto"/>
        </w:rPr>
        <w:t>1</w:t>
      </w:r>
      <w:r>
        <w:rPr>
          <w:rFonts w:cs="Times New Roman"/>
          <w:color w:val="auto"/>
        </w:rPr>
        <w:t>0 PVC入户收集管</w:t>
      </w:r>
      <w:r>
        <w:rPr>
          <w:rFonts w:hint="eastAsia" w:cs="Times New Roman"/>
          <w:color w:val="auto"/>
        </w:rPr>
        <w:t>4305</w:t>
      </w:r>
      <w:r>
        <w:rPr>
          <w:rFonts w:cs="Times New Roman"/>
          <w:color w:val="auto"/>
        </w:rPr>
        <w:t>m，</w:t>
      </w:r>
    </w:p>
    <w:p>
      <w:pPr>
        <w:ind w:firstLine="480"/>
        <w:rPr>
          <w:rFonts w:cs="Times New Roman"/>
          <w:color w:val="auto"/>
        </w:rPr>
      </w:pPr>
      <w:r>
        <w:rPr>
          <w:rFonts w:cs="Times New Roman"/>
          <w:color w:val="auto"/>
        </w:rPr>
        <w:t>新建0.5x0.5x0.5m户用格栅井</w:t>
      </w:r>
      <w:r>
        <w:rPr>
          <w:rFonts w:hint="eastAsia" w:cs="Times New Roman"/>
          <w:color w:val="auto"/>
        </w:rPr>
        <w:t>287</w:t>
      </w:r>
      <w:r>
        <w:rPr>
          <w:rFonts w:cs="Times New Roman"/>
          <w:color w:val="auto"/>
        </w:rPr>
        <w:t>座，</w:t>
      </w:r>
    </w:p>
    <w:p>
      <w:pPr>
        <w:ind w:firstLine="480"/>
        <w:rPr>
          <w:rFonts w:cs="Times New Roman"/>
          <w:color w:val="auto"/>
        </w:rPr>
      </w:pPr>
      <w:r>
        <w:rPr>
          <w:rFonts w:cs="Times New Roman"/>
          <w:color w:val="auto"/>
        </w:rPr>
        <w:t>②污水处理工程</w:t>
      </w:r>
    </w:p>
    <w:p>
      <w:pPr>
        <w:ind w:firstLine="480"/>
        <w:rPr>
          <w:rFonts w:cs="Times New Roman"/>
          <w:color w:val="auto"/>
        </w:rPr>
      </w:pPr>
      <w:r>
        <w:rPr>
          <w:rFonts w:cs="Times New Roman"/>
          <w:color w:val="auto"/>
        </w:rPr>
        <w:t>新建村庄集中式处理设施</w:t>
      </w:r>
      <w:r>
        <w:rPr>
          <w:rFonts w:hint="eastAsia" w:cs="Times New Roman"/>
          <w:color w:val="auto"/>
        </w:rPr>
        <w:t>2</w:t>
      </w:r>
      <w:r>
        <w:rPr>
          <w:rFonts w:cs="Times New Roman"/>
          <w:color w:val="auto"/>
        </w:rPr>
        <w:t>座</w:t>
      </w:r>
      <w:r>
        <w:rPr>
          <w:rFonts w:hint="eastAsia" w:cs="Times New Roman"/>
          <w:color w:val="auto"/>
        </w:rPr>
        <w:t>，其中：</w:t>
      </w:r>
    </w:p>
    <w:p>
      <w:pPr>
        <w:ind w:firstLine="480"/>
        <w:rPr>
          <w:rFonts w:cs="Times New Roman"/>
          <w:color w:val="auto"/>
        </w:rPr>
      </w:pPr>
      <w:r>
        <w:rPr>
          <w:rFonts w:hint="eastAsia" w:cs="Times New Roman"/>
          <w:color w:val="auto"/>
        </w:rPr>
        <w:t>40</w:t>
      </w:r>
      <w:r>
        <w:rPr>
          <w:rFonts w:cs="Times New Roman"/>
          <w:color w:val="auto"/>
        </w:rPr>
        <w:t xml:space="preserve"> m</w:t>
      </w:r>
      <w:r>
        <w:rPr>
          <w:rFonts w:cs="Times New Roman"/>
          <w:color w:val="auto"/>
          <w:vertAlign w:val="superscript"/>
        </w:rPr>
        <w:t>3</w:t>
      </w:r>
      <w:r>
        <w:rPr>
          <w:rFonts w:cs="Times New Roman"/>
          <w:color w:val="auto"/>
        </w:rPr>
        <w:t>/d “预处理+生物接触氧化池</w:t>
      </w:r>
      <w:r>
        <w:rPr>
          <w:rFonts w:hint="eastAsia" w:cs="Times New Roman"/>
          <w:color w:val="auto"/>
        </w:rPr>
        <w:t>+碎石滤池</w:t>
      </w:r>
      <w:r>
        <w:rPr>
          <w:rFonts w:cs="Times New Roman"/>
          <w:color w:val="auto"/>
        </w:rPr>
        <w:t>”污水处理设施</w:t>
      </w:r>
      <w:r>
        <w:rPr>
          <w:rFonts w:hint="eastAsia" w:cs="Times New Roman"/>
          <w:color w:val="auto"/>
        </w:rPr>
        <w:t>1套</w:t>
      </w:r>
      <w:r>
        <w:rPr>
          <w:rFonts w:cs="Times New Roman"/>
          <w:color w:val="auto"/>
        </w:rPr>
        <w:t>，</w:t>
      </w:r>
    </w:p>
    <w:p>
      <w:pPr>
        <w:ind w:firstLine="480"/>
        <w:rPr>
          <w:rFonts w:cs="Times New Roman"/>
          <w:color w:val="auto"/>
        </w:rPr>
      </w:pPr>
      <w:r>
        <w:rPr>
          <w:rFonts w:hint="eastAsia" w:cs="Times New Roman"/>
          <w:color w:val="auto"/>
        </w:rPr>
        <w:t>75</w:t>
      </w:r>
      <w:r>
        <w:rPr>
          <w:rFonts w:cs="Times New Roman"/>
          <w:color w:val="auto"/>
        </w:rPr>
        <w:t xml:space="preserve"> m</w:t>
      </w:r>
      <w:r>
        <w:rPr>
          <w:rFonts w:cs="Times New Roman"/>
          <w:color w:val="auto"/>
          <w:vertAlign w:val="superscript"/>
        </w:rPr>
        <w:t>3</w:t>
      </w:r>
      <w:r>
        <w:rPr>
          <w:rFonts w:cs="Times New Roman"/>
          <w:color w:val="auto"/>
        </w:rPr>
        <w:t>/d “预处理+生物接触氧化池</w:t>
      </w:r>
      <w:r>
        <w:rPr>
          <w:rFonts w:hint="eastAsia" w:cs="Times New Roman"/>
          <w:color w:val="auto"/>
        </w:rPr>
        <w:t>+碎石滤池</w:t>
      </w:r>
      <w:r>
        <w:rPr>
          <w:rFonts w:cs="Times New Roman"/>
          <w:color w:val="auto"/>
        </w:rPr>
        <w:t>”污水处理设施1</w:t>
      </w:r>
      <w:r>
        <w:rPr>
          <w:rFonts w:hint="eastAsia" w:cs="Times New Roman"/>
          <w:color w:val="auto"/>
        </w:rPr>
        <w:t>套</w:t>
      </w:r>
      <w:r>
        <w:rPr>
          <w:rFonts w:cs="Times New Roman"/>
          <w:color w:val="auto"/>
        </w:rPr>
        <w:t>，</w:t>
      </w:r>
    </w:p>
    <w:p>
      <w:pPr>
        <w:ind w:firstLine="480"/>
        <w:rPr>
          <w:color w:val="auto"/>
        </w:rPr>
      </w:pPr>
      <w:r>
        <w:rPr>
          <w:rFonts w:cs="Times New Roman"/>
          <w:color w:val="auto"/>
        </w:rPr>
        <w:t>（3）</w:t>
      </w:r>
      <w:r>
        <w:rPr>
          <w:color w:val="auto"/>
        </w:rPr>
        <w:t>工程总投资</w:t>
      </w:r>
      <w:r>
        <w:rPr>
          <w:rFonts w:hint="eastAsia"/>
          <w:color w:val="auto"/>
        </w:rPr>
        <w:t>992.22</w:t>
      </w:r>
      <w:r>
        <w:rPr>
          <w:color w:val="auto"/>
        </w:rPr>
        <w:t>万元，其中工程费用</w:t>
      </w:r>
      <w:r>
        <w:rPr>
          <w:rFonts w:hint="eastAsia"/>
          <w:color w:val="auto"/>
        </w:rPr>
        <w:t>805.02</w:t>
      </w:r>
      <w:r>
        <w:rPr>
          <w:color w:val="auto"/>
        </w:rPr>
        <w:t>万元（其中村庄污水收集工程</w:t>
      </w:r>
      <w:r>
        <w:rPr>
          <w:rFonts w:hint="eastAsia"/>
          <w:color w:val="auto"/>
        </w:rPr>
        <w:t>678.42</w:t>
      </w:r>
      <w:r>
        <w:rPr>
          <w:color w:val="auto"/>
        </w:rPr>
        <w:t>万元，生活污水处理工程</w:t>
      </w:r>
      <w:r>
        <w:rPr>
          <w:rFonts w:hint="eastAsia"/>
          <w:color w:val="auto"/>
        </w:rPr>
        <w:t>126.6</w:t>
      </w:r>
      <w:r>
        <w:rPr>
          <w:color w:val="auto"/>
        </w:rPr>
        <w:t>万元），工程建设其他费用为</w:t>
      </w:r>
      <w:r>
        <w:rPr>
          <w:rFonts w:hint="eastAsia"/>
          <w:color w:val="auto"/>
        </w:rPr>
        <w:t>140.26</w:t>
      </w:r>
      <w:r>
        <w:rPr>
          <w:color w:val="auto"/>
        </w:rPr>
        <w:t>万元，预备费用为</w:t>
      </w:r>
      <w:r>
        <w:rPr>
          <w:rFonts w:hint="eastAsia"/>
          <w:color w:val="auto"/>
        </w:rPr>
        <w:t>46.94</w:t>
      </w:r>
      <w:r>
        <w:rPr>
          <w:color w:val="auto"/>
        </w:rPr>
        <w:t>万元。</w:t>
      </w:r>
    </w:p>
    <w:p>
      <w:pPr>
        <w:ind w:firstLine="480"/>
        <w:rPr>
          <w:rFonts w:cs="Times New Roman"/>
          <w:color w:val="auto"/>
        </w:rPr>
      </w:pPr>
      <w:r>
        <w:rPr>
          <w:rFonts w:cs="Times New Roman"/>
          <w:color w:val="auto"/>
        </w:rPr>
        <w:t>一年期运行费用</w:t>
      </w:r>
      <w:r>
        <w:rPr>
          <w:rFonts w:hint="eastAsia" w:cs="Times New Roman"/>
          <w:color w:val="auto"/>
        </w:rPr>
        <w:t>3.6</w:t>
      </w:r>
      <w:r>
        <w:rPr>
          <w:rFonts w:cs="Times New Roman"/>
          <w:color w:val="auto"/>
        </w:rPr>
        <w:t>万元（不计入总投资），其中，管理人员工资</w:t>
      </w:r>
      <w:r>
        <w:rPr>
          <w:rFonts w:hint="eastAsia" w:cs="Times New Roman"/>
          <w:color w:val="auto"/>
          <w:lang w:val="zh-CN"/>
        </w:rPr>
        <w:t>2.4</w:t>
      </w:r>
      <w:r>
        <w:rPr>
          <w:rFonts w:cs="Times New Roman"/>
          <w:color w:val="auto"/>
          <w:lang w:val="zh-CN"/>
        </w:rPr>
        <w:t>万元</w:t>
      </w:r>
      <w:r>
        <w:rPr>
          <w:rFonts w:hint="eastAsia" w:cs="Times New Roman"/>
          <w:color w:val="auto"/>
          <w:lang w:val="zh-CN"/>
        </w:rPr>
        <w:t>/年</w:t>
      </w:r>
      <w:r>
        <w:rPr>
          <w:rFonts w:cs="Times New Roman"/>
          <w:color w:val="auto"/>
        </w:rPr>
        <w:t>万元，污水处理系统电费</w:t>
      </w:r>
      <w:r>
        <w:rPr>
          <w:rFonts w:hint="eastAsia" w:cs="Times New Roman"/>
          <w:color w:val="auto"/>
        </w:rPr>
        <w:t>1.2</w:t>
      </w:r>
      <w:r>
        <w:rPr>
          <w:rFonts w:cs="Times New Roman"/>
          <w:color w:val="auto"/>
        </w:rPr>
        <w:t>万元。</w:t>
      </w:r>
    </w:p>
    <w:p>
      <w:pPr>
        <w:ind w:firstLine="480"/>
        <w:rPr>
          <w:rFonts w:cs="Times New Roman"/>
          <w:color w:val="auto"/>
          <w:kern w:val="0"/>
        </w:rPr>
      </w:pPr>
      <w:r>
        <w:rPr>
          <w:rFonts w:cs="Times New Roman"/>
          <w:color w:val="auto"/>
        </w:rPr>
        <w:t>（4）</w:t>
      </w:r>
      <w:r>
        <w:rPr>
          <w:rFonts w:cs="Times New Roman"/>
          <w:color w:val="auto"/>
          <w:lang w:val="zh-CN"/>
        </w:rPr>
        <w:t>预计本工程每年可削减</w:t>
      </w:r>
      <w:r>
        <w:rPr>
          <w:rFonts w:cs="Times New Roman"/>
          <w:color w:val="auto"/>
        </w:rPr>
        <w:t>COD</w:t>
      </w:r>
      <w:r>
        <w:rPr>
          <w:rFonts w:hint="eastAsia" w:cs="Times New Roman"/>
          <w:color w:val="auto"/>
        </w:rPr>
        <w:t>5.04</w:t>
      </w:r>
      <w:r>
        <w:rPr>
          <w:rFonts w:cs="Times New Roman"/>
          <w:color w:val="auto"/>
        </w:rPr>
        <w:t>t/a，TN</w:t>
      </w:r>
      <w:r>
        <w:rPr>
          <w:rFonts w:hint="eastAsia" w:cs="Times New Roman"/>
          <w:color w:val="auto"/>
          <w:kern w:val="0"/>
        </w:rPr>
        <w:t>0.51</w:t>
      </w:r>
      <w:r>
        <w:rPr>
          <w:rFonts w:cs="Times New Roman"/>
          <w:color w:val="auto"/>
          <w:kern w:val="0"/>
        </w:rPr>
        <w:t>t/a，TP</w:t>
      </w:r>
      <w:r>
        <w:rPr>
          <w:rFonts w:hint="eastAsia" w:cs="Times New Roman"/>
          <w:color w:val="auto"/>
          <w:kern w:val="0"/>
        </w:rPr>
        <w:t>0.05</w:t>
      </w:r>
      <w:r>
        <w:rPr>
          <w:rFonts w:cs="Times New Roman"/>
          <w:color w:val="auto"/>
          <w:kern w:val="0"/>
        </w:rPr>
        <w:t>t/a，NH</w:t>
      </w:r>
      <w:r>
        <w:rPr>
          <w:rFonts w:cs="Times New Roman"/>
          <w:color w:val="auto"/>
          <w:kern w:val="0"/>
          <w:vertAlign w:val="subscript"/>
        </w:rPr>
        <w:t>3</w:t>
      </w:r>
      <w:r>
        <w:rPr>
          <w:rFonts w:cs="Times New Roman"/>
          <w:color w:val="auto"/>
          <w:kern w:val="0"/>
        </w:rPr>
        <w:t>-N</w:t>
      </w:r>
      <w:r>
        <w:rPr>
          <w:rFonts w:hint="eastAsia" w:cs="Times New Roman"/>
          <w:color w:val="auto"/>
          <w:kern w:val="0"/>
        </w:rPr>
        <w:t>0.93</w:t>
      </w:r>
      <w:r>
        <w:rPr>
          <w:rFonts w:cs="Times New Roman"/>
          <w:color w:val="auto"/>
          <w:kern w:val="0"/>
        </w:rPr>
        <w:t>t/a。</w:t>
      </w:r>
    </w:p>
    <w:p>
      <w:pPr>
        <w:pStyle w:val="4"/>
      </w:pPr>
      <w:bookmarkStart w:id="478" w:name="_Toc48640826"/>
      <w:bookmarkStart w:id="479" w:name="_Toc36127019"/>
      <w:r>
        <w:t>建议</w:t>
      </w:r>
      <w:bookmarkEnd w:id="478"/>
      <w:bookmarkEnd w:id="479"/>
    </w:p>
    <w:p>
      <w:pPr>
        <w:ind w:firstLine="480"/>
        <w:rPr>
          <w:rFonts w:cs="Times New Roman"/>
          <w:color w:val="auto"/>
        </w:rPr>
      </w:pPr>
      <w:r>
        <w:rPr>
          <w:rFonts w:cs="Times New Roman"/>
          <w:color w:val="auto"/>
        </w:rPr>
        <w:t>（1）建设单位应尽快落实好建设资金来源，保证项目顺利进行，以充分发挥项目的经济效益、社会效益和环境效益。项目建设单位应合理调度资金，确保项目顺利实施；同时，建设单位应加强成本控制，有效节省开支，靠科学管理解决资金缺口问题。</w:t>
      </w:r>
    </w:p>
    <w:p>
      <w:pPr>
        <w:ind w:firstLine="480"/>
        <w:rPr>
          <w:rFonts w:cs="Times New Roman"/>
          <w:color w:val="auto"/>
        </w:rPr>
      </w:pPr>
      <w:r>
        <w:rPr>
          <w:rFonts w:cs="Times New Roman"/>
          <w:color w:val="auto"/>
        </w:rPr>
        <w:t>（2）本方案内容涉及了</w:t>
      </w:r>
      <w:r>
        <w:rPr>
          <w:rFonts w:hint="eastAsia" w:cs="Times New Roman"/>
          <w:color w:val="auto"/>
        </w:rPr>
        <w:t>2</w:t>
      </w:r>
      <w:r>
        <w:rPr>
          <w:rFonts w:cs="Times New Roman"/>
          <w:color w:val="auto"/>
        </w:rPr>
        <w:t>个自然村的污水管网建设工程和污水处理系统。污水处理系统水生植物种植需要一定时间的生长周期，若先建设污水管网收集系统，则污水集中排放到系统所在地而得不到处理，会形成点源污染，建议先行建设污水处理系统，在处理系统建设期间及水生植物生长阶段再组织实施村落污水管网建设工作，着重完成村落污水收集系统与本项目污水处理系统的衔接。</w:t>
      </w:r>
    </w:p>
    <w:p>
      <w:pPr>
        <w:ind w:firstLine="480"/>
        <w:rPr>
          <w:rFonts w:cs="Times New Roman"/>
          <w:color w:val="auto"/>
        </w:rPr>
      </w:pPr>
      <w:r>
        <w:rPr>
          <w:rFonts w:cs="Times New Roman"/>
          <w:color w:val="auto"/>
        </w:rPr>
        <w:t>（3）建议规范村民于道路边堆沤畜禽粪便的行为，由村民小组安排负责人约束村民不得于村内主干道上随意到处晾晒畜禽粪便，并敦促村民及时将畜禽粪便还田利用。</w:t>
      </w:r>
    </w:p>
    <w:p>
      <w:pPr>
        <w:ind w:firstLine="480"/>
        <w:rPr>
          <w:rFonts w:cs="Times New Roman"/>
          <w:color w:val="auto"/>
        </w:rPr>
      </w:pPr>
      <w:r>
        <w:rPr>
          <w:rFonts w:cs="Times New Roman"/>
          <w:color w:val="auto"/>
        </w:rPr>
        <w:t>（4）本项目建设要招标优化设计和施工队伍，实施工程监理制和项目法人责任制，要特别注意加强.工程管理和工程质量监督，提高工程的综合效益。</w:t>
      </w:r>
    </w:p>
    <w:p>
      <w:pPr>
        <w:ind w:firstLine="480"/>
        <w:rPr>
          <w:rFonts w:cs="Times New Roman"/>
          <w:color w:val="auto"/>
        </w:rPr>
      </w:pPr>
      <w:r>
        <w:rPr>
          <w:rFonts w:cs="Times New Roman"/>
          <w:color w:val="auto"/>
        </w:rPr>
        <w:t>（5）工程建设完成后，建议落实相应的管理运行制度，由村委会负责建立、健全村规民约，落实门前三包，建立长效机制，调动村民的环保积极性。此外，运行管理费用采取“谁受益，谁负担"的原则，其取费标准由村委会根据村落的总运行费用定，建议按用水量分摊到各居户。</w:t>
      </w:r>
    </w:p>
    <w:p>
      <w:pPr>
        <w:ind w:firstLine="480"/>
        <w:rPr>
          <w:rFonts w:cs="Times New Roman"/>
          <w:color w:val="auto"/>
        </w:rPr>
      </w:pPr>
      <w:r>
        <w:rPr>
          <w:rFonts w:cs="Times New Roman"/>
          <w:color w:val="auto"/>
        </w:rPr>
        <w:t>（6）今后村内发展农家乐等餐饮设施需设置准入制度，必须配套建设有隔油池等预处理设施，生活污水等经隔油池预处理后方能接入本项目污水管网。</w:t>
      </w:r>
    </w:p>
    <w:p>
      <w:pPr>
        <w:widowControl/>
        <w:spacing w:line="240" w:lineRule="auto"/>
        <w:ind w:firstLine="0" w:firstLineChars="0"/>
        <w:jc w:val="left"/>
        <w:rPr>
          <w:rFonts w:cs="Times New Roman"/>
          <w:color w:val="auto"/>
        </w:rPr>
        <w:sectPr>
          <w:pgSz w:w="11906" w:h="16838"/>
          <w:pgMar w:top="1245" w:right="1800" w:bottom="1440" w:left="1800" w:header="851" w:footer="481" w:gutter="0"/>
          <w:cols w:space="425" w:num="1"/>
          <w:docGrid w:type="lines" w:linePitch="312" w:charSpace="0"/>
        </w:sectPr>
      </w:pPr>
    </w:p>
    <w:p>
      <w:pPr>
        <w:pStyle w:val="3"/>
        <w:numPr>
          <w:ilvl w:val="0"/>
          <w:numId w:val="0"/>
        </w:numPr>
        <w:ind w:left="425"/>
        <w:rPr>
          <w:color w:val="auto"/>
        </w:rPr>
      </w:pPr>
      <w:bookmarkStart w:id="480" w:name="_Toc48640827"/>
      <w:bookmarkStart w:id="481" w:name="_Toc36127020"/>
      <w:r>
        <w:rPr>
          <w:rFonts w:hint="eastAsia"/>
          <w:color w:val="auto"/>
        </w:rPr>
        <w:t>附表</w:t>
      </w:r>
      <w:bookmarkEnd w:id="480"/>
      <w:bookmarkEnd w:id="481"/>
    </w:p>
    <w:p>
      <w:pPr>
        <w:pStyle w:val="4"/>
        <w:numPr>
          <w:ilvl w:val="0"/>
          <w:numId w:val="0"/>
        </w:numPr>
      </w:pPr>
      <w:bookmarkStart w:id="482" w:name="_Toc36127025"/>
      <w:bookmarkStart w:id="483" w:name="_Toc48640828"/>
      <w:r>
        <w:rPr>
          <w:rFonts w:hint="eastAsia"/>
        </w:rPr>
        <w:t xml:space="preserve">附表1  </w:t>
      </w:r>
      <w:r>
        <w:t xml:space="preserve"> </w:t>
      </w:r>
      <w:r>
        <w:rPr>
          <w:rFonts w:hint="eastAsia"/>
        </w:rPr>
        <w:t>4</w:t>
      </w:r>
      <w:r>
        <w:t>0 m</w:t>
      </w:r>
      <w:r>
        <w:rPr>
          <w:vertAlign w:val="superscript"/>
        </w:rPr>
        <w:t>3</w:t>
      </w:r>
      <w:r>
        <w:t>/d</w:t>
      </w:r>
      <w:r>
        <w:rPr>
          <w:rFonts w:hint="eastAsia"/>
        </w:rPr>
        <w:t>污水处理系统设备一览表</w:t>
      </w:r>
      <w:bookmarkEnd w:id="482"/>
      <w:bookmarkEnd w:id="483"/>
    </w:p>
    <w:tbl>
      <w:tblPr>
        <w:tblStyle w:val="88"/>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2"/>
        <w:gridCol w:w="1900"/>
        <w:gridCol w:w="2069"/>
        <w:gridCol w:w="851"/>
        <w:gridCol w:w="850"/>
        <w:gridCol w:w="70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09" w:type="dxa"/>
            <w:shd w:val="clear" w:color="auto" w:fill="auto"/>
            <w:noWrap/>
            <w:vAlign w:val="center"/>
          </w:tcPr>
          <w:p>
            <w:pPr>
              <w:pStyle w:val="114"/>
              <w:rPr>
                <w:b/>
                <w:kern w:val="0"/>
              </w:rPr>
            </w:pPr>
            <w:r>
              <w:rPr>
                <w:rFonts w:hint="eastAsia"/>
                <w:b/>
                <w:kern w:val="0"/>
              </w:rPr>
              <w:t>序号</w:t>
            </w:r>
          </w:p>
        </w:tc>
        <w:tc>
          <w:tcPr>
            <w:tcW w:w="992" w:type="dxa"/>
            <w:shd w:val="clear" w:color="auto" w:fill="auto"/>
            <w:noWrap/>
            <w:vAlign w:val="center"/>
          </w:tcPr>
          <w:p>
            <w:pPr>
              <w:pStyle w:val="114"/>
              <w:rPr>
                <w:b/>
                <w:kern w:val="0"/>
              </w:rPr>
            </w:pPr>
            <w:r>
              <w:rPr>
                <w:rFonts w:hint="eastAsia"/>
                <w:b/>
                <w:kern w:val="0"/>
              </w:rPr>
              <w:t>系统</w:t>
            </w:r>
          </w:p>
        </w:tc>
        <w:tc>
          <w:tcPr>
            <w:tcW w:w="1900" w:type="dxa"/>
            <w:shd w:val="clear" w:color="auto" w:fill="auto"/>
            <w:noWrap/>
            <w:vAlign w:val="center"/>
          </w:tcPr>
          <w:p>
            <w:pPr>
              <w:pStyle w:val="114"/>
              <w:rPr>
                <w:b/>
                <w:kern w:val="0"/>
              </w:rPr>
            </w:pPr>
            <w:r>
              <w:rPr>
                <w:rFonts w:hint="eastAsia"/>
                <w:b/>
                <w:kern w:val="0"/>
              </w:rPr>
              <w:t>构筑物设备名称</w:t>
            </w:r>
          </w:p>
        </w:tc>
        <w:tc>
          <w:tcPr>
            <w:tcW w:w="2069" w:type="dxa"/>
            <w:shd w:val="clear" w:color="auto" w:fill="auto"/>
            <w:noWrap/>
            <w:vAlign w:val="center"/>
          </w:tcPr>
          <w:p>
            <w:pPr>
              <w:pStyle w:val="114"/>
              <w:rPr>
                <w:b/>
                <w:kern w:val="0"/>
              </w:rPr>
            </w:pPr>
            <w:r>
              <w:rPr>
                <w:rFonts w:hint="eastAsia"/>
                <w:b/>
                <w:kern w:val="0"/>
              </w:rPr>
              <w:t>规格</w:t>
            </w:r>
          </w:p>
        </w:tc>
        <w:tc>
          <w:tcPr>
            <w:tcW w:w="851" w:type="dxa"/>
            <w:shd w:val="clear" w:color="auto" w:fill="auto"/>
            <w:noWrap/>
            <w:vAlign w:val="center"/>
          </w:tcPr>
          <w:p>
            <w:pPr>
              <w:pStyle w:val="114"/>
              <w:rPr>
                <w:b/>
                <w:kern w:val="0"/>
              </w:rPr>
            </w:pPr>
            <w:r>
              <w:rPr>
                <w:rFonts w:hint="eastAsia"/>
                <w:b/>
                <w:kern w:val="0"/>
              </w:rPr>
              <w:t>单位</w:t>
            </w:r>
          </w:p>
        </w:tc>
        <w:tc>
          <w:tcPr>
            <w:tcW w:w="850" w:type="dxa"/>
            <w:shd w:val="clear" w:color="auto" w:fill="auto"/>
            <w:noWrap/>
            <w:vAlign w:val="center"/>
          </w:tcPr>
          <w:p>
            <w:pPr>
              <w:pStyle w:val="114"/>
              <w:rPr>
                <w:b/>
                <w:kern w:val="0"/>
              </w:rPr>
            </w:pPr>
            <w:r>
              <w:rPr>
                <w:rFonts w:hint="eastAsia"/>
                <w:b/>
                <w:kern w:val="0"/>
              </w:rPr>
              <w:t>材质</w:t>
            </w:r>
          </w:p>
        </w:tc>
        <w:tc>
          <w:tcPr>
            <w:tcW w:w="709" w:type="dxa"/>
            <w:shd w:val="clear" w:color="auto" w:fill="auto"/>
            <w:noWrap/>
            <w:vAlign w:val="center"/>
          </w:tcPr>
          <w:p>
            <w:pPr>
              <w:pStyle w:val="114"/>
              <w:rPr>
                <w:b/>
                <w:kern w:val="0"/>
              </w:rPr>
            </w:pPr>
            <w:r>
              <w:rPr>
                <w:rFonts w:hint="eastAsia"/>
                <w:b/>
                <w:kern w:val="0"/>
              </w:rPr>
              <w:t>数量</w:t>
            </w:r>
          </w:p>
        </w:tc>
        <w:tc>
          <w:tcPr>
            <w:tcW w:w="1080" w:type="dxa"/>
            <w:shd w:val="clear" w:color="auto" w:fill="auto"/>
            <w:noWrap/>
            <w:vAlign w:val="center"/>
          </w:tcPr>
          <w:p>
            <w:pPr>
              <w:pStyle w:val="114"/>
              <w:rPr>
                <w:b/>
                <w:kern w:val="0"/>
              </w:rPr>
            </w:pPr>
            <w:r>
              <w:rPr>
                <w:rFonts w:hint="eastAsia"/>
                <w:b/>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格栅井</w:t>
            </w:r>
          </w:p>
        </w:tc>
        <w:tc>
          <w:tcPr>
            <w:tcW w:w="1900" w:type="dxa"/>
            <w:shd w:val="clear" w:color="auto" w:fill="auto"/>
          </w:tcPr>
          <w:p>
            <w:pPr>
              <w:pStyle w:val="114"/>
              <w:rPr>
                <w:rFonts w:ascii="仿宋_GB2312"/>
                <w:kern w:val="0"/>
                <w:szCs w:val="21"/>
              </w:rPr>
            </w:pPr>
            <w:r>
              <w:rPr>
                <w:rFonts w:hint="eastAsia" w:ascii="仿宋_GB2312"/>
                <w:kern w:val="0"/>
                <w:szCs w:val="21"/>
              </w:rPr>
              <w:t>格栅井</w:t>
            </w:r>
          </w:p>
        </w:tc>
        <w:tc>
          <w:tcPr>
            <w:tcW w:w="2069" w:type="dxa"/>
            <w:shd w:val="clear" w:color="auto" w:fill="auto"/>
            <w:noWrap/>
            <w:vAlign w:val="center"/>
          </w:tcPr>
          <w:p>
            <w:pPr>
              <w:pStyle w:val="114"/>
              <w:rPr>
                <w:kern w:val="0"/>
              </w:rPr>
            </w:pPr>
            <w:r>
              <w:rPr>
                <w:kern w:val="0"/>
              </w:rPr>
              <w:t>2.0m×0.5m×1.2m</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tcPr>
          <w:p>
            <w:pPr>
              <w:pStyle w:val="114"/>
              <w:rPr>
                <w:rFonts w:ascii="仿宋_GB2312"/>
                <w:kern w:val="0"/>
                <w:szCs w:val="21"/>
              </w:rPr>
            </w:pPr>
            <w:r>
              <w:rPr>
                <w:rFonts w:hint="eastAsia" w:ascii="仿宋_GB2312"/>
                <w:kern w:val="0"/>
                <w:szCs w:val="21"/>
              </w:rPr>
              <w:t>格栅</w:t>
            </w:r>
          </w:p>
        </w:tc>
        <w:tc>
          <w:tcPr>
            <w:tcW w:w="2069" w:type="dxa"/>
            <w:shd w:val="clear" w:color="auto" w:fill="auto"/>
            <w:noWrap/>
            <w:vAlign w:val="center"/>
          </w:tcPr>
          <w:p>
            <w:pPr>
              <w:pStyle w:val="114"/>
              <w:rPr>
                <w:kern w:val="0"/>
              </w:rPr>
            </w:pPr>
            <w:r>
              <w:rPr>
                <w:kern w:val="0"/>
              </w:rPr>
              <w:t>1.19m×0.5m×1.2m</w:t>
            </w:r>
          </w:p>
        </w:tc>
        <w:tc>
          <w:tcPr>
            <w:tcW w:w="851" w:type="dxa"/>
            <w:shd w:val="clear" w:color="auto" w:fill="auto"/>
            <w:noWrap/>
            <w:vAlign w:val="center"/>
          </w:tcPr>
          <w:p>
            <w:pPr>
              <w:pStyle w:val="114"/>
              <w:rPr>
                <w:kern w:val="0"/>
              </w:rPr>
            </w:pPr>
            <w:r>
              <w:rPr>
                <w:rFonts w:hint="eastAsia"/>
                <w:kern w:val="0"/>
              </w:rPr>
              <w:t>道</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调节池</w:t>
            </w:r>
          </w:p>
        </w:tc>
        <w:tc>
          <w:tcPr>
            <w:tcW w:w="1900" w:type="dxa"/>
            <w:shd w:val="clear" w:color="auto" w:fill="auto"/>
          </w:tcPr>
          <w:p>
            <w:pPr>
              <w:pStyle w:val="114"/>
              <w:rPr>
                <w:rFonts w:ascii="仿宋_GB2312"/>
                <w:kern w:val="0"/>
                <w:szCs w:val="21"/>
              </w:rPr>
            </w:pPr>
            <w:r>
              <w:rPr>
                <w:rFonts w:hint="eastAsia" w:ascii="仿宋_GB2312"/>
                <w:kern w:val="0"/>
                <w:szCs w:val="21"/>
              </w:rPr>
              <w:t>调节池</w:t>
            </w:r>
          </w:p>
        </w:tc>
        <w:tc>
          <w:tcPr>
            <w:tcW w:w="2069" w:type="dxa"/>
            <w:shd w:val="clear" w:color="auto" w:fill="auto"/>
            <w:noWrap/>
            <w:vAlign w:val="center"/>
          </w:tcPr>
          <w:p>
            <w:pPr>
              <w:pStyle w:val="114"/>
              <w:rPr>
                <w:kern w:val="0"/>
                <w:szCs w:val="21"/>
              </w:rPr>
            </w:pPr>
            <w:r>
              <w:rPr>
                <w:kern w:val="0"/>
                <w:szCs w:val="21"/>
              </w:rPr>
              <w:t>3.0×3.0×3.0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提升泵</w:t>
            </w:r>
          </w:p>
        </w:tc>
        <w:tc>
          <w:tcPr>
            <w:tcW w:w="2069" w:type="dxa"/>
            <w:shd w:val="clear" w:color="auto" w:fill="auto"/>
            <w:noWrap/>
            <w:vAlign w:val="center"/>
          </w:tcPr>
          <w:p>
            <w:pPr>
              <w:pStyle w:val="114"/>
              <w:rPr>
                <w:kern w:val="0"/>
              </w:rPr>
            </w:pPr>
            <w:r>
              <w:rPr>
                <w:rFonts w:hint="eastAsia"/>
                <w:kern w:val="0"/>
              </w:rPr>
              <w:t>50WQ10-5-0.75</w:t>
            </w:r>
          </w:p>
        </w:tc>
        <w:tc>
          <w:tcPr>
            <w:tcW w:w="851" w:type="dxa"/>
            <w:shd w:val="clear" w:color="auto" w:fill="auto"/>
            <w:noWrap/>
            <w:vAlign w:val="center"/>
          </w:tcPr>
          <w:p>
            <w:pPr>
              <w:pStyle w:val="114"/>
              <w:rPr>
                <w:kern w:val="0"/>
              </w:rPr>
            </w:pPr>
            <w:r>
              <w:rPr>
                <w:rFonts w:hint="eastAsia"/>
                <w:kern w:val="0"/>
              </w:rPr>
              <w:t>台</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5</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接触氧化池</w:t>
            </w:r>
          </w:p>
        </w:tc>
        <w:tc>
          <w:tcPr>
            <w:tcW w:w="1900" w:type="dxa"/>
            <w:shd w:val="clear" w:color="auto" w:fill="auto"/>
          </w:tcPr>
          <w:p>
            <w:pPr>
              <w:pStyle w:val="114"/>
              <w:rPr>
                <w:rFonts w:ascii="仿宋_GB2312"/>
                <w:kern w:val="0"/>
                <w:szCs w:val="21"/>
              </w:rPr>
            </w:pPr>
            <w:r>
              <w:rPr>
                <w:rFonts w:hint="eastAsia" w:ascii="仿宋_GB2312"/>
                <w:kern w:val="0"/>
                <w:szCs w:val="21"/>
              </w:rPr>
              <w:t>接触氧化池</w:t>
            </w:r>
          </w:p>
        </w:tc>
        <w:tc>
          <w:tcPr>
            <w:tcW w:w="2069" w:type="dxa"/>
            <w:shd w:val="clear" w:color="auto" w:fill="auto"/>
            <w:noWrap/>
            <w:vAlign w:val="center"/>
          </w:tcPr>
          <w:p>
            <w:pPr>
              <w:pStyle w:val="114"/>
              <w:rPr>
                <w:kern w:val="0"/>
                <w:szCs w:val="21"/>
              </w:rPr>
            </w:pPr>
            <w:r>
              <w:rPr>
                <w:kern w:val="0"/>
                <w:szCs w:val="21"/>
              </w:rPr>
              <w:t>3.0×3.0×3.0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连接管</w:t>
            </w:r>
          </w:p>
        </w:tc>
        <w:tc>
          <w:tcPr>
            <w:tcW w:w="2069" w:type="dxa"/>
            <w:shd w:val="clear" w:color="auto" w:fill="auto"/>
            <w:noWrap/>
            <w:vAlign w:val="center"/>
          </w:tcPr>
          <w:p>
            <w:pPr>
              <w:pStyle w:val="114"/>
              <w:rPr>
                <w:kern w:val="0"/>
              </w:rPr>
            </w:pPr>
            <w:r>
              <w:rPr>
                <w:rFonts w:hint="eastAsia"/>
                <w:kern w:val="0"/>
              </w:rPr>
              <w:t>DN200,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pvc</w:t>
            </w:r>
          </w:p>
        </w:tc>
        <w:tc>
          <w:tcPr>
            <w:tcW w:w="709" w:type="dxa"/>
            <w:shd w:val="clear" w:color="auto" w:fill="auto"/>
            <w:noWrap/>
            <w:vAlign w:val="center"/>
          </w:tcPr>
          <w:p>
            <w:pPr>
              <w:pStyle w:val="114"/>
              <w:rPr>
                <w:kern w:val="0"/>
              </w:rPr>
            </w:pPr>
            <w:r>
              <w:rPr>
                <w:rFonts w:hint="eastAsia"/>
                <w:kern w:val="0"/>
              </w:rPr>
              <w:t>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069" w:type="dxa"/>
            <w:shd w:val="clear" w:color="auto" w:fill="auto"/>
            <w:noWrap/>
            <w:vAlign w:val="center"/>
          </w:tcPr>
          <w:p>
            <w:pPr>
              <w:pStyle w:val="114"/>
              <w:rPr>
                <w:kern w:val="0"/>
              </w:rPr>
            </w:pPr>
            <w:r>
              <w:rPr>
                <w:rFonts w:hint="eastAsia"/>
                <w:kern w:val="0"/>
              </w:rPr>
              <w:t>DN200,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弯头</w:t>
            </w:r>
          </w:p>
        </w:tc>
        <w:tc>
          <w:tcPr>
            <w:tcW w:w="2069" w:type="dxa"/>
            <w:shd w:val="clear" w:color="auto" w:fill="auto"/>
            <w:noWrap/>
            <w:vAlign w:val="center"/>
          </w:tcPr>
          <w:p>
            <w:pPr>
              <w:pStyle w:val="114"/>
              <w:rPr>
                <w:kern w:val="0"/>
              </w:rPr>
            </w:pPr>
            <w:r>
              <w:rPr>
                <w:rFonts w:hint="eastAsia"/>
                <w:kern w:val="0"/>
              </w:rPr>
              <w:t>DN200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防水套管（A型）</w:t>
            </w:r>
          </w:p>
        </w:tc>
        <w:tc>
          <w:tcPr>
            <w:tcW w:w="2069" w:type="dxa"/>
            <w:shd w:val="clear" w:color="auto" w:fill="auto"/>
            <w:noWrap/>
            <w:vAlign w:val="center"/>
          </w:tcPr>
          <w:p>
            <w:pPr>
              <w:pStyle w:val="114"/>
              <w:rPr>
                <w:kern w:val="0"/>
              </w:rPr>
            </w:pPr>
            <w:r>
              <w:rPr>
                <w:rFonts w:hint="eastAsia"/>
                <w:kern w:val="0"/>
              </w:rPr>
              <w:t>DN200,L=300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直角三角堰</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水平支座</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塑料</w:t>
            </w:r>
          </w:p>
        </w:tc>
        <w:tc>
          <w:tcPr>
            <w:tcW w:w="709" w:type="dxa"/>
            <w:shd w:val="clear" w:color="auto" w:fill="auto"/>
            <w:noWrap/>
            <w:vAlign w:val="center"/>
          </w:tcPr>
          <w:p>
            <w:pPr>
              <w:pStyle w:val="114"/>
              <w:rPr>
                <w:kern w:val="0"/>
              </w:rPr>
            </w:pPr>
            <w:r>
              <w:rPr>
                <w:rFonts w:hint="eastAsia"/>
                <w:kern w:val="0"/>
              </w:rPr>
              <w:t>18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垂直支架</w:t>
            </w:r>
          </w:p>
        </w:tc>
        <w:tc>
          <w:tcPr>
            <w:tcW w:w="2069" w:type="dxa"/>
            <w:shd w:val="clear" w:color="auto" w:fill="auto"/>
            <w:noWrap/>
            <w:vAlign w:val="center"/>
          </w:tcPr>
          <w:p>
            <w:pPr>
              <w:pStyle w:val="114"/>
              <w:rPr>
                <w:kern w:val="0"/>
              </w:rPr>
            </w:pPr>
            <w:r>
              <w:rPr>
                <w:rFonts w:hint="eastAsia"/>
                <w:kern w:val="0"/>
              </w:rPr>
              <w:t>DN200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垂直支架</w:t>
            </w:r>
          </w:p>
        </w:tc>
        <w:tc>
          <w:tcPr>
            <w:tcW w:w="2069" w:type="dxa"/>
            <w:shd w:val="clear" w:color="auto" w:fill="auto"/>
            <w:noWrap/>
            <w:vAlign w:val="center"/>
          </w:tcPr>
          <w:p>
            <w:pPr>
              <w:pStyle w:val="114"/>
              <w:rPr>
                <w:kern w:val="0"/>
              </w:rPr>
            </w:pPr>
            <w:r>
              <w:rPr>
                <w:rFonts w:hint="eastAsia"/>
                <w:kern w:val="0"/>
              </w:rPr>
              <w:t>DN100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导流堰</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弹性填料</w:t>
            </w:r>
          </w:p>
        </w:tc>
        <w:tc>
          <w:tcPr>
            <w:tcW w:w="2069" w:type="dxa"/>
            <w:shd w:val="clear" w:color="auto" w:fill="auto"/>
            <w:noWrap/>
            <w:vAlign w:val="center"/>
          </w:tcPr>
          <w:p>
            <w:pPr>
              <w:pStyle w:val="114"/>
              <w:rPr>
                <w:kern w:val="0"/>
              </w:rPr>
            </w:pPr>
            <w:r>
              <w:rPr>
                <w:rFonts w:hint="eastAsia"/>
                <w:kern w:val="0"/>
              </w:rPr>
              <w:t>150×100</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vAlign w:val="center"/>
          </w:tcPr>
          <w:p>
            <w:pPr>
              <w:pStyle w:val="114"/>
              <w:rPr>
                <w:kern w:val="0"/>
              </w:rPr>
            </w:pPr>
            <w:r>
              <w:rPr>
                <w:rFonts w:hint="eastAsia"/>
                <w:kern w:val="0"/>
              </w:rPr>
              <w:t>PP</w:t>
            </w:r>
          </w:p>
        </w:tc>
        <w:tc>
          <w:tcPr>
            <w:tcW w:w="709" w:type="dxa"/>
            <w:shd w:val="clear" w:color="auto" w:fill="auto"/>
            <w:noWrap/>
            <w:vAlign w:val="center"/>
          </w:tcPr>
          <w:p>
            <w:pPr>
              <w:pStyle w:val="114"/>
              <w:rPr>
                <w:kern w:val="0"/>
              </w:rPr>
            </w:pPr>
            <w:r>
              <w:rPr>
                <w:rFonts w:hint="eastAsia"/>
                <w:kern w:val="0"/>
              </w:rPr>
              <w:t>18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空气流量计</w:t>
            </w:r>
          </w:p>
        </w:tc>
        <w:tc>
          <w:tcPr>
            <w:tcW w:w="2069" w:type="dxa"/>
            <w:shd w:val="clear" w:color="auto" w:fill="auto"/>
            <w:noWrap/>
            <w:vAlign w:val="center"/>
          </w:tcPr>
          <w:p>
            <w:pPr>
              <w:pStyle w:val="114"/>
              <w:rPr>
                <w:kern w:val="0"/>
              </w:rPr>
            </w:pPr>
            <w:r>
              <w:rPr>
                <w:rFonts w:hint="eastAsia"/>
                <w:kern w:val="0"/>
              </w:rPr>
              <w:t>Q=1~5m[3]/min</w:t>
            </w:r>
          </w:p>
        </w:tc>
        <w:tc>
          <w:tcPr>
            <w:tcW w:w="851" w:type="dxa"/>
            <w:shd w:val="clear" w:color="auto" w:fill="auto"/>
            <w:noWrap/>
            <w:vAlign w:val="center"/>
          </w:tcPr>
          <w:p>
            <w:pPr>
              <w:pStyle w:val="114"/>
              <w:rPr>
                <w:kern w:val="0"/>
              </w:rPr>
            </w:pPr>
            <w:r>
              <w:rPr>
                <w:rFonts w:hint="eastAsia"/>
                <w:kern w:val="0"/>
              </w:rPr>
              <w:t>套</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柔性接头</w:t>
            </w:r>
          </w:p>
        </w:tc>
        <w:tc>
          <w:tcPr>
            <w:tcW w:w="2069" w:type="dxa"/>
            <w:shd w:val="clear" w:color="auto" w:fill="auto"/>
            <w:noWrap/>
            <w:vAlign w:val="center"/>
          </w:tcPr>
          <w:p>
            <w:pPr>
              <w:pStyle w:val="114"/>
              <w:rPr>
                <w:kern w:val="0"/>
              </w:rPr>
            </w:pPr>
            <w:r>
              <w:rPr>
                <w:rFonts w:hint="eastAsia"/>
                <w:kern w:val="0"/>
              </w:rPr>
              <w:t>DN50, 20cm</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消声止回阀</w:t>
            </w:r>
          </w:p>
        </w:tc>
        <w:tc>
          <w:tcPr>
            <w:tcW w:w="2069"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缓施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闸阀</w:t>
            </w:r>
          </w:p>
        </w:tc>
        <w:tc>
          <w:tcPr>
            <w:tcW w:w="2069"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069" w:type="dxa"/>
            <w:shd w:val="clear" w:color="auto" w:fill="auto"/>
            <w:noWrap/>
            <w:vAlign w:val="center"/>
          </w:tcPr>
          <w:p>
            <w:pPr>
              <w:pStyle w:val="114"/>
              <w:rPr>
                <w:kern w:val="0"/>
              </w:rPr>
            </w:pPr>
            <w:r>
              <w:rPr>
                <w:rFonts w:hint="eastAsia"/>
                <w:kern w:val="0"/>
              </w:rPr>
              <w:t>DN50，δ=3mm</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同心异径管</w:t>
            </w:r>
          </w:p>
        </w:tc>
        <w:tc>
          <w:tcPr>
            <w:tcW w:w="2069" w:type="dxa"/>
            <w:shd w:val="clear" w:color="auto" w:fill="auto"/>
            <w:noWrap/>
            <w:vAlign w:val="center"/>
          </w:tcPr>
          <w:p>
            <w:pPr>
              <w:pStyle w:val="114"/>
              <w:rPr>
                <w:kern w:val="0"/>
              </w:rPr>
            </w:pPr>
            <w:r>
              <w:rPr>
                <w:rFonts w:hint="eastAsia"/>
                <w:kern w:val="0"/>
              </w:rPr>
              <w:t>DN50-30，δ=3mm</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回转风机</w:t>
            </w:r>
          </w:p>
        </w:tc>
        <w:tc>
          <w:tcPr>
            <w:tcW w:w="2069" w:type="dxa"/>
            <w:shd w:val="clear" w:color="auto" w:fill="auto"/>
            <w:noWrap/>
            <w:vAlign w:val="center"/>
          </w:tcPr>
          <w:p>
            <w:pPr>
              <w:pStyle w:val="114"/>
              <w:rPr>
                <w:kern w:val="0"/>
              </w:rPr>
            </w:pPr>
            <w:r>
              <w:rPr>
                <w:rFonts w:hint="eastAsia"/>
                <w:kern w:val="0"/>
              </w:rPr>
              <w:t>Q=0.5m[3]/min；P=0.04MPa</w:t>
            </w:r>
          </w:p>
        </w:tc>
        <w:tc>
          <w:tcPr>
            <w:tcW w:w="851" w:type="dxa"/>
            <w:shd w:val="clear" w:color="auto" w:fill="auto"/>
            <w:noWrap/>
            <w:vAlign w:val="center"/>
          </w:tcPr>
          <w:p>
            <w:pPr>
              <w:pStyle w:val="114"/>
              <w:rPr>
                <w:kern w:val="0"/>
              </w:rPr>
            </w:pPr>
            <w:r>
              <w:rPr>
                <w:rFonts w:hint="eastAsia"/>
                <w:kern w:val="0"/>
              </w:rPr>
              <w:t>台</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盲法兰</w:t>
            </w:r>
          </w:p>
        </w:tc>
        <w:tc>
          <w:tcPr>
            <w:tcW w:w="2069" w:type="dxa"/>
            <w:shd w:val="clear" w:color="auto" w:fill="auto"/>
            <w:noWrap/>
            <w:vAlign w:val="center"/>
          </w:tcPr>
          <w:p>
            <w:pPr>
              <w:pStyle w:val="114"/>
              <w:rPr>
                <w:kern w:val="0"/>
              </w:rPr>
            </w:pPr>
            <w:r>
              <w:rPr>
                <w:rFonts w:hint="eastAsia"/>
                <w:kern w:val="0"/>
              </w:rPr>
              <w:t>DN50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069"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069" w:type="dxa"/>
            <w:shd w:val="clear" w:color="auto" w:fill="auto"/>
            <w:noWrap/>
            <w:vAlign w:val="center"/>
          </w:tcPr>
          <w:p>
            <w:pPr>
              <w:pStyle w:val="114"/>
              <w:rPr>
                <w:kern w:val="0"/>
              </w:rPr>
            </w:pPr>
            <w:r>
              <w:rPr>
                <w:rFonts w:hint="eastAsia"/>
                <w:kern w:val="0"/>
              </w:rPr>
              <w:t>DN30,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30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069"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18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曝气盘</w:t>
            </w:r>
          </w:p>
        </w:tc>
        <w:tc>
          <w:tcPr>
            <w:tcW w:w="2069" w:type="dxa"/>
            <w:shd w:val="clear" w:color="auto" w:fill="auto"/>
            <w:noWrap/>
            <w:vAlign w:val="center"/>
          </w:tcPr>
          <w:p>
            <w:pPr>
              <w:pStyle w:val="114"/>
              <w:rPr>
                <w:kern w:val="0"/>
              </w:rPr>
            </w:pPr>
            <w:r>
              <w:rPr>
                <w:rFonts w:hint="eastAsia"/>
                <w:kern w:val="0"/>
              </w:rPr>
              <w:t>Q=3m3/h   氧转移效率≥25%</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硅胶</w:t>
            </w:r>
          </w:p>
        </w:tc>
        <w:tc>
          <w:tcPr>
            <w:tcW w:w="709" w:type="dxa"/>
            <w:shd w:val="clear" w:color="auto" w:fill="auto"/>
            <w:noWrap/>
            <w:vAlign w:val="center"/>
          </w:tcPr>
          <w:p>
            <w:pPr>
              <w:pStyle w:val="114"/>
              <w:rPr>
                <w:kern w:val="0"/>
              </w:rPr>
            </w:pPr>
            <w:r>
              <w:rPr>
                <w:rFonts w:hint="eastAsia"/>
                <w:kern w:val="0"/>
              </w:rPr>
              <w:t>18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异径三通</w:t>
            </w:r>
          </w:p>
        </w:tc>
        <w:tc>
          <w:tcPr>
            <w:tcW w:w="2069" w:type="dxa"/>
            <w:shd w:val="clear" w:color="auto" w:fill="auto"/>
            <w:noWrap/>
            <w:vAlign w:val="center"/>
          </w:tcPr>
          <w:p>
            <w:pPr>
              <w:pStyle w:val="114"/>
              <w:rPr>
                <w:kern w:val="0"/>
              </w:rPr>
            </w:pPr>
            <w:r>
              <w:rPr>
                <w:rFonts w:hint="eastAsia"/>
                <w:kern w:val="0"/>
              </w:rPr>
              <w:t>DN50×40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90弯头</w:t>
            </w:r>
          </w:p>
        </w:tc>
        <w:tc>
          <w:tcPr>
            <w:tcW w:w="2069"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防水套管（A型）</w:t>
            </w:r>
          </w:p>
        </w:tc>
        <w:tc>
          <w:tcPr>
            <w:tcW w:w="2069" w:type="dxa"/>
            <w:shd w:val="clear" w:color="auto" w:fill="auto"/>
            <w:noWrap/>
            <w:vAlign w:val="center"/>
          </w:tcPr>
          <w:p>
            <w:pPr>
              <w:pStyle w:val="114"/>
              <w:rPr>
                <w:kern w:val="0"/>
              </w:rPr>
            </w:pPr>
            <w:r>
              <w:rPr>
                <w:rFonts w:hint="eastAsia"/>
                <w:kern w:val="0"/>
              </w:rPr>
              <w:t>DN50,L=300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31</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斜管沉淀池</w:t>
            </w:r>
          </w:p>
        </w:tc>
        <w:tc>
          <w:tcPr>
            <w:tcW w:w="1900" w:type="dxa"/>
            <w:shd w:val="clear" w:color="auto" w:fill="auto"/>
          </w:tcPr>
          <w:p>
            <w:pPr>
              <w:pStyle w:val="114"/>
              <w:rPr>
                <w:rFonts w:ascii="仿宋_GB2312"/>
                <w:kern w:val="0"/>
                <w:szCs w:val="21"/>
              </w:rPr>
            </w:pPr>
            <w:r>
              <w:rPr>
                <w:rFonts w:hint="eastAsia" w:ascii="仿宋_GB2312"/>
                <w:kern w:val="0"/>
                <w:szCs w:val="21"/>
              </w:rPr>
              <w:t>斜管沉淀池</w:t>
            </w:r>
          </w:p>
        </w:tc>
        <w:tc>
          <w:tcPr>
            <w:tcW w:w="2069" w:type="dxa"/>
            <w:shd w:val="clear" w:color="auto" w:fill="auto"/>
            <w:noWrap/>
            <w:vAlign w:val="center"/>
          </w:tcPr>
          <w:p>
            <w:pPr>
              <w:pStyle w:val="114"/>
              <w:rPr>
                <w:kern w:val="0"/>
                <w:szCs w:val="21"/>
              </w:rPr>
            </w:pPr>
            <w:r>
              <w:rPr>
                <w:kern w:val="0"/>
                <w:szCs w:val="21"/>
              </w:rPr>
              <w:t>2.0×1.0×3.0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tcPr>
          <w:p>
            <w:pPr>
              <w:pStyle w:val="114"/>
              <w:rPr>
                <w:rFonts w:ascii="仿宋_GB2312"/>
                <w:kern w:val="0"/>
                <w:szCs w:val="21"/>
              </w:rPr>
            </w:pPr>
            <w:r>
              <w:rPr>
                <w:rFonts w:hint="eastAsia" w:ascii="仿宋_GB2312"/>
                <w:kern w:val="0"/>
                <w:szCs w:val="21"/>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斜管填料支架</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套</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斜管填料</w:t>
            </w:r>
          </w:p>
        </w:tc>
        <w:tc>
          <w:tcPr>
            <w:tcW w:w="2069" w:type="dxa"/>
            <w:shd w:val="clear" w:color="auto" w:fill="auto"/>
            <w:noWrap/>
            <w:vAlign w:val="center"/>
          </w:tcPr>
          <w:p>
            <w:pPr>
              <w:pStyle w:val="114"/>
              <w:rPr>
                <w:rFonts w:ascii="Arial" w:hAnsi="Arial" w:cs="Arial"/>
                <w:kern w:val="0"/>
                <w:sz w:val="20"/>
                <w:szCs w:val="20"/>
              </w:rPr>
            </w:pPr>
            <w:r>
              <w:rPr>
                <w:rFonts w:ascii="Arial" w:hAnsi="Arial" w:cs="Arial"/>
                <w:kern w:val="0"/>
                <w:sz w:val="20"/>
                <w:szCs w:val="20"/>
              </w:rPr>
              <w:t>Φ80</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导流堰</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35</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碎石滤床</w:t>
            </w:r>
          </w:p>
        </w:tc>
        <w:tc>
          <w:tcPr>
            <w:tcW w:w="1900" w:type="dxa"/>
            <w:shd w:val="clear" w:color="auto" w:fill="auto"/>
          </w:tcPr>
          <w:p>
            <w:pPr>
              <w:pStyle w:val="114"/>
              <w:rPr>
                <w:rFonts w:ascii="仿宋_GB2312"/>
                <w:kern w:val="0"/>
                <w:szCs w:val="21"/>
              </w:rPr>
            </w:pPr>
            <w:r>
              <w:rPr>
                <w:rFonts w:hint="eastAsia" w:ascii="仿宋_GB2312"/>
                <w:kern w:val="0"/>
                <w:szCs w:val="21"/>
              </w:rPr>
              <w:t>碎石滤床</w:t>
            </w:r>
          </w:p>
        </w:tc>
        <w:tc>
          <w:tcPr>
            <w:tcW w:w="2069" w:type="dxa"/>
            <w:shd w:val="clear" w:color="auto" w:fill="auto"/>
            <w:noWrap/>
            <w:vAlign w:val="center"/>
          </w:tcPr>
          <w:p>
            <w:pPr>
              <w:pStyle w:val="114"/>
              <w:rPr>
                <w:kern w:val="0"/>
                <w:szCs w:val="21"/>
              </w:rPr>
            </w:pPr>
            <w:r>
              <w:rPr>
                <w:kern w:val="0"/>
                <w:szCs w:val="21"/>
              </w:rPr>
              <w:t>17×5</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布水管</w:t>
            </w:r>
          </w:p>
        </w:tc>
        <w:tc>
          <w:tcPr>
            <w:tcW w:w="2069"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200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集水管</w:t>
            </w:r>
          </w:p>
        </w:tc>
        <w:tc>
          <w:tcPr>
            <w:tcW w:w="2069"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200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069"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90%%d弯头</w:t>
            </w:r>
          </w:p>
        </w:tc>
        <w:tc>
          <w:tcPr>
            <w:tcW w:w="2069"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三通</w:t>
            </w:r>
          </w:p>
        </w:tc>
        <w:tc>
          <w:tcPr>
            <w:tcW w:w="2069"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四通</w:t>
            </w:r>
          </w:p>
        </w:tc>
        <w:tc>
          <w:tcPr>
            <w:tcW w:w="2069"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w:t>
            </w:r>
          </w:p>
        </w:tc>
        <w:tc>
          <w:tcPr>
            <w:tcW w:w="2069" w:type="dxa"/>
            <w:shd w:val="clear" w:color="auto" w:fill="auto"/>
            <w:noWrap/>
            <w:vAlign w:val="center"/>
          </w:tcPr>
          <w:p>
            <w:pPr>
              <w:pStyle w:val="114"/>
              <w:rPr>
                <w:kern w:val="0"/>
              </w:rPr>
            </w:pPr>
            <w:r>
              <w:rPr>
                <w:rFonts w:hint="eastAsia"/>
                <w:kern w:val="0"/>
              </w:rPr>
              <w:t>02S404-P5 A型，L=300mm</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柔性</w:t>
            </w:r>
          </w:p>
        </w:tc>
        <w:tc>
          <w:tcPr>
            <w:tcW w:w="709" w:type="dxa"/>
            <w:shd w:val="clear" w:color="auto" w:fill="auto"/>
            <w:noWrap/>
            <w:vAlign w:val="center"/>
          </w:tcPr>
          <w:p>
            <w:pPr>
              <w:pStyle w:val="114"/>
              <w:rPr>
                <w:kern w:val="0"/>
              </w:rPr>
            </w:pPr>
            <w:r>
              <w:rPr>
                <w:rFonts w:hint="eastAsia"/>
                <w:kern w:val="0"/>
              </w:rPr>
              <w:t>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卵石</w:t>
            </w:r>
          </w:p>
        </w:tc>
        <w:tc>
          <w:tcPr>
            <w:tcW w:w="2069" w:type="dxa"/>
            <w:shd w:val="clear" w:color="auto" w:fill="auto"/>
            <w:noWrap/>
            <w:vAlign w:val="center"/>
          </w:tcPr>
          <w:p>
            <w:pPr>
              <w:pStyle w:val="114"/>
              <w:rPr>
                <w:kern w:val="0"/>
              </w:rPr>
            </w:pPr>
            <w:r>
              <w:rPr>
                <w:rFonts w:hint="eastAsia"/>
                <w:kern w:val="0"/>
              </w:rPr>
              <w:t>粒径</w:t>
            </w:r>
            <w:r>
              <w:rPr>
                <w:kern w:val="0"/>
              </w:rPr>
              <w:t>15-20mm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砾石</w:t>
            </w:r>
          </w:p>
        </w:tc>
        <w:tc>
          <w:tcPr>
            <w:tcW w:w="2069" w:type="dxa"/>
            <w:shd w:val="clear" w:color="auto" w:fill="auto"/>
            <w:noWrap/>
            <w:vAlign w:val="center"/>
          </w:tcPr>
          <w:p>
            <w:pPr>
              <w:pStyle w:val="114"/>
              <w:rPr>
                <w:rFonts w:ascii="仿宋_GB2312"/>
                <w:kern w:val="0"/>
              </w:rPr>
            </w:pPr>
            <w:r>
              <w:rPr>
                <w:rFonts w:hint="eastAsia" w:ascii="仿宋_GB2312"/>
                <w:kern w:val="0"/>
              </w:rPr>
              <w:t>粒径</w:t>
            </w:r>
            <w:r>
              <w:rPr>
                <w:kern w:val="0"/>
              </w:rPr>
              <w:t>20-30mm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火山石</w:t>
            </w:r>
          </w:p>
        </w:tc>
        <w:tc>
          <w:tcPr>
            <w:tcW w:w="2069" w:type="dxa"/>
            <w:shd w:val="clear" w:color="auto" w:fill="auto"/>
            <w:noWrap/>
            <w:vAlign w:val="center"/>
          </w:tcPr>
          <w:p>
            <w:pPr>
              <w:pStyle w:val="114"/>
              <w:rPr>
                <w:kern w:val="0"/>
              </w:rPr>
            </w:pPr>
            <w:r>
              <w:rPr>
                <w:rFonts w:hint="eastAsia"/>
                <w:kern w:val="0"/>
              </w:rPr>
              <w:t>粒径</w:t>
            </w:r>
            <w:r>
              <w:rPr>
                <w:kern w:val="0"/>
              </w:rPr>
              <w:t>50-60mm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31.5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再力花</w:t>
            </w:r>
          </w:p>
        </w:tc>
        <w:tc>
          <w:tcPr>
            <w:tcW w:w="2069" w:type="dxa"/>
            <w:shd w:val="clear" w:color="auto" w:fill="auto"/>
            <w:noWrap/>
            <w:vAlign w:val="center"/>
          </w:tcPr>
          <w:p>
            <w:pPr>
              <w:pStyle w:val="114"/>
              <w:rPr>
                <w:kern w:val="0"/>
              </w:rPr>
            </w:pPr>
            <w:r>
              <w:rPr>
                <w:rFonts w:hint="eastAsia"/>
                <w:kern w:val="0"/>
              </w:rPr>
              <w:t>h= 0.5m</w:t>
            </w:r>
          </w:p>
        </w:tc>
        <w:tc>
          <w:tcPr>
            <w:tcW w:w="851" w:type="dxa"/>
            <w:shd w:val="clear" w:color="auto" w:fill="auto"/>
            <w:noWrap/>
            <w:vAlign w:val="center"/>
          </w:tcPr>
          <w:p>
            <w:pPr>
              <w:pStyle w:val="114"/>
              <w:rPr>
                <w:kern w:val="0"/>
              </w:rPr>
            </w:pPr>
            <w:r>
              <w:rPr>
                <w:rFonts w:hint="eastAsia"/>
                <w:kern w:val="0"/>
              </w:rPr>
              <w:t>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340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vAlign w:val="center"/>
          </w:tcPr>
          <w:p>
            <w:pPr>
              <w:pStyle w:val="114"/>
              <w:rPr>
                <w:rFonts w:ascii="仿宋_GB2312"/>
                <w:b/>
                <w:bCs/>
                <w:kern w:val="0"/>
                <w:szCs w:val="21"/>
              </w:rPr>
            </w:pPr>
            <w:r>
              <w:rPr>
                <w:rFonts w:hint="eastAsia" w:ascii="仿宋_GB2312"/>
                <w:b/>
                <w:bCs/>
                <w:kern w:val="0"/>
                <w:szCs w:val="21"/>
              </w:rPr>
              <w:t>旱伞竹</w:t>
            </w:r>
          </w:p>
        </w:tc>
        <w:tc>
          <w:tcPr>
            <w:tcW w:w="2069" w:type="dxa"/>
            <w:shd w:val="clear" w:color="auto" w:fill="auto"/>
            <w:noWrap/>
            <w:vAlign w:val="center"/>
          </w:tcPr>
          <w:p>
            <w:pPr>
              <w:pStyle w:val="114"/>
              <w:rPr>
                <w:kern w:val="0"/>
              </w:rPr>
            </w:pPr>
            <w:r>
              <w:rPr>
                <w:rFonts w:hint="eastAsia"/>
                <w:kern w:val="0"/>
              </w:rPr>
              <w:t>h= 0.5m</w:t>
            </w:r>
          </w:p>
        </w:tc>
        <w:tc>
          <w:tcPr>
            <w:tcW w:w="851" w:type="dxa"/>
            <w:shd w:val="clear" w:color="auto" w:fill="auto"/>
            <w:noWrap/>
            <w:vAlign w:val="center"/>
          </w:tcPr>
          <w:p>
            <w:pPr>
              <w:pStyle w:val="114"/>
              <w:rPr>
                <w:kern w:val="0"/>
              </w:rPr>
            </w:pPr>
            <w:r>
              <w:rPr>
                <w:rFonts w:hint="eastAsia"/>
                <w:kern w:val="0"/>
              </w:rPr>
              <w:t>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340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48</w:t>
            </w:r>
          </w:p>
        </w:tc>
        <w:tc>
          <w:tcPr>
            <w:tcW w:w="992" w:type="dxa"/>
            <w:vMerge w:val="restart"/>
            <w:shd w:val="clear" w:color="auto" w:fill="auto"/>
          </w:tcPr>
          <w:p>
            <w:pPr>
              <w:pStyle w:val="114"/>
              <w:rPr>
                <w:rFonts w:ascii="仿宋_GB2312"/>
                <w:kern w:val="0"/>
                <w:szCs w:val="21"/>
              </w:rPr>
            </w:pPr>
            <w:r>
              <w:rPr>
                <w:rFonts w:hint="eastAsia" w:ascii="仿宋_GB2312"/>
                <w:kern w:val="0"/>
                <w:szCs w:val="21"/>
              </w:rPr>
              <w:t>附属设施</w:t>
            </w:r>
          </w:p>
        </w:tc>
        <w:tc>
          <w:tcPr>
            <w:tcW w:w="1900" w:type="dxa"/>
            <w:shd w:val="clear" w:color="auto" w:fill="auto"/>
            <w:noWrap/>
            <w:vAlign w:val="center"/>
          </w:tcPr>
          <w:p>
            <w:pPr>
              <w:pStyle w:val="114"/>
              <w:rPr>
                <w:kern w:val="0"/>
              </w:rPr>
            </w:pPr>
            <w:r>
              <w:rPr>
                <w:rFonts w:hint="eastAsia"/>
                <w:kern w:val="0"/>
              </w:rPr>
              <w:t>涂塑围栏</w:t>
            </w:r>
          </w:p>
        </w:tc>
        <w:tc>
          <w:tcPr>
            <w:tcW w:w="2069"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95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工程概况牌</w:t>
            </w:r>
          </w:p>
        </w:tc>
        <w:tc>
          <w:tcPr>
            <w:tcW w:w="2069" w:type="dxa"/>
            <w:shd w:val="clear" w:color="auto" w:fill="auto"/>
            <w:noWrap/>
            <w:vAlign w:val="center"/>
          </w:tcPr>
          <w:p>
            <w:pPr>
              <w:pStyle w:val="114"/>
              <w:rPr>
                <w:kern w:val="0"/>
              </w:rPr>
            </w:pPr>
            <w:r>
              <w:rPr>
                <w:rFonts w:hint="eastAsia"/>
                <w:kern w:val="0"/>
              </w:rPr>
              <w:t>L×B=2.5×1.2m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50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安全警示牌</w:t>
            </w:r>
          </w:p>
        </w:tc>
        <w:tc>
          <w:tcPr>
            <w:tcW w:w="2069" w:type="dxa"/>
            <w:shd w:val="clear" w:color="auto" w:fill="auto"/>
            <w:noWrap/>
            <w:vAlign w:val="center"/>
          </w:tcPr>
          <w:p>
            <w:pPr>
              <w:pStyle w:val="114"/>
              <w:rPr>
                <w:kern w:val="0"/>
              </w:rPr>
            </w:pPr>
            <w:r>
              <w:rPr>
                <w:rFonts w:hint="eastAsia"/>
                <w:kern w:val="0"/>
              </w:rPr>
              <w:t>L×B=0.6×0.4m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9" w:type="dxa"/>
            <w:shd w:val="clear" w:color="auto" w:fill="auto"/>
            <w:noWrap/>
            <w:vAlign w:val="center"/>
          </w:tcPr>
          <w:p>
            <w:pPr>
              <w:pStyle w:val="114"/>
              <w:rPr>
                <w:kern w:val="0"/>
              </w:rPr>
            </w:pPr>
            <w:r>
              <w:rPr>
                <w:rFonts w:hint="eastAsia"/>
                <w:kern w:val="0"/>
              </w:rPr>
              <w:t>51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构筑物名称牌</w:t>
            </w:r>
          </w:p>
        </w:tc>
        <w:tc>
          <w:tcPr>
            <w:tcW w:w="2069" w:type="dxa"/>
            <w:shd w:val="clear" w:color="auto" w:fill="auto"/>
            <w:noWrap/>
            <w:vAlign w:val="center"/>
          </w:tcPr>
          <w:p>
            <w:pPr>
              <w:pStyle w:val="114"/>
              <w:rPr>
                <w:kern w:val="0"/>
              </w:rPr>
            </w:pPr>
            <w:r>
              <w:rPr>
                <w:rFonts w:hint="eastAsia"/>
                <w:kern w:val="0"/>
              </w:rPr>
              <w:t>L×B=0.5×0.4m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bl>
    <w:p>
      <w:pPr>
        <w:ind w:firstLine="480"/>
        <w:rPr>
          <w:color w:val="auto"/>
          <w:kern w:val="0"/>
        </w:rPr>
      </w:pPr>
    </w:p>
    <w:p>
      <w:pPr>
        <w:widowControl/>
        <w:spacing w:line="240" w:lineRule="auto"/>
        <w:ind w:firstLine="0" w:firstLineChars="0"/>
        <w:jc w:val="left"/>
        <w:rPr>
          <w:color w:val="auto"/>
          <w:kern w:val="0"/>
        </w:rPr>
      </w:pPr>
      <w:r>
        <w:rPr>
          <w:color w:val="auto"/>
          <w:kern w:val="0"/>
        </w:rPr>
        <w:br w:type="page"/>
      </w:r>
    </w:p>
    <w:p>
      <w:pPr>
        <w:pStyle w:val="4"/>
        <w:numPr>
          <w:ilvl w:val="0"/>
          <w:numId w:val="0"/>
        </w:numPr>
      </w:pPr>
      <w:bookmarkStart w:id="484" w:name="_Toc48640829"/>
      <w:bookmarkStart w:id="485" w:name="_Toc36127026"/>
      <w:r>
        <w:rPr>
          <w:rFonts w:hint="eastAsia"/>
        </w:rPr>
        <w:t xml:space="preserve">附表2  </w:t>
      </w:r>
      <w:r>
        <w:t xml:space="preserve"> 75 m</w:t>
      </w:r>
      <w:r>
        <w:rPr>
          <w:vertAlign w:val="superscript"/>
        </w:rPr>
        <w:t>3</w:t>
      </w:r>
      <w:r>
        <w:t>/d</w:t>
      </w:r>
      <w:r>
        <w:rPr>
          <w:rFonts w:hint="eastAsia"/>
        </w:rPr>
        <w:t>污水处理系统设备一览表</w:t>
      </w:r>
      <w:bookmarkEnd w:id="484"/>
      <w:bookmarkEnd w:id="485"/>
    </w:p>
    <w:tbl>
      <w:tblPr>
        <w:tblStyle w:val="88"/>
        <w:tblW w:w="9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2"/>
        <w:gridCol w:w="1900"/>
        <w:gridCol w:w="2211"/>
        <w:gridCol w:w="851"/>
        <w:gridCol w:w="850"/>
        <w:gridCol w:w="70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09" w:type="dxa"/>
            <w:shd w:val="clear" w:color="auto" w:fill="auto"/>
            <w:noWrap/>
            <w:vAlign w:val="center"/>
          </w:tcPr>
          <w:p>
            <w:pPr>
              <w:pStyle w:val="114"/>
              <w:rPr>
                <w:b/>
                <w:kern w:val="0"/>
              </w:rPr>
            </w:pPr>
            <w:r>
              <w:rPr>
                <w:rFonts w:hint="eastAsia"/>
                <w:b/>
                <w:kern w:val="0"/>
              </w:rPr>
              <w:t>序号</w:t>
            </w:r>
          </w:p>
        </w:tc>
        <w:tc>
          <w:tcPr>
            <w:tcW w:w="992" w:type="dxa"/>
            <w:shd w:val="clear" w:color="auto" w:fill="auto"/>
            <w:noWrap/>
            <w:vAlign w:val="center"/>
          </w:tcPr>
          <w:p>
            <w:pPr>
              <w:pStyle w:val="114"/>
              <w:rPr>
                <w:b/>
                <w:kern w:val="0"/>
              </w:rPr>
            </w:pPr>
            <w:r>
              <w:rPr>
                <w:rFonts w:hint="eastAsia"/>
                <w:b/>
                <w:kern w:val="0"/>
              </w:rPr>
              <w:t>系统</w:t>
            </w:r>
          </w:p>
        </w:tc>
        <w:tc>
          <w:tcPr>
            <w:tcW w:w="1900" w:type="dxa"/>
            <w:shd w:val="clear" w:color="auto" w:fill="auto"/>
            <w:noWrap/>
            <w:vAlign w:val="center"/>
          </w:tcPr>
          <w:p>
            <w:pPr>
              <w:pStyle w:val="114"/>
              <w:rPr>
                <w:b/>
                <w:kern w:val="0"/>
              </w:rPr>
            </w:pPr>
            <w:r>
              <w:rPr>
                <w:rFonts w:hint="eastAsia"/>
                <w:b/>
                <w:kern w:val="0"/>
              </w:rPr>
              <w:t>构筑物设备名称</w:t>
            </w:r>
          </w:p>
        </w:tc>
        <w:tc>
          <w:tcPr>
            <w:tcW w:w="2211" w:type="dxa"/>
            <w:shd w:val="clear" w:color="auto" w:fill="auto"/>
            <w:noWrap/>
            <w:vAlign w:val="center"/>
          </w:tcPr>
          <w:p>
            <w:pPr>
              <w:pStyle w:val="114"/>
              <w:rPr>
                <w:b/>
                <w:kern w:val="0"/>
              </w:rPr>
            </w:pPr>
            <w:r>
              <w:rPr>
                <w:rFonts w:hint="eastAsia"/>
                <w:b/>
                <w:kern w:val="0"/>
              </w:rPr>
              <w:t>规格</w:t>
            </w:r>
          </w:p>
        </w:tc>
        <w:tc>
          <w:tcPr>
            <w:tcW w:w="851" w:type="dxa"/>
            <w:shd w:val="clear" w:color="auto" w:fill="auto"/>
            <w:noWrap/>
            <w:vAlign w:val="center"/>
          </w:tcPr>
          <w:p>
            <w:pPr>
              <w:pStyle w:val="114"/>
              <w:rPr>
                <w:b/>
                <w:kern w:val="0"/>
              </w:rPr>
            </w:pPr>
            <w:r>
              <w:rPr>
                <w:rFonts w:hint="eastAsia"/>
                <w:b/>
                <w:kern w:val="0"/>
              </w:rPr>
              <w:t>单位</w:t>
            </w:r>
          </w:p>
        </w:tc>
        <w:tc>
          <w:tcPr>
            <w:tcW w:w="850" w:type="dxa"/>
            <w:shd w:val="clear" w:color="auto" w:fill="auto"/>
            <w:noWrap/>
            <w:vAlign w:val="center"/>
          </w:tcPr>
          <w:p>
            <w:pPr>
              <w:pStyle w:val="114"/>
              <w:rPr>
                <w:b/>
                <w:kern w:val="0"/>
              </w:rPr>
            </w:pPr>
            <w:r>
              <w:rPr>
                <w:rFonts w:hint="eastAsia"/>
                <w:b/>
                <w:kern w:val="0"/>
              </w:rPr>
              <w:t>材质</w:t>
            </w:r>
          </w:p>
        </w:tc>
        <w:tc>
          <w:tcPr>
            <w:tcW w:w="709" w:type="dxa"/>
            <w:shd w:val="clear" w:color="auto" w:fill="auto"/>
            <w:noWrap/>
            <w:vAlign w:val="center"/>
          </w:tcPr>
          <w:p>
            <w:pPr>
              <w:pStyle w:val="114"/>
              <w:rPr>
                <w:b/>
                <w:kern w:val="0"/>
              </w:rPr>
            </w:pPr>
            <w:r>
              <w:rPr>
                <w:rFonts w:hint="eastAsia"/>
                <w:b/>
                <w:kern w:val="0"/>
              </w:rPr>
              <w:t>数量</w:t>
            </w:r>
          </w:p>
        </w:tc>
        <w:tc>
          <w:tcPr>
            <w:tcW w:w="1080" w:type="dxa"/>
            <w:shd w:val="clear" w:color="auto" w:fill="auto"/>
            <w:noWrap/>
            <w:vAlign w:val="center"/>
          </w:tcPr>
          <w:p>
            <w:pPr>
              <w:pStyle w:val="114"/>
              <w:rPr>
                <w:b/>
                <w:kern w:val="0"/>
              </w:rPr>
            </w:pPr>
            <w:r>
              <w:rPr>
                <w:rFonts w:hint="eastAsia"/>
                <w:b/>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格栅井</w:t>
            </w:r>
          </w:p>
        </w:tc>
        <w:tc>
          <w:tcPr>
            <w:tcW w:w="1900" w:type="dxa"/>
            <w:shd w:val="clear" w:color="auto" w:fill="auto"/>
          </w:tcPr>
          <w:p>
            <w:pPr>
              <w:pStyle w:val="114"/>
              <w:rPr>
                <w:rFonts w:ascii="仿宋_GB2312"/>
                <w:kern w:val="0"/>
                <w:szCs w:val="21"/>
              </w:rPr>
            </w:pPr>
            <w:r>
              <w:rPr>
                <w:rFonts w:hint="eastAsia" w:ascii="仿宋_GB2312"/>
                <w:kern w:val="0"/>
                <w:szCs w:val="21"/>
              </w:rPr>
              <w:t>格栅井</w:t>
            </w:r>
          </w:p>
        </w:tc>
        <w:tc>
          <w:tcPr>
            <w:tcW w:w="2211" w:type="dxa"/>
            <w:shd w:val="clear" w:color="auto" w:fill="auto"/>
            <w:noWrap/>
            <w:vAlign w:val="center"/>
          </w:tcPr>
          <w:p>
            <w:pPr>
              <w:pStyle w:val="114"/>
              <w:rPr>
                <w:kern w:val="0"/>
              </w:rPr>
            </w:pPr>
            <w:r>
              <w:rPr>
                <w:kern w:val="0"/>
              </w:rPr>
              <w:t>2.0m×0.5m×1.2m</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tcPr>
          <w:p>
            <w:pPr>
              <w:pStyle w:val="114"/>
              <w:rPr>
                <w:rFonts w:ascii="仿宋_GB2312"/>
                <w:kern w:val="0"/>
                <w:szCs w:val="21"/>
              </w:rPr>
            </w:pPr>
            <w:r>
              <w:rPr>
                <w:rFonts w:hint="eastAsia" w:ascii="仿宋_GB2312"/>
                <w:kern w:val="0"/>
                <w:szCs w:val="21"/>
              </w:rPr>
              <w:t>格栅</w:t>
            </w:r>
          </w:p>
        </w:tc>
        <w:tc>
          <w:tcPr>
            <w:tcW w:w="2211" w:type="dxa"/>
            <w:shd w:val="clear" w:color="auto" w:fill="auto"/>
            <w:noWrap/>
            <w:vAlign w:val="center"/>
          </w:tcPr>
          <w:p>
            <w:pPr>
              <w:pStyle w:val="114"/>
              <w:rPr>
                <w:kern w:val="0"/>
              </w:rPr>
            </w:pPr>
            <w:r>
              <w:rPr>
                <w:kern w:val="0"/>
              </w:rPr>
              <w:t>1.19m×0.5m×1.2m</w:t>
            </w:r>
          </w:p>
        </w:tc>
        <w:tc>
          <w:tcPr>
            <w:tcW w:w="851" w:type="dxa"/>
            <w:shd w:val="clear" w:color="auto" w:fill="auto"/>
            <w:noWrap/>
            <w:vAlign w:val="center"/>
          </w:tcPr>
          <w:p>
            <w:pPr>
              <w:pStyle w:val="114"/>
              <w:rPr>
                <w:kern w:val="0"/>
              </w:rPr>
            </w:pPr>
            <w:r>
              <w:rPr>
                <w:rFonts w:hint="eastAsia"/>
                <w:kern w:val="0"/>
              </w:rPr>
              <w:t>道</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调节池</w:t>
            </w:r>
          </w:p>
        </w:tc>
        <w:tc>
          <w:tcPr>
            <w:tcW w:w="1900" w:type="dxa"/>
            <w:shd w:val="clear" w:color="auto" w:fill="auto"/>
          </w:tcPr>
          <w:p>
            <w:pPr>
              <w:pStyle w:val="114"/>
              <w:rPr>
                <w:rFonts w:ascii="仿宋_GB2312"/>
                <w:kern w:val="0"/>
                <w:szCs w:val="21"/>
              </w:rPr>
            </w:pPr>
            <w:r>
              <w:rPr>
                <w:rFonts w:hint="eastAsia" w:ascii="仿宋_GB2312"/>
                <w:kern w:val="0"/>
                <w:szCs w:val="21"/>
              </w:rPr>
              <w:t>调节池</w:t>
            </w:r>
          </w:p>
        </w:tc>
        <w:tc>
          <w:tcPr>
            <w:tcW w:w="2211" w:type="dxa"/>
            <w:shd w:val="clear" w:color="auto" w:fill="auto"/>
            <w:noWrap/>
            <w:vAlign w:val="center"/>
          </w:tcPr>
          <w:p>
            <w:pPr>
              <w:pStyle w:val="114"/>
              <w:rPr>
                <w:kern w:val="0"/>
                <w:szCs w:val="21"/>
              </w:rPr>
            </w:pPr>
            <w:r>
              <w:rPr>
                <w:kern w:val="0"/>
                <w:szCs w:val="21"/>
              </w:rPr>
              <w:t>3.0×4.0×3.0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提升泵</w:t>
            </w:r>
          </w:p>
        </w:tc>
        <w:tc>
          <w:tcPr>
            <w:tcW w:w="2211" w:type="dxa"/>
            <w:shd w:val="clear" w:color="auto" w:fill="auto"/>
            <w:noWrap/>
            <w:vAlign w:val="center"/>
          </w:tcPr>
          <w:p>
            <w:pPr>
              <w:pStyle w:val="114"/>
              <w:rPr>
                <w:kern w:val="0"/>
              </w:rPr>
            </w:pPr>
            <w:r>
              <w:rPr>
                <w:rFonts w:hint="eastAsia"/>
                <w:kern w:val="0"/>
              </w:rPr>
              <w:t>50WQ10-5-0.75</w:t>
            </w:r>
          </w:p>
        </w:tc>
        <w:tc>
          <w:tcPr>
            <w:tcW w:w="851" w:type="dxa"/>
            <w:shd w:val="clear" w:color="auto" w:fill="auto"/>
            <w:noWrap/>
            <w:vAlign w:val="center"/>
          </w:tcPr>
          <w:p>
            <w:pPr>
              <w:pStyle w:val="114"/>
              <w:rPr>
                <w:kern w:val="0"/>
              </w:rPr>
            </w:pPr>
            <w:r>
              <w:rPr>
                <w:rFonts w:hint="eastAsia"/>
                <w:kern w:val="0"/>
              </w:rPr>
              <w:t>台</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5</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接触氧化池</w:t>
            </w:r>
          </w:p>
        </w:tc>
        <w:tc>
          <w:tcPr>
            <w:tcW w:w="1900" w:type="dxa"/>
            <w:shd w:val="clear" w:color="auto" w:fill="auto"/>
          </w:tcPr>
          <w:p>
            <w:pPr>
              <w:pStyle w:val="114"/>
              <w:rPr>
                <w:rFonts w:ascii="仿宋_GB2312"/>
                <w:kern w:val="0"/>
                <w:szCs w:val="21"/>
              </w:rPr>
            </w:pPr>
            <w:r>
              <w:rPr>
                <w:rFonts w:hint="eastAsia" w:ascii="仿宋_GB2312"/>
                <w:kern w:val="0"/>
                <w:szCs w:val="21"/>
              </w:rPr>
              <w:t>接触氧化池</w:t>
            </w:r>
          </w:p>
        </w:tc>
        <w:tc>
          <w:tcPr>
            <w:tcW w:w="2211" w:type="dxa"/>
            <w:shd w:val="clear" w:color="auto" w:fill="auto"/>
            <w:noWrap/>
            <w:vAlign w:val="center"/>
          </w:tcPr>
          <w:p>
            <w:pPr>
              <w:pStyle w:val="114"/>
              <w:rPr>
                <w:kern w:val="0"/>
                <w:szCs w:val="21"/>
              </w:rPr>
            </w:pPr>
            <w:r>
              <w:rPr>
                <w:kern w:val="0"/>
                <w:szCs w:val="21"/>
              </w:rPr>
              <w:t>3.0×4.0×3.0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连接管</w:t>
            </w:r>
          </w:p>
        </w:tc>
        <w:tc>
          <w:tcPr>
            <w:tcW w:w="2211" w:type="dxa"/>
            <w:shd w:val="clear" w:color="auto" w:fill="auto"/>
            <w:noWrap/>
            <w:vAlign w:val="center"/>
          </w:tcPr>
          <w:p>
            <w:pPr>
              <w:pStyle w:val="114"/>
              <w:rPr>
                <w:kern w:val="0"/>
              </w:rPr>
            </w:pPr>
            <w:r>
              <w:rPr>
                <w:rFonts w:hint="eastAsia"/>
                <w:kern w:val="0"/>
              </w:rPr>
              <w:t>DN200,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pvc</w:t>
            </w:r>
          </w:p>
        </w:tc>
        <w:tc>
          <w:tcPr>
            <w:tcW w:w="709" w:type="dxa"/>
            <w:shd w:val="clear" w:color="auto" w:fill="auto"/>
            <w:noWrap/>
            <w:vAlign w:val="center"/>
          </w:tcPr>
          <w:p>
            <w:pPr>
              <w:pStyle w:val="114"/>
              <w:rPr>
                <w:kern w:val="0"/>
              </w:rPr>
            </w:pPr>
            <w:r>
              <w:rPr>
                <w:rFonts w:hint="eastAsia"/>
                <w:kern w:val="0"/>
              </w:rPr>
              <w:t>5</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211" w:type="dxa"/>
            <w:shd w:val="clear" w:color="auto" w:fill="auto"/>
            <w:noWrap/>
            <w:vAlign w:val="center"/>
          </w:tcPr>
          <w:p>
            <w:pPr>
              <w:pStyle w:val="114"/>
              <w:rPr>
                <w:kern w:val="0"/>
              </w:rPr>
            </w:pPr>
            <w:r>
              <w:rPr>
                <w:rFonts w:hint="eastAsia"/>
                <w:kern w:val="0"/>
              </w:rPr>
              <w:t>DN200,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弯头</w:t>
            </w:r>
          </w:p>
        </w:tc>
        <w:tc>
          <w:tcPr>
            <w:tcW w:w="2211" w:type="dxa"/>
            <w:shd w:val="clear" w:color="auto" w:fill="auto"/>
            <w:noWrap/>
            <w:vAlign w:val="center"/>
          </w:tcPr>
          <w:p>
            <w:pPr>
              <w:pStyle w:val="114"/>
              <w:rPr>
                <w:kern w:val="0"/>
              </w:rPr>
            </w:pPr>
            <w:r>
              <w:rPr>
                <w:rFonts w:hint="eastAsia"/>
                <w:kern w:val="0"/>
              </w:rPr>
              <w:t>DN200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防水套管（A型）</w:t>
            </w:r>
          </w:p>
        </w:tc>
        <w:tc>
          <w:tcPr>
            <w:tcW w:w="2211" w:type="dxa"/>
            <w:shd w:val="clear" w:color="auto" w:fill="auto"/>
            <w:noWrap/>
            <w:vAlign w:val="center"/>
          </w:tcPr>
          <w:p>
            <w:pPr>
              <w:pStyle w:val="114"/>
              <w:rPr>
                <w:kern w:val="0"/>
              </w:rPr>
            </w:pPr>
            <w:r>
              <w:rPr>
                <w:rFonts w:hint="eastAsia"/>
                <w:kern w:val="0"/>
              </w:rPr>
              <w:t>DN200,L=300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直角三角堰</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水平支座</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塑料</w:t>
            </w:r>
          </w:p>
        </w:tc>
        <w:tc>
          <w:tcPr>
            <w:tcW w:w="709" w:type="dxa"/>
            <w:shd w:val="clear" w:color="auto" w:fill="auto"/>
            <w:noWrap/>
            <w:vAlign w:val="center"/>
          </w:tcPr>
          <w:p>
            <w:pPr>
              <w:pStyle w:val="114"/>
              <w:rPr>
                <w:kern w:val="0"/>
              </w:rPr>
            </w:pPr>
            <w:r>
              <w:rPr>
                <w:rFonts w:hint="eastAsia"/>
                <w:kern w:val="0"/>
              </w:rPr>
              <w:t>24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垂直支架</w:t>
            </w:r>
          </w:p>
        </w:tc>
        <w:tc>
          <w:tcPr>
            <w:tcW w:w="2211" w:type="dxa"/>
            <w:shd w:val="clear" w:color="auto" w:fill="auto"/>
            <w:noWrap/>
            <w:vAlign w:val="center"/>
          </w:tcPr>
          <w:p>
            <w:pPr>
              <w:pStyle w:val="114"/>
              <w:rPr>
                <w:kern w:val="0"/>
              </w:rPr>
            </w:pPr>
            <w:r>
              <w:rPr>
                <w:rFonts w:hint="eastAsia"/>
                <w:kern w:val="0"/>
              </w:rPr>
              <w:t>DN200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垂直支架</w:t>
            </w:r>
          </w:p>
        </w:tc>
        <w:tc>
          <w:tcPr>
            <w:tcW w:w="2211" w:type="dxa"/>
            <w:shd w:val="clear" w:color="auto" w:fill="auto"/>
            <w:noWrap/>
            <w:vAlign w:val="center"/>
          </w:tcPr>
          <w:p>
            <w:pPr>
              <w:pStyle w:val="114"/>
              <w:rPr>
                <w:kern w:val="0"/>
              </w:rPr>
            </w:pPr>
            <w:r>
              <w:rPr>
                <w:rFonts w:hint="eastAsia"/>
                <w:kern w:val="0"/>
              </w:rPr>
              <w:t>DN100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导流堰</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弹性填料</w:t>
            </w:r>
          </w:p>
        </w:tc>
        <w:tc>
          <w:tcPr>
            <w:tcW w:w="2211" w:type="dxa"/>
            <w:shd w:val="clear" w:color="auto" w:fill="auto"/>
            <w:noWrap/>
            <w:vAlign w:val="center"/>
          </w:tcPr>
          <w:p>
            <w:pPr>
              <w:pStyle w:val="114"/>
              <w:rPr>
                <w:kern w:val="0"/>
              </w:rPr>
            </w:pPr>
            <w:r>
              <w:rPr>
                <w:rFonts w:hint="eastAsia"/>
                <w:kern w:val="0"/>
              </w:rPr>
              <w:t>150×100</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vAlign w:val="center"/>
          </w:tcPr>
          <w:p>
            <w:pPr>
              <w:pStyle w:val="114"/>
              <w:rPr>
                <w:kern w:val="0"/>
              </w:rPr>
            </w:pPr>
            <w:r>
              <w:rPr>
                <w:rFonts w:hint="eastAsia"/>
                <w:kern w:val="0"/>
              </w:rPr>
              <w:t>PP</w:t>
            </w:r>
          </w:p>
        </w:tc>
        <w:tc>
          <w:tcPr>
            <w:tcW w:w="709" w:type="dxa"/>
            <w:shd w:val="clear" w:color="auto" w:fill="auto"/>
            <w:noWrap/>
            <w:vAlign w:val="center"/>
          </w:tcPr>
          <w:p>
            <w:pPr>
              <w:pStyle w:val="114"/>
              <w:rPr>
                <w:kern w:val="0"/>
              </w:rPr>
            </w:pPr>
            <w:r>
              <w:rPr>
                <w:rFonts w:hint="eastAsia"/>
                <w:kern w:val="0"/>
              </w:rPr>
              <w:t>24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空气流量计</w:t>
            </w:r>
          </w:p>
        </w:tc>
        <w:tc>
          <w:tcPr>
            <w:tcW w:w="2211" w:type="dxa"/>
            <w:shd w:val="clear" w:color="auto" w:fill="auto"/>
            <w:noWrap/>
            <w:vAlign w:val="center"/>
          </w:tcPr>
          <w:p>
            <w:pPr>
              <w:pStyle w:val="114"/>
              <w:rPr>
                <w:kern w:val="0"/>
              </w:rPr>
            </w:pPr>
            <w:r>
              <w:rPr>
                <w:rFonts w:hint="eastAsia"/>
                <w:kern w:val="0"/>
              </w:rPr>
              <w:t>Q=1~5m[3]/min</w:t>
            </w:r>
          </w:p>
        </w:tc>
        <w:tc>
          <w:tcPr>
            <w:tcW w:w="851" w:type="dxa"/>
            <w:shd w:val="clear" w:color="auto" w:fill="auto"/>
            <w:noWrap/>
            <w:vAlign w:val="center"/>
          </w:tcPr>
          <w:p>
            <w:pPr>
              <w:pStyle w:val="114"/>
              <w:rPr>
                <w:kern w:val="0"/>
              </w:rPr>
            </w:pPr>
            <w:r>
              <w:rPr>
                <w:rFonts w:hint="eastAsia"/>
                <w:kern w:val="0"/>
              </w:rPr>
              <w:t>套</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柔性接头</w:t>
            </w:r>
          </w:p>
        </w:tc>
        <w:tc>
          <w:tcPr>
            <w:tcW w:w="2211" w:type="dxa"/>
            <w:shd w:val="clear" w:color="auto" w:fill="auto"/>
            <w:noWrap/>
            <w:vAlign w:val="center"/>
          </w:tcPr>
          <w:p>
            <w:pPr>
              <w:pStyle w:val="114"/>
              <w:rPr>
                <w:kern w:val="0"/>
              </w:rPr>
            </w:pPr>
            <w:r>
              <w:rPr>
                <w:rFonts w:hint="eastAsia"/>
                <w:kern w:val="0"/>
              </w:rPr>
              <w:t>DN50, 20cm</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消声止回阀</w:t>
            </w:r>
          </w:p>
        </w:tc>
        <w:tc>
          <w:tcPr>
            <w:tcW w:w="2211"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缓施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19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闸阀</w:t>
            </w:r>
          </w:p>
        </w:tc>
        <w:tc>
          <w:tcPr>
            <w:tcW w:w="2211"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钢制</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211" w:type="dxa"/>
            <w:shd w:val="clear" w:color="auto" w:fill="auto"/>
            <w:noWrap/>
            <w:vAlign w:val="center"/>
          </w:tcPr>
          <w:p>
            <w:pPr>
              <w:pStyle w:val="114"/>
              <w:rPr>
                <w:kern w:val="0"/>
              </w:rPr>
            </w:pPr>
            <w:r>
              <w:rPr>
                <w:rFonts w:hint="eastAsia"/>
                <w:kern w:val="0"/>
              </w:rPr>
              <w:t>DN50，δ=3mm</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同心异径管</w:t>
            </w:r>
          </w:p>
        </w:tc>
        <w:tc>
          <w:tcPr>
            <w:tcW w:w="2211" w:type="dxa"/>
            <w:shd w:val="clear" w:color="auto" w:fill="auto"/>
            <w:noWrap/>
            <w:vAlign w:val="center"/>
          </w:tcPr>
          <w:p>
            <w:pPr>
              <w:pStyle w:val="114"/>
              <w:rPr>
                <w:kern w:val="0"/>
              </w:rPr>
            </w:pPr>
            <w:r>
              <w:rPr>
                <w:rFonts w:hint="eastAsia"/>
                <w:kern w:val="0"/>
              </w:rPr>
              <w:t>DN50-30，δ=3mm</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回转风机</w:t>
            </w:r>
          </w:p>
        </w:tc>
        <w:tc>
          <w:tcPr>
            <w:tcW w:w="2211" w:type="dxa"/>
            <w:shd w:val="clear" w:color="auto" w:fill="auto"/>
            <w:noWrap/>
            <w:vAlign w:val="center"/>
          </w:tcPr>
          <w:p>
            <w:pPr>
              <w:pStyle w:val="114"/>
              <w:rPr>
                <w:kern w:val="0"/>
              </w:rPr>
            </w:pPr>
            <w:r>
              <w:rPr>
                <w:rFonts w:hint="eastAsia"/>
                <w:kern w:val="0"/>
              </w:rPr>
              <w:t>Q=0.5m[3]/min；P=0.04MPa</w:t>
            </w:r>
          </w:p>
        </w:tc>
        <w:tc>
          <w:tcPr>
            <w:tcW w:w="851" w:type="dxa"/>
            <w:shd w:val="clear" w:color="auto" w:fill="auto"/>
            <w:noWrap/>
            <w:vAlign w:val="center"/>
          </w:tcPr>
          <w:p>
            <w:pPr>
              <w:pStyle w:val="114"/>
              <w:rPr>
                <w:kern w:val="0"/>
              </w:rPr>
            </w:pPr>
            <w:r>
              <w:rPr>
                <w:rFonts w:hint="eastAsia"/>
                <w:kern w:val="0"/>
              </w:rPr>
              <w:t>台</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盲法兰</w:t>
            </w:r>
          </w:p>
        </w:tc>
        <w:tc>
          <w:tcPr>
            <w:tcW w:w="2211" w:type="dxa"/>
            <w:shd w:val="clear" w:color="auto" w:fill="auto"/>
            <w:noWrap/>
            <w:vAlign w:val="center"/>
          </w:tcPr>
          <w:p>
            <w:pPr>
              <w:pStyle w:val="114"/>
              <w:rPr>
                <w:kern w:val="0"/>
              </w:rPr>
            </w:pPr>
            <w:r>
              <w:rPr>
                <w:rFonts w:hint="eastAsia"/>
                <w:kern w:val="0"/>
              </w:rPr>
              <w:t>DN50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211"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211" w:type="dxa"/>
            <w:shd w:val="clear" w:color="auto" w:fill="auto"/>
            <w:noWrap/>
            <w:vAlign w:val="center"/>
          </w:tcPr>
          <w:p>
            <w:pPr>
              <w:pStyle w:val="114"/>
              <w:rPr>
                <w:kern w:val="0"/>
              </w:rPr>
            </w:pPr>
            <w:r>
              <w:rPr>
                <w:rFonts w:hint="eastAsia"/>
                <w:kern w:val="0"/>
              </w:rPr>
              <w:t>DN30,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30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风管</w:t>
            </w:r>
          </w:p>
        </w:tc>
        <w:tc>
          <w:tcPr>
            <w:tcW w:w="2211"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24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曝气盘</w:t>
            </w:r>
          </w:p>
        </w:tc>
        <w:tc>
          <w:tcPr>
            <w:tcW w:w="2211" w:type="dxa"/>
            <w:shd w:val="clear" w:color="auto" w:fill="auto"/>
            <w:noWrap/>
            <w:vAlign w:val="center"/>
          </w:tcPr>
          <w:p>
            <w:pPr>
              <w:pStyle w:val="114"/>
              <w:rPr>
                <w:kern w:val="0"/>
              </w:rPr>
            </w:pPr>
            <w:r>
              <w:rPr>
                <w:rFonts w:hint="eastAsia"/>
                <w:kern w:val="0"/>
              </w:rPr>
              <w:t>Q=3m3/h   氧转移效率≥25%</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硅胶</w:t>
            </w:r>
          </w:p>
        </w:tc>
        <w:tc>
          <w:tcPr>
            <w:tcW w:w="709" w:type="dxa"/>
            <w:shd w:val="clear" w:color="auto" w:fill="auto"/>
            <w:noWrap/>
            <w:vAlign w:val="center"/>
          </w:tcPr>
          <w:p>
            <w:pPr>
              <w:pStyle w:val="114"/>
              <w:rPr>
                <w:kern w:val="0"/>
              </w:rPr>
            </w:pPr>
            <w:r>
              <w:rPr>
                <w:rFonts w:hint="eastAsia"/>
                <w:kern w:val="0"/>
              </w:rPr>
              <w:t>24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异径三通</w:t>
            </w:r>
          </w:p>
        </w:tc>
        <w:tc>
          <w:tcPr>
            <w:tcW w:w="2211" w:type="dxa"/>
            <w:shd w:val="clear" w:color="auto" w:fill="auto"/>
            <w:noWrap/>
            <w:vAlign w:val="center"/>
          </w:tcPr>
          <w:p>
            <w:pPr>
              <w:pStyle w:val="114"/>
              <w:rPr>
                <w:kern w:val="0"/>
              </w:rPr>
            </w:pPr>
            <w:r>
              <w:rPr>
                <w:rFonts w:hint="eastAsia"/>
                <w:kern w:val="0"/>
              </w:rPr>
              <w:t>DN50×40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29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90弯头</w:t>
            </w:r>
          </w:p>
        </w:tc>
        <w:tc>
          <w:tcPr>
            <w:tcW w:w="2211" w:type="dxa"/>
            <w:shd w:val="clear" w:color="auto" w:fill="auto"/>
            <w:noWrap/>
            <w:vAlign w:val="center"/>
          </w:tcPr>
          <w:p>
            <w:pPr>
              <w:pStyle w:val="114"/>
              <w:rPr>
                <w:kern w:val="0"/>
              </w:rPr>
            </w:pPr>
            <w:r>
              <w:rPr>
                <w:rFonts w:hint="eastAsia"/>
                <w:kern w:val="0"/>
              </w:rPr>
              <w:t>DN50 P=1.0MPa</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4</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防水套管（A型）</w:t>
            </w:r>
          </w:p>
        </w:tc>
        <w:tc>
          <w:tcPr>
            <w:tcW w:w="2211" w:type="dxa"/>
            <w:shd w:val="clear" w:color="auto" w:fill="auto"/>
            <w:noWrap/>
            <w:vAlign w:val="center"/>
          </w:tcPr>
          <w:p>
            <w:pPr>
              <w:pStyle w:val="114"/>
              <w:rPr>
                <w:kern w:val="0"/>
              </w:rPr>
            </w:pPr>
            <w:r>
              <w:rPr>
                <w:rFonts w:hint="eastAsia"/>
                <w:kern w:val="0"/>
              </w:rPr>
              <w:t>DN50,L=300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Q235</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31</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斜管沉淀池</w:t>
            </w:r>
          </w:p>
        </w:tc>
        <w:tc>
          <w:tcPr>
            <w:tcW w:w="1900" w:type="dxa"/>
            <w:shd w:val="clear" w:color="auto" w:fill="auto"/>
          </w:tcPr>
          <w:p>
            <w:pPr>
              <w:pStyle w:val="114"/>
              <w:rPr>
                <w:rFonts w:ascii="仿宋_GB2312"/>
                <w:kern w:val="0"/>
                <w:szCs w:val="21"/>
              </w:rPr>
            </w:pPr>
            <w:r>
              <w:rPr>
                <w:rFonts w:hint="eastAsia" w:ascii="仿宋_GB2312"/>
                <w:kern w:val="0"/>
                <w:szCs w:val="21"/>
              </w:rPr>
              <w:t>斜管沉淀池</w:t>
            </w:r>
          </w:p>
        </w:tc>
        <w:tc>
          <w:tcPr>
            <w:tcW w:w="2211" w:type="dxa"/>
            <w:shd w:val="clear" w:color="auto" w:fill="auto"/>
            <w:noWrap/>
            <w:vAlign w:val="center"/>
          </w:tcPr>
          <w:p>
            <w:pPr>
              <w:pStyle w:val="114"/>
              <w:rPr>
                <w:kern w:val="0"/>
                <w:szCs w:val="21"/>
              </w:rPr>
            </w:pPr>
            <w:r>
              <w:rPr>
                <w:kern w:val="0"/>
                <w:szCs w:val="21"/>
              </w:rPr>
              <w:t>3.0×1.0×3.0</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tcPr>
          <w:p>
            <w:pPr>
              <w:pStyle w:val="114"/>
              <w:rPr>
                <w:rFonts w:ascii="仿宋_GB2312"/>
                <w:kern w:val="0"/>
                <w:szCs w:val="21"/>
              </w:rPr>
            </w:pPr>
            <w:r>
              <w:rPr>
                <w:rFonts w:hint="eastAsia" w:ascii="仿宋_GB2312"/>
                <w:kern w:val="0"/>
                <w:szCs w:val="21"/>
              </w:rPr>
              <w:t>钢混</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斜管填料支架</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套</w:t>
            </w:r>
          </w:p>
        </w:tc>
        <w:tc>
          <w:tcPr>
            <w:tcW w:w="850" w:type="dxa"/>
            <w:shd w:val="clear" w:color="auto" w:fill="auto"/>
            <w:noWrap/>
            <w:vAlign w:val="center"/>
          </w:tcPr>
          <w:p>
            <w:pPr>
              <w:pStyle w:val="114"/>
              <w:rPr>
                <w:kern w:val="0"/>
              </w:rPr>
            </w:pPr>
            <w:r>
              <w:rPr>
                <w:rFonts w:hint="eastAsia"/>
                <w:kern w:val="0"/>
              </w:rPr>
              <w:t>钢</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9" w:type="dxa"/>
            <w:shd w:val="clear" w:color="auto" w:fill="auto"/>
            <w:noWrap/>
            <w:vAlign w:val="center"/>
          </w:tcPr>
          <w:p>
            <w:pPr>
              <w:pStyle w:val="114"/>
              <w:rPr>
                <w:kern w:val="0"/>
              </w:rPr>
            </w:pPr>
            <w:r>
              <w:rPr>
                <w:rFonts w:hint="eastAsia"/>
                <w:kern w:val="0"/>
              </w:rPr>
              <w:t>33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斜管填料</w:t>
            </w:r>
          </w:p>
        </w:tc>
        <w:tc>
          <w:tcPr>
            <w:tcW w:w="2211" w:type="dxa"/>
            <w:shd w:val="clear" w:color="auto" w:fill="auto"/>
            <w:noWrap/>
            <w:vAlign w:val="center"/>
          </w:tcPr>
          <w:p>
            <w:pPr>
              <w:pStyle w:val="114"/>
              <w:rPr>
                <w:rFonts w:ascii="Arial" w:hAnsi="Arial" w:cs="Arial"/>
                <w:kern w:val="0"/>
                <w:sz w:val="20"/>
                <w:szCs w:val="20"/>
              </w:rPr>
            </w:pPr>
            <w:r>
              <w:rPr>
                <w:rFonts w:ascii="Arial" w:hAnsi="Arial" w:cs="Arial"/>
                <w:kern w:val="0"/>
                <w:sz w:val="20"/>
                <w:szCs w:val="20"/>
              </w:rPr>
              <w:t>Φ80</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3</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导流堰</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pe</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35</w:t>
            </w:r>
          </w:p>
        </w:tc>
        <w:tc>
          <w:tcPr>
            <w:tcW w:w="992" w:type="dxa"/>
            <w:vMerge w:val="restart"/>
            <w:shd w:val="clear" w:color="auto" w:fill="auto"/>
            <w:vAlign w:val="center"/>
          </w:tcPr>
          <w:p>
            <w:pPr>
              <w:pStyle w:val="114"/>
              <w:rPr>
                <w:rFonts w:ascii="仿宋_GB2312"/>
                <w:kern w:val="0"/>
                <w:szCs w:val="21"/>
              </w:rPr>
            </w:pPr>
            <w:r>
              <w:rPr>
                <w:rFonts w:hint="eastAsia" w:ascii="仿宋_GB2312"/>
                <w:kern w:val="0"/>
                <w:szCs w:val="21"/>
              </w:rPr>
              <w:t>碎石滤床</w:t>
            </w:r>
          </w:p>
        </w:tc>
        <w:tc>
          <w:tcPr>
            <w:tcW w:w="1900" w:type="dxa"/>
            <w:shd w:val="clear" w:color="auto" w:fill="auto"/>
          </w:tcPr>
          <w:p>
            <w:pPr>
              <w:pStyle w:val="114"/>
              <w:rPr>
                <w:rFonts w:ascii="仿宋_GB2312"/>
                <w:kern w:val="0"/>
                <w:szCs w:val="21"/>
              </w:rPr>
            </w:pPr>
            <w:r>
              <w:rPr>
                <w:rFonts w:hint="eastAsia" w:ascii="仿宋_GB2312"/>
                <w:kern w:val="0"/>
                <w:szCs w:val="21"/>
              </w:rPr>
              <w:t>碎石滤床</w:t>
            </w:r>
          </w:p>
        </w:tc>
        <w:tc>
          <w:tcPr>
            <w:tcW w:w="2211" w:type="dxa"/>
            <w:shd w:val="clear" w:color="auto" w:fill="auto"/>
            <w:noWrap/>
            <w:vAlign w:val="center"/>
          </w:tcPr>
          <w:p>
            <w:pPr>
              <w:pStyle w:val="114"/>
              <w:rPr>
                <w:kern w:val="0"/>
                <w:szCs w:val="21"/>
              </w:rPr>
            </w:pPr>
            <w:r>
              <w:rPr>
                <w:kern w:val="0"/>
                <w:szCs w:val="21"/>
              </w:rPr>
              <w:t>15×8</w:t>
            </w:r>
          </w:p>
        </w:tc>
        <w:tc>
          <w:tcPr>
            <w:tcW w:w="851" w:type="dxa"/>
            <w:shd w:val="clear" w:color="auto" w:fill="auto"/>
            <w:noWrap/>
            <w:vAlign w:val="center"/>
          </w:tcPr>
          <w:p>
            <w:pPr>
              <w:pStyle w:val="114"/>
              <w:rPr>
                <w:kern w:val="0"/>
              </w:rPr>
            </w:pPr>
            <w:r>
              <w:rPr>
                <w:rFonts w:hint="eastAsia"/>
                <w:kern w:val="0"/>
              </w:rPr>
              <w:t>座</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tcPr>
          <w:p>
            <w:pPr>
              <w:pStyle w:val="114"/>
              <w:rPr>
                <w:rFonts w:ascii="仿宋_GB2312"/>
                <w:kern w:val="0"/>
                <w:szCs w:val="21"/>
              </w:rPr>
            </w:pPr>
            <w:r>
              <w:rPr>
                <w:rFonts w:hint="eastAsia" w:ascii="仿宋_GB2312"/>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布水管</w:t>
            </w:r>
          </w:p>
        </w:tc>
        <w:tc>
          <w:tcPr>
            <w:tcW w:w="2211"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240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集水管</w:t>
            </w:r>
          </w:p>
        </w:tc>
        <w:tc>
          <w:tcPr>
            <w:tcW w:w="2211"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240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38</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蝶阀</w:t>
            </w:r>
          </w:p>
        </w:tc>
        <w:tc>
          <w:tcPr>
            <w:tcW w:w="2211" w:type="dxa"/>
            <w:shd w:val="clear" w:color="auto" w:fill="auto"/>
            <w:noWrap/>
            <w:vAlign w:val="center"/>
          </w:tcPr>
          <w:p>
            <w:pPr>
              <w:pStyle w:val="114"/>
              <w:rPr>
                <w:kern w:val="0"/>
              </w:rPr>
            </w:pPr>
            <w:r>
              <w:rPr>
                <w:rFonts w:hint="eastAsia"/>
                <w:kern w:val="0"/>
              </w:rPr>
              <w:t>de110，P=0.8MP</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16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39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90%%d弯头</w:t>
            </w:r>
          </w:p>
        </w:tc>
        <w:tc>
          <w:tcPr>
            <w:tcW w:w="2211"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三通</w:t>
            </w:r>
          </w:p>
        </w:tc>
        <w:tc>
          <w:tcPr>
            <w:tcW w:w="2211"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8</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四通</w:t>
            </w:r>
          </w:p>
        </w:tc>
        <w:tc>
          <w:tcPr>
            <w:tcW w:w="2211" w:type="dxa"/>
            <w:shd w:val="clear" w:color="auto" w:fill="auto"/>
            <w:noWrap/>
            <w:vAlign w:val="center"/>
          </w:tcPr>
          <w:p>
            <w:pPr>
              <w:pStyle w:val="114"/>
              <w:rPr>
                <w:kern w:val="0"/>
              </w:rPr>
            </w:pPr>
            <w:r>
              <w:rPr>
                <w:rFonts w:hint="eastAsia"/>
                <w:kern w:val="0"/>
              </w:rPr>
              <w:t>DN110</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upvc</w:t>
            </w:r>
          </w:p>
        </w:tc>
        <w:tc>
          <w:tcPr>
            <w:tcW w:w="709" w:type="dxa"/>
            <w:shd w:val="clear" w:color="auto" w:fill="auto"/>
            <w:noWrap/>
            <w:vAlign w:val="center"/>
          </w:tcPr>
          <w:p>
            <w:pPr>
              <w:pStyle w:val="114"/>
              <w:rPr>
                <w:kern w:val="0"/>
              </w:rPr>
            </w:pPr>
            <w:r>
              <w:rPr>
                <w:rFonts w:hint="eastAsia"/>
                <w:kern w:val="0"/>
              </w:rPr>
              <w:t>16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42</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防水套管</w:t>
            </w:r>
          </w:p>
        </w:tc>
        <w:tc>
          <w:tcPr>
            <w:tcW w:w="2211" w:type="dxa"/>
            <w:shd w:val="clear" w:color="auto" w:fill="auto"/>
            <w:noWrap/>
            <w:vAlign w:val="center"/>
          </w:tcPr>
          <w:p>
            <w:pPr>
              <w:pStyle w:val="114"/>
              <w:rPr>
                <w:kern w:val="0"/>
              </w:rPr>
            </w:pPr>
            <w:r>
              <w:rPr>
                <w:rFonts w:hint="eastAsia"/>
                <w:kern w:val="0"/>
              </w:rPr>
              <w:t>02S404-P5 A型，L=300mm</w:t>
            </w:r>
          </w:p>
        </w:tc>
        <w:tc>
          <w:tcPr>
            <w:tcW w:w="851" w:type="dxa"/>
            <w:shd w:val="clear" w:color="auto" w:fill="auto"/>
            <w:noWrap/>
            <w:vAlign w:val="center"/>
          </w:tcPr>
          <w:p>
            <w:pPr>
              <w:pStyle w:val="114"/>
              <w:rPr>
                <w:kern w:val="0"/>
              </w:rPr>
            </w:pPr>
            <w:r>
              <w:rPr>
                <w:rFonts w:hint="eastAsia"/>
                <w:kern w:val="0"/>
              </w:rPr>
              <w:t>个</w:t>
            </w:r>
          </w:p>
        </w:tc>
        <w:tc>
          <w:tcPr>
            <w:tcW w:w="850" w:type="dxa"/>
            <w:shd w:val="clear" w:color="auto" w:fill="auto"/>
            <w:noWrap/>
            <w:vAlign w:val="center"/>
          </w:tcPr>
          <w:p>
            <w:pPr>
              <w:pStyle w:val="114"/>
              <w:rPr>
                <w:kern w:val="0"/>
              </w:rPr>
            </w:pPr>
            <w:r>
              <w:rPr>
                <w:rFonts w:hint="eastAsia"/>
                <w:kern w:val="0"/>
              </w:rPr>
              <w:t>柔性</w:t>
            </w:r>
          </w:p>
        </w:tc>
        <w:tc>
          <w:tcPr>
            <w:tcW w:w="709" w:type="dxa"/>
            <w:shd w:val="clear" w:color="auto" w:fill="auto"/>
            <w:noWrap/>
            <w:vAlign w:val="center"/>
          </w:tcPr>
          <w:p>
            <w:pPr>
              <w:pStyle w:val="114"/>
              <w:rPr>
                <w:kern w:val="0"/>
              </w:rPr>
            </w:pPr>
            <w:r>
              <w:rPr>
                <w:rFonts w:hint="eastAsia"/>
                <w:kern w:val="0"/>
              </w:rPr>
              <w:t>16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43</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卵石</w:t>
            </w:r>
          </w:p>
        </w:tc>
        <w:tc>
          <w:tcPr>
            <w:tcW w:w="2211" w:type="dxa"/>
            <w:shd w:val="clear" w:color="auto" w:fill="auto"/>
            <w:noWrap/>
            <w:vAlign w:val="center"/>
          </w:tcPr>
          <w:p>
            <w:pPr>
              <w:pStyle w:val="114"/>
              <w:rPr>
                <w:kern w:val="0"/>
              </w:rPr>
            </w:pPr>
            <w:r>
              <w:rPr>
                <w:rFonts w:hint="eastAsia"/>
                <w:kern w:val="0"/>
              </w:rPr>
              <w:t>粒径</w:t>
            </w:r>
            <w:r>
              <w:rPr>
                <w:kern w:val="0"/>
              </w:rPr>
              <w:t>15-20mm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44</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砾石</w:t>
            </w:r>
          </w:p>
        </w:tc>
        <w:tc>
          <w:tcPr>
            <w:tcW w:w="2211" w:type="dxa"/>
            <w:shd w:val="clear" w:color="auto" w:fill="auto"/>
            <w:noWrap/>
            <w:vAlign w:val="center"/>
          </w:tcPr>
          <w:p>
            <w:pPr>
              <w:pStyle w:val="114"/>
              <w:rPr>
                <w:rFonts w:ascii="仿宋_GB2312"/>
                <w:kern w:val="0"/>
              </w:rPr>
            </w:pPr>
            <w:r>
              <w:rPr>
                <w:rFonts w:hint="eastAsia" w:ascii="仿宋_GB2312"/>
                <w:kern w:val="0"/>
              </w:rPr>
              <w:t>粒径</w:t>
            </w:r>
            <w:r>
              <w:rPr>
                <w:kern w:val="0"/>
              </w:rPr>
              <w:t>20-30mm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45</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火山石</w:t>
            </w:r>
          </w:p>
        </w:tc>
        <w:tc>
          <w:tcPr>
            <w:tcW w:w="2211" w:type="dxa"/>
            <w:shd w:val="clear" w:color="auto" w:fill="auto"/>
            <w:noWrap/>
            <w:vAlign w:val="center"/>
          </w:tcPr>
          <w:p>
            <w:pPr>
              <w:pStyle w:val="114"/>
              <w:rPr>
                <w:kern w:val="0"/>
              </w:rPr>
            </w:pPr>
            <w:r>
              <w:rPr>
                <w:rFonts w:hint="eastAsia"/>
                <w:kern w:val="0"/>
              </w:rPr>
              <w:t>粒径</w:t>
            </w:r>
            <w:r>
              <w:rPr>
                <w:kern w:val="0"/>
              </w:rPr>
              <w:t>50-60mm</w:t>
            </w:r>
          </w:p>
        </w:tc>
        <w:tc>
          <w:tcPr>
            <w:tcW w:w="851" w:type="dxa"/>
            <w:shd w:val="clear" w:color="auto" w:fill="auto"/>
            <w:noWrap/>
            <w:vAlign w:val="center"/>
          </w:tcPr>
          <w:p>
            <w:pPr>
              <w:pStyle w:val="114"/>
              <w:rPr>
                <w:kern w:val="0"/>
              </w:rPr>
            </w:pPr>
            <w:r>
              <w:rPr>
                <w:rFonts w:hint="eastAsia"/>
                <w:kern w:val="0"/>
              </w:rPr>
              <w:t>m3</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36</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9" w:type="dxa"/>
            <w:shd w:val="clear" w:color="auto" w:fill="auto"/>
            <w:noWrap/>
            <w:vAlign w:val="center"/>
          </w:tcPr>
          <w:p>
            <w:pPr>
              <w:pStyle w:val="114"/>
              <w:rPr>
                <w:kern w:val="0"/>
              </w:rPr>
            </w:pPr>
            <w:r>
              <w:rPr>
                <w:rFonts w:hint="eastAsia"/>
                <w:kern w:val="0"/>
              </w:rPr>
              <w:t>46</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再力花</w:t>
            </w:r>
          </w:p>
        </w:tc>
        <w:tc>
          <w:tcPr>
            <w:tcW w:w="2211" w:type="dxa"/>
            <w:shd w:val="clear" w:color="auto" w:fill="auto"/>
            <w:noWrap/>
            <w:vAlign w:val="center"/>
          </w:tcPr>
          <w:p>
            <w:pPr>
              <w:pStyle w:val="114"/>
              <w:rPr>
                <w:kern w:val="0"/>
              </w:rPr>
            </w:pPr>
            <w:r>
              <w:rPr>
                <w:rFonts w:hint="eastAsia"/>
                <w:kern w:val="0"/>
              </w:rPr>
              <w:t>h= 0.5m</w:t>
            </w:r>
          </w:p>
        </w:tc>
        <w:tc>
          <w:tcPr>
            <w:tcW w:w="851" w:type="dxa"/>
            <w:shd w:val="clear" w:color="auto" w:fill="auto"/>
            <w:noWrap/>
            <w:vAlign w:val="center"/>
          </w:tcPr>
          <w:p>
            <w:pPr>
              <w:pStyle w:val="114"/>
              <w:rPr>
                <w:kern w:val="0"/>
              </w:rPr>
            </w:pPr>
            <w:r>
              <w:rPr>
                <w:rFonts w:hint="eastAsia"/>
                <w:kern w:val="0"/>
              </w:rPr>
              <w:t>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480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47</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vAlign w:val="center"/>
          </w:tcPr>
          <w:p>
            <w:pPr>
              <w:pStyle w:val="114"/>
              <w:rPr>
                <w:rFonts w:ascii="仿宋_GB2312"/>
                <w:b/>
                <w:bCs/>
                <w:kern w:val="0"/>
                <w:szCs w:val="21"/>
              </w:rPr>
            </w:pPr>
            <w:r>
              <w:rPr>
                <w:rFonts w:hint="eastAsia" w:ascii="仿宋_GB2312"/>
                <w:b/>
                <w:bCs/>
                <w:kern w:val="0"/>
                <w:szCs w:val="21"/>
              </w:rPr>
              <w:t>旱伞竹</w:t>
            </w:r>
          </w:p>
        </w:tc>
        <w:tc>
          <w:tcPr>
            <w:tcW w:w="2211" w:type="dxa"/>
            <w:shd w:val="clear" w:color="auto" w:fill="auto"/>
            <w:noWrap/>
            <w:vAlign w:val="center"/>
          </w:tcPr>
          <w:p>
            <w:pPr>
              <w:pStyle w:val="114"/>
              <w:rPr>
                <w:kern w:val="0"/>
              </w:rPr>
            </w:pPr>
            <w:r>
              <w:rPr>
                <w:rFonts w:hint="eastAsia"/>
                <w:kern w:val="0"/>
              </w:rPr>
              <w:t>h= 0.5m</w:t>
            </w:r>
          </w:p>
        </w:tc>
        <w:tc>
          <w:tcPr>
            <w:tcW w:w="851" w:type="dxa"/>
            <w:shd w:val="clear" w:color="auto" w:fill="auto"/>
            <w:noWrap/>
            <w:vAlign w:val="center"/>
          </w:tcPr>
          <w:p>
            <w:pPr>
              <w:pStyle w:val="114"/>
              <w:rPr>
                <w:kern w:val="0"/>
              </w:rPr>
            </w:pPr>
            <w:r>
              <w:rPr>
                <w:rFonts w:hint="eastAsia"/>
                <w:kern w:val="0"/>
              </w:rPr>
              <w:t>株</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480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48</w:t>
            </w:r>
          </w:p>
        </w:tc>
        <w:tc>
          <w:tcPr>
            <w:tcW w:w="992" w:type="dxa"/>
            <w:vMerge w:val="restart"/>
            <w:shd w:val="clear" w:color="auto" w:fill="auto"/>
          </w:tcPr>
          <w:p>
            <w:pPr>
              <w:pStyle w:val="114"/>
              <w:rPr>
                <w:rFonts w:ascii="仿宋_GB2312"/>
                <w:kern w:val="0"/>
                <w:szCs w:val="21"/>
              </w:rPr>
            </w:pPr>
            <w:r>
              <w:rPr>
                <w:rFonts w:hint="eastAsia" w:ascii="仿宋_GB2312"/>
                <w:kern w:val="0"/>
                <w:szCs w:val="21"/>
              </w:rPr>
              <w:t>附属设施</w:t>
            </w:r>
          </w:p>
        </w:tc>
        <w:tc>
          <w:tcPr>
            <w:tcW w:w="1900" w:type="dxa"/>
            <w:shd w:val="clear" w:color="auto" w:fill="auto"/>
            <w:noWrap/>
            <w:vAlign w:val="center"/>
          </w:tcPr>
          <w:p>
            <w:pPr>
              <w:pStyle w:val="114"/>
              <w:rPr>
                <w:kern w:val="0"/>
              </w:rPr>
            </w:pPr>
            <w:r>
              <w:rPr>
                <w:rFonts w:hint="eastAsia"/>
                <w:kern w:val="0"/>
              </w:rPr>
              <w:t>涂塑围栏</w:t>
            </w:r>
          </w:p>
        </w:tc>
        <w:tc>
          <w:tcPr>
            <w:tcW w:w="2211" w:type="dxa"/>
            <w:shd w:val="clear" w:color="auto" w:fill="auto"/>
            <w:noWrap/>
            <w:vAlign w:val="center"/>
          </w:tcPr>
          <w:p>
            <w:pPr>
              <w:pStyle w:val="114"/>
              <w:rPr>
                <w:kern w:val="0"/>
              </w:rPr>
            </w:pPr>
            <w:r>
              <w:rPr>
                <w:rFonts w:hint="eastAsia"/>
                <w:kern w:val="0"/>
              </w:rPr>
              <w:t>　</w:t>
            </w:r>
          </w:p>
        </w:tc>
        <w:tc>
          <w:tcPr>
            <w:tcW w:w="851" w:type="dxa"/>
            <w:shd w:val="clear" w:color="auto" w:fill="auto"/>
            <w:noWrap/>
            <w:vAlign w:val="center"/>
          </w:tcPr>
          <w:p>
            <w:pPr>
              <w:pStyle w:val="114"/>
              <w:rPr>
                <w:kern w:val="0"/>
              </w:rPr>
            </w:pPr>
            <w:r>
              <w:rPr>
                <w:rFonts w:hint="eastAsia"/>
                <w:kern w:val="0"/>
              </w:rPr>
              <w:t>m</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120</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49</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工程概况牌</w:t>
            </w:r>
          </w:p>
        </w:tc>
        <w:tc>
          <w:tcPr>
            <w:tcW w:w="2211" w:type="dxa"/>
            <w:shd w:val="clear" w:color="auto" w:fill="auto"/>
            <w:noWrap/>
            <w:vAlign w:val="center"/>
          </w:tcPr>
          <w:p>
            <w:pPr>
              <w:pStyle w:val="114"/>
              <w:rPr>
                <w:kern w:val="0"/>
              </w:rPr>
            </w:pPr>
            <w:r>
              <w:rPr>
                <w:rFonts w:hint="eastAsia"/>
                <w:kern w:val="0"/>
              </w:rPr>
              <w:t>L×B=2.5×1.2m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50</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安全警示牌</w:t>
            </w:r>
          </w:p>
        </w:tc>
        <w:tc>
          <w:tcPr>
            <w:tcW w:w="2211" w:type="dxa"/>
            <w:shd w:val="clear" w:color="auto" w:fill="auto"/>
            <w:noWrap/>
            <w:vAlign w:val="center"/>
          </w:tcPr>
          <w:p>
            <w:pPr>
              <w:pStyle w:val="114"/>
              <w:rPr>
                <w:kern w:val="0"/>
              </w:rPr>
            </w:pPr>
            <w:r>
              <w:rPr>
                <w:rFonts w:hint="eastAsia"/>
                <w:kern w:val="0"/>
              </w:rPr>
              <w:t>L×B=0.6×0.4m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1</w:t>
            </w:r>
          </w:p>
        </w:tc>
        <w:tc>
          <w:tcPr>
            <w:tcW w:w="1080" w:type="dxa"/>
            <w:shd w:val="clear" w:color="auto" w:fill="auto"/>
            <w:noWrap/>
            <w:vAlign w:val="center"/>
          </w:tcPr>
          <w:p>
            <w:pPr>
              <w:pStyle w:val="114"/>
              <w:rPr>
                <w:kern w:val="0"/>
              </w:rPr>
            </w:pPr>
            <w:r>
              <w:rPr>
                <w:rFonts w:hint="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shd w:val="clear" w:color="auto" w:fill="auto"/>
            <w:noWrap/>
            <w:vAlign w:val="center"/>
          </w:tcPr>
          <w:p>
            <w:pPr>
              <w:pStyle w:val="114"/>
              <w:rPr>
                <w:kern w:val="0"/>
              </w:rPr>
            </w:pPr>
            <w:r>
              <w:rPr>
                <w:rFonts w:hint="eastAsia"/>
                <w:kern w:val="0"/>
              </w:rPr>
              <w:t>51</w:t>
            </w:r>
          </w:p>
        </w:tc>
        <w:tc>
          <w:tcPr>
            <w:tcW w:w="992" w:type="dxa"/>
            <w:vMerge w:val="continue"/>
            <w:shd w:val="clear" w:color="auto" w:fill="auto"/>
            <w:vAlign w:val="center"/>
          </w:tcPr>
          <w:p>
            <w:pPr>
              <w:pStyle w:val="114"/>
              <w:rPr>
                <w:rFonts w:ascii="仿宋_GB2312"/>
                <w:kern w:val="0"/>
                <w:szCs w:val="21"/>
              </w:rPr>
            </w:pPr>
          </w:p>
        </w:tc>
        <w:tc>
          <w:tcPr>
            <w:tcW w:w="1900" w:type="dxa"/>
            <w:shd w:val="clear" w:color="auto" w:fill="auto"/>
            <w:noWrap/>
            <w:vAlign w:val="center"/>
          </w:tcPr>
          <w:p>
            <w:pPr>
              <w:pStyle w:val="114"/>
              <w:rPr>
                <w:kern w:val="0"/>
              </w:rPr>
            </w:pPr>
            <w:r>
              <w:rPr>
                <w:rFonts w:hint="eastAsia"/>
                <w:kern w:val="0"/>
              </w:rPr>
              <w:t>构筑物名称牌</w:t>
            </w:r>
          </w:p>
        </w:tc>
        <w:tc>
          <w:tcPr>
            <w:tcW w:w="2211" w:type="dxa"/>
            <w:shd w:val="clear" w:color="auto" w:fill="auto"/>
            <w:noWrap/>
            <w:vAlign w:val="center"/>
          </w:tcPr>
          <w:p>
            <w:pPr>
              <w:pStyle w:val="114"/>
              <w:rPr>
                <w:kern w:val="0"/>
              </w:rPr>
            </w:pPr>
            <w:r>
              <w:rPr>
                <w:rFonts w:hint="eastAsia"/>
                <w:kern w:val="0"/>
              </w:rPr>
              <w:t>L×B=0.5×0.4m</w:t>
            </w:r>
          </w:p>
        </w:tc>
        <w:tc>
          <w:tcPr>
            <w:tcW w:w="851" w:type="dxa"/>
            <w:shd w:val="clear" w:color="auto" w:fill="auto"/>
            <w:noWrap/>
            <w:vAlign w:val="center"/>
          </w:tcPr>
          <w:p>
            <w:pPr>
              <w:pStyle w:val="114"/>
              <w:rPr>
                <w:kern w:val="0"/>
              </w:rPr>
            </w:pPr>
            <w:r>
              <w:rPr>
                <w:rFonts w:hint="eastAsia"/>
                <w:kern w:val="0"/>
              </w:rPr>
              <w:t>块</w:t>
            </w:r>
          </w:p>
        </w:tc>
        <w:tc>
          <w:tcPr>
            <w:tcW w:w="850" w:type="dxa"/>
            <w:shd w:val="clear" w:color="auto" w:fill="auto"/>
            <w:noWrap/>
            <w:vAlign w:val="center"/>
          </w:tcPr>
          <w:p>
            <w:pPr>
              <w:pStyle w:val="114"/>
              <w:rPr>
                <w:kern w:val="0"/>
              </w:rPr>
            </w:pPr>
            <w:r>
              <w:rPr>
                <w:rFonts w:hint="eastAsia"/>
                <w:kern w:val="0"/>
              </w:rPr>
              <w:t>　</w:t>
            </w:r>
          </w:p>
        </w:tc>
        <w:tc>
          <w:tcPr>
            <w:tcW w:w="709" w:type="dxa"/>
            <w:shd w:val="clear" w:color="auto" w:fill="auto"/>
            <w:noWrap/>
            <w:vAlign w:val="center"/>
          </w:tcPr>
          <w:p>
            <w:pPr>
              <w:pStyle w:val="114"/>
              <w:rPr>
                <w:kern w:val="0"/>
              </w:rPr>
            </w:pPr>
            <w:r>
              <w:rPr>
                <w:rFonts w:hint="eastAsia"/>
                <w:kern w:val="0"/>
              </w:rPr>
              <w:t>2</w:t>
            </w:r>
          </w:p>
        </w:tc>
        <w:tc>
          <w:tcPr>
            <w:tcW w:w="1080" w:type="dxa"/>
            <w:shd w:val="clear" w:color="auto" w:fill="auto"/>
            <w:noWrap/>
            <w:vAlign w:val="center"/>
          </w:tcPr>
          <w:p>
            <w:pPr>
              <w:pStyle w:val="114"/>
              <w:rPr>
                <w:kern w:val="0"/>
              </w:rPr>
            </w:pPr>
            <w:r>
              <w:rPr>
                <w:rFonts w:hint="eastAsia"/>
                <w:kern w:val="0"/>
              </w:rPr>
              <w:t>　</w:t>
            </w:r>
          </w:p>
        </w:tc>
      </w:tr>
    </w:tbl>
    <w:p>
      <w:pPr>
        <w:ind w:firstLine="480"/>
        <w:rPr>
          <w:color w:val="auto"/>
          <w:kern w:val="0"/>
        </w:rPr>
      </w:pPr>
    </w:p>
    <w:p>
      <w:pPr>
        <w:widowControl/>
        <w:spacing w:line="240" w:lineRule="auto"/>
        <w:ind w:firstLine="0" w:firstLineChars="0"/>
        <w:jc w:val="left"/>
        <w:rPr>
          <w:color w:val="auto"/>
        </w:rPr>
      </w:pPr>
      <w:r>
        <w:rPr>
          <w:color w:val="auto"/>
        </w:rPr>
        <w:br w:type="page"/>
      </w:r>
    </w:p>
    <w:p>
      <w:pPr>
        <w:pStyle w:val="3"/>
        <w:numPr>
          <w:ilvl w:val="0"/>
          <w:numId w:val="0"/>
        </w:numPr>
        <w:ind w:left="425"/>
        <w:rPr>
          <w:rFonts w:hint="eastAsia"/>
          <w:color w:val="auto"/>
        </w:rPr>
      </w:pPr>
      <w:bookmarkStart w:id="486" w:name="_Toc48640830"/>
      <w:r>
        <w:rPr>
          <w:rFonts w:hint="eastAsia"/>
          <w:color w:val="auto"/>
        </w:rPr>
        <w:t>项目批复</w:t>
      </w:r>
      <w:bookmarkEnd w:id="486"/>
    </w:p>
    <w:p>
      <w:pPr>
        <w:pStyle w:val="366"/>
        <w:rPr>
          <w:rFonts w:hint="eastAsia"/>
        </w:rPr>
      </w:pPr>
      <w:r>
        <w:rPr>
          <w:rFonts w:hint="eastAsia"/>
        </w:rPr>
        <w:drawing>
          <wp:inline distT="0" distB="0" distL="0" distR="0">
            <wp:extent cx="5274310" cy="7608570"/>
            <wp:effectExtent l="19050" t="0" r="2540"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55" cstate="print"/>
                    <a:srcRect/>
                    <a:stretch>
                      <a:fillRect/>
                    </a:stretch>
                  </pic:blipFill>
                  <pic:spPr>
                    <a:xfrm>
                      <a:off x="0" y="0"/>
                      <a:ext cx="5274310" cy="7608996"/>
                    </a:xfrm>
                    <a:prstGeom prst="rect">
                      <a:avLst/>
                    </a:prstGeom>
                    <a:noFill/>
                    <a:ln w="9525">
                      <a:noFill/>
                      <a:miter lim="800000"/>
                      <a:headEnd/>
                      <a:tailEnd/>
                    </a:ln>
                  </pic:spPr>
                </pic:pic>
              </a:graphicData>
            </a:graphic>
          </wp:inline>
        </w:drawing>
      </w:r>
    </w:p>
    <w:p>
      <w:pPr>
        <w:ind w:firstLine="480"/>
      </w:pPr>
    </w:p>
    <w:p>
      <w:pPr>
        <w:pStyle w:val="366"/>
      </w:pPr>
      <w:r>
        <w:drawing>
          <wp:inline distT="0" distB="0" distL="0" distR="0">
            <wp:extent cx="5191125" cy="7629525"/>
            <wp:effectExtent l="19050" t="0" r="9525"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noChangeArrowheads="1"/>
                    </pic:cNvPicPr>
                  </pic:nvPicPr>
                  <pic:blipFill>
                    <a:blip r:embed="rId56" cstate="print"/>
                    <a:srcRect/>
                    <a:stretch>
                      <a:fillRect/>
                    </a:stretch>
                  </pic:blipFill>
                  <pic:spPr>
                    <a:xfrm>
                      <a:off x="0" y="0"/>
                      <a:ext cx="5191125" cy="7629525"/>
                    </a:xfrm>
                    <a:prstGeom prst="rect">
                      <a:avLst/>
                    </a:prstGeom>
                    <a:noFill/>
                    <a:ln w="9525">
                      <a:noFill/>
                      <a:miter lim="800000"/>
                      <a:headEnd/>
                      <a:tailEnd/>
                    </a:ln>
                  </pic:spPr>
                </pic:pic>
              </a:graphicData>
            </a:graphic>
          </wp:inline>
        </w:drawing>
      </w:r>
    </w:p>
    <w:p>
      <w:pPr>
        <w:pStyle w:val="366"/>
      </w:pPr>
      <w:r>
        <w:drawing>
          <wp:inline distT="0" distB="0" distL="0" distR="0">
            <wp:extent cx="5133975" cy="764857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7" cstate="print"/>
                    <a:srcRect/>
                    <a:stretch>
                      <a:fillRect/>
                    </a:stretch>
                  </pic:blipFill>
                  <pic:spPr>
                    <a:xfrm>
                      <a:off x="0" y="0"/>
                      <a:ext cx="5133975" cy="7648575"/>
                    </a:xfrm>
                    <a:prstGeom prst="rect">
                      <a:avLst/>
                    </a:prstGeom>
                    <a:noFill/>
                    <a:ln w="9525">
                      <a:noFill/>
                      <a:miter lim="800000"/>
                      <a:headEnd/>
                      <a:tailEnd/>
                    </a:ln>
                  </pic:spPr>
                </pic:pic>
              </a:graphicData>
            </a:graphic>
          </wp:inline>
        </w:drawing>
      </w:r>
    </w:p>
    <w:sectPr>
      <w:pgSz w:w="11906" w:h="16838"/>
      <w:pgMar w:top="1245" w:right="1800" w:bottom="1440" w:left="1800" w:header="851" w:footer="48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五">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50628"/>
      <w:docPartObj>
        <w:docPartGallery w:val="autotext"/>
      </w:docPartObj>
    </w:sdtPr>
    <w:sdtContent>
      <w:p>
        <w:pPr>
          <w:pStyle w:val="55"/>
          <w:ind w:firstLine="360"/>
          <w:jc w:val="center"/>
        </w:pPr>
        <w:r>
          <w:fldChar w:fldCharType="begin"/>
        </w:r>
        <w:r>
          <w:instrText xml:space="preserve"> PAGE   \* MERGEFORMAT </w:instrText>
        </w:r>
        <w:r>
          <w:fldChar w:fldCharType="separate"/>
        </w:r>
        <w:r>
          <w:rPr>
            <w:lang w:val="zh-CN"/>
          </w:rPr>
          <w:t>V</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ind w:firstLine="360"/>
      <w:rPr>
        <w:szCs w:val="5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仿宋_GB2312"/>
        <w:color w:val="auto"/>
        <w:sz w:val="21"/>
        <w:szCs w:val="21"/>
      </w:rPr>
    </w:pPr>
    <w:r>
      <w:rPr>
        <w:rFonts w:hint="eastAsia" w:ascii="仿宋_GB2312"/>
        <w:color w:val="auto"/>
        <w:sz w:val="21"/>
        <w:szCs w:val="21"/>
      </w:rPr>
      <w:t>德宏州芒市大河流域户拉断面水质提升项目可行性研究报告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仿宋_GB2312"/>
        <w:color w:val="auto"/>
        <w:sz w:val="21"/>
        <w:szCs w:val="21"/>
      </w:rPr>
    </w:pPr>
    <w:r>
      <w:rPr>
        <w:rFonts w:hint="eastAsia" w:ascii="仿宋_GB2312"/>
        <w:color w:val="auto"/>
        <w:sz w:val="21"/>
        <w:szCs w:val="21"/>
      </w:rPr>
      <w:t>德宏州芒市大河流域户拉断面水质提升项目可行性研究报告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12667754"/>
    <w:multiLevelType w:val="multilevel"/>
    <w:tmpl w:val="12667754"/>
    <w:lvl w:ilvl="0" w:tentative="0">
      <w:start w:val="1"/>
      <w:numFmt w:val="chineseCountingThousand"/>
      <w:pStyle w:val="3"/>
      <w:lvlText w:val="第%1章"/>
      <w:lvlJc w:val="left"/>
      <w:pPr>
        <w:ind w:left="425" w:hanging="425"/>
      </w:pPr>
      <w:rPr>
        <w:rFonts w:hint="eastAsia"/>
      </w:rPr>
    </w:lvl>
    <w:lvl w:ilvl="1" w:tentative="0">
      <w:start w:val="1"/>
      <w:numFmt w:val="decimal"/>
      <w:pStyle w:val="4"/>
      <w:isLgl/>
      <w:lvlText w:val="%1.%2"/>
      <w:lvlJc w:val="left"/>
      <w:pPr>
        <w:ind w:left="992" w:hanging="567"/>
      </w:pPr>
      <w:rPr>
        <w:rFonts w:hint="eastAsia"/>
      </w:rPr>
    </w:lvl>
    <w:lvl w:ilvl="2" w:tentative="0">
      <w:start w:val="1"/>
      <w:numFmt w:val="decimal"/>
      <w:pStyle w:val="5"/>
      <w:isLgl/>
      <w:lvlText w:val="%1.%2.%3"/>
      <w:lvlJc w:val="left"/>
      <w:pPr>
        <w:ind w:left="709" w:hanging="567"/>
      </w:pPr>
      <w:rPr>
        <w:rFonts w:hint="eastAsia"/>
      </w:rPr>
    </w:lvl>
    <w:lvl w:ilvl="3" w:tentative="0">
      <w:start w:val="1"/>
      <w:numFmt w:val="decimal"/>
      <w:pStyle w:val="116"/>
      <w:isLg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17747741"/>
    <w:multiLevelType w:val="multilevel"/>
    <w:tmpl w:val="17747741"/>
    <w:lvl w:ilvl="0" w:tentative="0">
      <w:start w:val="1"/>
      <w:numFmt w:val="decimal"/>
      <w:lvlText w:val="%1"/>
      <w:lvlJc w:val="left"/>
      <w:pPr>
        <w:ind w:left="432" w:hanging="432"/>
      </w:pPr>
      <w:rPr>
        <w:rFonts w:hint="eastAsia"/>
      </w:rPr>
    </w:lvl>
    <w:lvl w:ilvl="1" w:tentative="0">
      <w:start w:val="1"/>
      <w:numFmt w:val="decimal"/>
      <w:lvlText w:val="%1.%2"/>
      <w:lvlJc w:val="left"/>
      <w:pPr>
        <w:ind w:left="4121" w:hanging="576"/>
      </w:pPr>
    </w:lvl>
    <w:lvl w:ilvl="2" w:tentative="0">
      <w:start w:val="1"/>
      <w:numFmt w:val="decimal"/>
      <w:lvlText w:val="%1.%2.%3"/>
      <w:lvlJc w:val="left"/>
      <w:pPr>
        <w:ind w:left="720" w:hanging="720"/>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3" w:tentative="0">
      <w:start w:val="1"/>
      <w:numFmt w:val="decimal"/>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12">
    <w:nsid w:val="38FA0D3C"/>
    <w:multiLevelType w:val="multilevel"/>
    <w:tmpl w:val="38FA0D3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9F7758E"/>
    <w:multiLevelType w:val="multilevel"/>
    <w:tmpl w:val="39F7758E"/>
    <w:lvl w:ilvl="0" w:tentative="0">
      <w:start w:val="1"/>
      <w:numFmt w:val="decimal"/>
      <w:lvlText w:val="（%1）"/>
      <w:lvlJc w:val="left"/>
      <w:pPr>
        <w:ind w:left="562"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3D4079BA"/>
    <w:multiLevelType w:val="multilevel"/>
    <w:tmpl w:val="3D4079BA"/>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5">
    <w:nsid w:val="424D5867"/>
    <w:multiLevelType w:val="multilevel"/>
    <w:tmpl w:val="424D5867"/>
    <w:lvl w:ilvl="0" w:tentative="0">
      <w:start w:val="1"/>
      <w:numFmt w:val="decimal"/>
      <w:lvlText w:val="（%1）"/>
      <w:lvlJc w:val="left"/>
      <w:pPr>
        <w:ind w:left="1519" w:hanging="600"/>
      </w:pPr>
      <w:rPr>
        <w:rFonts w:hint="default"/>
      </w:rPr>
    </w:lvl>
    <w:lvl w:ilvl="1" w:tentative="0">
      <w:start w:val="1"/>
      <w:numFmt w:val="decimalEnclosedCircle"/>
      <w:lvlText w:val="%2"/>
      <w:lvlJc w:val="left"/>
      <w:pPr>
        <w:ind w:left="1320" w:hanging="420"/>
      </w:pPr>
      <w:rPr>
        <w:rFonts w:ascii="Times New Roman" w:hAnsi="Times New Roman" w:eastAsia="仿宋_GB2312" w:cs="Times New Roman"/>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45C9053C"/>
    <w:multiLevelType w:val="multilevel"/>
    <w:tmpl w:val="45C9053C"/>
    <w:lvl w:ilvl="0" w:tentative="0">
      <w:start w:val="1"/>
      <w:numFmt w:val="bullet"/>
      <w:lvlText w:val="◆"/>
      <w:lvlJc w:val="left"/>
      <w:pPr>
        <w:ind w:left="900" w:hanging="420"/>
      </w:pPr>
      <w:rPr>
        <w:rFonts w:hint="eastAsia" w:ascii="宋体" w:hAnsi="宋体" w:eastAsia="宋体"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4F4F56D4"/>
    <w:multiLevelType w:val="multilevel"/>
    <w:tmpl w:val="4F4F56D4"/>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F8721DF"/>
    <w:multiLevelType w:val="multilevel"/>
    <w:tmpl w:val="4F8721D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5B9B019C"/>
    <w:multiLevelType w:val="multilevel"/>
    <w:tmpl w:val="5B9B019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BF17BDA"/>
    <w:multiLevelType w:val="multilevel"/>
    <w:tmpl w:val="5BF17BDA"/>
    <w:lvl w:ilvl="0" w:tentative="0">
      <w:start w:val="1"/>
      <w:numFmt w:val="decimalEnclosedCircle"/>
      <w:lvlText w:val="%1"/>
      <w:lvlJc w:val="left"/>
      <w:pPr>
        <w:ind w:left="420" w:hanging="420"/>
      </w:pPr>
      <w:rPr>
        <w:rFonts w:ascii="Times New Roman" w:hAnsi="Times New Roman" w:eastAsia="仿宋_GB2312" w:cs="Times New Roman"/>
      </w:rPr>
    </w:lvl>
    <w:lvl w:ilvl="1" w:tentative="0">
      <w:start w:val="1"/>
      <w:numFmt w:val="lowerLetter"/>
      <w:lvlText w:val="%2)"/>
      <w:lvlJc w:val="left"/>
      <w:pPr>
        <w:ind w:left="840" w:hanging="420"/>
      </w:pPr>
    </w:lvl>
    <w:lvl w:ilvl="2" w:tentative="0">
      <w:start w:val="1"/>
      <w:numFmt w:val="decimalEnclosedCircle"/>
      <w:lvlText w:val="%3"/>
      <w:lvlJc w:val="left"/>
      <w:pPr>
        <w:ind w:left="1260" w:hanging="420"/>
      </w:pPr>
      <w:rPr>
        <w:rFonts w:ascii="Times New Roman" w:hAnsi="Times New Roman" w:eastAsia="仿宋_GB2312"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21A3F32"/>
    <w:multiLevelType w:val="multilevel"/>
    <w:tmpl w:val="621A3F32"/>
    <w:lvl w:ilvl="0" w:tentative="0">
      <w:start w:val="1"/>
      <w:numFmt w:val="decimal"/>
      <w:lvlText w:val="（%1）"/>
      <w:lvlJc w:val="left"/>
      <w:pPr>
        <w:ind w:left="900"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17C00BF"/>
    <w:multiLevelType w:val="multilevel"/>
    <w:tmpl w:val="717C00BF"/>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76EC1EB2"/>
    <w:multiLevelType w:val="multilevel"/>
    <w:tmpl w:val="76EC1EB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78F647EA"/>
    <w:multiLevelType w:val="multilevel"/>
    <w:tmpl w:val="78F647E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7CF34011"/>
    <w:multiLevelType w:val="multilevel"/>
    <w:tmpl w:val="7CF34011"/>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11"/>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12"/>
  </w:num>
  <w:num w:numId="14">
    <w:abstractNumId w:val="13"/>
  </w:num>
  <w:num w:numId="15">
    <w:abstractNumId w:val="21"/>
  </w:num>
  <w:num w:numId="16">
    <w:abstractNumId w:val="21"/>
    <w:lvlOverride w:ilvl="0">
      <w:lvl w:ilvl="0" w:tentative="1">
        <w:start w:val="1"/>
        <w:numFmt w:val="decimal"/>
        <w:lvlText w:val="（%1）"/>
        <w:lvlJc w:val="left"/>
        <w:pPr>
          <w:ind w:left="788" w:hanging="308"/>
        </w:pPr>
        <w:rPr>
          <w:rFonts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17">
    <w:abstractNumId w:val="19"/>
  </w:num>
  <w:num w:numId="18">
    <w:abstractNumId w:val="24"/>
  </w:num>
  <w:num w:numId="19">
    <w:abstractNumId w:val="22"/>
  </w:num>
  <w:num w:numId="20">
    <w:abstractNumId w:val="25"/>
  </w:num>
  <w:num w:numId="21">
    <w:abstractNumId w:val="14"/>
  </w:num>
  <w:num w:numId="22">
    <w:abstractNumId w:val="17"/>
  </w:num>
  <w:num w:numId="23">
    <w:abstractNumId w:val="15"/>
  </w:num>
  <w:num w:numId="24">
    <w:abstractNumId w:val="20"/>
  </w:num>
  <w:num w:numId="25">
    <w:abstractNumId w:val="16"/>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EwZjVmOTM5Y2QwM2JhNzIzNDNkYjE1ZDQ3ZGM4ZmEifQ=="/>
  </w:docVars>
  <w:rsids>
    <w:rsidRoot w:val="00A97D34"/>
    <w:rsid w:val="000066A1"/>
    <w:rsid w:val="00007527"/>
    <w:rsid w:val="00012712"/>
    <w:rsid w:val="0001411B"/>
    <w:rsid w:val="00015119"/>
    <w:rsid w:val="00016993"/>
    <w:rsid w:val="00017355"/>
    <w:rsid w:val="0002182E"/>
    <w:rsid w:val="0002522D"/>
    <w:rsid w:val="00026CA3"/>
    <w:rsid w:val="0002713E"/>
    <w:rsid w:val="00027517"/>
    <w:rsid w:val="00035949"/>
    <w:rsid w:val="00054908"/>
    <w:rsid w:val="00064159"/>
    <w:rsid w:val="000710D1"/>
    <w:rsid w:val="00071761"/>
    <w:rsid w:val="00073793"/>
    <w:rsid w:val="000754CE"/>
    <w:rsid w:val="00080174"/>
    <w:rsid w:val="000816DB"/>
    <w:rsid w:val="00086EBB"/>
    <w:rsid w:val="00091372"/>
    <w:rsid w:val="00094364"/>
    <w:rsid w:val="0009598A"/>
    <w:rsid w:val="000A0F68"/>
    <w:rsid w:val="000A7F9E"/>
    <w:rsid w:val="000B067B"/>
    <w:rsid w:val="000C1740"/>
    <w:rsid w:val="000C17D1"/>
    <w:rsid w:val="000C1C39"/>
    <w:rsid w:val="000C2270"/>
    <w:rsid w:val="000C4ED5"/>
    <w:rsid w:val="000C7D61"/>
    <w:rsid w:val="000D5741"/>
    <w:rsid w:val="000F4B77"/>
    <w:rsid w:val="000F6C0C"/>
    <w:rsid w:val="00112CD5"/>
    <w:rsid w:val="0012531E"/>
    <w:rsid w:val="00133394"/>
    <w:rsid w:val="00141FF6"/>
    <w:rsid w:val="0015012C"/>
    <w:rsid w:val="0015285F"/>
    <w:rsid w:val="001562BA"/>
    <w:rsid w:val="0016102B"/>
    <w:rsid w:val="00163D01"/>
    <w:rsid w:val="00167B1A"/>
    <w:rsid w:val="0017582E"/>
    <w:rsid w:val="001760D3"/>
    <w:rsid w:val="00183EA9"/>
    <w:rsid w:val="001865D7"/>
    <w:rsid w:val="00186B4E"/>
    <w:rsid w:val="00187DFC"/>
    <w:rsid w:val="00190A25"/>
    <w:rsid w:val="00191624"/>
    <w:rsid w:val="001A3041"/>
    <w:rsid w:val="001A32C4"/>
    <w:rsid w:val="001A47FA"/>
    <w:rsid w:val="001A4F91"/>
    <w:rsid w:val="001A7A72"/>
    <w:rsid w:val="001B21F5"/>
    <w:rsid w:val="001C5498"/>
    <w:rsid w:val="001D1209"/>
    <w:rsid w:val="001D758F"/>
    <w:rsid w:val="001E28AB"/>
    <w:rsid w:val="001E50D2"/>
    <w:rsid w:val="001E5544"/>
    <w:rsid w:val="001E592D"/>
    <w:rsid w:val="001E7954"/>
    <w:rsid w:val="00204F69"/>
    <w:rsid w:val="00206B4A"/>
    <w:rsid w:val="002079A4"/>
    <w:rsid w:val="00210025"/>
    <w:rsid w:val="002214F4"/>
    <w:rsid w:val="00221B66"/>
    <w:rsid w:val="00224FD9"/>
    <w:rsid w:val="00231B39"/>
    <w:rsid w:val="00235A7D"/>
    <w:rsid w:val="00237EE9"/>
    <w:rsid w:val="002429D0"/>
    <w:rsid w:val="00251856"/>
    <w:rsid w:val="0026129A"/>
    <w:rsid w:val="00267AA5"/>
    <w:rsid w:val="002739F2"/>
    <w:rsid w:val="002B34F2"/>
    <w:rsid w:val="002B4B43"/>
    <w:rsid w:val="002B5260"/>
    <w:rsid w:val="002B6CD4"/>
    <w:rsid w:val="002C429C"/>
    <w:rsid w:val="002D4213"/>
    <w:rsid w:val="002D430D"/>
    <w:rsid w:val="002E1F04"/>
    <w:rsid w:val="002E7C75"/>
    <w:rsid w:val="002F230D"/>
    <w:rsid w:val="002F2E8B"/>
    <w:rsid w:val="002F3EFD"/>
    <w:rsid w:val="0030054A"/>
    <w:rsid w:val="00301BF2"/>
    <w:rsid w:val="00301EEB"/>
    <w:rsid w:val="0030712B"/>
    <w:rsid w:val="00312AD7"/>
    <w:rsid w:val="00312CC3"/>
    <w:rsid w:val="00316FFB"/>
    <w:rsid w:val="00321A33"/>
    <w:rsid w:val="00331AE0"/>
    <w:rsid w:val="00333164"/>
    <w:rsid w:val="00333F27"/>
    <w:rsid w:val="00336073"/>
    <w:rsid w:val="00352124"/>
    <w:rsid w:val="003556A7"/>
    <w:rsid w:val="00375A60"/>
    <w:rsid w:val="00375DD8"/>
    <w:rsid w:val="003802B7"/>
    <w:rsid w:val="00391208"/>
    <w:rsid w:val="00391A3A"/>
    <w:rsid w:val="00391EA2"/>
    <w:rsid w:val="00391F43"/>
    <w:rsid w:val="003A2C1B"/>
    <w:rsid w:val="003A3F91"/>
    <w:rsid w:val="003A44EB"/>
    <w:rsid w:val="003A51E1"/>
    <w:rsid w:val="003B04A6"/>
    <w:rsid w:val="003B1B78"/>
    <w:rsid w:val="003B6EB6"/>
    <w:rsid w:val="003C38DA"/>
    <w:rsid w:val="003D24E8"/>
    <w:rsid w:val="003D25C2"/>
    <w:rsid w:val="003D3F7C"/>
    <w:rsid w:val="003D492D"/>
    <w:rsid w:val="003E1BBD"/>
    <w:rsid w:val="003E2F4B"/>
    <w:rsid w:val="003E626D"/>
    <w:rsid w:val="00411A21"/>
    <w:rsid w:val="004170FF"/>
    <w:rsid w:val="0042242F"/>
    <w:rsid w:val="00427982"/>
    <w:rsid w:val="00432B59"/>
    <w:rsid w:val="004408B5"/>
    <w:rsid w:val="00443419"/>
    <w:rsid w:val="00445415"/>
    <w:rsid w:val="00450747"/>
    <w:rsid w:val="004513F6"/>
    <w:rsid w:val="004520C4"/>
    <w:rsid w:val="00453209"/>
    <w:rsid w:val="00455D84"/>
    <w:rsid w:val="00464D19"/>
    <w:rsid w:val="0048217F"/>
    <w:rsid w:val="004829F6"/>
    <w:rsid w:val="0049125D"/>
    <w:rsid w:val="004979F9"/>
    <w:rsid w:val="004A268E"/>
    <w:rsid w:val="004A2752"/>
    <w:rsid w:val="004A407A"/>
    <w:rsid w:val="004A60AA"/>
    <w:rsid w:val="004A639A"/>
    <w:rsid w:val="004B07AE"/>
    <w:rsid w:val="004B3593"/>
    <w:rsid w:val="004B469F"/>
    <w:rsid w:val="004B57F1"/>
    <w:rsid w:val="004C14F2"/>
    <w:rsid w:val="004C185F"/>
    <w:rsid w:val="004C244B"/>
    <w:rsid w:val="004D036B"/>
    <w:rsid w:val="004D26A6"/>
    <w:rsid w:val="004D6A7C"/>
    <w:rsid w:val="004D7CA0"/>
    <w:rsid w:val="004E27CC"/>
    <w:rsid w:val="004E285A"/>
    <w:rsid w:val="004E33AE"/>
    <w:rsid w:val="004E3784"/>
    <w:rsid w:val="004E383A"/>
    <w:rsid w:val="004E39CA"/>
    <w:rsid w:val="004F0BD1"/>
    <w:rsid w:val="004F7520"/>
    <w:rsid w:val="0050246E"/>
    <w:rsid w:val="00502871"/>
    <w:rsid w:val="00504E62"/>
    <w:rsid w:val="00507122"/>
    <w:rsid w:val="005104F2"/>
    <w:rsid w:val="00522117"/>
    <w:rsid w:val="00522A28"/>
    <w:rsid w:val="00532FF5"/>
    <w:rsid w:val="00543C6D"/>
    <w:rsid w:val="005462F0"/>
    <w:rsid w:val="00552EB9"/>
    <w:rsid w:val="00573465"/>
    <w:rsid w:val="00583EE9"/>
    <w:rsid w:val="00591D96"/>
    <w:rsid w:val="00592378"/>
    <w:rsid w:val="00592BD1"/>
    <w:rsid w:val="005942B0"/>
    <w:rsid w:val="005952E5"/>
    <w:rsid w:val="005A2F71"/>
    <w:rsid w:val="005A7D0C"/>
    <w:rsid w:val="005B263A"/>
    <w:rsid w:val="005B6C67"/>
    <w:rsid w:val="005C02BC"/>
    <w:rsid w:val="005C1779"/>
    <w:rsid w:val="005C2041"/>
    <w:rsid w:val="005C3793"/>
    <w:rsid w:val="005C3A2C"/>
    <w:rsid w:val="005C4744"/>
    <w:rsid w:val="005C62CB"/>
    <w:rsid w:val="005D05EF"/>
    <w:rsid w:val="005D1ECC"/>
    <w:rsid w:val="005E334F"/>
    <w:rsid w:val="005E4C1A"/>
    <w:rsid w:val="005E57EE"/>
    <w:rsid w:val="005E5A19"/>
    <w:rsid w:val="005E6B87"/>
    <w:rsid w:val="005F1906"/>
    <w:rsid w:val="005F5380"/>
    <w:rsid w:val="00602176"/>
    <w:rsid w:val="00612153"/>
    <w:rsid w:val="0061355C"/>
    <w:rsid w:val="006145D9"/>
    <w:rsid w:val="00623E41"/>
    <w:rsid w:val="00625BA1"/>
    <w:rsid w:val="0064054A"/>
    <w:rsid w:val="00640F74"/>
    <w:rsid w:val="00642E4B"/>
    <w:rsid w:val="00644398"/>
    <w:rsid w:val="006473DC"/>
    <w:rsid w:val="00654587"/>
    <w:rsid w:val="00655BBC"/>
    <w:rsid w:val="00656164"/>
    <w:rsid w:val="00662D5D"/>
    <w:rsid w:val="00663005"/>
    <w:rsid w:val="00665EC7"/>
    <w:rsid w:val="00676D42"/>
    <w:rsid w:val="00681E8E"/>
    <w:rsid w:val="00684D7F"/>
    <w:rsid w:val="006876C1"/>
    <w:rsid w:val="006937C1"/>
    <w:rsid w:val="00694FFA"/>
    <w:rsid w:val="006964FE"/>
    <w:rsid w:val="006A06B2"/>
    <w:rsid w:val="006A171D"/>
    <w:rsid w:val="006A18A4"/>
    <w:rsid w:val="006A3BB1"/>
    <w:rsid w:val="006A5CC1"/>
    <w:rsid w:val="006A77C1"/>
    <w:rsid w:val="006C249E"/>
    <w:rsid w:val="006C2A5B"/>
    <w:rsid w:val="006C6901"/>
    <w:rsid w:val="006C6DE5"/>
    <w:rsid w:val="006C7FFC"/>
    <w:rsid w:val="006D2001"/>
    <w:rsid w:val="006D70D4"/>
    <w:rsid w:val="006E4D34"/>
    <w:rsid w:val="006E52FF"/>
    <w:rsid w:val="006E619E"/>
    <w:rsid w:val="006E7255"/>
    <w:rsid w:val="006E763E"/>
    <w:rsid w:val="006F482A"/>
    <w:rsid w:val="007015C6"/>
    <w:rsid w:val="00701E6E"/>
    <w:rsid w:val="00712236"/>
    <w:rsid w:val="00715788"/>
    <w:rsid w:val="0072116B"/>
    <w:rsid w:val="00721FA2"/>
    <w:rsid w:val="00725E87"/>
    <w:rsid w:val="00726EAE"/>
    <w:rsid w:val="007327A1"/>
    <w:rsid w:val="0073645F"/>
    <w:rsid w:val="00740FA0"/>
    <w:rsid w:val="007459F0"/>
    <w:rsid w:val="007628F6"/>
    <w:rsid w:val="00772942"/>
    <w:rsid w:val="00782E03"/>
    <w:rsid w:val="00783053"/>
    <w:rsid w:val="0078344A"/>
    <w:rsid w:val="0078397D"/>
    <w:rsid w:val="00785FCC"/>
    <w:rsid w:val="00787D7A"/>
    <w:rsid w:val="00793FCA"/>
    <w:rsid w:val="00795BA7"/>
    <w:rsid w:val="007A4482"/>
    <w:rsid w:val="007A4ABE"/>
    <w:rsid w:val="007B102E"/>
    <w:rsid w:val="007B1895"/>
    <w:rsid w:val="007C1691"/>
    <w:rsid w:val="007D09AA"/>
    <w:rsid w:val="007D62A0"/>
    <w:rsid w:val="007E4C70"/>
    <w:rsid w:val="007E5BAA"/>
    <w:rsid w:val="007E6E29"/>
    <w:rsid w:val="007F1B38"/>
    <w:rsid w:val="007F1E5D"/>
    <w:rsid w:val="007F59F4"/>
    <w:rsid w:val="00807B90"/>
    <w:rsid w:val="00807CBA"/>
    <w:rsid w:val="008114A9"/>
    <w:rsid w:val="008125D9"/>
    <w:rsid w:val="00813779"/>
    <w:rsid w:val="008200AE"/>
    <w:rsid w:val="0082101A"/>
    <w:rsid w:val="00823CF0"/>
    <w:rsid w:val="008300CA"/>
    <w:rsid w:val="008365CB"/>
    <w:rsid w:val="00844F66"/>
    <w:rsid w:val="00846E96"/>
    <w:rsid w:val="00851CCA"/>
    <w:rsid w:val="0085300E"/>
    <w:rsid w:val="0085448B"/>
    <w:rsid w:val="008625ED"/>
    <w:rsid w:val="008761BF"/>
    <w:rsid w:val="008762A3"/>
    <w:rsid w:val="008805D7"/>
    <w:rsid w:val="00893124"/>
    <w:rsid w:val="00893255"/>
    <w:rsid w:val="008A2E44"/>
    <w:rsid w:val="008A5FED"/>
    <w:rsid w:val="008A60D4"/>
    <w:rsid w:val="008A644F"/>
    <w:rsid w:val="008B09D7"/>
    <w:rsid w:val="008B2305"/>
    <w:rsid w:val="008B543E"/>
    <w:rsid w:val="008C06A1"/>
    <w:rsid w:val="008C1565"/>
    <w:rsid w:val="008C5FEF"/>
    <w:rsid w:val="008C6D52"/>
    <w:rsid w:val="008D00F7"/>
    <w:rsid w:val="008E15D9"/>
    <w:rsid w:val="008E2090"/>
    <w:rsid w:val="008F04B2"/>
    <w:rsid w:val="008F1D13"/>
    <w:rsid w:val="008F1DDE"/>
    <w:rsid w:val="008F3720"/>
    <w:rsid w:val="008F4841"/>
    <w:rsid w:val="00910BCE"/>
    <w:rsid w:val="009112B1"/>
    <w:rsid w:val="009144A1"/>
    <w:rsid w:val="00927DAC"/>
    <w:rsid w:val="0093000C"/>
    <w:rsid w:val="00931BC1"/>
    <w:rsid w:val="00932ECD"/>
    <w:rsid w:val="00934308"/>
    <w:rsid w:val="00940FC6"/>
    <w:rsid w:val="00950E5A"/>
    <w:rsid w:val="00952A8F"/>
    <w:rsid w:val="00953968"/>
    <w:rsid w:val="00953FD6"/>
    <w:rsid w:val="00955CE5"/>
    <w:rsid w:val="0095676B"/>
    <w:rsid w:val="009601DD"/>
    <w:rsid w:val="00966A66"/>
    <w:rsid w:val="009725E4"/>
    <w:rsid w:val="009770FF"/>
    <w:rsid w:val="00983FF4"/>
    <w:rsid w:val="00984CC9"/>
    <w:rsid w:val="00985822"/>
    <w:rsid w:val="00985930"/>
    <w:rsid w:val="00986AD9"/>
    <w:rsid w:val="00987D71"/>
    <w:rsid w:val="00991153"/>
    <w:rsid w:val="00992317"/>
    <w:rsid w:val="00992585"/>
    <w:rsid w:val="009943EF"/>
    <w:rsid w:val="00995068"/>
    <w:rsid w:val="00996180"/>
    <w:rsid w:val="009B205C"/>
    <w:rsid w:val="009B27EE"/>
    <w:rsid w:val="009B3189"/>
    <w:rsid w:val="009C1B65"/>
    <w:rsid w:val="009D3B12"/>
    <w:rsid w:val="009D6ABC"/>
    <w:rsid w:val="009E1B77"/>
    <w:rsid w:val="009F4125"/>
    <w:rsid w:val="00A01E95"/>
    <w:rsid w:val="00A04EA0"/>
    <w:rsid w:val="00A06184"/>
    <w:rsid w:val="00A10F27"/>
    <w:rsid w:val="00A133A2"/>
    <w:rsid w:val="00A14575"/>
    <w:rsid w:val="00A202CA"/>
    <w:rsid w:val="00A21559"/>
    <w:rsid w:val="00A22F89"/>
    <w:rsid w:val="00A24020"/>
    <w:rsid w:val="00A278AC"/>
    <w:rsid w:val="00A31869"/>
    <w:rsid w:val="00A332A3"/>
    <w:rsid w:val="00A33EA2"/>
    <w:rsid w:val="00A43392"/>
    <w:rsid w:val="00A43CBE"/>
    <w:rsid w:val="00A44218"/>
    <w:rsid w:val="00A45DAC"/>
    <w:rsid w:val="00A4635E"/>
    <w:rsid w:val="00A46395"/>
    <w:rsid w:val="00A47591"/>
    <w:rsid w:val="00A532D5"/>
    <w:rsid w:val="00A6381E"/>
    <w:rsid w:val="00A73A96"/>
    <w:rsid w:val="00A740D7"/>
    <w:rsid w:val="00A76345"/>
    <w:rsid w:val="00A77948"/>
    <w:rsid w:val="00A80866"/>
    <w:rsid w:val="00A81FCB"/>
    <w:rsid w:val="00A92C6E"/>
    <w:rsid w:val="00A96DAC"/>
    <w:rsid w:val="00A97D34"/>
    <w:rsid w:val="00AA1577"/>
    <w:rsid w:val="00AA1B53"/>
    <w:rsid w:val="00AA2020"/>
    <w:rsid w:val="00AA585D"/>
    <w:rsid w:val="00AB1935"/>
    <w:rsid w:val="00AB2E67"/>
    <w:rsid w:val="00AB35C4"/>
    <w:rsid w:val="00AB6D93"/>
    <w:rsid w:val="00AC7DBB"/>
    <w:rsid w:val="00AD41E1"/>
    <w:rsid w:val="00AD4C3F"/>
    <w:rsid w:val="00AE4A96"/>
    <w:rsid w:val="00AE580F"/>
    <w:rsid w:val="00AF6DA0"/>
    <w:rsid w:val="00B0193C"/>
    <w:rsid w:val="00B1052B"/>
    <w:rsid w:val="00B107A0"/>
    <w:rsid w:val="00B10A76"/>
    <w:rsid w:val="00B15D48"/>
    <w:rsid w:val="00B167D1"/>
    <w:rsid w:val="00B26411"/>
    <w:rsid w:val="00B3016A"/>
    <w:rsid w:val="00B34EBB"/>
    <w:rsid w:val="00B353F5"/>
    <w:rsid w:val="00B35FB1"/>
    <w:rsid w:val="00B37102"/>
    <w:rsid w:val="00B44E8E"/>
    <w:rsid w:val="00B45E35"/>
    <w:rsid w:val="00B46CD7"/>
    <w:rsid w:val="00B525F6"/>
    <w:rsid w:val="00B57DF8"/>
    <w:rsid w:val="00B6170C"/>
    <w:rsid w:val="00B64B28"/>
    <w:rsid w:val="00B67D3C"/>
    <w:rsid w:val="00B717B3"/>
    <w:rsid w:val="00B74C19"/>
    <w:rsid w:val="00B82563"/>
    <w:rsid w:val="00B8269C"/>
    <w:rsid w:val="00B84E89"/>
    <w:rsid w:val="00B93DB8"/>
    <w:rsid w:val="00BA392C"/>
    <w:rsid w:val="00BB407D"/>
    <w:rsid w:val="00BB6C8F"/>
    <w:rsid w:val="00BB7DEC"/>
    <w:rsid w:val="00BC1119"/>
    <w:rsid w:val="00BC1B57"/>
    <w:rsid w:val="00BC6869"/>
    <w:rsid w:val="00BC6879"/>
    <w:rsid w:val="00BD12D3"/>
    <w:rsid w:val="00BD387F"/>
    <w:rsid w:val="00BD3EF4"/>
    <w:rsid w:val="00BD524A"/>
    <w:rsid w:val="00BD5AD0"/>
    <w:rsid w:val="00BE04FE"/>
    <w:rsid w:val="00BE12B2"/>
    <w:rsid w:val="00BF217C"/>
    <w:rsid w:val="00BF2315"/>
    <w:rsid w:val="00BF2E58"/>
    <w:rsid w:val="00BF4A9E"/>
    <w:rsid w:val="00BF5B42"/>
    <w:rsid w:val="00BF77D5"/>
    <w:rsid w:val="00C01575"/>
    <w:rsid w:val="00C06286"/>
    <w:rsid w:val="00C07B7E"/>
    <w:rsid w:val="00C10C59"/>
    <w:rsid w:val="00C11F5F"/>
    <w:rsid w:val="00C2100B"/>
    <w:rsid w:val="00C24FD5"/>
    <w:rsid w:val="00C2696C"/>
    <w:rsid w:val="00C35F10"/>
    <w:rsid w:val="00C35FBF"/>
    <w:rsid w:val="00C36513"/>
    <w:rsid w:val="00C36664"/>
    <w:rsid w:val="00C36C56"/>
    <w:rsid w:val="00C40857"/>
    <w:rsid w:val="00C5621F"/>
    <w:rsid w:val="00C62C88"/>
    <w:rsid w:val="00C74C6A"/>
    <w:rsid w:val="00C92115"/>
    <w:rsid w:val="00C948D5"/>
    <w:rsid w:val="00C94E90"/>
    <w:rsid w:val="00C9572D"/>
    <w:rsid w:val="00CA3F3D"/>
    <w:rsid w:val="00CA4388"/>
    <w:rsid w:val="00CA5993"/>
    <w:rsid w:val="00CB0813"/>
    <w:rsid w:val="00CB3330"/>
    <w:rsid w:val="00CB41E3"/>
    <w:rsid w:val="00CD0CC7"/>
    <w:rsid w:val="00CD7222"/>
    <w:rsid w:val="00CD7994"/>
    <w:rsid w:val="00CE1883"/>
    <w:rsid w:val="00CE4F99"/>
    <w:rsid w:val="00CF674D"/>
    <w:rsid w:val="00CF6EA0"/>
    <w:rsid w:val="00D06BB3"/>
    <w:rsid w:val="00D14BFE"/>
    <w:rsid w:val="00D15EEA"/>
    <w:rsid w:val="00D163CC"/>
    <w:rsid w:val="00D164C4"/>
    <w:rsid w:val="00D260C7"/>
    <w:rsid w:val="00D3206A"/>
    <w:rsid w:val="00D32424"/>
    <w:rsid w:val="00D355A1"/>
    <w:rsid w:val="00D3620E"/>
    <w:rsid w:val="00D36701"/>
    <w:rsid w:val="00D466B0"/>
    <w:rsid w:val="00D50C28"/>
    <w:rsid w:val="00D50FC3"/>
    <w:rsid w:val="00D5127B"/>
    <w:rsid w:val="00D55665"/>
    <w:rsid w:val="00D65202"/>
    <w:rsid w:val="00D720D0"/>
    <w:rsid w:val="00D72155"/>
    <w:rsid w:val="00D743A5"/>
    <w:rsid w:val="00D90C24"/>
    <w:rsid w:val="00D91FB7"/>
    <w:rsid w:val="00D92E8A"/>
    <w:rsid w:val="00D956BA"/>
    <w:rsid w:val="00DA0357"/>
    <w:rsid w:val="00DA171E"/>
    <w:rsid w:val="00DA6316"/>
    <w:rsid w:val="00DA67ED"/>
    <w:rsid w:val="00DB133F"/>
    <w:rsid w:val="00DB23F9"/>
    <w:rsid w:val="00DB700C"/>
    <w:rsid w:val="00DB773A"/>
    <w:rsid w:val="00DC347F"/>
    <w:rsid w:val="00DC37F3"/>
    <w:rsid w:val="00DC6665"/>
    <w:rsid w:val="00DD290D"/>
    <w:rsid w:val="00DD2DD9"/>
    <w:rsid w:val="00DD4D0E"/>
    <w:rsid w:val="00DE036D"/>
    <w:rsid w:val="00DE18E7"/>
    <w:rsid w:val="00DE2224"/>
    <w:rsid w:val="00DE5C93"/>
    <w:rsid w:val="00DF0F89"/>
    <w:rsid w:val="00DF1EC7"/>
    <w:rsid w:val="00DF29A7"/>
    <w:rsid w:val="00DF493D"/>
    <w:rsid w:val="00E00248"/>
    <w:rsid w:val="00E00698"/>
    <w:rsid w:val="00E04203"/>
    <w:rsid w:val="00E062A8"/>
    <w:rsid w:val="00E079F0"/>
    <w:rsid w:val="00E11E06"/>
    <w:rsid w:val="00E1512E"/>
    <w:rsid w:val="00E23757"/>
    <w:rsid w:val="00E450E0"/>
    <w:rsid w:val="00E464D6"/>
    <w:rsid w:val="00E47834"/>
    <w:rsid w:val="00E511EF"/>
    <w:rsid w:val="00E51389"/>
    <w:rsid w:val="00E53E88"/>
    <w:rsid w:val="00E556F3"/>
    <w:rsid w:val="00E6603D"/>
    <w:rsid w:val="00E75B3B"/>
    <w:rsid w:val="00E92D4F"/>
    <w:rsid w:val="00E94F55"/>
    <w:rsid w:val="00E9548F"/>
    <w:rsid w:val="00E96918"/>
    <w:rsid w:val="00E9748D"/>
    <w:rsid w:val="00E9784C"/>
    <w:rsid w:val="00E97E1A"/>
    <w:rsid w:val="00EA0E15"/>
    <w:rsid w:val="00EA1402"/>
    <w:rsid w:val="00EA1E8D"/>
    <w:rsid w:val="00EA28F4"/>
    <w:rsid w:val="00EB588A"/>
    <w:rsid w:val="00EC1208"/>
    <w:rsid w:val="00EC2A2A"/>
    <w:rsid w:val="00EC5ED3"/>
    <w:rsid w:val="00EC69F5"/>
    <w:rsid w:val="00ED17F6"/>
    <w:rsid w:val="00EE00AF"/>
    <w:rsid w:val="00EE2D60"/>
    <w:rsid w:val="00EE4136"/>
    <w:rsid w:val="00EF181A"/>
    <w:rsid w:val="00EF433D"/>
    <w:rsid w:val="00F0283E"/>
    <w:rsid w:val="00F12CFB"/>
    <w:rsid w:val="00F177AC"/>
    <w:rsid w:val="00F211BD"/>
    <w:rsid w:val="00F22FD1"/>
    <w:rsid w:val="00F24E40"/>
    <w:rsid w:val="00F27881"/>
    <w:rsid w:val="00F35DC5"/>
    <w:rsid w:val="00F36DB3"/>
    <w:rsid w:val="00F40A49"/>
    <w:rsid w:val="00F432DA"/>
    <w:rsid w:val="00F46E4B"/>
    <w:rsid w:val="00F50E3F"/>
    <w:rsid w:val="00F55592"/>
    <w:rsid w:val="00F60BE0"/>
    <w:rsid w:val="00F60E12"/>
    <w:rsid w:val="00F6650B"/>
    <w:rsid w:val="00F73160"/>
    <w:rsid w:val="00F7454B"/>
    <w:rsid w:val="00F771B8"/>
    <w:rsid w:val="00F81F28"/>
    <w:rsid w:val="00F82F64"/>
    <w:rsid w:val="00F909D0"/>
    <w:rsid w:val="00F915F3"/>
    <w:rsid w:val="00FA1CBA"/>
    <w:rsid w:val="00FA77D5"/>
    <w:rsid w:val="00FB2493"/>
    <w:rsid w:val="00FB366C"/>
    <w:rsid w:val="00FC6992"/>
    <w:rsid w:val="00FC6CA4"/>
    <w:rsid w:val="00FD3B0D"/>
    <w:rsid w:val="00FD435D"/>
    <w:rsid w:val="00FE26DA"/>
    <w:rsid w:val="00FE27EE"/>
    <w:rsid w:val="00FE4F9F"/>
    <w:rsid w:val="00FE69ED"/>
    <w:rsid w:val="00FF0694"/>
    <w:rsid w:val="00FF4942"/>
    <w:rsid w:val="28B370BA"/>
    <w:rsid w:val="5D6F1C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2"/>
        <o:r id="V:Rule2" type="connector" idref="#_x0000_s1034"/>
        <o:r id="V:Rule3" type="connector" idref="#_x0000_s1035"/>
        <o:r id="V:Rule4" type="connector" idref="#_x0000_s1036"/>
        <o:r id="V:Rule5" type="connector" idref="#_x0000_s1037"/>
        <o:r id="V:Rule6" type="connector" idref="#_x0000_s1038"/>
        <o:r id="V:Rule7" type="connector" idref="#_x0000_s1096"/>
        <o:r id="V:Rule8" type="connector" idref="#_x0000_s1101"/>
        <o:r id="V:Rule9" type="connector" idref="#_x0000_s1108"/>
        <o:r id="V:Rule10" type="connector" idref="#_x0000_s1113"/>
        <o:r id="V:Rule11" type="connector" idref="#_x0000_s1115"/>
        <o:r id="V:Rule12" type="connector" idref="#_x0000_s1118"/>
        <o:r id="V:Rule13" type="connector" idref="#_x0000_s1119"/>
        <o:r id="V:Rule14" type="connector" idref="#_x0000_s1121"/>
        <o:r id="V:Rule15" type="connector" idref="#_x0000_s1123"/>
        <o:r id="V:Rule16" type="connector" idref="#_x0000_s1125"/>
        <o:r id="V:Rule17" type="connector" idref="#_x0000_s112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0" w:semiHidden="0" w:name="heading 6"/>
    <w:lsdException w:uiPriority="0" w:semiHidden="0" w:name="heading 7"/>
    <w:lsdException w:uiPriority="0" w:semiHidden="0" w:name="heading 8"/>
    <w:lsdException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nhideWhenUsed="0"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99" w:semiHidden="0" w:name="FollowedHyperlink"/>
    <w:lsdException w:unhideWhenUsed="0" w:uiPriority="0" w:semiHidden="0" w:name="Strong"/>
    <w:lsdException w:qFormat="1" w:unhideWhenUsed="0" w:uiPriority="20" w:semiHidden="0" w:name="Emphasis"/>
    <w:lsdException w:uiPriority="99" w:name="Document Map"/>
    <w:lsdException w:unhideWhenUsed="0" w:uiPriority="0" w:semiHidden="0" w:name="Plain Text"/>
    <w:lsdException w:unhideWhenUsed="0" w:uiPriority="0" w:semiHidden="0" w:name="E-mail Signature"/>
    <w:lsdException w:qFormat="1" w:unhideWhenUsed="0" w:uiPriority="99" w:semiHidden="0" w:name="Normal (Web)"/>
    <w:lsdException w:uiPriority="99" w:name="HTML Acronym"/>
    <w:lsdException w:unhideWhenUsed="0" w:uiPriority="0" w:semiHidden="0"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color w:val="000000" w:themeColor="text1"/>
      <w:kern w:val="2"/>
      <w:sz w:val="24"/>
      <w:szCs w:val="22"/>
      <w:lang w:val="en-US" w:eastAsia="zh-CN" w:bidi="ar-SA"/>
    </w:rPr>
  </w:style>
  <w:style w:type="paragraph" w:styleId="3">
    <w:name w:val="heading 1"/>
    <w:basedOn w:val="1"/>
    <w:next w:val="1"/>
    <w:link w:val="99"/>
    <w:qFormat/>
    <w:uiPriority w:val="9"/>
    <w:pPr>
      <w:keepNext/>
      <w:keepLines/>
      <w:numPr>
        <w:ilvl w:val="0"/>
        <w:numId w:val="1"/>
      </w:numPr>
      <w:spacing w:before="120" w:after="120"/>
      <w:ind w:firstLineChars="0"/>
      <w:jc w:val="center"/>
      <w:outlineLvl w:val="0"/>
    </w:pPr>
    <w:rPr>
      <w:rFonts w:cs="Times New Roman"/>
      <w:b/>
      <w:bCs/>
      <w:kern w:val="44"/>
      <w:sz w:val="32"/>
      <w:szCs w:val="44"/>
    </w:rPr>
  </w:style>
  <w:style w:type="paragraph" w:styleId="4">
    <w:name w:val="heading 2"/>
    <w:basedOn w:val="1"/>
    <w:next w:val="1"/>
    <w:link w:val="100"/>
    <w:unhideWhenUsed/>
    <w:qFormat/>
    <w:uiPriority w:val="9"/>
    <w:pPr>
      <w:keepNext/>
      <w:keepLines/>
      <w:numPr>
        <w:ilvl w:val="1"/>
        <w:numId w:val="1"/>
      </w:numPr>
      <w:spacing w:before="120" w:after="120"/>
      <w:ind w:left="0" w:firstLine="0" w:firstLineChars="0"/>
      <w:jc w:val="left"/>
      <w:outlineLvl w:val="1"/>
    </w:pPr>
    <w:rPr>
      <w:rFonts w:cs="Times New Roman"/>
      <w:b/>
      <w:bCs/>
      <w:color w:val="auto"/>
      <w:kern w:val="0"/>
      <w:sz w:val="28"/>
      <w:szCs w:val="32"/>
      <w:lang w:val="zh-CN"/>
    </w:rPr>
  </w:style>
  <w:style w:type="paragraph" w:styleId="5">
    <w:name w:val="heading 3"/>
    <w:basedOn w:val="1"/>
    <w:next w:val="1"/>
    <w:link w:val="101"/>
    <w:unhideWhenUsed/>
    <w:qFormat/>
    <w:uiPriority w:val="9"/>
    <w:pPr>
      <w:keepNext/>
      <w:keepLines/>
      <w:numPr>
        <w:ilvl w:val="2"/>
        <w:numId w:val="1"/>
      </w:numPr>
      <w:ind w:left="0" w:firstLine="0" w:firstLineChars="0"/>
      <w:outlineLvl w:val="2"/>
    </w:pPr>
    <w:rPr>
      <w:rFonts w:cs="Times New Roman"/>
      <w:b/>
      <w:bCs/>
      <w:color w:val="auto"/>
      <w:kern w:val="0"/>
      <w:szCs w:val="32"/>
    </w:rPr>
  </w:style>
  <w:style w:type="paragraph" w:styleId="6">
    <w:name w:val="heading 4"/>
    <w:basedOn w:val="1"/>
    <w:next w:val="1"/>
    <w:link w:val="118"/>
    <w:unhideWhenUsed/>
    <w:qFormat/>
    <w:uiPriority w:val="9"/>
    <w:pPr>
      <w:keepNext/>
      <w:keepLines/>
      <w:spacing w:line="240" w:lineRule="auto"/>
      <w:ind w:firstLine="0" w:firstLineChars="0"/>
      <w:jc w:val="center"/>
      <w:outlineLvl w:val="3"/>
    </w:pPr>
    <w:rPr>
      <w:rFonts w:cs="Times New Roman"/>
      <w:b/>
      <w:bCs/>
      <w:color w:val="000000"/>
      <w:sz w:val="21"/>
      <w:szCs w:val="28"/>
    </w:rPr>
  </w:style>
  <w:style w:type="paragraph" w:styleId="7">
    <w:name w:val="heading 5"/>
    <w:basedOn w:val="1"/>
    <w:next w:val="1"/>
    <w:link w:val="102"/>
    <w:unhideWhenUsed/>
    <w:qFormat/>
    <w:uiPriority w:val="9"/>
    <w:pPr>
      <w:keepNext/>
      <w:keepLines/>
      <w:numPr>
        <w:ilvl w:val="4"/>
        <w:numId w:val="2"/>
      </w:numPr>
      <w:spacing w:before="280" w:after="290" w:line="376" w:lineRule="auto"/>
      <w:ind w:firstLine="0" w:firstLineChars="0"/>
      <w:outlineLvl w:val="4"/>
    </w:pPr>
    <w:rPr>
      <w:rFonts w:cs="Times New Roman"/>
      <w:b/>
      <w:bCs/>
      <w:sz w:val="28"/>
      <w:szCs w:val="28"/>
    </w:rPr>
  </w:style>
  <w:style w:type="paragraph" w:styleId="8">
    <w:name w:val="heading 6"/>
    <w:basedOn w:val="1"/>
    <w:next w:val="1"/>
    <w:link w:val="103"/>
    <w:unhideWhenUsed/>
    <w:uiPriority w:val="0"/>
    <w:pPr>
      <w:keepNext/>
      <w:keepLines/>
      <w:numPr>
        <w:ilvl w:val="5"/>
        <w:numId w:val="2"/>
      </w:numPr>
      <w:spacing w:before="240" w:after="64" w:line="320" w:lineRule="auto"/>
      <w:ind w:firstLine="0" w:firstLineChars="0"/>
      <w:outlineLvl w:val="5"/>
    </w:pPr>
    <w:rPr>
      <w:rFonts w:asciiTheme="majorHAnsi" w:hAnsiTheme="majorHAnsi" w:eastAsiaTheme="majorEastAsia" w:cstheme="majorBidi"/>
      <w:b/>
      <w:bCs/>
      <w:szCs w:val="24"/>
    </w:rPr>
  </w:style>
  <w:style w:type="paragraph" w:styleId="9">
    <w:name w:val="heading 7"/>
    <w:basedOn w:val="1"/>
    <w:next w:val="1"/>
    <w:link w:val="104"/>
    <w:unhideWhenUsed/>
    <w:uiPriority w:val="0"/>
    <w:pPr>
      <w:keepNext/>
      <w:keepLines/>
      <w:numPr>
        <w:ilvl w:val="6"/>
        <w:numId w:val="2"/>
      </w:numPr>
      <w:spacing w:before="240" w:after="64" w:line="320" w:lineRule="auto"/>
      <w:ind w:firstLine="0" w:firstLineChars="0"/>
      <w:outlineLvl w:val="6"/>
    </w:pPr>
    <w:rPr>
      <w:rFonts w:cs="Times New Roman"/>
      <w:b/>
      <w:bCs/>
      <w:szCs w:val="24"/>
    </w:rPr>
  </w:style>
  <w:style w:type="paragraph" w:styleId="10">
    <w:name w:val="heading 8"/>
    <w:basedOn w:val="1"/>
    <w:next w:val="1"/>
    <w:link w:val="105"/>
    <w:unhideWhenUsed/>
    <w:uiPriority w:val="0"/>
    <w:pPr>
      <w:keepNext/>
      <w:keepLines/>
      <w:numPr>
        <w:ilvl w:val="7"/>
        <w:numId w:val="2"/>
      </w:numPr>
      <w:spacing w:before="240" w:after="64" w:line="320" w:lineRule="auto"/>
      <w:ind w:firstLine="0" w:firstLineChars="0"/>
      <w:outlineLvl w:val="7"/>
    </w:pPr>
    <w:rPr>
      <w:rFonts w:asciiTheme="majorHAnsi" w:hAnsiTheme="majorHAnsi" w:eastAsiaTheme="majorEastAsia" w:cstheme="majorBidi"/>
      <w:szCs w:val="24"/>
    </w:rPr>
  </w:style>
  <w:style w:type="paragraph" w:styleId="11">
    <w:name w:val="heading 9"/>
    <w:basedOn w:val="1"/>
    <w:next w:val="1"/>
    <w:link w:val="106"/>
    <w:unhideWhenUsed/>
    <w:uiPriority w:val="0"/>
    <w:pPr>
      <w:keepNext/>
      <w:keepLines/>
      <w:numPr>
        <w:ilvl w:val="8"/>
        <w:numId w:val="2"/>
      </w:numPr>
      <w:spacing w:before="240" w:after="64" w:line="320" w:lineRule="auto"/>
      <w:ind w:firstLine="0" w:firstLineChars="0"/>
      <w:outlineLvl w:val="8"/>
    </w:pPr>
    <w:rPr>
      <w:rFonts w:asciiTheme="majorHAnsi" w:hAnsiTheme="majorHAnsi" w:eastAsiaTheme="majorEastAsia" w:cstheme="majorBidi"/>
      <w:sz w:val="21"/>
      <w:szCs w:val="21"/>
    </w:rPr>
  </w:style>
  <w:style w:type="character" w:default="1" w:styleId="90">
    <w:name w:val="Default Paragraph Font"/>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50"/>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Courier New"/>
      <w:kern w:val="2"/>
      <w:sz w:val="24"/>
      <w:szCs w:val="24"/>
      <w:lang w:val="en-US" w:eastAsia="zh-CN" w:bidi="ar-SA"/>
    </w:rPr>
  </w:style>
  <w:style w:type="paragraph" w:styleId="12">
    <w:name w:val="List 3"/>
    <w:basedOn w:val="1"/>
    <w:uiPriority w:val="0"/>
    <w:pPr>
      <w:adjustRightInd w:val="0"/>
      <w:snapToGrid w:val="0"/>
      <w:ind w:left="100" w:leftChars="400" w:hanging="200" w:hangingChars="200"/>
      <w:contextualSpacing/>
    </w:pPr>
    <w:rPr>
      <w:rFonts w:cs="Times New Roman"/>
      <w:color w:val="auto"/>
      <w:szCs w:val="24"/>
    </w:rPr>
  </w:style>
  <w:style w:type="paragraph" w:styleId="13">
    <w:name w:val="toc 7"/>
    <w:basedOn w:val="1"/>
    <w:next w:val="1"/>
    <w:autoRedefine/>
    <w:unhideWhenUsed/>
    <w:uiPriority w:val="39"/>
    <w:pPr>
      <w:ind w:left="1440"/>
      <w:jc w:val="left"/>
    </w:pPr>
    <w:rPr>
      <w:rFonts w:asciiTheme="minorHAnsi" w:eastAsiaTheme="minorHAnsi"/>
      <w:sz w:val="18"/>
      <w:szCs w:val="18"/>
    </w:rPr>
  </w:style>
  <w:style w:type="paragraph" w:styleId="14">
    <w:name w:val="List Number 2"/>
    <w:basedOn w:val="1"/>
    <w:uiPriority w:val="0"/>
    <w:pPr>
      <w:numPr>
        <w:ilvl w:val="0"/>
        <w:numId w:val="3"/>
      </w:numPr>
      <w:adjustRightInd w:val="0"/>
      <w:snapToGrid w:val="0"/>
      <w:contextualSpacing/>
    </w:pPr>
    <w:rPr>
      <w:rFonts w:cs="Times New Roman"/>
      <w:color w:val="auto"/>
      <w:szCs w:val="24"/>
    </w:rPr>
  </w:style>
  <w:style w:type="paragraph" w:styleId="15">
    <w:name w:val="table of authorities"/>
    <w:basedOn w:val="1"/>
    <w:next w:val="1"/>
    <w:uiPriority w:val="0"/>
    <w:pPr>
      <w:adjustRightInd w:val="0"/>
      <w:snapToGrid w:val="0"/>
      <w:ind w:left="420" w:leftChars="200" w:firstLine="0"/>
    </w:pPr>
    <w:rPr>
      <w:rFonts w:cs="Times New Roman"/>
      <w:color w:val="auto"/>
      <w:szCs w:val="24"/>
    </w:rPr>
  </w:style>
  <w:style w:type="paragraph" w:styleId="16">
    <w:name w:val="Note Heading"/>
    <w:basedOn w:val="1"/>
    <w:next w:val="1"/>
    <w:link w:val="365"/>
    <w:uiPriority w:val="0"/>
    <w:pPr>
      <w:adjustRightInd w:val="0"/>
      <w:snapToGrid w:val="0"/>
      <w:jc w:val="center"/>
    </w:pPr>
    <w:rPr>
      <w:rFonts w:cs="Times New Roman"/>
      <w:color w:val="auto"/>
      <w:szCs w:val="24"/>
    </w:rPr>
  </w:style>
  <w:style w:type="paragraph" w:styleId="17">
    <w:name w:val="List Bullet 4"/>
    <w:basedOn w:val="1"/>
    <w:uiPriority w:val="0"/>
    <w:pPr>
      <w:numPr>
        <w:ilvl w:val="0"/>
        <w:numId w:val="4"/>
      </w:numPr>
      <w:adjustRightInd w:val="0"/>
      <w:snapToGrid w:val="0"/>
      <w:contextualSpacing/>
    </w:pPr>
    <w:rPr>
      <w:rFonts w:cs="Times New Roman"/>
      <w:color w:val="auto"/>
      <w:szCs w:val="24"/>
    </w:rPr>
  </w:style>
  <w:style w:type="paragraph" w:styleId="18">
    <w:name w:val="index 8"/>
    <w:basedOn w:val="1"/>
    <w:next w:val="1"/>
    <w:autoRedefine/>
    <w:uiPriority w:val="0"/>
    <w:pPr>
      <w:adjustRightInd w:val="0"/>
      <w:snapToGrid w:val="0"/>
      <w:ind w:left="1400" w:leftChars="1400" w:firstLine="0"/>
    </w:pPr>
    <w:rPr>
      <w:rFonts w:cs="Times New Roman"/>
      <w:color w:val="auto"/>
      <w:szCs w:val="24"/>
    </w:rPr>
  </w:style>
  <w:style w:type="paragraph" w:styleId="19">
    <w:name w:val="E-mail Signature"/>
    <w:basedOn w:val="1"/>
    <w:link w:val="348"/>
    <w:uiPriority w:val="0"/>
    <w:pPr>
      <w:adjustRightInd w:val="0"/>
      <w:snapToGrid w:val="0"/>
    </w:pPr>
    <w:rPr>
      <w:rFonts w:cs="Times New Roman"/>
      <w:color w:val="auto"/>
      <w:szCs w:val="24"/>
    </w:rPr>
  </w:style>
  <w:style w:type="paragraph" w:styleId="20">
    <w:name w:val="List Number"/>
    <w:basedOn w:val="1"/>
    <w:uiPriority w:val="0"/>
    <w:pPr>
      <w:numPr>
        <w:ilvl w:val="0"/>
        <w:numId w:val="5"/>
      </w:numPr>
      <w:adjustRightInd w:val="0"/>
      <w:snapToGrid w:val="0"/>
      <w:contextualSpacing/>
    </w:pPr>
    <w:rPr>
      <w:rFonts w:cs="Times New Roman"/>
      <w:color w:val="auto"/>
      <w:szCs w:val="24"/>
    </w:rPr>
  </w:style>
  <w:style w:type="paragraph" w:styleId="21">
    <w:name w:val="Normal Indent"/>
    <w:basedOn w:val="1"/>
    <w:link w:val="147"/>
    <w:uiPriority w:val="0"/>
    <w:pPr>
      <w:adjustRightInd w:val="0"/>
      <w:snapToGrid w:val="0"/>
      <w:spacing w:line="520" w:lineRule="atLeast"/>
      <w:ind w:firstLine="420"/>
    </w:pPr>
    <w:rPr>
      <w:rFonts w:cs="Times New Roman"/>
      <w:color w:val="auto"/>
      <w:szCs w:val="20"/>
    </w:rPr>
  </w:style>
  <w:style w:type="paragraph" w:styleId="22">
    <w:name w:val="caption"/>
    <w:basedOn w:val="1"/>
    <w:next w:val="1"/>
    <w:uiPriority w:val="0"/>
    <w:pPr>
      <w:adjustRightInd w:val="0"/>
      <w:snapToGrid w:val="0"/>
      <w:spacing w:beforeLines="50" w:afterLines="50"/>
      <w:jc w:val="center"/>
    </w:pPr>
    <w:rPr>
      <w:rFonts w:ascii="Arial" w:hAnsi="Arial" w:eastAsia="黑体" w:cs="Arial"/>
      <w:color w:val="auto"/>
      <w:sz w:val="20"/>
      <w:szCs w:val="20"/>
    </w:rPr>
  </w:style>
  <w:style w:type="paragraph" w:styleId="23">
    <w:name w:val="index 5"/>
    <w:basedOn w:val="1"/>
    <w:next w:val="1"/>
    <w:autoRedefine/>
    <w:uiPriority w:val="0"/>
    <w:pPr>
      <w:adjustRightInd w:val="0"/>
      <w:snapToGrid w:val="0"/>
      <w:ind w:left="800" w:leftChars="800" w:firstLine="0"/>
    </w:pPr>
    <w:rPr>
      <w:rFonts w:cs="Times New Roman"/>
      <w:color w:val="auto"/>
      <w:szCs w:val="24"/>
    </w:rPr>
  </w:style>
  <w:style w:type="paragraph" w:styleId="24">
    <w:name w:val="List Bullet"/>
    <w:basedOn w:val="1"/>
    <w:uiPriority w:val="0"/>
    <w:pPr>
      <w:numPr>
        <w:ilvl w:val="0"/>
        <w:numId w:val="6"/>
      </w:numPr>
      <w:adjustRightInd w:val="0"/>
      <w:snapToGrid w:val="0"/>
      <w:contextualSpacing/>
    </w:pPr>
    <w:rPr>
      <w:rFonts w:cs="Times New Roman"/>
      <w:color w:val="auto"/>
      <w:szCs w:val="24"/>
    </w:rPr>
  </w:style>
  <w:style w:type="paragraph" w:styleId="25">
    <w:name w:val="envelope address"/>
    <w:basedOn w:val="1"/>
    <w:uiPriority w:val="0"/>
    <w:pPr>
      <w:framePr w:w="7920" w:h="1980" w:hRule="exact" w:hSpace="180" w:wrap="auto" w:vAnchor="margin" w:hAnchor="page" w:xAlign="center" w:yAlign="bottom"/>
      <w:adjustRightInd w:val="0"/>
      <w:snapToGrid w:val="0"/>
      <w:ind w:left="100" w:leftChars="1400"/>
    </w:pPr>
    <w:rPr>
      <w:rFonts w:ascii="Cambria" w:hAnsi="Cambria" w:eastAsia="宋体" w:cs="Times New Roman"/>
      <w:color w:val="auto"/>
      <w:szCs w:val="24"/>
    </w:rPr>
  </w:style>
  <w:style w:type="paragraph" w:styleId="26">
    <w:name w:val="Document Map"/>
    <w:basedOn w:val="1"/>
    <w:link w:val="119"/>
    <w:semiHidden/>
    <w:unhideWhenUsed/>
    <w:uiPriority w:val="99"/>
    <w:rPr>
      <w:rFonts w:ascii="宋体" w:eastAsia="宋体" w:cs="Times New Roman"/>
      <w:color w:val="000000"/>
      <w:kern w:val="0"/>
      <w:sz w:val="18"/>
      <w:szCs w:val="18"/>
    </w:rPr>
  </w:style>
  <w:style w:type="paragraph" w:styleId="27">
    <w:name w:val="toa heading"/>
    <w:basedOn w:val="1"/>
    <w:next w:val="1"/>
    <w:uiPriority w:val="0"/>
    <w:pPr>
      <w:adjustRightInd w:val="0"/>
      <w:snapToGrid w:val="0"/>
      <w:spacing w:before="120"/>
    </w:pPr>
    <w:rPr>
      <w:rFonts w:ascii="Cambria" w:hAnsi="Cambria" w:eastAsia="宋体" w:cs="Times New Roman"/>
      <w:color w:val="auto"/>
      <w:szCs w:val="24"/>
    </w:rPr>
  </w:style>
  <w:style w:type="paragraph" w:styleId="28">
    <w:name w:val="annotation text"/>
    <w:basedOn w:val="1"/>
    <w:link w:val="343"/>
    <w:uiPriority w:val="0"/>
    <w:pPr>
      <w:adjustRightInd w:val="0"/>
      <w:snapToGrid w:val="0"/>
      <w:jc w:val="left"/>
    </w:pPr>
    <w:rPr>
      <w:rFonts w:cs="Times New Roman"/>
      <w:color w:val="auto"/>
      <w:szCs w:val="24"/>
    </w:rPr>
  </w:style>
  <w:style w:type="paragraph" w:styleId="29">
    <w:name w:val="index 6"/>
    <w:basedOn w:val="1"/>
    <w:next w:val="1"/>
    <w:autoRedefine/>
    <w:uiPriority w:val="0"/>
    <w:pPr>
      <w:adjustRightInd w:val="0"/>
      <w:snapToGrid w:val="0"/>
      <w:ind w:left="1000" w:leftChars="1000" w:firstLine="0"/>
    </w:pPr>
    <w:rPr>
      <w:rFonts w:cs="Times New Roman"/>
      <w:color w:val="auto"/>
      <w:szCs w:val="24"/>
    </w:rPr>
  </w:style>
  <w:style w:type="paragraph" w:styleId="30">
    <w:name w:val="Salutation"/>
    <w:basedOn w:val="1"/>
    <w:next w:val="1"/>
    <w:link w:val="347"/>
    <w:uiPriority w:val="0"/>
    <w:pPr>
      <w:adjustRightInd w:val="0"/>
      <w:snapToGrid w:val="0"/>
    </w:pPr>
    <w:rPr>
      <w:rFonts w:cs="Times New Roman"/>
      <w:color w:val="auto"/>
      <w:szCs w:val="24"/>
    </w:rPr>
  </w:style>
  <w:style w:type="paragraph" w:styleId="31">
    <w:name w:val="Body Text 3"/>
    <w:basedOn w:val="1"/>
    <w:link w:val="363"/>
    <w:uiPriority w:val="0"/>
    <w:pPr>
      <w:adjustRightInd w:val="0"/>
      <w:snapToGrid w:val="0"/>
      <w:spacing w:after="120"/>
    </w:pPr>
    <w:rPr>
      <w:rFonts w:cs="Times New Roman"/>
      <w:color w:val="auto"/>
      <w:sz w:val="16"/>
      <w:szCs w:val="16"/>
    </w:rPr>
  </w:style>
  <w:style w:type="paragraph" w:styleId="32">
    <w:name w:val="Closing"/>
    <w:basedOn w:val="1"/>
    <w:link w:val="352"/>
    <w:uiPriority w:val="0"/>
    <w:pPr>
      <w:adjustRightInd w:val="0"/>
      <w:snapToGrid w:val="0"/>
      <w:ind w:left="100" w:leftChars="2100"/>
    </w:pPr>
    <w:rPr>
      <w:rFonts w:cs="Times New Roman"/>
      <w:color w:val="auto"/>
      <w:szCs w:val="24"/>
    </w:rPr>
  </w:style>
  <w:style w:type="paragraph" w:styleId="33">
    <w:name w:val="List Bullet 3"/>
    <w:basedOn w:val="1"/>
    <w:uiPriority w:val="0"/>
    <w:pPr>
      <w:numPr>
        <w:ilvl w:val="0"/>
        <w:numId w:val="7"/>
      </w:numPr>
      <w:adjustRightInd w:val="0"/>
      <w:snapToGrid w:val="0"/>
      <w:contextualSpacing/>
    </w:pPr>
    <w:rPr>
      <w:rFonts w:cs="Times New Roman"/>
      <w:color w:val="auto"/>
      <w:szCs w:val="24"/>
    </w:rPr>
  </w:style>
  <w:style w:type="paragraph" w:styleId="34">
    <w:name w:val="Body Text"/>
    <w:basedOn w:val="1"/>
    <w:link w:val="120"/>
    <w:uiPriority w:val="0"/>
    <w:pPr>
      <w:adjustRightInd w:val="0"/>
      <w:snapToGrid w:val="0"/>
      <w:spacing w:line="520" w:lineRule="atLeast"/>
    </w:pPr>
    <w:rPr>
      <w:rFonts w:cs="Times New Roman"/>
      <w:color w:val="auto"/>
      <w:kern w:val="0"/>
      <w:sz w:val="28"/>
      <w:szCs w:val="24"/>
    </w:rPr>
  </w:style>
  <w:style w:type="paragraph" w:styleId="35">
    <w:name w:val="Body Text Indent"/>
    <w:basedOn w:val="1"/>
    <w:link w:val="161"/>
    <w:uiPriority w:val="0"/>
    <w:pPr>
      <w:adjustRightInd w:val="0"/>
      <w:snapToGrid w:val="0"/>
      <w:spacing w:line="520" w:lineRule="exact"/>
      <w:ind w:firstLine="480"/>
    </w:pPr>
    <w:rPr>
      <w:rFonts w:cs="Times New Roman"/>
      <w:color w:val="auto"/>
      <w:kern w:val="0"/>
      <w:szCs w:val="20"/>
      <w:lang w:val="zh-CN"/>
    </w:rPr>
  </w:style>
  <w:style w:type="paragraph" w:styleId="36">
    <w:name w:val="List Number 3"/>
    <w:basedOn w:val="1"/>
    <w:uiPriority w:val="0"/>
    <w:pPr>
      <w:numPr>
        <w:ilvl w:val="0"/>
        <w:numId w:val="8"/>
      </w:numPr>
      <w:adjustRightInd w:val="0"/>
      <w:snapToGrid w:val="0"/>
      <w:contextualSpacing/>
    </w:pPr>
    <w:rPr>
      <w:rFonts w:cs="Times New Roman"/>
      <w:color w:val="auto"/>
      <w:szCs w:val="24"/>
    </w:rPr>
  </w:style>
  <w:style w:type="paragraph" w:styleId="37">
    <w:name w:val="List 2"/>
    <w:basedOn w:val="1"/>
    <w:uiPriority w:val="0"/>
    <w:pPr>
      <w:adjustRightInd w:val="0"/>
      <w:snapToGrid w:val="0"/>
      <w:ind w:left="100" w:leftChars="200" w:hanging="200" w:hangingChars="200"/>
      <w:contextualSpacing/>
    </w:pPr>
    <w:rPr>
      <w:rFonts w:cs="Times New Roman"/>
      <w:color w:val="auto"/>
      <w:szCs w:val="24"/>
    </w:rPr>
  </w:style>
  <w:style w:type="paragraph" w:styleId="38">
    <w:name w:val="List Continue"/>
    <w:basedOn w:val="1"/>
    <w:uiPriority w:val="0"/>
    <w:pPr>
      <w:adjustRightInd w:val="0"/>
      <w:snapToGrid w:val="0"/>
      <w:spacing w:after="120"/>
      <w:ind w:left="420" w:leftChars="200"/>
      <w:contextualSpacing/>
    </w:pPr>
    <w:rPr>
      <w:rFonts w:cs="Times New Roman"/>
      <w:color w:val="auto"/>
      <w:szCs w:val="24"/>
    </w:rPr>
  </w:style>
  <w:style w:type="paragraph" w:styleId="39">
    <w:name w:val="Block Text"/>
    <w:basedOn w:val="1"/>
    <w:uiPriority w:val="0"/>
    <w:pPr>
      <w:adjustRightInd w:val="0"/>
      <w:snapToGrid w:val="0"/>
      <w:spacing w:after="120"/>
      <w:ind w:left="1440" w:leftChars="700" w:right="1440" w:rightChars="700"/>
    </w:pPr>
    <w:rPr>
      <w:rFonts w:cs="Times New Roman"/>
      <w:color w:val="auto"/>
      <w:szCs w:val="24"/>
    </w:rPr>
  </w:style>
  <w:style w:type="paragraph" w:styleId="40">
    <w:name w:val="List Bullet 2"/>
    <w:basedOn w:val="1"/>
    <w:uiPriority w:val="0"/>
    <w:pPr>
      <w:numPr>
        <w:ilvl w:val="0"/>
        <w:numId w:val="9"/>
      </w:numPr>
      <w:adjustRightInd w:val="0"/>
      <w:snapToGrid w:val="0"/>
      <w:contextualSpacing/>
    </w:pPr>
    <w:rPr>
      <w:rFonts w:cs="Times New Roman"/>
      <w:color w:val="auto"/>
      <w:szCs w:val="24"/>
    </w:rPr>
  </w:style>
  <w:style w:type="paragraph" w:styleId="41">
    <w:name w:val="HTML Address"/>
    <w:basedOn w:val="1"/>
    <w:link w:val="346"/>
    <w:uiPriority w:val="0"/>
    <w:pPr>
      <w:adjustRightInd w:val="0"/>
      <w:snapToGrid w:val="0"/>
    </w:pPr>
    <w:rPr>
      <w:rFonts w:cs="Times New Roman"/>
      <w:i/>
      <w:iCs/>
      <w:color w:val="auto"/>
      <w:szCs w:val="24"/>
    </w:rPr>
  </w:style>
  <w:style w:type="paragraph" w:styleId="42">
    <w:name w:val="index 4"/>
    <w:basedOn w:val="1"/>
    <w:next w:val="1"/>
    <w:autoRedefine/>
    <w:uiPriority w:val="0"/>
    <w:pPr>
      <w:adjustRightInd w:val="0"/>
      <w:snapToGrid w:val="0"/>
      <w:ind w:left="600" w:leftChars="600" w:firstLine="0"/>
    </w:pPr>
    <w:rPr>
      <w:rFonts w:cs="Times New Roman"/>
      <w:color w:val="auto"/>
      <w:szCs w:val="24"/>
    </w:rPr>
  </w:style>
  <w:style w:type="paragraph" w:styleId="43">
    <w:name w:val="toc 5"/>
    <w:basedOn w:val="1"/>
    <w:next w:val="1"/>
    <w:autoRedefine/>
    <w:unhideWhenUsed/>
    <w:uiPriority w:val="39"/>
    <w:pPr>
      <w:ind w:left="960"/>
      <w:jc w:val="left"/>
    </w:pPr>
    <w:rPr>
      <w:rFonts w:asciiTheme="minorHAnsi" w:eastAsiaTheme="minorHAnsi"/>
      <w:sz w:val="18"/>
      <w:szCs w:val="18"/>
    </w:rPr>
  </w:style>
  <w:style w:type="paragraph" w:styleId="44">
    <w:name w:val="toc 3"/>
    <w:basedOn w:val="1"/>
    <w:next w:val="1"/>
    <w:autoRedefine/>
    <w:unhideWhenUsed/>
    <w:qFormat/>
    <w:uiPriority w:val="39"/>
    <w:pPr>
      <w:tabs>
        <w:tab w:val="left" w:pos="1276"/>
        <w:tab w:val="right" w:leader="dot" w:pos="8296"/>
      </w:tabs>
      <w:spacing w:line="240" w:lineRule="auto"/>
      <w:ind w:left="480" w:firstLine="0" w:firstLineChars="0"/>
      <w:jc w:val="left"/>
    </w:pPr>
    <w:rPr>
      <w:rFonts w:asciiTheme="minorHAnsi" w:eastAsiaTheme="minorHAnsi"/>
      <w:i/>
      <w:iCs/>
      <w:sz w:val="20"/>
      <w:szCs w:val="20"/>
    </w:rPr>
  </w:style>
  <w:style w:type="paragraph" w:styleId="45">
    <w:name w:val="Plain Text"/>
    <w:basedOn w:val="1"/>
    <w:link w:val="125"/>
    <w:uiPriority w:val="0"/>
    <w:pPr>
      <w:spacing w:line="480" w:lineRule="exact"/>
    </w:pPr>
    <w:rPr>
      <w:rFonts w:ascii="宋体" w:hAnsi="Courier New" w:eastAsia="宋体" w:cs="Times New Roman"/>
      <w:color w:val="auto"/>
      <w:szCs w:val="20"/>
    </w:rPr>
  </w:style>
  <w:style w:type="paragraph" w:styleId="46">
    <w:name w:val="List Bullet 5"/>
    <w:basedOn w:val="1"/>
    <w:uiPriority w:val="0"/>
    <w:pPr>
      <w:numPr>
        <w:ilvl w:val="0"/>
        <w:numId w:val="10"/>
      </w:numPr>
      <w:adjustRightInd w:val="0"/>
      <w:snapToGrid w:val="0"/>
      <w:contextualSpacing/>
    </w:pPr>
    <w:rPr>
      <w:rFonts w:cs="Times New Roman"/>
      <w:color w:val="auto"/>
      <w:szCs w:val="24"/>
    </w:rPr>
  </w:style>
  <w:style w:type="paragraph" w:styleId="47">
    <w:name w:val="List Number 4"/>
    <w:basedOn w:val="1"/>
    <w:uiPriority w:val="0"/>
    <w:pPr>
      <w:numPr>
        <w:ilvl w:val="0"/>
        <w:numId w:val="11"/>
      </w:numPr>
      <w:adjustRightInd w:val="0"/>
      <w:snapToGrid w:val="0"/>
      <w:contextualSpacing/>
    </w:pPr>
    <w:rPr>
      <w:rFonts w:cs="Times New Roman"/>
      <w:color w:val="auto"/>
      <w:szCs w:val="24"/>
    </w:rPr>
  </w:style>
  <w:style w:type="paragraph" w:styleId="48">
    <w:name w:val="toc 8"/>
    <w:basedOn w:val="1"/>
    <w:next w:val="1"/>
    <w:autoRedefine/>
    <w:unhideWhenUsed/>
    <w:uiPriority w:val="39"/>
    <w:pPr>
      <w:ind w:left="1680"/>
      <w:jc w:val="left"/>
    </w:pPr>
    <w:rPr>
      <w:rFonts w:asciiTheme="minorHAnsi" w:eastAsiaTheme="minorHAnsi"/>
      <w:sz w:val="18"/>
      <w:szCs w:val="18"/>
    </w:rPr>
  </w:style>
  <w:style w:type="paragraph" w:styleId="49">
    <w:name w:val="index 3"/>
    <w:basedOn w:val="1"/>
    <w:next w:val="1"/>
    <w:autoRedefine/>
    <w:uiPriority w:val="0"/>
    <w:pPr>
      <w:adjustRightInd w:val="0"/>
      <w:snapToGrid w:val="0"/>
      <w:ind w:left="400" w:leftChars="400" w:firstLine="0"/>
    </w:pPr>
    <w:rPr>
      <w:rFonts w:cs="Times New Roman"/>
      <w:color w:val="auto"/>
      <w:szCs w:val="24"/>
    </w:rPr>
  </w:style>
  <w:style w:type="paragraph" w:styleId="50">
    <w:name w:val="Date"/>
    <w:basedOn w:val="1"/>
    <w:next w:val="1"/>
    <w:link w:val="148"/>
    <w:autoRedefine/>
    <w:qFormat/>
    <w:uiPriority w:val="0"/>
    <w:pPr>
      <w:adjustRightInd w:val="0"/>
      <w:snapToGrid w:val="0"/>
      <w:ind w:left="100" w:leftChars="2500"/>
    </w:pPr>
    <w:rPr>
      <w:rFonts w:cs="Times New Roman"/>
      <w:color w:val="auto"/>
      <w:szCs w:val="24"/>
    </w:rPr>
  </w:style>
  <w:style w:type="paragraph" w:styleId="51">
    <w:name w:val="Body Text Indent 2"/>
    <w:basedOn w:val="1"/>
    <w:link w:val="162"/>
    <w:uiPriority w:val="0"/>
    <w:pPr>
      <w:adjustRightInd w:val="0"/>
      <w:snapToGrid w:val="0"/>
      <w:ind w:firstLine="480"/>
    </w:pPr>
    <w:rPr>
      <w:rFonts w:cs="Times New Roman"/>
      <w:color w:val="FF0000"/>
      <w:kern w:val="0"/>
      <w:szCs w:val="28"/>
      <w:lang w:val="zh-CN"/>
    </w:rPr>
  </w:style>
  <w:style w:type="paragraph" w:styleId="52">
    <w:name w:val="endnote text"/>
    <w:basedOn w:val="1"/>
    <w:link w:val="357"/>
    <w:uiPriority w:val="0"/>
    <w:pPr>
      <w:adjustRightInd w:val="0"/>
      <w:snapToGrid w:val="0"/>
      <w:jc w:val="left"/>
    </w:pPr>
    <w:rPr>
      <w:rFonts w:cs="Times New Roman"/>
      <w:color w:val="auto"/>
      <w:szCs w:val="24"/>
    </w:rPr>
  </w:style>
  <w:style w:type="paragraph" w:styleId="53">
    <w:name w:val="List Continue 5"/>
    <w:basedOn w:val="1"/>
    <w:uiPriority w:val="0"/>
    <w:pPr>
      <w:adjustRightInd w:val="0"/>
      <w:snapToGrid w:val="0"/>
      <w:spacing w:after="120"/>
      <w:ind w:left="2100" w:leftChars="1000"/>
      <w:contextualSpacing/>
    </w:pPr>
    <w:rPr>
      <w:rFonts w:cs="Times New Roman"/>
      <w:color w:val="auto"/>
      <w:szCs w:val="24"/>
    </w:rPr>
  </w:style>
  <w:style w:type="paragraph" w:styleId="54">
    <w:name w:val="Balloon Text"/>
    <w:basedOn w:val="1"/>
    <w:link w:val="121"/>
    <w:unhideWhenUsed/>
    <w:uiPriority w:val="99"/>
    <w:pPr>
      <w:spacing w:line="240" w:lineRule="auto"/>
    </w:pPr>
    <w:rPr>
      <w:rFonts w:cs="Times New Roman"/>
      <w:color w:val="000000"/>
      <w:kern w:val="0"/>
      <w:sz w:val="18"/>
      <w:szCs w:val="18"/>
    </w:rPr>
  </w:style>
  <w:style w:type="paragraph" w:styleId="55">
    <w:name w:val="footer"/>
    <w:basedOn w:val="1"/>
    <w:link w:val="98"/>
    <w:unhideWhenUsed/>
    <w:uiPriority w:val="99"/>
    <w:pPr>
      <w:tabs>
        <w:tab w:val="center" w:pos="4153"/>
        <w:tab w:val="right" w:pos="8306"/>
      </w:tabs>
      <w:snapToGrid w:val="0"/>
      <w:jc w:val="left"/>
    </w:pPr>
    <w:rPr>
      <w:sz w:val="18"/>
      <w:szCs w:val="18"/>
    </w:rPr>
  </w:style>
  <w:style w:type="paragraph" w:styleId="56">
    <w:name w:val="envelope return"/>
    <w:basedOn w:val="1"/>
    <w:uiPriority w:val="0"/>
    <w:pPr>
      <w:adjustRightInd w:val="0"/>
      <w:snapToGrid w:val="0"/>
    </w:pPr>
    <w:rPr>
      <w:rFonts w:ascii="Cambria" w:hAnsi="Cambria" w:eastAsia="宋体" w:cs="Times New Roman"/>
      <w:color w:val="auto"/>
      <w:szCs w:val="24"/>
    </w:rPr>
  </w:style>
  <w:style w:type="paragraph" w:styleId="57">
    <w:name w:val="header"/>
    <w:basedOn w:val="1"/>
    <w:link w:val="97"/>
    <w:unhideWhenUsed/>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355"/>
    <w:uiPriority w:val="0"/>
    <w:pPr>
      <w:adjustRightInd w:val="0"/>
      <w:snapToGrid w:val="0"/>
      <w:ind w:left="100" w:leftChars="2100"/>
    </w:pPr>
    <w:rPr>
      <w:rFonts w:cs="Times New Roman"/>
      <w:color w:val="auto"/>
      <w:szCs w:val="24"/>
    </w:rPr>
  </w:style>
  <w:style w:type="paragraph" w:styleId="59">
    <w:name w:val="toc 1"/>
    <w:basedOn w:val="1"/>
    <w:next w:val="1"/>
    <w:autoRedefine/>
    <w:unhideWhenUsed/>
    <w:qFormat/>
    <w:uiPriority w:val="39"/>
    <w:pPr>
      <w:tabs>
        <w:tab w:val="left" w:pos="1134"/>
        <w:tab w:val="right" w:leader="dot" w:pos="8296"/>
      </w:tabs>
      <w:ind w:firstLine="0" w:firstLineChars="0"/>
      <w:jc w:val="left"/>
    </w:pPr>
    <w:rPr>
      <w:rFonts w:cs="Times New Roman"/>
      <w:b/>
      <w:bCs/>
      <w:caps/>
      <w:color w:val="auto"/>
      <w:sz w:val="21"/>
      <w:szCs w:val="21"/>
    </w:rPr>
  </w:style>
  <w:style w:type="paragraph" w:styleId="60">
    <w:name w:val="List Continue 4"/>
    <w:basedOn w:val="1"/>
    <w:uiPriority w:val="0"/>
    <w:pPr>
      <w:adjustRightInd w:val="0"/>
      <w:snapToGrid w:val="0"/>
      <w:spacing w:after="120"/>
      <w:ind w:left="1680" w:leftChars="800"/>
      <w:contextualSpacing/>
    </w:pPr>
    <w:rPr>
      <w:rFonts w:cs="Times New Roman"/>
      <w:color w:val="auto"/>
      <w:szCs w:val="24"/>
    </w:rPr>
  </w:style>
  <w:style w:type="paragraph" w:styleId="61">
    <w:name w:val="toc 4"/>
    <w:basedOn w:val="1"/>
    <w:next w:val="1"/>
    <w:autoRedefine/>
    <w:unhideWhenUsed/>
    <w:uiPriority w:val="39"/>
    <w:pPr>
      <w:ind w:left="720"/>
      <w:jc w:val="left"/>
    </w:pPr>
    <w:rPr>
      <w:rFonts w:asciiTheme="minorHAnsi" w:eastAsiaTheme="minorHAnsi"/>
      <w:sz w:val="18"/>
      <w:szCs w:val="18"/>
    </w:rPr>
  </w:style>
  <w:style w:type="paragraph" w:styleId="62">
    <w:name w:val="index heading"/>
    <w:basedOn w:val="1"/>
    <w:next w:val="63"/>
    <w:uiPriority w:val="0"/>
    <w:pPr>
      <w:adjustRightInd w:val="0"/>
      <w:snapToGrid w:val="0"/>
    </w:pPr>
    <w:rPr>
      <w:rFonts w:ascii="Cambria" w:hAnsi="Cambria" w:eastAsia="宋体" w:cs="Times New Roman"/>
      <w:b/>
      <w:bCs/>
      <w:color w:val="auto"/>
      <w:szCs w:val="24"/>
    </w:rPr>
  </w:style>
  <w:style w:type="paragraph" w:styleId="63">
    <w:name w:val="index 1"/>
    <w:basedOn w:val="1"/>
    <w:next w:val="1"/>
    <w:autoRedefine/>
    <w:uiPriority w:val="0"/>
    <w:pPr>
      <w:adjustRightInd w:val="0"/>
      <w:snapToGrid w:val="0"/>
      <w:ind w:firstLine="0"/>
    </w:pPr>
    <w:rPr>
      <w:rFonts w:cs="Times New Roman"/>
      <w:color w:val="auto"/>
      <w:szCs w:val="24"/>
    </w:rPr>
  </w:style>
  <w:style w:type="paragraph" w:styleId="64">
    <w:name w:val="Subtitle"/>
    <w:basedOn w:val="1"/>
    <w:next w:val="1"/>
    <w:link w:val="349"/>
    <w:uiPriority w:val="0"/>
    <w:pPr>
      <w:adjustRightInd w:val="0"/>
      <w:snapToGrid w:val="0"/>
      <w:spacing w:before="240" w:after="60" w:line="312" w:lineRule="auto"/>
      <w:jc w:val="center"/>
      <w:outlineLvl w:val="1"/>
    </w:pPr>
    <w:rPr>
      <w:rFonts w:ascii="Cambria" w:hAnsi="Cambria" w:eastAsia="宋体" w:cs="Times New Roman"/>
      <w:b/>
      <w:bCs/>
      <w:color w:val="auto"/>
      <w:kern w:val="28"/>
      <w:sz w:val="32"/>
      <w:szCs w:val="32"/>
    </w:rPr>
  </w:style>
  <w:style w:type="paragraph" w:styleId="65">
    <w:name w:val="List Number 5"/>
    <w:basedOn w:val="1"/>
    <w:uiPriority w:val="0"/>
    <w:pPr>
      <w:numPr>
        <w:ilvl w:val="0"/>
        <w:numId w:val="12"/>
      </w:numPr>
      <w:adjustRightInd w:val="0"/>
      <w:snapToGrid w:val="0"/>
      <w:contextualSpacing/>
    </w:pPr>
    <w:rPr>
      <w:rFonts w:cs="Times New Roman"/>
      <w:color w:val="auto"/>
      <w:szCs w:val="24"/>
    </w:rPr>
  </w:style>
  <w:style w:type="paragraph" w:styleId="66">
    <w:name w:val="List"/>
    <w:basedOn w:val="1"/>
    <w:uiPriority w:val="0"/>
    <w:pPr>
      <w:spacing w:before="20" w:after="20" w:line="240" w:lineRule="auto"/>
      <w:ind w:firstLine="0" w:firstLineChars="0"/>
      <w:jc w:val="center"/>
    </w:pPr>
    <w:rPr>
      <w:rFonts w:cs="Times New Roman"/>
      <w:color w:val="000000"/>
      <w:szCs w:val="20"/>
    </w:rPr>
  </w:style>
  <w:style w:type="paragraph" w:styleId="67">
    <w:name w:val="footnote text"/>
    <w:basedOn w:val="1"/>
    <w:link w:val="351"/>
    <w:uiPriority w:val="0"/>
    <w:pPr>
      <w:adjustRightInd w:val="0"/>
      <w:snapToGrid w:val="0"/>
      <w:jc w:val="left"/>
    </w:pPr>
    <w:rPr>
      <w:rFonts w:cs="Times New Roman"/>
      <w:color w:val="auto"/>
      <w:sz w:val="18"/>
      <w:szCs w:val="18"/>
    </w:rPr>
  </w:style>
  <w:style w:type="paragraph" w:styleId="68">
    <w:name w:val="toc 6"/>
    <w:basedOn w:val="1"/>
    <w:next w:val="1"/>
    <w:autoRedefine/>
    <w:uiPriority w:val="39"/>
    <w:pPr>
      <w:ind w:left="1200"/>
      <w:jc w:val="left"/>
    </w:pPr>
    <w:rPr>
      <w:rFonts w:asciiTheme="minorHAnsi" w:eastAsiaTheme="minorHAnsi"/>
      <w:sz w:val="18"/>
      <w:szCs w:val="18"/>
    </w:rPr>
  </w:style>
  <w:style w:type="paragraph" w:styleId="69">
    <w:name w:val="List 5"/>
    <w:basedOn w:val="1"/>
    <w:uiPriority w:val="0"/>
    <w:pPr>
      <w:adjustRightInd w:val="0"/>
      <w:snapToGrid w:val="0"/>
      <w:ind w:left="100" w:leftChars="800" w:hanging="200" w:hangingChars="200"/>
      <w:contextualSpacing/>
    </w:pPr>
    <w:rPr>
      <w:rFonts w:cs="Times New Roman"/>
      <w:color w:val="auto"/>
      <w:szCs w:val="24"/>
    </w:rPr>
  </w:style>
  <w:style w:type="paragraph" w:styleId="70">
    <w:name w:val="Body Text Indent 3"/>
    <w:basedOn w:val="1"/>
    <w:link w:val="364"/>
    <w:uiPriority w:val="0"/>
    <w:pPr>
      <w:adjustRightInd w:val="0"/>
      <w:snapToGrid w:val="0"/>
      <w:spacing w:after="120"/>
      <w:ind w:left="420" w:leftChars="200"/>
    </w:pPr>
    <w:rPr>
      <w:rFonts w:cs="Times New Roman"/>
      <w:color w:val="auto"/>
      <w:sz w:val="16"/>
      <w:szCs w:val="16"/>
    </w:rPr>
  </w:style>
  <w:style w:type="paragraph" w:styleId="71">
    <w:name w:val="index 7"/>
    <w:basedOn w:val="1"/>
    <w:next w:val="1"/>
    <w:autoRedefine/>
    <w:uiPriority w:val="0"/>
    <w:pPr>
      <w:adjustRightInd w:val="0"/>
      <w:snapToGrid w:val="0"/>
      <w:ind w:left="1200" w:leftChars="1200" w:firstLine="0"/>
    </w:pPr>
    <w:rPr>
      <w:rFonts w:cs="Times New Roman"/>
      <w:color w:val="auto"/>
      <w:szCs w:val="24"/>
    </w:rPr>
  </w:style>
  <w:style w:type="paragraph" w:styleId="72">
    <w:name w:val="index 9"/>
    <w:basedOn w:val="1"/>
    <w:next w:val="1"/>
    <w:autoRedefine/>
    <w:uiPriority w:val="0"/>
    <w:pPr>
      <w:adjustRightInd w:val="0"/>
      <w:snapToGrid w:val="0"/>
      <w:ind w:left="1600" w:leftChars="1600" w:firstLine="0"/>
    </w:pPr>
    <w:rPr>
      <w:rFonts w:cs="Times New Roman"/>
      <w:color w:val="auto"/>
      <w:szCs w:val="24"/>
    </w:rPr>
  </w:style>
  <w:style w:type="paragraph" w:styleId="73">
    <w:name w:val="table of figures"/>
    <w:basedOn w:val="1"/>
    <w:next w:val="1"/>
    <w:uiPriority w:val="0"/>
    <w:pPr>
      <w:adjustRightInd w:val="0"/>
      <w:snapToGrid w:val="0"/>
      <w:ind w:left="200" w:leftChars="200" w:hanging="200" w:hangingChars="200"/>
    </w:pPr>
    <w:rPr>
      <w:rFonts w:cs="Times New Roman"/>
      <w:color w:val="auto"/>
      <w:szCs w:val="24"/>
    </w:rPr>
  </w:style>
  <w:style w:type="paragraph" w:styleId="74">
    <w:name w:val="toc 2"/>
    <w:basedOn w:val="1"/>
    <w:next w:val="1"/>
    <w:autoRedefine/>
    <w:unhideWhenUsed/>
    <w:qFormat/>
    <w:uiPriority w:val="39"/>
    <w:pPr>
      <w:tabs>
        <w:tab w:val="left" w:pos="851"/>
        <w:tab w:val="right" w:leader="dot" w:pos="8296"/>
      </w:tabs>
      <w:ind w:left="240" w:firstLine="43" w:firstLineChars="18"/>
      <w:jc w:val="left"/>
    </w:pPr>
    <w:rPr>
      <w:rFonts w:asciiTheme="minorHAnsi" w:eastAsiaTheme="minorHAnsi"/>
      <w:smallCaps/>
      <w:sz w:val="20"/>
      <w:szCs w:val="20"/>
    </w:rPr>
  </w:style>
  <w:style w:type="paragraph" w:styleId="75">
    <w:name w:val="toc 9"/>
    <w:basedOn w:val="1"/>
    <w:next w:val="1"/>
    <w:autoRedefine/>
    <w:unhideWhenUsed/>
    <w:uiPriority w:val="39"/>
    <w:pPr>
      <w:ind w:left="1920"/>
      <w:jc w:val="left"/>
    </w:pPr>
    <w:rPr>
      <w:rFonts w:asciiTheme="minorHAnsi" w:eastAsiaTheme="minorHAnsi"/>
      <w:sz w:val="18"/>
      <w:szCs w:val="18"/>
    </w:rPr>
  </w:style>
  <w:style w:type="paragraph" w:styleId="76">
    <w:name w:val="Body Text 2"/>
    <w:basedOn w:val="1"/>
    <w:link w:val="362"/>
    <w:uiPriority w:val="0"/>
    <w:pPr>
      <w:adjustRightInd w:val="0"/>
      <w:snapToGrid w:val="0"/>
      <w:spacing w:after="120" w:line="480" w:lineRule="auto"/>
    </w:pPr>
    <w:rPr>
      <w:rFonts w:cs="Times New Roman"/>
      <w:color w:val="auto"/>
      <w:szCs w:val="24"/>
    </w:rPr>
  </w:style>
  <w:style w:type="paragraph" w:styleId="77">
    <w:name w:val="List 4"/>
    <w:basedOn w:val="1"/>
    <w:uiPriority w:val="0"/>
    <w:pPr>
      <w:adjustRightInd w:val="0"/>
      <w:snapToGrid w:val="0"/>
      <w:ind w:left="100" w:leftChars="600" w:hanging="200" w:hangingChars="200"/>
    </w:pPr>
    <w:rPr>
      <w:rFonts w:cs="Times New Roman"/>
      <w:color w:val="auto"/>
      <w:kern w:val="0"/>
      <w:szCs w:val="20"/>
      <w:lang w:val="zh-CN"/>
    </w:rPr>
  </w:style>
  <w:style w:type="paragraph" w:styleId="78">
    <w:name w:val="List Continue 2"/>
    <w:basedOn w:val="1"/>
    <w:uiPriority w:val="0"/>
    <w:pPr>
      <w:adjustRightInd w:val="0"/>
      <w:snapToGrid w:val="0"/>
      <w:spacing w:after="120"/>
      <w:ind w:left="840" w:leftChars="400"/>
      <w:contextualSpacing/>
    </w:pPr>
    <w:rPr>
      <w:rFonts w:cs="Times New Roman"/>
      <w:color w:val="auto"/>
      <w:szCs w:val="24"/>
    </w:rPr>
  </w:style>
  <w:style w:type="paragraph" w:styleId="79">
    <w:name w:val="Message Header"/>
    <w:basedOn w:val="1"/>
    <w:link w:val="358"/>
    <w:uiPriority w:val="0"/>
    <w:pPr>
      <w:pBdr>
        <w:top w:val="single" w:color="auto" w:sz="6" w:space="1"/>
        <w:left w:val="single" w:color="auto" w:sz="6" w:space="1"/>
        <w:bottom w:val="single" w:color="auto" w:sz="6" w:space="1"/>
        <w:right w:val="single" w:color="auto" w:sz="6" w:space="1"/>
      </w:pBdr>
      <w:shd w:val="pct20" w:color="auto" w:fill="auto"/>
      <w:adjustRightInd w:val="0"/>
      <w:snapToGrid w:val="0"/>
      <w:ind w:left="1080" w:leftChars="500" w:hanging="1080" w:hangingChars="500"/>
    </w:pPr>
    <w:rPr>
      <w:rFonts w:ascii="Cambria" w:hAnsi="Cambria" w:eastAsia="宋体" w:cs="Times New Roman"/>
      <w:color w:val="auto"/>
      <w:szCs w:val="24"/>
    </w:rPr>
  </w:style>
  <w:style w:type="paragraph" w:styleId="80">
    <w:name w:val="HTML Preformatted"/>
    <w:basedOn w:val="1"/>
    <w:link w:val="246"/>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Arial" w:hAnsi="Arial" w:cs="Times New Roman"/>
      <w:color w:val="auto"/>
      <w:kern w:val="0"/>
      <w:szCs w:val="24"/>
    </w:rPr>
  </w:style>
  <w:style w:type="paragraph" w:styleId="81">
    <w:name w:val="Normal (Web)"/>
    <w:basedOn w:val="1"/>
    <w:qFormat/>
    <w:uiPriority w:val="99"/>
    <w:pPr>
      <w:widowControl/>
      <w:adjustRightInd w:val="0"/>
      <w:snapToGrid w:val="0"/>
      <w:spacing w:before="100" w:beforeAutospacing="1" w:after="100" w:afterAutospacing="1" w:line="240" w:lineRule="auto"/>
      <w:jc w:val="left"/>
    </w:pPr>
    <w:rPr>
      <w:rFonts w:ascii="宋体" w:hAnsi="宋体" w:cs="宋体"/>
      <w:color w:val="auto"/>
      <w:kern w:val="0"/>
      <w:szCs w:val="24"/>
    </w:rPr>
  </w:style>
  <w:style w:type="paragraph" w:styleId="82">
    <w:name w:val="List Continue 3"/>
    <w:basedOn w:val="1"/>
    <w:uiPriority w:val="0"/>
    <w:pPr>
      <w:adjustRightInd w:val="0"/>
      <w:snapToGrid w:val="0"/>
      <w:spacing w:after="120"/>
      <w:ind w:left="1260" w:leftChars="600"/>
      <w:contextualSpacing/>
    </w:pPr>
    <w:rPr>
      <w:rFonts w:cs="Times New Roman"/>
      <w:color w:val="auto"/>
      <w:szCs w:val="24"/>
    </w:rPr>
  </w:style>
  <w:style w:type="paragraph" w:styleId="83">
    <w:name w:val="index 2"/>
    <w:basedOn w:val="1"/>
    <w:next w:val="1"/>
    <w:autoRedefine/>
    <w:uiPriority w:val="0"/>
    <w:pPr>
      <w:adjustRightInd w:val="0"/>
      <w:snapToGrid w:val="0"/>
      <w:ind w:left="200" w:leftChars="200" w:firstLine="0"/>
    </w:pPr>
    <w:rPr>
      <w:rFonts w:cs="Times New Roman"/>
      <w:color w:val="auto"/>
      <w:szCs w:val="24"/>
    </w:rPr>
  </w:style>
  <w:style w:type="paragraph" w:styleId="84">
    <w:name w:val="Title"/>
    <w:basedOn w:val="1"/>
    <w:next w:val="1"/>
    <w:link w:val="107"/>
    <w:qFormat/>
    <w:uiPriority w:val="10"/>
    <w:pPr>
      <w:adjustRightInd w:val="0"/>
      <w:snapToGrid w:val="0"/>
      <w:spacing w:before="240" w:after="60"/>
      <w:ind w:firstLine="0" w:firstLineChars="0"/>
      <w:jc w:val="left"/>
      <w:outlineLvl w:val="0"/>
    </w:pPr>
    <w:rPr>
      <w:rFonts w:ascii="Cambria" w:hAnsi="Cambria" w:cs="Times New Roman"/>
      <w:b/>
      <w:bCs/>
      <w:color w:val="auto"/>
      <w:kern w:val="0"/>
      <w:sz w:val="30"/>
      <w:szCs w:val="32"/>
      <w:lang w:val="zh-CN"/>
    </w:rPr>
  </w:style>
  <w:style w:type="paragraph" w:styleId="85">
    <w:name w:val="annotation subject"/>
    <w:basedOn w:val="28"/>
    <w:next w:val="28"/>
    <w:link w:val="344"/>
    <w:uiPriority w:val="0"/>
    <w:rPr>
      <w:b/>
      <w:bCs/>
    </w:rPr>
  </w:style>
  <w:style w:type="paragraph" w:styleId="86">
    <w:name w:val="Body Text First Indent"/>
    <w:basedOn w:val="34"/>
    <w:link w:val="136"/>
    <w:uiPriority w:val="0"/>
    <w:pPr>
      <w:spacing w:after="120" w:line="360" w:lineRule="auto"/>
      <w:ind w:firstLine="420" w:firstLineChars="100"/>
    </w:pPr>
    <w:rPr>
      <w:kern w:val="2"/>
      <w:sz w:val="24"/>
    </w:rPr>
  </w:style>
  <w:style w:type="paragraph" w:styleId="87">
    <w:name w:val="Body Text First Indent 2"/>
    <w:basedOn w:val="35"/>
    <w:link w:val="361"/>
    <w:uiPriority w:val="0"/>
    <w:pPr>
      <w:spacing w:after="120" w:line="360" w:lineRule="auto"/>
      <w:ind w:left="420" w:leftChars="200" w:firstLine="420"/>
    </w:pPr>
    <w:rPr>
      <w:kern w:val="2"/>
      <w:szCs w:val="24"/>
    </w:rPr>
  </w:style>
  <w:style w:type="table" w:styleId="89">
    <w:name w:val="Table Grid"/>
    <w:basedOn w:val="88"/>
    <w:qFormat/>
    <w:uiPriority w:val="39"/>
    <w:pPr>
      <w:widowControl w:val="0"/>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basedOn w:val="90"/>
    <w:uiPriority w:val="0"/>
    <w:rPr>
      <w:b/>
      <w:bCs/>
    </w:rPr>
  </w:style>
  <w:style w:type="character" w:styleId="92">
    <w:name w:val="page number"/>
    <w:basedOn w:val="90"/>
    <w:uiPriority w:val="0"/>
  </w:style>
  <w:style w:type="character" w:styleId="93">
    <w:name w:val="FollowedHyperlink"/>
    <w:uiPriority w:val="99"/>
    <w:rPr>
      <w:color w:val="800080"/>
      <w:u w:val="single"/>
    </w:rPr>
  </w:style>
  <w:style w:type="character" w:styleId="94">
    <w:name w:val="Emphasis"/>
    <w:basedOn w:val="90"/>
    <w:qFormat/>
    <w:uiPriority w:val="20"/>
    <w:rPr>
      <w:iCs/>
      <w:color w:val="auto"/>
    </w:rPr>
  </w:style>
  <w:style w:type="character" w:styleId="95">
    <w:name w:val="Hyperlink"/>
    <w:unhideWhenUsed/>
    <w:uiPriority w:val="99"/>
    <w:rPr>
      <w:color w:val="0000FF"/>
      <w:u w:val="single"/>
    </w:rPr>
  </w:style>
  <w:style w:type="character" w:styleId="96">
    <w:name w:val="annotation reference"/>
    <w:uiPriority w:val="0"/>
    <w:rPr>
      <w:sz w:val="21"/>
      <w:szCs w:val="21"/>
    </w:rPr>
  </w:style>
  <w:style w:type="character" w:customStyle="1" w:styleId="97">
    <w:name w:val="页眉 Char"/>
    <w:basedOn w:val="90"/>
    <w:link w:val="57"/>
    <w:uiPriority w:val="99"/>
    <w:rPr>
      <w:sz w:val="18"/>
      <w:szCs w:val="18"/>
    </w:rPr>
  </w:style>
  <w:style w:type="character" w:customStyle="1" w:styleId="98">
    <w:name w:val="页脚 Char"/>
    <w:basedOn w:val="90"/>
    <w:link w:val="55"/>
    <w:uiPriority w:val="99"/>
    <w:rPr>
      <w:sz w:val="18"/>
      <w:szCs w:val="18"/>
    </w:rPr>
  </w:style>
  <w:style w:type="character" w:customStyle="1" w:styleId="99">
    <w:name w:val="标题 1 Char"/>
    <w:basedOn w:val="90"/>
    <w:link w:val="3"/>
    <w:uiPriority w:val="9"/>
    <w:rPr>
      <w:rFonts w:ascii="Times New Roman" w:hAnsi="Times New Roman" w:eastAsia="仿宋_GB2312" w:cs="Times New Roman"/>
      <w:b/>
      <w:bCs/>
      <w:color w:val="000000" w:themeColor="text1"/>
      <w:kern w:val="44"/>
      <w:sz w:val="32"/>
      <w:szCs w:val="44"/>
    </w:rPr>
  </w:style>
  <w:style w:type="character" w:customStyle="1" w:styleId="100">
    <w:name w:val="标题 2 Char"/>
    <w:basedOn w:val="90"/>
    <w:link w:val="4"/>
    <w:uiPriority w:val="9"/>
    <w:rPr>
      <w:rFonts w:ascii="Times New Roman" w:hAnsi="Times New Roman" w:eastAsia="仿宋_GB2312" w:cs="Times New Roman"/>
      <w:b/>
      <w:bCs/>
      <w:kern w:val="0"/>
      <w:sz w:val="28"/>
      <w:szCs w:val="32"/>
      <w:lang w:val="zh-CN"/>
    </w:rPr>
  </w:style>
  <w:style w:type="character" w:customStyle="1" w:styleId="101">
    <w:name w:val="标题 3 Char"/>
    <w:basedOn w:val="90"/>
    <w:link w:val="5"/>
    <w:uiPriority w:val="9"/>
    <w:rPr>
      <w:rFonts w:ascii="Times New Roman" w:hAnsi="Times New Roman" w:eastAsia="仿宋_GB2312" w:cs="Times New Roman"/>
      <w:b/>
      <w:bCs/>
      <w:kern w:val="0"/>
      <w:sz w:val="24"/>
      <w:szCs w:val="32"/>
    </w:rPr>
  </w:style>
  <w:style w:type="character" w:customStyle="1" w:styleId="102">
    <w:name w:val="标题 5 Char"/>
    <w:basedOn w:val="90"/>
    <w:link w:val="7"/>
    <w:uiPriority w:val="9"/>
    <w:rPr>
      <w:rFonts w:ascii="Times New Roman" w:hAnsi="Times New Roman" w:eastAsia="仿宋_GB2312" w:cs="Times New Roman"/>
      <w:b/>
      <w:bCs/>
      <w:color w:val="000000" w:themeColor="text1"/>
      <w:sz w:val="28"/>
      <w:szCs w:val="28"/>
    </w:rPr>
  </w:style>
  <w:style w:type="character" w:customStyle="1" w:styleId="103">
    <w:name w:val="标题 6 Char"/>
    <w:basedOn w:val="90"/>
    <w:link w:val="8"/>
    <w:uiPriority w:val="0"/>
    <w:rPr>
      <w:rFonts w:asciiTheme="majorHAnsi" w:hAnsiTheme="majorHAnsi" w:eastAsiaTheme="majorEastAsia" w:cstheme="majorBidi"/>
      <w:b/>
      <w:bCs/>
      <w:color w:val="000000" w:themeColor="text1"/>
      <w:sz w:val="24"/>
      <w:szCs w:val="24"/>
    </w:rPr>
  </w:style>
  <w:style w:type="character" w:customStyle="1" w:styleId="104">
    <w:name w:val="标题 7 Char"/>
    <w:basedOn w:val="90"/>
    <w:link w:val="9"/>
    <w:uiPriority w:val="0"/>
    <w:rPr>
      <w:rFonts w:ascii="Times New Roman" w:hAnsi="Times New Roman" w:eastAsia="仿宋_GB2312" w:cs="Times New Roman"/>
      <w:b/>
      <w:bCs/>
      <w:color w:val="000000" w:themeColor="text1"/>
      <w:sz w:val="24"/>
      <w:szCs w:val="24"/>
    </w:rPr>
  </w:style>
  <w:style w:type="character" w:customStyle="1" w:styleId="105">
    <w:name w:val="标题 8 Char"/>
    <w:basedOn w:val="90"/>
    <w:link w:val="10"/>
    <w:uiPriority w:val="0"/>
    <w:rPr>
      <w:rFonts w:asciiTheme="majorHAnsi" w:hAnsiTheme="majorHAnsi" w:eastAsiaTheme="majorEastAsia" w:cstheme="majorBidi"/>
      <w:color w:val="000000" w:themeColor="text1"/>
      <w:sz w:val="24"/>
      <w:szCs w:val="24"/>
    </w:rPr>
  </w:style>
  <w:style w:type="character" w:customStyle="1" w:styleId="106">
    <w:name w:val="标题 9 Char"/>
    <w:basedOn w:val="90"/>
    <w:link w:val="11"/>
    <w:uiPriority w:val="0"/>
    <w:rPr>
      <w:rFonts w:asciiTheme="majorHAnsi" w:hAnsiTheme="majorHAnsi" w:eastAsiaTheme="majorEastAsia" w:cstheme="majorBidi"/>
      <w:color w:val="000000" w:themeColor="text1"/>
      <w:szCs w:val="21"/>
    </w:rPr>
  </w:style>
  <w:style w:type="character" w:customStyle="1" w:styleId="107">
    <w:name w:val="标题 Char"/>
    <w:basedOn w:val="90"/>
    <w:link w:val="84"/>
    <w:uiPriority w:val="10"/>
    <w:rPr>
      <w:rFonts w:ascii="Cambria" w:hAnsi="Cambria" w:eastAsia="仿宋_GB2312" w:cs="Times New Roman"/>
      <w:b/>
      <w:bCs/>
      <w:kern w:val="0"/>
      <w:sz w:val="30"/>
      <w:szCs w:val="32"/>
      <w:lang w:val="zh-CN"/>
    </w:rPr>
  </w:style>
  <w:style w:type="paragraph" w:styleId="108">
    <w:name w:val="No Spacing"/>
    <w:link w:val="109"/>
    <w:qFormat/>
    <w:uiPriority w:val="1"/>
    <w:pPr>
      <w:widowControl w:val="0"/>
      <w:jc w:val="both"/>
    </w:pPr>
    <w:rPr>
      <w:rFonts w:ascii="Times New Roman" w:hAnsi="Times New Roman" w:eastAsia="仿宋_GB2312" w:cs="Times New Roman"/>
      <w:color w:val="000000" w:themeColor="text1"/>
      <w:kern w:val="2"/>
      <w:sz w:val="21"/>
      <w:szCs w:val="22"/>
      <w:lang w:val="en-US" w:eastAsia="zh-CN" w:bidi="ar-SA"/>
    </w:rPr>
  </w:style>
  <w:style w:type="character" w:customStyle="1" w:styleId="109">
    <w:name w:val="无间隔 Char"/>
    <w:basedOn w:val="90"/>
    <w:link w:val="108"/>
    <w:uiPriority w:val="99"/>
    <w:rPr>
      <w:rFonts w:ascii="Times New Roman" w:hAnsi="Times New Roman" w:eastAsia="仿宋_GB2312" w:cs="Times New Roman"/>
      <w:color w:val="000000" w:themeColor="text1"/>
    </w:rPr>
  </w:style>
  <w:style w:type="paragraph" w:styleId="110">
    <w:name w:val="List Paragraph"/>
    <w:basedOn w:val="1"/>
    <w:qFormat/>
    <w:uiPriority w:val="0"/>
    <w:pPr>
      <w:adjustRightInd w:val="0"/>
      <w:snapToGrid w:val="0"/>
      <w:ind w:firstLine="420"/>
      <w:jc w:val="left"/>
    </w:pPr>
    <w:rPr>
      <w:rFonts w:cs="Times New Roman"/>
      <w:color w:val="auto"/>
      <w:kern w:val="0"/>
      <w:szCs w:val="20"/>
      <w:lang w:val="zh-CN"/>
    </w:rPr>
  </w:style>
  <w:style w:type="paragraph" w:customStyle="1" w:styleId="111">
    <w:name w:val="TOC Heading"/>
    <w:basedOn w:val="3"/>
    <w:next w:val="1"/>
    <w:qFormat/>
    <w:uiPriority w:val="39"/>
    <w:pPr>
      <w:widowControl/>
      <w:numPr>
        <w:numId w:val="0"/>
      </w:numPr>
      <w:adjustRightInd w:val="0"/>
      <w:snapToGrid w:val="0"/>
      <w:spacing w:before="480" w:after="0" w:line="276" w:lineRule="auto"/>
      <w:outlineLvl w:val="9"/>
    </w:pPr>
    <w:rPr>
      <w:rFonts w:ascii="Cambria" w:hAnsi="Cambria"/>
      <w:color w:val="365F91"/>
      <w:kern w:val="0"/>
      <w:sz w:val="28"/>
      <w:szCs w:val="28"/>
    </w:rPr>
  </w:style>
  <w:style w:type="paragraph" w:customStyle="1" w:styleId="112">
    <w:name w:val="题注表格标题"/>
    <w:basedOn w:val="1"/>
    <w:link w:val="113"/>
    <w:qFormat/>
    <w:uiPriority w:val="0"/>
    <w:pPr>
      <w:ind w:firstLine="0" w:firstLineChars="0"/>
      <w:jc w:val="center"/>
    </w:pPr>
    <w:rPr>
      <w:rFonts w:cs="Times New Roman"/>
      <w:b/>
      <w:sz w:val="21"/>
      <w:szCs w:val="21"/>
    </w:rPr>
  </w:style>
  <w:style w:type="character" w:customStyle="1" w:styleId="113">
    <w:name w:val="题注表格标题 Char"/>
    <w:basedOn w:val="90"/>
    <w:link w:val="112"/>
    <w:uiPriority w:val="0"/>
    <w:rPr>
      <w:rFonts w:ascii="Times New Roman" w:hAnsi="Times New Roman" w:eastAsia="仿宋_GB2312" w:cs="Times New Roman"/>
      <w:b/>
      <w:color w:val="000000" w:themeColor="text1"/>
      <w:szCs w:val="21"/>
    </w:rPr>
  </w:style>
  <w:style w:type="paragraph" w:customStyle="1" w:styleId="114">
    <w:name w:val="表格表格"/>
    <w:basedOn w:val="1"/>
    <w:link w:val="374"/>
    <w:qFormat/>
    <w:uiPriority w:val="0"/>
    <w:pPr>
      <w:adjustRightInd w:val="0"/>
      <w:snapToGrid w:val="0"/>
      <w:spacing w:line="320" w:lineRule="exact"/>
      <w:ind w:firstLine="0" w:firstLineChars="0"/>
      <w:jc w:val="center"/>
    </w:pPr>
    <w:rPr>
      <w:rFonts w:cs="Times New Roman"/>
      <w:color w:val="auto"/>
      <w:sz w:val="21"/>
      <w:szCs w:val="24"/>
    </w:rPr>
  </w:style>
  <w:style w:type="paragraph" w:customStyle="1" w:styleId="115">
    <w:name w:val="form_title"/>
    <w:basedOn w:val="1"/>
    <w:qFormat/>
    <w:uiPriority w:val="99"/>
    <w:pPr>
      <w:adjustRightInd w:val="0"/>
      <w:spacing w:beforeLines="50" w:afterLines="50" w:line="120" w:lineRule="auto"/>
      <w:ind w:firstLine="0" w:firstLineChars="0"/>
      <w:jc w:val="center"/>
      <w:textAlignment w:val="baseline"/>
    </w:pPr>
    <w:rPr>
      <w:rFonts w:ascii="宋体" w:eastAsia="宋体" w:cs="Times New Roman"/>
      <w:color w:val="auto"/>
      <w:kern w:val="0"/>
      <w:szCs w:val="24"/>
    </w:rPr>
  </w:style>
  <w:style w:type="paragraph" w:customStyle="1" w:styleId="116">
    <w:name w:val="1.1.1.1标题4"/>
    <w:basedOn w:val="1"/>
    <w:link w:val="117"/>
    <w:qFormat/>
    <w:uiPriority w:val="0"/>
    <w:pPr>
      <w:numPr>
        <w:ilvl w:val="3"/>
        <w:numId w:val="1"/>
      </w:numPr>
      <w:ind w:left="0" w:firstLine="1" w:firstLineChars="0"/>
    </w:pPr>
    <w:rPr>
      <w:rFonts w:cs="Times New Roman"/>
      <w:b/>
    </w:rPr>
  </w:style>
  <w:style w:type="character" w:customStyle="1" w:styleId="117">
    <w:name w:val="1.1.1.1标题4 Char"/>
    <w:basedOn w:val="90"/>
    <w:link w:val="116"/>
    <w:uiPriority w:val="0"/>
    <w:rPr>
      <w:rFonts w:ascii="Times New Roman" w:hAnsi="Times New Roman" w:eastAsia="仿宋_GB2312" w:cs="Times New Roman"/>
      <w:b/>
      <w:color w:val="000000" w:themeColor="text1"/>
      <w:sz w:val="24"/>
    </w:rPr>
  </w:style>
  <w:style w:type="character" w:customStyle="1" w:styleId="118">
    <w:name w:val="标题 4 Char"/>
    <w:basedOn w:val="90"/>
    <w:link w:val="6"/>
    <w:uiPriority w:val="9"/>
    <w:rPr>
      <w:rFonts w:ascii="Times New Roman" w:hAnsi="Times New Roman" w:eastAsia="仿宋_GB2312" w:cs="Times New Roman"/>
      <w:b/>
      <w:bCs/>
      <w:color w:val="000000"/>
      <w:szCs w:val="28"/>
    </w:rPr>
  </w:style>
  <w:style w:type="character" w:customStyle="1" w:styleId="119">
    <w:name w:val="文档结构图 Char"/>
    <w:basedOn w:val="90"/>
    <w:link w:val="26"/>
    <w:semiHidden/>
    <w:uiPriority w:val="99"/>
    <w:rPr>
      <w:rFonts w:ascii="宋体" w:hAnsi="Times New Roman" w:eastAsia="宋体" w:cs="Times New Roman"/>
      <w:color w:val="000000"/>
      <w:kern w:val="0"/>
      <w:sz w:val="18"/>
      <w:szCs w:val="18"/>
    </w:rPr>
  </w:style>
  <w:style w:type="character" w:customStyle="1" w:styleId="120">
    <w:name w:val="正文文本 Char"/>
    <w:basedOn w:val="90"/>
    <w:link w:val="34"/>
    <w:uiPriority w:val="0"/>
    <w:rPr>
      <w:rFonts w:ascii="Times New Roman" w:hAnsi="Times New Roman" w:eastAsia="仿宋_GB2312" w:cs="Times New Roman"/>
      <w:kern w:val="0"/>
      <w:sz w:val="28"/>
      <w:szCs w:val="24"/>
    </w:rPr>
  </w:style>
  <w:style w:type="character" w:customStyle="1" w:styleId="121">
    <w:name w:val="批注框文本 Char"/>
    <w:basedOn w:val="90"/>
    <w:link w:val="54"/>
    <w:uiPriority w:val="99"/>
    <w:rPr>
      <w:rFonts w:ascii="Times New Roman" w:hAnsi="Times New Roman" w:eastAsia="仿宋_GB2312" w:cs="Times New Roman"/>
      <w:color w:val="000000"/>
      <w:kern w:val="0"/>
      <w:sz w:val="18"/>
      <w:szCs w:val="18"/>
    </w:rPr>
  </w:style>
  <w:style w:type="character" w:customStyle="1" w:styleId="122">
    <w:name w:val="图框 Char Char"/>
    <w:link w:val="123"/>
    <w:uiPriority w:val="0"/>
    <w:rPr>
      <w:sz w:val="24"/>
    </w:rPr>
  </w:style>
  <w:style w:type="paragraph" w:customStyle="1" w:styleId="123">
    <w:name w:val="图框"/>
    <w:basedOn w:val="1"/>
    <w:link w:val="122"/>
    <w:uiPriority w:val="0"/>
    <w:pPr>
      <w:spacing w:before="40" w:after="40" w:line="240" w:lineRule="auto"/>
      <w:ind w:firstLine="0" w:firstLineChars="0"/>
      <w:jc w:val="center"/>
    </w:pPr>
    <w:rPr>
      <w:rFonts w:asciiTheme="minorHAnsi" w:hAnsiTheme="minorHAnsi" w:eastAsiaTheme="minorEastAsia"/>
      <w:color w:val="auto"/>
    </w:rPr>
  </w:style>
  <w:style w:type="paragraph" w:customStyle="1" w:styleId="124">
    <w:name w:val="样式 段前: 0.5 行 行距: 1.5 倍行距"/>
    <w:basedOn w:val="1"/>
    <w:uiPriority w:val="0"/>
    <w:pPr>
      <w:spacing w:beforeLines="50" w:line="300" w:lineRule="auto"/>
    </w:pPr>
    <w:rPr>
      <w:rFonts w:cs="Times New Roman"/>
      <w:color w:val="000000"/>
      <w:szCs w:val="20"/>
    </w:rPr>
  </w:style>
  <w:style w:type="character" w:customStyle="1" w:styleId="125">
    <w:name w:val="纯文本 Char"/>
    <w:basedOn w:val="90"/>
    <w:link w:val="45"/>
    <w:uiPriority w:val="0"/>
    <w:rPr>
      <w:rFonts w:ascii="宋体" w:hAnsi="Courier New" w:eastAsia="宋体" w:cs="Times New Roman"/>
      <w:sz w:val="24"/>
      <w:szCs w:val="20"/>
    </w:rPr>
  </w:style>
  <w:style w:type="character" w:customStyle="1" w:styleId="126">
    <w:name w:val="apple-converted-space"/>
    <w:basedOn w:val="90"/>
    <w:uiPriority w:val="0"/>
  </w:style>
  <w:style w:type="paragraph" w:customStyle="1" w:styleId="127">
    <w:name w:val="正文4表土"/>
    <w:basedOn w:val="108"/>
    <w:link w:val="128"/>
    <w:qFormat/>
    <w:uiPriority w:val="0"/>
    <w:pPr>
      <w:jc w:val="center"/>
    </w:pPr>
    <w:rPr>
      <w:b/>
      <w:color w:val="000000"/>
      <w:kern w:val="0"/>
    </w:rPr>
  </w:style>
  <w:style w:type="character" w:customStyle="1" w:styleId="128">
    <w:name w:val="正文4表土 Char"/>
    <w:link w:val="127"/>
    <w:uiPriority w:val="0"/>
    <w:rPr>
      <w:rFonts w:ascii="Times New Roman" w:hAnsi="Times New Roman" w:eastAsia="仿宋_GB2312" w:cs="Times New Roman"/>
      <w:b/>
      <w:color w:val="000000"/>
      <w:kern w:val="0"/>
    </w:rPr>
  </w:style>
  <w:style w:type="table" w:customStyle="1" w:styleId="129">
    <w:name w:val="网格型1"/>
    <w:basedOn w:val="88"/>
    <w:qFormat/>
    <w:uiPriority w:val="39"/>
    <w:rPr>
      <w:rFonts w:ascii="Times New Roman" w:hAnsi="Times New Roman" w:eastAsia="仿宋_GB2312" w:cs="Times New Roman"/>
      <w:color w:val="000000"/>
      <w:sz w:val="24"/>
      <w:szCs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0">
    <w:name w:val="图框 Char"/>
    <w:uiPriority w:val="0"/>
    <w:rPr>
      <w:rFonts w:eastAsia="宋体"/>
      <w:kern w:val="2"/>
      <w:sz w:val="24"/>
      <w:lang w:val="en-US" w:eastAsia="zh-CN" w:bidi="ar-SA"/>
    </w:rPr>
  </w:style>
  <w:style w:type="paragraph" w:customStyle="1" w:styleId="131">
    <w:name w:val="Char1 Char Char Char"/>
    <w:basedOn w:val="1"/>
    <w:semiHidden/>
    <w:uiPriority w:val="0"/>
    <w:pPr>
      <w:adjustRightInd w:val="0"/>
      <w:snapToGrid w:val="0"/>
    </w:pPr>
    <w:rPr>
      <w:rFonts w:cs="Times New Roman"/>
      <w:color w:val="auto"/>
      <w:szCs w:val="28"/>
    </w:rPr>
  </w:style>
  <w:style w:type="paragraph" w:customStyle="1" w:styleId="132">
    <w:name w:val="目录1"/>
    <w:basedOn w:val="3"/>
    <w:uiPriority w:val="0"/>
    <w:pPr>
      <w:keepLines w:val="0"/>
      <w:numPr>
        <w:numId w:val="0"/>
      </w:numPr>
      <w:tabs>
        <w:tab w:val="left" w:pos="432"/>
      </w:tabs>
      <w:autoSpaceDE w:val="0"/>
      <w:autoSpaceDN w:val="0"/>
      <w:adjustRightInd w:val="0"/>
      <w:snapToGrid w:val="0"/>
      <w:spacing w:after="60"/>
      <w:ind w:firstLine="200" w:firstLineChars="200"/>
      <w:jc w:val="both"/>
    </w:pPr>
    <w:rPr>
      <w:rFonts w:eastAsia="黑体"/>
      <w:color w:val="auto"/>
      <w:sz w:val="30"/>
      <w:szCs w:val="30"/>
      <w:lang w:val="zh-CN"/>
    </w:rPr>
  </w:style>
  <w:style w:type="paragraph" w:customStyle="1" w:styleId="133">
    <w:name w:val="Char Char Char Char Char Char Char"/>
    <w:basedOn w:val="1"/>
    <w:uiPriority w:val="0"/>
    <w:pPr>
      <w:adjustRightInd w:val="0"/>
      <w:snapToGrid w:val="0"/>
    </w:pPr>
    <w:rPr>
      <w:rFonts w:cs="Times New Roman"/>
      <w:color w:val="auto"/>
      <w:szCs w:val="21"/>
    </w:rPr>
  </w:style>
  <w:style w:type="paragraph" w:customStyle="1" w:styleId="134">
    <w:name w:val="表格"/>
    <w:basedOn w:val="1"/>
    <w:uiPriority w:val="0"/>
    <w:pPr>
      <w:adjustRightInd w:val="0"/>
      <w:snapToGrid w:val="0"/>
      <w:spacing w:beforeLines="10" w:afterLines="10"/>
      <w:jc w:val="center"/>
    </w:pPr>
    <w:rPr>
      <w:rFonts w:cs="Times New Roman"/>
      <w:color w:val="auto"/>
      <w:szCs w:val="24"/>
    </w:rPr>
  </w:style>
  <w:style w:type="paragraph" w:customStyle="1" w:styleId="135">
    <w:name w:val="Char Char Char Char Char Char Char Char Char Char1"/>
    <w:basedOn w:val="1"/>
    <w:uiPriority w:val="0"/>
    <w:pPr>
      <w:tabs>
        <w:tab w:val="left" w:pos="425"/>
      </w:tabs>
      <w:adjustRightInd w:val="0"/>
      <w:snapToGrid w:val="0"/>
      <w:ind w:left="425" w:hanging="425"/>
    </w:pPr>
    <w:rPr>
      <w:rFonts w:cs="Times New Roman"/>
      <w:color w:val="auto"/>
      <w:szCs w:val="20"/>
    </w:rPr>
  </w:style>
  <w:style w:type="character" w:customStyle="1" w:styleId="136">
    <w:name w:val="正文首行缩进 Char"/>
    <w:basedOn w:val="120"/>
    <w:link w:val="86"/>
    <w:uiPriority w:val="0"/>
    <w:rPr>
      <w:rFonts w:ascii="Times New Roman" w:hAnsi="Times New Roman" w:eastAsia="仿宋_GB2312" w:cs="Times New Roman"/>
      <w:kern w:val="0"/>
      <w:sz w:val="24"/>
      <w:szCs w:val="24"/>
    </w:rPr>
  </w:style>
  <w:style w:type="paragraph" w:customStyle="1" w:styleId="137">
    <w:name w:val="样式 正文首行缩进 + 首行缩进:  2 字符2"/>
    <w:basedOn w:val="86"/>
    <w:autoRedefine/>
    <w:uiPriority w:val="0"/>
    <w:pPr>
      <w:spacing w:after="0" w:line="460" w:lineRule="exact"/>
      <w:ind w:firstLine="480" w:firstLineChars="200"/>
      <w:jc w:val="center"/>
    </w:pPr>
    <w:rPr>
      <w:rFonts w:cs="宋体"/>
    </w:rPr>
  </w:style>
  <w:style w:type="paragraph" w:customStyle="1" w:styleId="138">
    <w:name w:val="目录3"/>
    <w:basedOn w:val="5"/>
    <w:uiPriority w:val="0"/>
    <w:pPr>
      <w:keepNext w:val="0"/>
      <w:keepLines w:val="0"/>
      <w:numPr>
        <w:ilvl w:val="0"/>
        <w:numId w:val="0"/>
      </w:numPr>
      <w:adjustRightInd w:val="0"/>
      <w:snapToGrid w:val="0"/>
      <w:spacing w:before="60"/>
      <w:ind w:firstLine="200" w:firstLineChars="200"/>
    </w:pPr>
    <w:rPr>
      <w:rFonts w:eastAsia="黑体" w:cs="宋体"/>
      <w:bCs w:val="0"/>
      <w:color w:val="000000"/>
      <w:szCs w:val="20"/>
    </w:rPr>
  </w:style>
  <w:style w:type="character" w:customStyle="1" w:styleId="139">
    <w:name w:val="标题 4 Char Char"/>
    <w:uiPriority w:val="0"/>
    <w:rPr>
      <w:rFonts w:ascii="Arial" w:hAnsi="Arial" w:eastAsia="黑体"/>
      <w:b/>
      <w:bCs/>
      <w:kern w:val="2"/>
      <w:sz w:val="24"/>
      <w:szCs w:val="28"/>
      <w:lang w:val="en-US" w:eastAsia="zh-CN" w:bidi="ar-SA"/>
    </w:rPr>
  </w:style>
  <w:style w:type="paragraph" w:customStyle="1" w:styleId="140">
    <w:name w:val="+正文"/>
    <w:basedOn w:val="1"/>
    <w:uiPriority w:val="0"/>
    <w:pPr>
      <w:adjustRightInd w:val="0"/>
      <w:snapToGrid w:val="0"/>
    </w:pPr>
    <w:rPr>
      <w:rFonts w:cs="Times New Roman"/>
      <w:color w:val="auto"/>
      <w:szCs w:val="28"/>
    </w:rPr>
  </w:style>
  <w:style w:type="paragraph" w:customStyle="1" w:styleId="141">
    <w:name w:val="表头"/>
    <w:basedOn w:val="1"/>
    <w:link w:val="144"/>
    <w:uiPriority w:val="0"/>
    <w:pPr>
      <w:adjustRightInd w:val="0"/>
      <w:snapToGrid w:val="0"/>
      <w:spacing w:before="120" w:line="520" w:lineRule="atLeast"/>
      <w:jc w:val="center"/>
    </w:pPr>
    <w:rPr>
      <w:rFonts w:cs="Times New Roman"/>
      <w:b/>
      <w:color w:val="auto"/>
      <w:szCs w:val="24"/>
    </w:rPr>
  </w:style>
  <w:style w:type="paragraph" w:customStyle="1" w:styleId="142">
    <w:name w:val="文本框"/>
    <w:basedOn w:val="1"/>
    <w:link w:val="143"/>
    <w:autoRedefine/>
    <w:uiPriority w:val="0"/>
    <w:pPr>
      <w:adjustRightInd w:val="0"/>
      <w:snapToGrid w:val="0"/>
      <w:spacing w:before="20" w:after="20"/>
      <w:jc w:val="center"/>
    </w:pPr>
    <w:rPr>
      <w:rFonts w:cs="Times New Roman"/>
      <w:color w:val="auto"/>
      <w:szCs w:val="20"/>
    </w:rPr>
  </w:style>
  <w:style w:type="character" w:customStyle="1" w:styleId="143">
    <w:name w:val="文本框 Char"/>
    <w:link w:val="142"/>
    <w:uiPriority w:val="0"/>
    <w:rPr>
      <w:rFonts w:ascii="Times New Roman" w:hAnsi="Times New Roman" w:eastAsia="仿宋_GB2312" w:cs="Times New Roman"/>
      <w:sz w:val="24"/>
      <w:szCs w:val="20"/>
    </w:rPr>
  </w:style>
  <w:style w:type="character" w:customStyle="1" w:styleId="144">
    <w:name w:val="表头 Char"/>
    <w:link w:val="141"/>
    <w:autoRedefine/>
    <w:qFormat/>
    <w:uiPriority w:val="0"/>
    <w:rPr>
      <w:rFonts w:ascii="Times New Roman" w:hAnsi="Times New Roman" w:eastAsia="仿宋_GB2312" w:cs="Times New Roman"/>
      <w:b/>
      <w:sz w:val="24"/>
      <w:szCs w:val="24"/>
    </w:rPr>
  </w:style>
  <w:style w:type="table" w:customStyle="1" w:styleId="145">
    <w:name w:val="网格型2"/>
    <w:basedOn w:val="8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6">
    <w:name w:val="table cell"/>
    <w:basedOn w:val="1"/>
    <w:uiPriority w:val="0"/>
    <w:pPr>
      <w:adjustRightInd w:val="0"/>
      <w:snapToGrid w:val="0"/>
    </w:pPr>
    <w:rPr>
      <w:rFonts w:ascii="楷体" w:eastAsia="楷体" w:cs="Times New Roman"/>
      <w:snapToGrid w:val="0"/>
      <w:color w:val="auto"/>
      <w:kern w:val="0"/>
      <w:szCs w:val="20"/>
      <w:lang w:eastAsia="en-US"/>
    </w:rPr>
  </w:style>
  <w:style w:type="character" w:customStyle="1" w:styleId="147">
    <w:name w:val="正文缩进 Char2"/>
    <w:link w:val="21"/>
    <w:autoRedefine/>
    <w:qFormat/>
    <w:uiPriority w:val="0"/>
    <w:rPr>
      <w:rFonts w:ascii="Times New Roman" w:hAnsi="Times New Roman" w:eastAsia="仿宋_GB2312" w:cs="Times New Roman"/>
      <w:sz w:val="24"/>
      <w:szCs w:val="20"/>
    </w:rPr>
  </w:style>
  <w:style w:type="character" w:customStyle="1" w:styleId="148">
    <w:name w:val="日期 Char"/>
    <w:basedOn w:val="90"/>
    <w:link w:val="50"/>
    <w:uiPriority w:val="0"/>
    <w:rPr>
      <w:rFonts w:ascii="Times New Roman" w:hAnsi="Times New Roman" w:eastAsia="仿宋_GB2312" w:cs="Times New Roman"/>
      <w:sz w:val="24"/>
      <w:szCs w:val="24"/>
    </w:rPr>
  </w:style>
  <w:style w:type="paragraph" w:customStyle="1" w:styleId="149">
    <w:name w:val="芮家村"/>
    <w:basedOn w:val="1"/>
    <w:link w:val="371"/>
    <w:uiPriority w:val="0"/>
    <w:pPr>
      <w:adjustRightInd w:val="0"/>
      <w:snapToGrid w:val="0"/>
      <w:jc w:val="left"/>
    </w:pPr>
    <w:rPr>
      <w:rFonts w:cs="Times New Roman"/>
      <w:color w:val="auto"/>
      <w:szCs w:val="24"/>
    </w:rPr>
  </w:style>
  <w:style w:type="paragraph" w:customStyle="1" w:styleId="150">
    <w:name w:val="目录"/>
    <w:basedOn w:val="4"/>
    <w:uiPriority w:val="0"/>
    <w:pPr>
      <w:keepNext w:val="0"/>
      <w:keepLines w:val="0"/>
      <w:widowControl/>
      <w:numPr>
        <w:ilvl w:val="0"/>
        <w:numId w:val="0"/>
      </w:numPr>
      <w:adjustRightInd w:val="0"/>
      <w:snapToGrid w:val="0"/>
      <w:spacing w:before="0" w:after="0"/>
      <w:ind w:firstLine="200" w:firstLineChars="200"/>
    </w:pPr>
    <w:rPr>
      <w:color w:val="000000"/>
    </w:rPr>
  </w:style>
  <w:style w:type="paragraph" w:customStyle="1" w:styleId="151">
    <w:name w:val="样式 标题 3标题 3 Char Char Char Char标题 31 Char标题 32标题 3 Char Char..."/>
    <w:basedOn w:val="5"/>
    <w:uiPriority w:val="0"/>
    <w:pPr>
      <w:numPr>
        <w:ilvl w:val="0"/>
        <w:numId w:val="0"/>
      </w:numPr>
      <w:adjustRightInd w:val="0"/>
      <w:snapToGrid w:val="0"/>
      <w:ind w:firstLine="200" w:firstLineChars="200"/>
    </w:pPr>
    <w:rPr>
      <w:rFonts w:eastAsia="黑体" w:cs="宋体"/>
      <w:szCs w:val="20"/>
      <w:lang w:val="zh-CN"/>
    </w:rPr>
  </w:style>
  <w:style w:type="paragraph" w:customStyle="1" w:styleId="152">
    <w:name w:val="样式 标题 3标题 3 Char Char Char Char标题 31 Char标题 32标题 3 Char Char...2"/>
    <w:basedOn w:val="5"/>
    <w:uiPriority w:val="0"/>
    <w:pPr>
      <w:numPr>
        <w:ilvl w:val="0"/>
        <w:numId w:val="0"/>
      </w:numPr>
      <w:adjustRightInd w:val="0"/>
      <w:snapToGrid w:val="0"/>
      <w:ind w:firstLine="200" w:firstLineChars="200"/>
    </w:pPr>
    <w:rPr>
      <w:rFonts w:eastAsia="黑体" w:cs="宋体"/>
      <w:szCs w:val="20"/>
      <w:lang w:val="zh-CN"/>
    </w:rPr>
  </w:style>
  <w:style w:type="paragraph" w:customStyle="1" w:styleId="153">
    <w:name w:val="样式 标题 4 + 段前: 0.5 行 段后: 0.5 行"/>
    <w:basedOn w:val="6"/>
    <w:autoRedefine/>
    <w:uiPriority w:val="0"/>
    <w:pPr>
      <w:tabs>
        <w:tab w:val="left" w:pos="2925"/>
      </w:tabs>
      <w:adjustRightInd w:val="0"/>
      <w:snapToGrid w:val="0"/>
      <w:spacing w:beforeLines="50" w:afterLines="50" w:line="360" w:lineRule="auto"/>
      <w:ind w:left="2206" w:firstLine="200" w:firstLineChars="200"/>
      <w:jc w:val="left"/>
    </w:pPr>
    <w:rPr>
      <w:rFonts w:ascii="Arial" w:hAnsi="Arial" w:eastAsia="宋体" w:cs="宋体"/>
      <w:b w:val="0"/>
      <w:color w:val="auto"/>
      <w:kern w:val="0"/>
      <w:sz w:val="28"/>
      <w:szCs w:val="20"/>
      <w:lang w:val="zh-CN"/>
    </w:rPr>
  </w:style>
  <w:style w:type="paragraph" w:customStyle="1" w:styleId="154">
    <w:name w:val="样式 标题 3 + 左侧:  0 厘米 段前: 0.5 行 段后: 0.5 行"/>
    <w:uiPriority w:val="0"/>
    <w:pPr>
      <w:spacing w:line="520" w:lineRule="exact"/>
    </w:pPr>
    <w:rPr>
      <w:rFonts w:ascii="Times New Roman" w:hAnsi="Times New Roman" w:eastAsia="黑体" w:cs="宋体"/>
      <w:b/>
      <w:bCs/>
      <w:kern w:val="2"/>
      <w:sz w:val="24"/>
      <w:szCs w:val="20"/>
      <w:lang w:val="en-US" w:eastAsia="zh-CN" w:bidi="ar-SA"/>
    </w:rPr>
  </w:style>
  <w:style w:type="table" w:customStyle="1" w:styleId="155">
    <w:name w:val="网格型11"/>
    <w:basedOn w:val="88"/>
    <w:uiPriority w:val="0"/>
    <w:pPr>
      <w:widowControl w:val="0"/>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6">
    <w:name w:val="样式 标题 1 + Times New Roman 四号 两端对齐 行距: 最小值 26 磅"/>
    <w:basedOn w:val="3"/>
    <w:uiPriority w:val="0"/>
    <w:pPr>
      <w:keepLines w:val="0"/>
      <w:numPr>
        <w:numId w:val="0"/>
      </w:numPr>
      <w:autoSpaceDE w:val="0"/>
      <w:autoSpaceDN w:val="0"/>
      <w:adjustRightInd w:val="0"/>
      <w:snapToGrid w:val="0"/>
      <w:spacing w:before="240" w:after="240"/>
      <w:ind w:firstLine="200" w:firstLineChars="200"/>
      <w:jc w:val="both"/>
    </w:pPr>
    <w:rPr>
      <w:rFonts w:eastAsia="黑体"/>
      <w:color w:val="auto"/>
      <w:sz w:val="30"/>
      <w:szCs w:val="30"/>
      <w:lang w:val="zh-CN"/>
    </w:rPr>
  </w:style>
  <w:style w:type="paragraph" w:customStyle="1" w:styleId="157">
    <w:name w:val="样式 样式 标题 2 + Times New Roman 自动设置 两端对齐 段后: 6 磅 行距: 最小值 26 磅 + 段前..."/>
    <w:basedOn w:val="1"/>
    <w:autoRedefine/>
    <w:uiPriority w:val="0"/>
    <w:pPr>
      <w:keepNext/>
      <w:keepLines/>
      <w:autoSpaceDE w:val="0"/>
      <w:autoSpaceDN w:val="0"/>
      <w:adjustRightInd w:val="0"/>
      <w:snapToGrid w:val="0"/>
      <w:spacing w:before="120"/>
      <w:outlineLvl w:val="1"/>
    </w:pPr>
    <w:rPr>
      <w:rFonts w:eastAsia="黑体" w:cs="Times New Roman"/>
      <w:b/>
      <w:bCs/>
      <w:color w:val="auto"/>
      <w:sz w:val="28"/>
      <w:szCs w:val="20"/>
      <w:lang w:val="zh-CN"/>
    </w:rPr>
  </w:style>
  <w:style w:type="paragraph" w:customStyle="1" w:styleId="158">
    <w:name w:val="样式 标题 3Heading3Section标题 3 Char Char Char标题 3 Char Char Char...1"/>
    <w:basedOn w:val="5"/>
    <w:autoRedefine/>
    <w:uiPriority w:val="0"/>
    <w:pPr>
      <w:numPr>
        <w:ilvl w:val="0"/>
        <w:numId w:val="0"/>
      </w:numPr>
      <w:autoSpaceDE w:val="0"/>
      <w:autoSpaceDN w:val="0"/>
      <w:adjustRightInd w:val="0"/>
      <w:snapToGrid w:val="0"/>
      <w:ind w:firstLine="200" w:firstLineChars="200"/>
    </w:pPr>
    <w:rPr>
      <w:rFonts w:eastAsia="黑体"/>
      <w:szCs w:val="20"/>
      <w:lang w:val="zh-CN"/>
    </w:rPr>
  </w:style>
  <w:style w:type="character" w:customStyle="1" w:styleId="159">
    <w:name w:val="正文（首行缩进两字） Char Char2"/>
    <w:uiPriority w:val="0"/>
    <w:rPr>
      <w:rFonts w:ascii="Times New Roman" w:hAnsi="Times New Roman" w:eastAsia="宋体" w:cs="Times New Roman"/>
      <w:sz w:val="24"/>
      <w:szCs w:val="20"/>
    </w:rPr>
  </w:style>
  <w:style w:type="character" w:customStyle="1" w:styleId="160">
    <w:name w:val="Char Char12"/>
    <w:uiPriority w:val="0"/>
    <w:rPr>
      <w:rFonts w:ascii="Times New Roman" w:hAnsi="Times New Roman" w:eastAsia="宋体" w:cs="Times New Roman"/>
      <w:sz w:val="18"/>
      <w:szCs w:val="18"/>
    </w:rPr>
  </w:style>
  <w:style w:type="character" w:customStyle="1" w:styleId="161">
    <w:name w:val="正文文本缩进 Char"/>
    <w:basedOn w:val="90"/>
    <w:link w:val="35"/>
    <w:uiPriority w:val="0"/>
    <w:rPr>
      <w:rFonts w:ascii="Times New Roman" w:hAnsi="Times New Roman" w:eastAsia="仿宋_GB2312" w:cs="Times New Roman"/>
      <w:kern w:val="0"/>
      <w:sz w:val="24"/>
      <w:szCs w:val="20"/>
      <w:lang w:val="zh-CN"/>
    </w:rPr>
  </w:style>
  <w:style w:type="character" w:customStyle="1" w:styleId="162">
    <w:name w:val="正文文本缩进 2 Char"/>
    <w:basedOn w:val="90"/>
    <w:link w:val="51"/>
    <w:uiPriority w:val="0"/>
    <w:rPr>
      <w:rFonts w:ascii="Times New Roman" w:hAnsi="Times New Roman" w:eastAsia="仿宋_GB2312" w:cs="Times New Roman"/>
      <w:color w:val="FF0000"/>
      <w:kern w:val="0"/>
      <w:sz w:val="24"/>
      <w:szCs w:val="28"/>
      <w:lang w:val="zh-CN"/>
    </w:rPr>
  </w:style>
  <w:style w:type="paragraph" w:customStyle="1" w:styleId="163">
    <w:name w:val="xl26"/>
    <w:basedOn w:val="1"/>
    <w:uiPriority w:val="0"/>
    <w:pPr>
      <w:widowControl/>
      <w:pBdr>
        <w:bottom w:val="single" w:color="auto" w:sz="4" w:space="0"/>
        <w:right w:val="single" w:color="auto" w:sz="4" w:space="0"/>
      </w:pBdr>
      <w:adjustRightInd w:val="0"/>
      <w:snapToGrid w:val="0"/>
      <w:spacing w:before="100" w:beforeAutospacing="1" w:after="100" w:afterAutospacing="1"/>
      <w:jc w:val="center"/>
      <w:textAlignment w:val="top"/>
    </w:pPr>
    <w:rPr>
      <w:rFonts w:ascii="Arial Unicode MS" w:hAnsi="Arial Unicode MS" w:eastAsia="Arial Unicode MS" w:cs="Arial Unicode MS"/>
      <w:color w:val="auto"/>
      <w:kern w:val="0"/>
      <w:szCs w:val="24"/>
    </w:rPr>
  </w:style>
  <w:style w:type="paragraph" w:customStyle="1" w:styleId="164">
    <w:name w:val="样式 首行缩进:  2 字符 段前: 0.5 行 行距: 1.5 倍行距2"/>
    <w:basedOn w:val="1"/>
    <w:uiPriority w:val="0"/>
    <w:pPr>
      <w:adjustRightInd w:val="0"/>
      <w:snapToGrid w:val="0"/>
      <w:spacing w:beforeLines="50" w:line="300" w:lineRule="auto"/>
    </w:pPr>
    <w:rPr>
      <w:rFonts w:cs="宋体"/>
      <w:color w:val="auto"/>
      <w:szCs w:val="20"/>
    </w:rPr>
  </w:style>
  <w:style w:type="paragraph" w:customStyle="1" w:styleId="165">
    <w:name w:val="c_"/>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66">
    <w:name w:val="xl31"/>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Times New Roman"/>
      <w:color w:val="auto"/>
      <w:kern w:val="0"/>
      <w:szCs w:val="21"/>
    </w:rPr>
  </w:style>
  <w:style w:type="paragraph" w:customStyle="1" w:styleId="167">
    <w:name w:val="Char Char Char Char"/>
    <w:basedOn w:val="1"/>
    <w:uiPriority w:val="0"/>
    <w:pPr>
      <w:adjustRightInd w:val="0"/>
      <w:snapToGrid w:val="0"/>
    </w:pPr>
    <w:rPr>
      <w:rFonts w:cs="Times New Roman"/>
      <w:color w:val="auto"/>
      <w:szCs w:val="24"/>
    </w:rPr>
  </w:style>
  <w:style w:type="paragraph" w:customStyle="1" w:styleId="168">
    <w:name w:val="Char Char Char Char1"/>
    <w:basedOn w:val="1"/>
    <w:uiPriority w:val="0"/>
    <w:pPr>
      <w:adjustRightInd w:val="0"/>
      <w:snapToGrid w:val="0"/>
    </w:pPr>
    <w:rPr>
      <w:rFonts w:cs="Times New Roman"/>
      <w:color w:val="auto"/>
      <w:szCs w:val="24"/>
    </w:rPr>
  </w:style>
  <w:style w:type="character" w:customStyle="1" w:styleId="169">
    <w:name w:val="正文缩进 Char"/>
    <w:uiPriority w:val="0"/>
    <w:rPr>
      <w:rFonts w:eastAsia="宋体"/>
      <w:kern w:val="2"/>
      <w:sz w:val="24"/>
      <w:lang w:val="en-US" w:eastAsia="zh-CN" w:bidi="ar-SA"/>
    </w:rPr>
  </w:style>
  <w:style w:type="paragraph" w:customStyle="1" w:styleId="170">
    <w:name w:val="表格1"/>
    <w:basedOn w:val="1"/>
    <w:uiPriority w:val="0"/>
    <w:pPr>
      <w:adjustRightInd w:val="0"/>
      <w:snapToGrid w:val="0"/>
      <w:spacing w:line="20" w:lineRule="atLeast"/>
      <w:jc w:val="center"/>
      <w:textAlignment w:val="center"/>
    </w:pPr>
    <w:rPr>
      <w:rFonts w:ascii="宋体" w:cs="Times New Roman"/>
      <w:color w:val="auto"/>
      <w:kern w:val="0"/>
      <w:szCs w:val="21"/>
    </w:rPr>
  </w:style>
  <w:style w:type="character" w:customStyle="1" w:styleId="171">
    <w:name w:val="正文（首行缩进两字） Char Char1"/>
    <w:uiPriority w:val="0"/>
    <w:rPr>
      <w:rFonts w:eastAsia="宋体"/>
      <w:kern w:val="2"/>
      <w:sz w:val="24"/>
      <w:lang w:val="en-US" w:eastAsia="zh-CN" w:bidi="ar-SA"/>
    </w:rPr>
  </w:style>
  <w:style w:type="character" w:customStyle="1" w:styleId="172">
    <w:name w:val="nmtitle gray font14 rowspan18"/>
    <w:basedOn w:val="90"/>
    <w:uiPriority w:val="0"/>
  </w:style>
  <w:style w:type="character" w:customStyle="1" w:styleId="173">
    <w:name w:val="keywordslink1"/>
    <w:uiPriority w:val="0"/>
    <w:rPr>
      <w:color w:val="333333"/>
    </w:rPr>
  </w:style>
  <w:style w:type="character" w:customStyle="1" w:styleId="174">
    <w:name w:val="b2"/>
    <w:uiPriority w:val="0"/>
    <w:rPr>
      <w:rFonts w:hint="default"/>
      <w:color w:val="000000"/>
      <w:spacing w:val="420"/>
      <w:sz w:val="20"/>
      <w:szCs w:val="20"/>
    </w:rPr>
  </w:style>
  <w:style w:type="character" w:customStyle="1" w:styleId="175">
    <w:name w:val="font12"/>
    <w:basedOn w:val="90"/>
    <w:uiPriority w:val="0"/>
  </w:style>
  <w:style w:type="paragraph" w:customStyle="1" w:styleId="176">
    <w:name w:val="默认段落字体 Para Char Char Char Char"/>
    <w:basedOn w:val="1"/>
    <w:uiPriority w:val="0"/>
    <w:pPr>
      <w:adjustRightInd w:val="0"/>
      <w:snapToGrid w:val="0"/>
    </w:pPr>
    <w:rPr>
      <w:rFonts w:cs="Times New Roman"/>
      <w:color w:val="auto"/>
      <w:szCs w:val="24"/>
    </w:rPr>
  </w:style>
  <w:style w:type="paragraph" w:customStyle="1" w:styleId="177">
    <w:name w:val="标题2及格式"/>
    <w:basedOn w:val="4"/>
    <w:next w:val="1"/>
    <w:uiPriority w:val="0"/>
    <w:pPr>
      <w:widowControl/>
      <w:numPr>
        <w:ilvl w:val="0"/>
        <w:numId w:val="0"/>
      </w:numPr>
      <w:adjustRightInd w:val="0"/>
      <w:snapToGrid w:val="0"/>
      <w:spacing w:beforeLines="25" w:afterLines="50" w:line="520" w:lineRule="exact"/>
      <w:ind w:firstLine="200" w:firstLineChars="200"/>
    </w:pPr>
    <w:rPr>
      <w:rFonts w:eastAsia="黑体"/>
      <w:szCs w:val="26"/>
      <w:lang w:eastAsia="en-US" w:bidi="en-US"/>
    </w:rPr>
  </w:style>
  <w:style w:type="paragraph" w:customStyle="1" w:styleId="178">
    <w:name w:val="标题3及格式"/>
    <w:basedOn w:val="5"/>
    <w:next w:val="1"/>
    <w:uiPriority w:val="0"/>
    <w:pPr>
      <w:widowControl/>
      <w:numPr>
        <w:ilvl w:val="0"/>
        <w:numId w:val="0"/>
      </w:numPr>
      <w:adjustRightInd w:val="0"/>
      <w:snapToGrid w:val="0"/>
      <w:spacing w:beforeLines="25" w:afterLines="25" w:line="520" w:lineRule="exact"/>
      <w:ind w:firstLine="200" w:firstLineChars="200"/>
      <w:jc w:val="left"/>
    </w:pPr>
    <w:rPr>
      <w:szCs w:val="22"/>
      <w:lang w:val="zh-CN" w:eastAsia="en-US" w:bidi="en-US"/>
    </w:rPr>
  </w:style>
  <w:style w:type="paragraph" w:customStyle="1" w:styleId="179">
    <w:name w:val="1 Char Char Char Char Char Char Char Char Char Char"/>
    <w:basedOn w:val="1"/>
    <w:autoRedefine/>
    <w:uiPriority w:val="0"/>
    <w:pPr>
      <w:adjustRightInd w:val="0"/>
      <w:snapToGrid w:val="0"/>
    </w:pPr>
    <w:rPr>
      <w:rFonts w:ascii="Tahoma" w:hAnsi="Tahoma" w:cs="Times New Roman"/>
      <w:color w:val="auto"/>
      <w:szCs w:val="20"/>
    </w:rPr>
  </w:style>
  <w:style w:type="paragraph" w:customStyle="1" w:styleId="180">
    <w:name w:val="样式 正文缩进 + 行距: 固定值 26 磅"/>
    <w:basedOn w:val="21"/>
    <w:uiPriority w:val="0"/>
    <w:pPr>
      <w:spacing w:line="360" w:lineRule="auto"/>
      <w:ind w:firstLine="200"/>
    </w:pPr>
    <w:rPr>
      <w:rFonts w:cs="宋体"/>
      <w:sz w:val="28"/>
    </w:rPr>
  </w:style>
  <w:style w:type="paragraph" w:customStyle="1" w:styleId="181">
    <w:name w:val="列表-2"/>
    <w:basedOn w:val="1"/>
    <w:uiPriority w:val="0"/>
    <w:pPr>
      <w:adjustRightInd w:val="0"/>
      <w:snapToGrid w:val="0"/>
      <w:spacing w:line="320" w:lineRule="exact"/>
    </w:pPr>
    <w:rPr>
      <w:rFonts w:cs="Times New Roman"/>
      <w:color w:val="auto"/>
      <w:szCs w:val="20"/>
    </w:rPr>
  </w:style>
  <w:style w:type="paragraph" w:customStyle="1" w:styleId="182">
    <w:name w:val="样式 标题 2Chapter + 宋体 四号 左侧:  0 厘米 首行缩进:  0 厘米 行距: 固定值 26 磅"/>
    <w:basedOn w:val="4"/>
    <w:uiPriority w:val="0"/>
    <w:pPr>
      <w:keepNext w:val="0"/>
      <w:keepLines w:val="0"/>
      <w:widowControl/>
      <w:numPr>
        <w:ilvl w:val="0"/>
        <w:numId w:val="0"/>
      </w:numPr>
      <w:adjustRightInd w:val="0"/>
      <w:snapToGrid w:val="0"/>
      <w:spacing w:beforeLines="100" w:afterLines="100" w:line="520" w:lineRule="exact"/>
      <w:ind w:firstLine="200" w:firstLineChars="200"/>
    </w:pPr>
    <w:rPr>
      <w:rFonts w:ascii="宋体" w:hAnsi="宋体" w:cs="宋体"/>
      <w:szCs w:val="20"/>
    </w:rPr>
  </w:style>
  <w:style w:type="paragraph" w:customStyle="1" w:styleId="183">
    <w:name w:val="样式 标题 2Chapter + 宋体 四号 左侧:  0 厘米 首行缩进:  0 厘米 行距: 固定值 26 磅1"/>
    <w:basedOn w:val="4"/>
    <w:uiPriority w:val="0"/>
    <w:pPr>
      <w:keepNext w:val="0"/>
      <w:keepLines w:val="0"/>
      <w:widowControl/>
      <w:numPr>
        <w:ilvl w:val="0"/>
        <w:numId w:val="0"/>
      </w:numPr>
      <w:adjustRightInd w:val="0"/>
      <w:snapToGrid w:val="0"/>
      <w:spacing w:beforeLines="50" w:afterLines="50" w:line="520" w:lineRule="exact"/>
      <w:ind w:firstLine="200" w:firstLineChars="200"/>
    </w:pPr>
    <w:rPr>
      <w:rFonts w:ascii="宋体" w:hAnsi="宋体" w:cs="宋体"/>
      <w:szCs w:val="20"/>
    </w:rPr>
  </w:style>
  <w:style w:type="paragraph" w:customStyle="1" w:styleId="184">
    <w:name w:val="默认段落字体 Para Char Char Char Char Char Char2 Char Char Char Char Char Char Char"/>
    <w:basedOn w:val="1"/>
    <w:semiHidden/>
    <w:uiPriority w:val="0"/>
    <w:pPr>
      <w:adjustRightInd w:val="0"/>
      <w:snapToGrid w:val="0"/>
    </w:pPr>
    <w:rPr>
      <w:rFonts w:cs="Times New Roman"/>
      <w:color w:val="auto"/>
      <w:szCs w:val="28"/>
    </w:rPr>
  </w:style>
  <w:style w:type="paragraph" w:customStyle="1" w:styleId="185">
    <w:name w:val="Char Char Char Char Char Char Char1"/>
    <w:basedOn w:val="1"/>
    <w:semiHidden/>
    <w:uiPriority w:val="0"/>
    <w:pPr>
      <w:adjustRightInd w:val="0"/>
      <w:snapToGrid w:val="0"/>
    </w:pPr>
    <w:rPr>
      <w:rFonts w:cs="Times New Roman"/>
      <w:color w:val="auto"/>
      <w:szCs w:val="21"/>
    </w:rPr>
  </w:style>
  <w:style w:type="paragraph" w:customStyle="1" w:styleId="186">
    <w:name w:val="font5"/>
    <w:basedOn w:val="1"/>
    <w:uiPriority w:val="0"/>
    <w:pPr>
      <w:widowControl/>
      <w:adjustRightInd w:val="0"/>
      <w:snapToGrid w:val="0"/>
      <w:spacing w:before="100" w:beforeAutospacing="1" w:after="100" w:afterAutospacing="1"/>
      <w:jc w:val="left"/>
    </w:pPr>
    <w:rPr>
      <w:rFonts w:ascii="宋体" w:hAnsi="宋体" w:cs="宋体"/>
      <w:color w:val="auto"/>
      <w:kern w:val="0"/>
      <w:sz w:val="18"/>
      <w:szCs w:val="18"/>
    </w:rPr>
  </w:style>
  <w:style w:type="paragraph" w:customStyle="1" w:styleId="187">
    <w:name w:val="font6"/>
    <w:basedOn w:val="1"/>
    <w:uiPriority w:val="0"/>
    <w:pPr>
      <w:widowControl/>
      <w:adjustRightInd w:val="0"/>
      <w:snapToGrid w:val="0"/>
      <w:spacing w:before="100" w:beforeAutospacing="1" w:after="100" w:afterAutospacing="1"/>
      <w:jc w:val="left"/>
    </w:pPr>
    <w:rPr>
      <w:rFonts w:ascii="宋体" w:hAnsi="宋体" w:cs="宋体"/>
      <w:b/>
      <w:bCs/>
      <w:color w:val="auto"/>
      <w:kern w:val="0"/>
      <w:sz w:val="20"/>
      <w:szCs w:val="20"/>
    </w:rPr>
  </w:style>
  <w:style w:type="paragraph" w:customStyle="1" w:styleId="188">
    <w:name w:val="font7"/>
    <w:basedOn w:val="1"/>
    <w:uiPriority w:val="0"/>
    <w:pPr>
      <w:widowControl/>
      <w:adjustRightInd w:val="0"/>
      <w:snapToGrid w:val="0"/>
      <w:spacing w:before="100" w:beforeAutospacing="1" w:after="100" w:afterAutospacing="1"/>
      <w:jc w:val="left"/>
    </w:pPr>
    <w:rPr>
      <w:rFonts w:cs="Times New Roman"/>
      <w:b/>
      <w:bCs/>
      <w:color w:val="auto"/>
      <w:kern w:val="0"/>
      <w:sz w:val="20"/>
      <w:szCs w:val="20"/>
    </w:rPr>
  </w:style>
  <w:style w:type="paragraph" w:customStyle="1" w:styleId="189">
    <w:name w:val="font8"/>
    <w:basedOn w:val="1"/>
    <w:uiPriority w:val="0"/>
    <w:pPr>
      <w:widowControl/>
      <w:adjustRightInd w:val="0"/>
      <w:snapToGrid w:val="0"/>
      <w:spacing w:before="100" w:beforeAutospacing="1" w:after="100" w:afterAutospacing="1"/>
      <w:jc w:val="left"/>
    </w:pPr>
    <w:rPr>
      <w:rFonts w:ascii="宋体" w:hAnsi="宋体" w:cs="宋体"/>
      <w:color w:val="auto"/>
      <w:kern w:val="0"/>
      <w:sz w:val="20"/>
      <w:szCs w:val="20"/>
    </w:rPr>
  </w:style>
  <w:style w:type="paragraph" w:customStyle="1" w:styleId="190">
    <w:name w:val="font9"/>
    <w:basedOn w:val="1"/>
    <w:uiPriority w:val="0"/>
    <w:pPr>
      <w:widowControl/>
      <w:adjustRightInd w:val="0"/>
      <w:snapToGrid w:val="0"/>
      <w:spacing w:before="100" w:beforeAutospacing="1" w:after="100" w:afterAutospacing="1"/>
      <w:jc w:val="left"/>
    </w:pPr>
    <w:rPr>
      <w:rFonts w:cs="Times New Roman"/>
      <w:color w:val="auto"/>
      <w:kern w:val="0"/>
      <w:sz w:val="20"/>
      <w:szCs w:val="20"/>
    </w:rPr>
  </w:style>
  <w:style w:type="paragraph" w:customStyle="1" w:styleId="191">
    <w:name w:val="font10"/>
    <w:basedOn w:val="1"/>
    <w:uiPriority w:val="0"/>
    <w:pPr>
      <w:widowControl/>
      <w:adjustRightInd w:val="0"/>
      <w:snapToGrid w:val="0"/>
      <w:spacing w:before="100" w:beforeAutospacing="1" w:after="100" w:afterAutospacing="1"/>
      <w:jc w:val="left"/>
    </w:pPr>
    <w:rPr>
      <w:rFonts w:cs="Times New Roman"/>
      <w:color w:val="auto"/>
      <w:kern w:val="0"/>
      <w:sz w:val="20"/>
      <w:szCs w:val="20"/>
    </w:rPr>
  </w:style>
  <w:style w:type="paragraph" w:customStyle="1" w:styleId="192">
    <w:name w:val="font11"/>
    <w:basedOn w:val="1"/>
    <w:uiPriority w:val="0"/>
    <w:pPr>
      <w:widowControl/>
      <w:adjustRightInd w:val="0"/>
      <w:snapToGrid w:val="0"/>
      <w:spacing w:before="100" w:beforeAutospacing="1" w:after="100" w:afterAutospacing="1"/>
      <w:jc w:val="left"/>
    </w:pPr>
    <w:rPr>
      <w:rFonts w:cs="Times New Roman"/>
      <w:color w:val="000000"/>
      <w:kern w:val="0"/>
      <w:sz w:val="20"/>
      <w:szCs w:val="20"/>
    </w:rPr>
  </w:style>
  <w:style w:type="paragraph" w:customStyle="1" w:styleId="193">
    <w:name w:val="font13"/>
    <w:basedOn w:val="1"/>
    <w:uiPriority w:val="0"/>
    <w:pPr>
      <w:widowControl/>
      <w:adjustRightInd w:val="0"/>
      <w:snapToGrid w:val="0"/>
      <w:spacing w:before="100" w:beforeAutospacing="1" w:after="100" w:afterAutospacing="1"/>
      <w:jc w:val="left"/>
    </w:pPr>
    <w:rPr>
      <w:rFonts w:ascii="宋体" w:hAnsi="宋体" w:cs="宋体"/>
      <w:color w:val="auto"/>
      <w:kern w:val="0"/>
      <w:sz w:val="20"/>
      <w:szCs w:val="20"/>
    </w:rPr>
  </w:style>
  <w:style w:type="paragraph" w:customStyle="1" w:styleId="194">
    <w:name w:val="xl65"/>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195">
    <w:name w:val="xl66"/>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196">
    <w:name w:val="xl67"/>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197">
    <w:name w:val="xl68"/>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198">
    <w:name w:val="xl69"/>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199">
    <w:name w:val="xl70"/>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0">
    <w:name w:val="xl71"/>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1">
    <w:name w:val="xl72"/>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2">
    <w:name w:val="xl73"/>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3">
    <w:name w:val="xl74"/>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4">
    <w:name w:val="xl75"/>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05">
    <w:name w:val="xl76"/>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6">
    <w:name w:val="xl77"/>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07">
    <w:name w:val="xl78"/>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08">
    <w:name w:val="xl79"/>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09">
    <w:name w:val="xl80"/>
    <w:basedOn w:val="1"/>
    <w:uiPriority w:val="0"/>
    <w:pPr>
      <w:widowControl/>
      <w:pBdr>
        <w:top w:val="single" w:color="auto" w:sz="4" w:space="0"/>
        <w:bottom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10">
    <w:name w:val="xl81"/>
    <w:basedOn w:val="1"/>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11">
    <w:name w:val="xl82"/>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12">
    <w:name w:val="xl83"/>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13">
    <w:name w:val="xl84"/>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14">
    <w:name w:val="xl85"/>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15">
    <w:name w:val="xl86"/>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16">
    <w:name w:val="xl87"/>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17">
    <w:name w:val="xl88"/>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18">
    <w:name w:val="xl89"/>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19">
    <w:name w:val="xl90"/>
    <w:basedOn w:val="1"/>
    <w:uiPriority w:val="0"/>
    <w:pPr>
      <w:widowControl/>
      <w:pBdr>
        <w:top w:val="single" w:color="auto" w:sz="4" w:space="0"/>
        <w:bottom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20">
    <w:name w:val="xl91"/>
    <w:basedOn w:val="1"/>
    <w:uiPriority w:val="0"/>
    <w:pPr>
      <w:widowControl/>
      <w:adjustRightInd w:val="0"/>
      <w:snapToGrid w:val="0"/>
      <w:spacing w:before="100" w:beforeAutospacing="1" w:after="100" w:afterAutospacing="1"/>
      <w:jc w:val="center"/>
    </w:pPr>
    <w:rPr>
      <w:rFonts w:ascii="宋体" w:hAnsi="宋体" w:cs="宋体"/>
      <w:color w:val="auto"/>
      <w:kern w:val="0"/>
      <w:szCs w:val="24"/>
    </w:rPr>
  </w:style>
  <w:style w:type="paragraph" w:customStyle="1" w:styleId="221">
    <w:name w:val="xl92"/>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22">
    <w:name w:val="xl93"/>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auto"/>
      <w:kern w:val="0"/>
      <w:sz w:val="20"/>
      <w:szCs w:val="20"/>
    </w:rPr>
  </w:style>
  <w:style w:type="paragraph" w:customStyle="1" w:styleId="223">
    <w:name w:val="xl94"/>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color w:val="000000"/>
      <w:kern w:val="0"/>
      <w:sz w:val="20"/>
      <w:szCs w:val="20"/>
    </w:rPr>
  </w:style>
  <w:style w:type="paragraph" w:customStyle="1" w:styleId="224">
    <w:name w:val="xl95"/>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25">
    <w:name w:val="xl96"/>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26">
    <w:name w:val="xl97"/>
    <w:basedOn w:val="1"/>
    <w:uiPriority w:val="0"/>
    <w:pPr>
      <w:widowControl/>
      <w:pBdr>
        <w:top w:val="single" w:color="auto" w:sz="4" w:space="0"/>
        <w:bottom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27">
    <w:name w:val="xl98"/>
    <w:basedOn w:val="1"/>
    <w:uiPriority w:val="0"/>
    <w:pPr>
      <w:widowControl/>
      <w:pBdr>
        <w:top w:val="single" w:color="auto" w:sz="4" w:space="0"/>
        <w:bottom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28">
    <w:name w:val="xl99"/>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color w:val="auto"/>
      <w:kern w:val="0"/>
      <w:sz w:val="20"/>
      <w:szCs w:val="20"/>
    </w:rPr>
  </w:style>
  <w:style w:type="paragraph" w:customStyle="1" w:styleId="229">
    <w:name w:val="xl100"/>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0">
    <w:name w:val="xl101"/>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1">
    <w:name w:val="xl102"/>
    <w:basedOn w:val="1"/>
    <w:uiPriority w:val="0"/>
    <w:pPr>
      <w:widowControl/>
      <w:pBdr>
        <w:top w:val="single" w:color="auto" w:sz="4" w:space="0"/>
        <w:bottom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2">
    <w:name w:val="xl103"/>
    <w:basedOn w:val="1"/>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3">
    <w:name w:val="xl104"/>
    <w:basedOn w:val="1"/>
    <w:uiPriority w:val="0"/>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34">
    <w:name w:val="xl105"/>
    <w:basedOn w:val="1"/>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35">
    <w:name w:val="xl106"/>
    <w:basedOn w:val="1"/>
    <w:uiPriority w:val="0"/>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6">
    <w:name w:val="xl107"/>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7">
    <w:name w:val="xl108"/>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8">
    <w:name w:val="xl109"/>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39">
    <w:name w:val="xl110"/>
    <w:basedOn w:val="1"/>
    <w:uiPriority w:val="0"/>
    <w:pPr>
      <w:widowControl/>
      <w:pBdr>
        <w:top w:val="single" w:color="auto" w:sz="4" w:space="0"/>
        <w:left w:val="single" w:color="auto" w:sz="4" w:space="0"/>
        <w:bottom w:val="single" w:color="auto" w:sz="4" w:space="0"/>
      </w:pBdr>
      <w:shd w:val="clear" w:color="000000" w:fill="A5A5A5"/>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40">
    <w:name w:val="xl111"/>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41">
    <w:name w:val="xl112"/>
    <w:basedOn w:val="1"/>
    <w:uiPriority w:val="0"/>
    <w:pPr>
      <w:widowControl/>
      <w:pBdr>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42">
    <w:name w:val="xl113"/>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43">
    <w:name w:val="xl114"/>
    <w:basedOn w:val="1"/>
    <w:uiPriority w:val="0"/>
    <w:pPr>
      <w:widowControl/>
      <w:pBdr>
        <w:top w:val="single" w:color="auto" w:sz="4" w:space="0"/>
        <w:left w:val="single" w:color="auto" w:sz="4" w:space="0"/>
        <w:bottom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cs="Times New Roman"/>
      <w:b/>
      <w:bCs/>
      <w:color w:val="auto"/>
      <w:kern w:val="0"/>
      <w:sz w:val="20"/>
      <w:szCs w:val="20"/>
    </w:rPr>
  </w:style>
  <w:style w:type="paragraph" w:customStyle="1" w:styleId="244">
    <w:name w:val="xl115"/>
    <w:basedOn w:val="1"/>
    <w:uiPriority w:val="0"/>
    <w:pPr>
      <w:widowControl/>
      <w:pBdr>
        <w:top w:val="single" w:color="auto" w:sz="4" w:space="0"/>
        <w:left w:val="single" w:color="auto" w:sz="4" w:space="0"/>
        <w:bottom w:val="single" w:color="auto" w:sz="4" w:space="0"/>
      </w:pBdr>
      <w:shd w:val="clear" w:color="000000" w:fill="A5A5A5"/>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paragraph" w:customStyle="1" w:styleId="245">
    <w:name w:val="xl116"/>
    <w:basedOn w:val="1"/>
    <w:uiPriority w:val="0"/>
    <w:pPr>
      <w:widowControl/>
      <w:pBdr>
        <w:top w:val="single" w:color="auto" w:sz="4" w:space="0"/>
        <w:left w:val="single" w:color="auto" w:sz="4" w:space="0"/>
        <w:right w:val="single" w:color="auto" w:sz="4" w:space="0"/>
      </w:pBdr>
      <w:shd w:val="clear" w:color="000000" w:fill="A5A5A5"/>
      <w:adjustRightInd w:val="0"/>
      <w:snapToGrid w:val="0"/>
      <w:spacing w:before="100" w:beforeAutospacing="1" w:after="100" w:afterAutospacing="1"/>
      <w:jc w:val="center"/>
      <w:textAlignment w:val="center"/>
    </w:pPr>
    <w:rPr>
      <w:rFonts w:ascii="宋体" w:hAnsi="宋体" w:cs="宋体"/>
      <w:b/>
      <w:bCs/>
      <w:color w:val="auto"/>
      <w:kern w:val="0"/>
      <w:sz w:val="20"/>
      <w:szCs w:val="20"/>
    </w:rPr>
  </w:style>
  <w:style w:type="character" w:customStyle="1" w:styleId="246">
    <w:name w:val="HTML 预设格式 Char"/>
    <w:basedOn w:val="90"/>
    <w:link w:val="80"/>
    <w:semiHidden/>
    <w:uiPriority w:val="99"/>
    <w:rPr>
      <w:rFonts w:ascii="Arial" w:hAnsi="Arial" w:eastAsia="仿宋_GB2312" w:cs="Times New Roman"/>
      <w:kern w:val="0"/>
      <w:sz w:val="24"/>
      <w:szCs w:val="24"/>
    </w:rPr>
  </w:style>
  <w:style w:type="paragraph" w:customStyle="1" w:styleId="247">
    <w:name w:val="font0"/>
    <w:basedOn w:val="1"/>
    <w:uiPriority w:val="0"/>
    <w:pPr>
      <w:widowControl/>
      <w:adjustRightInd w:val="0"/>
      <w:snapToGrid w:val="0"/>
      <w:spacing w:before="100" w:beforeAutospacing="1" w:after="100" w:afterAutospacing="1"/>
      <w:jc w:val="left"/>
    </w:pPr>
    <w:rPr>
      <w:rFonts w:ascii="宋体" w:hAnsi="宋体" w:cs="宋体"/>
      <w:color w:val="000000"/>
      <w:kern w:val="0"/>
      <w:sz w:val="22"/>
    </w:rPr>
  </w:style>
  <w:style w:type="paragraph" w:customStyle="1" w:styleId="248">
    <w:name w:val="font14"/>
    <w:basedOn w:val="1"/>
    <w:uiPriority w:val="0"/>
    <w:pPr>
      <w:widowControl/>
      <w:adjustRightInd w:val="0"/>
      <w:snapToGrid w:val="0"/>
      <w:spacing w:before="100" w:beforeAutospacing="1" w:after="100" w:afterAutospacing="1"/>
      <w:jc w:val="left"/>
    </w:pPr>
    <w:rPr>
      <w:rFonts w:ascii="仿宋_GB2312" w:hAnsi="宋体" w:cs="宋体"/>
      <w:b/>
      <w:bCs/>
      <w:color w:val="FF0000"/>
      <w:kern w:val="0"/>
      <w:sz w:val="20"/>
      <w:szCs w:val="20"/>
    </w:rPr>
  </w:style>
  <w:style w:type="paragraph" w:customStyle="1" w:styleId="249">
    <w:name w:val="font15"/>
    <w:basedOn w:val="1"/>
    <w:uiPriority w:val="0"/>
    <w:pPr>
      <w:widowControl/>
      <w:adjustRightInd w:val="0"/>
      <w:snapToGrid w:val="0"/>
      <w:spacing w:before="100" w:beforeAutospacing="1" w:after="100" w:afterAutospacing="1"/>
      <w:jc w:val="left"/>
    </w:pPr>
    <w:rPr>
      <w:rFonts w:ascii="仿宋_GB2312" w:hAnsi="宋体" w:cs="宋体"/>
      <w:b/>
      <w:bCs/>
      <w:color w:val="008000"/>
      <w:kern w:val="0"/>
      <w:sz w:val="20"/>
      <w:szCs w:val="20"/>
    </w:rPr>
  </w:style>
  <w:style w:type="paragraph" w:customStyle="1" w:styleId="250">
    <w:name w:val="font16"/>
    <w:basedOn w:val="1"/>
    <w:uiPriority w:val="0"/>
    <w:pPr>
      <w:widowControl/>
      <w:adjustRightInd w:val="0"/>
      <w:snapToGrid w:val="0"/>
      <w:spacing w:before="100" w:beforeAutospacing="1" w:after="100" w:afterAutospacing="1"/>
      <w:jc w:val="left"/>
    </w:pPr>
    <w:rPr>
      <w:rFonts w:ascii="仿宋_GB2312" w:hAnsi="宋体" w:cs="宋体"/>
      <w:color w:val="FF0000"/>
      <w:kern w:val="0"/>
      <w:sz w:val="20"/>
      <w:szCs w:val="20"/>
    </w:rPr>
  </w:style>
  <w:style w:type="paragraph" w:customStyle="1" w:styleId="251">
    <w:name w:val="font17"/>
    <w:basedOn w:val="1"/>
    <w:uiPriority w:val="0"/>
    <w:pPr>
      <w:widowControl/>
      <w:adjustRightInd w:val="0"/>
      <w:snapToGrid w:val="0"/>
      <w:spacing w:before="100" w:beforeAutospacing="1" w:after="100" w:afterAutospacing="1"/>
      <w:jc w:val="left"/>
    </w:pPr>
    <w:rPr>
      <w:rFonts w:ascii="仿宋_GB2312" w:hAnsi="宋体" w:cs="宋体"/>
      <w:color w:val="FF0000"/>
      <w:kern w:val="0"/>
      <w:sz w:val="20"/>
      <w:szCs w:val="20"/>
    </w:rPr>
  </w:style>
  <w:style w:type="paragraph" w:customStyle="1" w:styleId="252">
    <w:name w:val="font18"/>
    <w:basedOn w:val="1"/>
    <w:uiPriority w:val="0"/>
    <w:pPr>
      <w:widowControl/>
      <w:adjustRightInd w:val="0"/>
      <w:snapToGrid w:val="0"/>
      <w:spacing w:before="100" w:beforeAutospacing="1" w:after="100" w:afterAutospacing="1"/>
      <w:jc w:val="left"/>
    </w:pPr>
    <w:rPr>
      <w:rFonts w:ascii="仿宋_GB2312" w:hAnsi="宋体" w:cs="宋体"/>
      <w:b/>
      <w:bCs/>
      <w:color w:val="FF0000"/>
      <w:kern w:val="0"/>
      <w:sz w:val="20"/>
      <w:szCs w:val="20"/>
    </w:rPr>
  </w:style>
  <w:style w:type="paragraph" w:customStyle="1" w:styleId="253">
    <w:name w:val="font19"/>
    <w:basedOn w:val="1"/>
    <w:uiPriority w:val="0"/>
    <w:pPr>
      <w:widowControl/>
      <w:adjustRightInd w:val="0"/>
      <w:snapToGrid w:val="0"/>
      <w:spacing w:before="100" w:beforeAutospacing="1" w:after="100" w:afterAutospacing="1"/>
      <w:jc w:val="left"/>
    </w:pPr>
    <w:rPr>
      <w:rFonts w:ascii="仿宋_GB2312" w:hAnsi="宋体" w:cs="宋体"/>
      <w:b/>
      <w:bCs/>
      <w:color w:val="000000"/>
      <w:kern w:val="0"/>
      <w:sz w:val="18"/>
      <w:szCs w:val="18"/>
    </w:rPr>
  </w:style>
  <w:style w:type="paragraph" w:customStyle="1" w:styleId="254">
    <w:name w:val="font20"/>
    <w:basedOn w:val="1"/>
    <w:uiPriority w:val="0"/>
    <w:pPr>
      <w:widowControl/>
      <w:adjustRightInd w:val="0"/>
      <w:snapToGrid w:val="0"/>
      <w:spacing w:before="100" w:beforeAutospacing="1" w:after="100" w:afterAutospacing="1"/>
      <w:jc w:val="left"/>
    </w:pPr>
    <w:rPr>
      <w:rFonts w:ascii="仿宋_GB2312" w:hAnsi="宋体" w:cs="宋体"/>
      <w:b/>
      <w:bCs/>
      <w:color w:val="000000"/>
      <w:kern w:val="0"/>
      <w:sz w:val="18"/>
      <w:szCs w:val="18"/>
    </w:rPr>
  </w:style>
  <w:style w:type="paragraph" w:customStyle="1" w:styleId="255">
    <w:name w:val="font21"/>
    <w:basedOn w:val="1"/>
    <w:uiPriority w:val="0"/>
    <w:pPr>
      <w:widowControl/>
      <w:adjustRightInd w:val="0"/>
      <w:snapToGrid w:val="0"/>
      <w:spacing w:before="100" w:beforeAutospacing="1" w:after="100" w:afterAutospacing="1"/>
      <w:jc w:val="left"/>
    </w:pPr>
    <w:rPr>
      <w:rFonts w:ascii="宋体" w:hAnsi="宋体" w:cs="宋体"/>
      <w:color w:val="auto"/>
      <w:kern w:val="0"/>
      <w:sz w:val="18"/>
      <w:szCs w:val="18"/>
    </w:rPr>
  </w:style>
  <w:style w:type="paragraph" w:customStyle="1" w:styleId="256">
    <w:name w:val="xl117"/>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57">
    <w:name w:val="xl118"/>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FF0000"/>
      <w:kern w:val="0"/>
      <w:sz w:val="20"/>
      <w:szCs w:val="20"/>
    </w:rPr>
  </w:style>
  <w:style w:type="paragraph" w:customStyle="1" w:styleId="258">
    <w:name w:val="xl119"/>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FF0000"/>
      <w:kern w:val="0"/>
      <w:sz w:val="20"/>
      <w:szCs w:val="20"/>
    </w:rPr>
  </w:style>
  <w:style w:type="paragraph" w:customStyle="1" w:styleId="259">
    <w:name w:val="xl120"/>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FF0000"/>
      <w:kern w:val="0"/>
      <w:sz w:val="20"/>
      <w:szCs w:val="20"/>
    </w:rPr>
  </w:style>
  <w:style w:type="paragraph" w:customStyle="1" w:styleId="260">
    <w:name w:val="xl121"/>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FF0000"/>
      <w:kern w:val="0"/>
      <w:sz w:val="20"/>
      <w:szCs w:val="20"/>
    </w:rPr>
  </w:style>
  <w:style w:type="paragraph" w:customStyle="1" w:styleId="261">
    <w:name w:val="xl122"/>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262">
    <w:name w:val="xl123"/>
    <w:basedOn w:val="1"/>
    <w:uiPriority w:val="0"/>
    <w:pPr>
      <w:widowControl/>
      <w:shd w:val="clear" w:color="000000" w:fill="FFFF00"/>
      <w:adjustRightInd w:val="0"/>
      <w:snapToGrid w:val="0"/>
      <w:spacing w:before="100" w:beforeAutospacing="1" w:after="100" w:afterAutospacing="1"/>
      <w:jc w:val="center"/>
    </w:pPr>
    <w:rPr>
      <w:rFonts w:ascii="仿宋_GB2312" w:hAnsi="宋体" w:cs="宋体"/>
      <w:color w:val="FF0000"/>
      <w:kern w:val="0"/>
      <w:sz w:val="20"/>
      <w:szCs w:val="20"/>
    </w:rPr>
  </w:style>
  <w:style w:type="paragraph" w:customStyle="1" w:styleId="263">
    <w:name w:val="xl124"/>
    <w:basedOn w:val="1"/>
    <w:uiPriority w:val="0"/>
    <w:pPr>
      <w:widowControl/>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264">
    <w:name w:val="xl125"/>
    <w:basedOn w:val="1"/>
    <w:uiPriority w:val="0"/>
    <w:pPr>
      <w:widowControl/>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65">
    <w:name w:val="xl126"/>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B0F0"/>
      <w:kern w:val="0"/>
      <w:sz w:val="20"/>
      <w:szCs w:val="20"/>
    </w:rPr>
  </w:style>
  <w:style w:type="paragraph" w:customStyle="1" w:styleId="266">
    <w:name w:val="xl127"/>
    <w:basedOn w:val="1"/>
    <w:uiPriority w:val="0"/>
    <w:pPr>
      <w:widowControl/>
      <w:shd w:val="clear" w:color="000000" w:fill="FFCC99"/>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67">
    <w:name w:val="xl128"/>
    <w:basedOn w:val="1"/>
    <w:uiPriority w:val="0"/>
    <w:pPr>
      <w:widowControl/>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268">
    <w:name w:val="xl129"/>
    <w:basedOn w:val="1"/>
    <w:uiPriority w:val="0"/>
    <w:pPr>
      <w:widowControl/>
      <w:pBdr>
        <w:top w:val="single" w:color="auto" w:sz="4" w:space="0"/>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269">
    <w:name w:val="xl130"/>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270">
    <w:name w:val="xl131"/>
    <w:basedOn w:val="1"/>
    <w:uiPriority w:val="0"/>
    <w:pPr>
      <w:widowControl/>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271">
    <w:name w:val="xl132"/>
    <w:basedOn w:val="1"/>
    <w:uiPriority w:val="0"/>
    <w:pPr>
      <w:widowControl/>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2">
    <w:name w:val="xl133"/>
    <w:basedOn w:val="1"/>
    <w:uiPriority w:val="0"/>
    <w:pPr>
      <w:widowControl/>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3">
    <w:name w:val="xl134"/>
    <w:basedOn w:val="1"/>
    <w:uiPriority w:val="0"/>
    <w:pPr>
      <w:widowControl/>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74">
    <w:name w:val="xl135"/>
    <w:basedOn w:val="1"/>
    <w:uiPriority w:val="0"/>
    <w:pPr>
      <w:widowControl/>
      <w:pBdr>
        <w:top w:val="single" w:color="auto" w:sz="4" w:space="0"/>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75">
    <w:name w:val="xl136"/>
    <w:basedOn w:val="1"/>
    <w:uiPriority w:val="0"/>
    <w:pPr>
      <w:widowControl/>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6">
    <w:name w:val="xl137"/>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7">
    <w:name w:val="xl138"/>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8">
    <w:name w:val="xl139"/>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79">
    <w:name w:val="xl140"/>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80">
    <w:name w:val="xl141"/>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81">
    <w:name w:val="xl142"/>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82">
    <w:name w:val="xl143"/>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283">
    <w:name w:val="xl144"/>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84">
    <w:name w:val="xl145"/>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85">
    <w:name w:val="xl146"/>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286">
    <w:name w:val="xl147"/>
    <w:basedOn w:val="1"/>
    <w:uiPriority w:val="0"/>
    <w:pPr>
      <w:widowControl/>
      <w:pBdr>
        <w:top w:val="single" w:color="auto" w:sz="4" w:space="0"/>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18"/>
      <w:szCs w:val="18"/>
    </w:rPr>
  </w:style>
  <w:style w:type="paragraph" w:customStyle="1" w:styleId="287">
    <w:name w:val="xl148"/>
    <w:basedOn w:val="1"/>
    <w:uiPriority w:val="0"/>
    <w:pPr>
      <w:widowControl/>
      <w:pBdr>
        <w:top w:val="single" w:color="auto" w:sz="4" w:space="0"/>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18"/>
      <w:szCs w:val="18"/>
    </w:rPr>
  </w:style>
  <w:style w:type="paragraph" w:customStyle="1" w:styleId="288">
    <w:name w:val="xl149"/>
    <w:basedOn w:val="1"/>
    <w:uiPriority w:val="0"/>
    <w:pPr>
      <w:widowControl/>
      <w:pBdr>
        <w:top w:val="single" w:color="auto" w:sz="4" w:space="0"/>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18"/>
      <w:szCs w:val="18"/>
    </w:rPr>
  </w:style>
  <w:style w:type="paragraph" w:customStyle="1" w:styleId="289">
    <w:name w:val="xl150"/>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0">
    <w:name w:val="xl151"/>
    <w:basedOn w:val="1"/>
    <w:uiPriority w:val="0"/>
    <w:pPr>
      <w:widowControl/>
      <w:pBdr>
        <w:top w:val="single" w:color="auto" w:sz="4" w:space="0"/>
        <w:left w:val="single" w:color="auto" w:sz="4" w:space="0"/>
        <w:right w:val="single" w:color="auto" w:sz="4" w:space="0"/>
      </w:pBdr>
      <w:shd w:val="clear" w:color="000000" w:fill="FF00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1">
    <w:name w:val="xl152"/>
    <w:basedOn w:val="1"/>
    <w:uiPriority w:val="0"/>
    <w:pPr>
      <w:widowControl/>
      <w:pBdr>
        <w:left w:val="single" w:color="auto" w:sz="4" w:space="0"/>
        <w:right w:val="single" w:color="auto" w:sz="4" w:space="0"/>
      </w:pBdr>
      <w:shd w:val="clear" w:color="000000" w:fill="FF00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2">
    <w:name w:val="xl153"/>
    <w:basedOn w:val="1"/>
    <w:uiPriority w:val="0"/>
    <w:pPr>
      <w:widowControl/>
      <w:pBdr>
        <w:left w:val="single" w:color="auto" w:sz="4" w:space="0"/>
        <w:bottom w:val="single" w:color="auto" w:sz="4" w:space="0"/>
        <w:right w:val="single" w:color="auto" w:sz="4" w:space="0"/>
      </w:pBdr>
      <w:shd w:val="clear" w:color="000000" w:fill="FF00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3">
    <w:name w:val="xl154"/>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4">
    <w:name w:val="xl155"/>
    <w:basedOn w:val="1"/>
    <w:uiPriority w:val="0"/>
    <w:pPr>
      <w:widowControl/>
      <w:pBdr>
        <w:top w:val="single" w:color="auto" w:sz="4" w:space="0"/>
        <w:left w:val="single" w:color="auto" w:sz="4" w:space="0"/>
        <w:bottom w:val="single" w:color="auto" w:sz="4" w:space="0"/>
        <w:right w:val="single" w:color="auto" w:sz="4" w:space="0"/>
      </w:pBdr>
      <w:shd w:val="clear" w:color="000000" w:fill="FF00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5">
    <w:name w:val="xl156"/>
    <w:basedOn w:val="1"/>
    <w:uiPriority w:val="0"/>
    <w:pPr>
      <w:widowControl/>
      <w:pBdr>
        <w:top w:val="single" w:color="auto" w:sz="4" w:space="0"/>
        <w:left w:val="single" w:color="auto" w:sz="4" w:space="0"/>
        <w:bottom w:val="single" w:color="auto" w:sz="4" w:space="0"/>
        <w:right w:val="single" w:color="auto" w:sz="4" w:space="0"/>
      </w:pBdr>
      <w:shd w:val="clear" w:color="000000" w:fill="99CC00"/>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296">
    <w:name w:val="xl157"/>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97">
    <w:name w:val="xl158"/>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298">
    <w:name w:val="xl159"/>
    <w:basedOn w:val="1"/>
    <w:uiPriority w:val="0"/>
    <w:pPr>
      <w:widowControl/>
      <w:pBdr>
        <w:top w:val="single" w:color="auto" w:sz="4" w:space="0"/>
        <w:left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299">
    <w:name w:val="xl160"/>
    <w:basedOn w:val="1"/>
    <w:uiPriority w:val="0"/>
    <w:pPr>
      <w:widowControl/>
      <w:pBdr>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00">
    <w:name w:val="xl161"/>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01">
    <w:name w:val="xl162"/>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02">
    <w:name w:val="xl163"/>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03">
    <w:name w:val="xl164"/>
    <w:basedOn w:val="1"/>
    <w:uiPriority w:val="0"/>
    <w:pPr>
      <w:widowControl/>
      <w:pBdr>
        <w:top w:val="single" w:color="auto" w:sz="4" w:space="0"/>
        <w:left w:val="single" w:color="auto" w:sz="4" w:space="0"/>
        <w:bottom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04">
    <w:name w:val="xl165"/>
    <w:basedOn w:val="1"/>
    <w:uiPriority w:val="0"/>
    <w:pPr>
      <w:widowControl/>
      <w:pBdr>
        <w:top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05">
    <w:name w:val="xl166"/>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06">
    <w:name w:val="xl167"/>
    <w:basedOn w:val="1"/>
    <w:uiPriority w:val="0"/>
    <w:pPr>
      <w:widowControl/>
      <w:pBdr>
        <w:top w:val="single" w:color="auto" w:sz="4" w:space="0"/>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07">
    <w:name w:val="xl168"/>
    <w:basedOn w:val="1"/>
    <w:uiPriority w:val="0"/>
    <w:pPr>
      <w:widowControl/>
      <w:pBdr>
        <w:top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08">
    <w:name w:val="xl169"/>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09">
    <w:name w:val="xl170"/>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10">
    <w:name w:val="xl171"/>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11">
    <w:name w:val="xl172"/>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312">
    <w:name w:val="xl173"/>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313">
    <w:name w:val="xl174"/>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314">
    <w:name w:val="xl175"/>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315">
    <w:name w:val="xl176"/>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color w:val="000000"/>
      <w:kern w:val="0"/>
      <w:sz w:val="20"/>
      <w:szCs w:val="20"/>
    </w:rPr>
  </w:style>
  <w:style w:type="paragraph" w:customStyle="1" w:styleId="316">
    <w:name w:val="xl177"/>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50"/>
      <w:kern w:val="0"/>
      <w:sz w:val="20"/>
      <w:szCs w:val="20"/>
    </w:rPr>
  </w:style>
  <w:style w:type="paragraph" w:customStyle="1" w:styleId="317">
    <w:name w:val="xl178"/>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50"/>
      <w:kern w:val="0"/>
      <w:sz w:val="20"/>
      <w:szCs w:val="20"/>
    </w:rPr>
  </w:style>
  <w:style w:type="paragraph" w:customStyle="1" w:styleId="318">
    <w:name w:val="xl179"/>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50"/>
      <w:kern w:val="0"/>
      <w:sz w:val="20"/>
      <w:szCs w:val="20"/>
    </w:rPr>
  </w:style>
  <w:style w:type="paragraph" w:customStyle="1" w:styleId="319">
    <w:name w:val="xl180"/>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50"/>
      <w:kern w:val="0"/>
      <w:sz w:val="20"/>
      <w:szCs w:val="20"/>
    </w:rPr>
  </w:style>
  <w:style w:type="paragraph" w:customStyle="1" w:styleId="320">
    <w:name w:val="xl181"/>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321">
    <w:name w:val="xl182"/>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00B0F0"/>
      <w:kern w:val="0"/>
      <w:sz w:val="20"/>
      <w:szCs w:val="20"/>
    </w:rPr>
  </w:style>
  <w:style w:type="paragraph" w:customStyle="1" w:styleId="322">
    <w:name w:val="xl183"/>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23">
    <w:name w:val="xl184"/>
    <w:basedOn w:val="1"/>
    <w:uiPriority w:val="0"/>
    <w:pPr>
      <w:widowControl/>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24">
    <w:name w:val="xl185"/>
    <w:basedOn w:val="1"/>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B050"/>
      <w:kern w:val="0"/>
      <w:sz w:val="20"/>
      <w:szCs w:val="20"/>
    </w:rPr>
  </w:style>
  <w:style w:type="paragraph" w:customStyle="1" w:styleId="325">
    <w:name w:val="xl186"/>
    <w:basedOn w:val="1"/>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00B050"/>
      <w:kern w:val="0"/>
      <w:sz w:val="20"/>
      <w:szCs w:val="20"/>
    </w:rPr>
  </w:style>
  <w:style w:type="paragraph" w:customStyle="1" w:styleId="326">
    <w:name w:val="xl187"/>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27">
    <w:name w:val="xl188"/>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28">
    <w:name w:val="xl189"/>
    <w:basedOn w:val="1"/>
    <w:uiPriority w:val="0"/>
    <w:pPr>
      <w:widowControl/>
      <w:pBdr>
        <w:top w:val="single" w:color="auto" w:sz="4" w:space="0"/>
        <w:left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29">
    <w:name w:val="xl190"/>
    <w:basedOn w:val="1"/>
    <w:uiPriority w:val="0"/>
    <w:pPr>
      <w:widowControl/>
      <w:pBdr>
        <w:left w:val="single" w:color="auto" w:sz="4" w:space="0"/>
        <w:bottom w:val="single" w:color="auto" w:sz="4" w:space="0"/>
        <w:right w:val="single" w:color="auto" w:sz="4" w:space="0"/>
      </w:pBdr>
      <w:shd w:val="clear" w:color="000000" w:fill="FFFF00"/>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30">
    <w:name w:val="xl191"/>
    <w:basedOn w:val="1"/>
    <w:uiPriority w:val="0"/>
    <w:pPr>
      <w:widowControl/>
      <w:pBdr>
        <w:top w:val="single" w:color="auto" w:sz="4" w:space="0"/>
        <w:left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331">
    <w:name w:val="xl192"/>
    <w:basedOn w:val="1"/>
    <w:uiPriority w:val="0"/>
    <w:pPr>
      <w:widowControl/>
      <w:pBdr>
        <w:left w:val="single" w:color="auto" w:sz="4" w:space="0"/>
        <w:bottom w:val="single" w:color="auto" w:sz="4" w:space="0"/>
        <w:right w:val="single" w:color="auto" w:sz="4" w:space="0"/>
      </w:pBdr>
      <w:shd w:val="clear" w:color="000000" w:fill="FFCC99"/>
      <w:adjustRightInd w:val="0"/>
      <w:snapToGrid w:val="0"/>
      <w:spacing w:before="100" w:beforeAutospacing="1" w:after="100" w:afterAutospacing="1"/>
      <w:jc w:val="center"/>
    </w:pPr>
    <w:rPr>
      <w:rFonts w:ascii="仿宋_GB2312" w:hAnsi="宋体" w:cs="宋体"/>
      <w:b/>
      <w:bCs/>
      <w:color w:val="FF0000"/>
      <w:kern w:val="0"/>
      <w:sz w:val="20"/>
      <w:szCs w:val="20"/>
    </w:rPr>
  </w:style>
  <w:style w:type="paragraph" w:customStyle="1" w:styleId="332">
    <w:name w:val="xl193"/>
    <w:basedOn w:val="1"/>
    <w:uiPriority w:val="0"/>
    <w:pPr>
      <w:widowControl/>
      <w:pBdr>
        <w:top w:val="single" w:color="auto" w:sz="4" w:space="0"/>
        <w:left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33">
    <w:name w:val="xl194"/>
    <w:basedOn w:val="1"/>
    <w:uiPriority w:val="0"/>
    <w:pPr>
      <w:widowControl/>
      <w:pBdr>
        <w:left w:val="single" w:color="auto" w:sz="4" w:space="0"/>
        <w:bottom w:val="single" w:color="auto" w:sz="4" w:space="0"/>
        <w:right w:val="single" w:color="auto" w:sz="4" w:space="0"/>
      </w:pBdr>
      <w:shd w:val="clear" w:color="000000" w:fill="FF9900"/>
      <w:adjustRightInd w:val="0"/>
      <w:snapToGrid w:val="0"/>
      <w:spacing w:before="100" w:beforeAutospacing="1" w:after="100" w:afterAutospacing="1"/>
      <w:jc w:val="center"/>
    </w:pPr>
    <w:rPr>
      <w:rFonts w:ascii="仿宋_GB2312" w:hAnsi="宋体" w:cs="宋体"/>
      <w:b/>
      <w:bCs/>
      <w:color w:val="000000"/>
      <w:kern w:val="0"/>
      <w:sz w:val="20"/>
      <w:szCs w:val="20"/>
    </w:rPr>
  </w:style>
  <w:style w:type="paragraph" w:customStyle="1" w:styleId="334">
    <w:name w:val="xl195"/>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35">
    <w:name w:val="xl196"/>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36">
    <w:name w:val="xl197"/>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color w:val="auto"/>
      <w:kern w:val="0"/>
      <w:sz w:val="20"/>
      <w:szCs w:val="20"/>
    </w:rPr>
  </w:style>
  <w:style w:type="paragraph" w:customStyle="1" w:styleId="337">
    <w:name w:val="xl198"/>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auto"/>
      <w:kern w:val="0"/>
      <w:sz w:val="20"/>
      <w:szCs w:val="20"/>
    </w:rPr>
  </w:style>
  <w:style w:type="paragraph" w:customStyle="1" w:styleId="338">
    <w:name w:val="xl199"/>
    <w:basedOn w:val="1"/>
    <w:uiPriority w:val="0"/>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仿宋_GB2312" w:hAnsi="宋体" w:cs="宋体"/>
      <w:b/>
      <w:bCs/>
      <w:color w:val="auto"/>
      <w:kern w:val="0"/>
      <w:sz w:val="20"/>
      <w:szCs w:val="20"/>
    </w:rPr>
  </w:style>
  <w:style w:type="table" w:customStyle="1" w:styleId="339">
    <w:name w:val="网格型21"/>
    <w:basedOn w:val="88"/>
    <w:uiPriority w:val="0"/>
    <w:pPr>
      <w:widowControl w:val="0"/>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0">
    <w:name w:val="Char1 Char Char Char1"/>
    <w:basedOn w:val="1"/>
    <w:semiHidden/>
    <w:uiPriority w:val="0"/>
    <w:pPr>
      <w:spacing w:line="240" w:lineRule="auto"/>
      <w:ind w:firstLine="0" w:firstLineChars="0"/>
    </w:pPr>
    <w:rPr>
      <w:rFonts w:eastAsia="宋体" w:cs="Times New Roman"/>
      <w:color w:val="auto"/>
      <w:sz w:val="21"/>
      <w:szCs w:val="28"/>
    </w:rPr>
  </w:style>
  <w:style w:type="paragraph" w:customStyle="1" w:styleId="341">
    <w:name w:val="Char Char Char Char Char Char Char2"/>
    <w:basedOn w:val="1"/>
    <w:semiHidden/>
    <w:uiPriority w:val="0"/>
    <w:pPr>
      <w:spacing w:line="240" w:lineRule="auto"/>
      <w:ind w:firstLine="0" w:firstLineChars="0"/>
    </w:pPr>
    <w:rPr>
      <w:rFonts w:eastAsia="宋体" w:cs="Times New Roman"/>
      <w:color w:val="auto"/>
      <w:sz w:val="21"/>
      <w:szCs w:val="21"/>
    </w:rPr>
  </w:style>
  <w:style w:type="paragraph" w:customStyle="1" w:styleId="342">
    <w:name w:val="Char Char Char Char2"/>
    <w:basedOn w:val="1"/>
    <w:uiPriority w:val="0"/>
    <w:pPr>
      <w:adjustRightInd w:val="0"/>
      <w:snapToGrid w:val="0"/>
      <w:spacing w:line="240" w:lineRule="auto"/>
    </w:pPr>
    <w:rPr>
      <w:rFonts w:cs="Times New Roman"/>
      <w:color w:val="auto"/>
      <w:szCs w:val="24"/>
    </w:rPr>
  </w:style>
  <w:style w:type="character" w:customStyle="1" w:styleId="343">
    <w:name w:val="批注文字 Char"/>
    <w:basedOn w:val="90"/>
    <w:link w:val="28"/>
    <w:uiPriority w:val="0"/>
    <w:rPr>
      <w:rFonts w:ascii="Times New Roman" w:hAnsi="Times New Roman" w:eastAsia="仿宋_GB2312" w:cs="Times New Roman"/>
      <w:sz w:val="24"/>
      <w:szCs w:val="24"/>
    </w:rPr>
  </w:style>
  <w:style w:type="character" w:customStyle="1" w:styleId="344">
    <w:name w:val="批注主题 Char"/>
    <w:basedOn w:val="343"/>
    <w:link w:val="85"/>
    <w:uiPriority w:val="0"/>
    <w:rPr>
      <w:rFonts w:ascii="Times New Roman" w:hAnsi="Times New Roman" w:eastAsia="仿宋_GB2312" w:cs="Times New Roman"/>
      <w:b/>
      <w:bCs/>
      <w:sz w:val="24"/>
      <w:szCs w:val="24"/>
    </w:rPr>
  </w:style>
  <w:style w:type="paragraph" w:customStyle="1" w:styleId="345">
    <w:name w:val="Revision"/>
    <w:hidden/>
    <w:semiHidden/>
    <w:uiPriority w:val="99"/>
    <w:rPr>
      <w:rFonts w:ascii="Times New Roman" w:hAnsi="Times New Roman" w:eastAsia="仿宋_GB2312" w:cs="Times New Roman"/>
      <w:kern w:val="2"/>
      <w:sz w:val="24"/>
      <w:szCs w:val="24"/>
      <w:lang w:val="en-US" w:eastAsia="zh-CN" w:bidi="ar-SA"/>
    </w:rPr>
  </w:style>
  <w:style w:type="character" w:customStyle="1" w:styleId="346">
    <w:name w:val="HTML 地址 Char"/>
    <w:basedOn w:val="90"/>
    <w:link w:val="41"/>
    <w:uiPriority w:val="0"/>
    <w:rPr>
      <w:rFonts w:ascii="Times New Roman" w:hAnsi="Times New Roman" w:eastAsia="仿宋_GB2312" w:cs="Times New Roman"/>
      <w:i/>
      <w:iCs/>
      <w:sz w:val="24"/>
      <w:szCs w:val="24"/>
    </w:rPr>
  </w:style>
  <w:style w:type="character" w:customStyle="1" w:styleId="347">
    <w:name w:val="称呼 Char"/>
    <w:basedOn w:val="90"/>
    <w:link w:val="30"/>
    <w:uiPriority w:val="0"/>
    <w:rPr>
      <w:rFonts w:ascii="Times New Roman" w:hAnsi="Times New Roman" w:eastAsia="仿宋_GB2312" w:cs="Times New Roman"/>
      <w:sz w:val="24"/>
      <w:szCs w:val="24"/>
    </w:rPr>
  </w:style>
  <w:style w:type="character" w:customStyle="1" w:styleId="348">
    <w:name w:val="电子邮件签名 Char"/>
    <w:basedOn w:val="90"/>
    <w:link w:val="19"/>
    <w:uiPriority w:val="0"/>
    <w:rPr>
      <w:rFonts w:ascii="Times New Roman" w:hAnsi="Times New Roman" w:eastAsia="仿宋_GB2312" w:cs="Times New Roman"/>
      <w:sz w:val="24"/>
      <w:szCs w:val="24"/>
    </w:rPr>
  </w:style>
  <w:style w:type="character" w:customStyle="1" w:styleId="349">
    <w:name w:val="副标题 Char"/>
    <w:basedOn w:val="90"/>
    <w:link w:val="64"/>
    <w:uiPriority w:val="0"/>
    <w:rPr>
      <w:rFonts w:ascii="Cambria" w:hAnsi="Cambria" w:eastAsia="宋体" w:cs="Times New Roman"/>
      <w:b/>
      <w:bCs/>
      <w:kern w:val="28"/>
      <w:sz w:val="32"/>
      <w:szCs w:val="32"/>
    </w:rPr>
  </w:style>
  <w:style w:type="character" w:customStyle="1" w:styleId="350">
    <w:name w:val="宏文本 Char"/>
    <w:basedOn w:val="90"/>
    <w:link w:val="2"/>
    <w:uiPriority w:val="0"/>
    <w:rPr>
      <w:rFonts w:ascii="Courier New" w:hAnsi="Courier New" w:eastAsia="宋体" w:cs="Courier New"/>
      <w:sz w:val="24"/>
      <w:szCs w:val="24"/>
    </w:rPr>
  </w:style>
  <w:style w:type="character" w:customStyle="1" w:styleId="351">
    <w:name w:val="脚注文本 Char"/>
    <w:basedOn w:val="90"/>
    <w:link w:val="67"/>
    <w:uiPriority w:val="0"/>
    <w:rPr>
      <w:rFonts w:ascii="Times New Roman" w:hAnsi="Times New Roman" w:eastAsia="仿宋_GB2312" w:cs="Times New Roman"/>
      <w:sz w:val="18"/>
      <w:szCs w:val="18"/>
    </w:rPr>
  </w:style>
  <w:style w:type="character" w:customStyle="1" w:styleId="352">
    <w:name w:val="结束语 Char"/>
    <w:basedOn w:val="90"/>
    <w:link w:val="32"/>
    <w:uiPriority w:val="0"/>
    <w:rPr>
      <w:rFonts w:ascii="Times New Roman" w:hAnsi="Times New Roman" w:eastAsia="仿宋_GB2312" w:cs="Times New Roman"/>
      <w:sz w:val="24"/>
      <w:szCs w:val="24"/>
    </w:rPr>
  </w:style>
  <w:style w:type="paragraph" w:styleId="353">
    <w:name w:val="Intense Quote"/>
    <w:basedOn w:val="1"/>
    <w:next w:val="1"/>
    <w:link w:val="354"/>
    <w:qFormat/>
    <w:uiPriority w:val="30"/>
    <w:pPr>
      <w:pBdr>
        <w:bottom w:val="single" w:color="4F81BD" w:sz="4" w:space="4"/>
      </w:pBdr>
      <w:adjustRightInd w:val="0"/>
      <w:snapToGrid w:val="0"/>
      <w:spacing w:before="200" w:after="280"/>
      <w:ind w:left="936" w:right="936"/>
    </w:pPr>
    <w:rPr>
      <w:rFonts w:cs="Times New Roman"/>
      <w:b/>
      <w:bCs/>
      <w:i/>
      <w:iCs/>
      <w:color w:val="4F81BD"/>
      <w:szCs w:val="24"/>
    </w:rPr>
  </w:style>
  <w:style w:type="character" w:customStyle="1" w:styleId="354">
    <w:name w:val="明显引用 Char"/>
    <w:basedOn w:val="90"/>
    <w:link w:val="353"/>
    <w:uiPriority w:val="30"/>
    <w:rPr>
      <w:rFonts w:ascii="Times New Roman" w:hAnsi="Times New Roman" w:eastAsia="仿宋_GB2312" w:cs="Times New Roman"/>
      <w:b/>
      <w:bCs/>
      <w:i/>
      <w:iCs/>
      <w:color w:val="4F81BD"/>
      <w:sz w:val="24"/>
      <w:szCs w:val="24"/>
    </w:rPr>
  </w:style>
  <w:style w:type="character" w:customStyle="1" w:styleId="355">
    <w:name w:val="签名 Char"/>
    <w:basedOn w:val="90"/>
    <w:link w:val="58"/>
    <w:uiPriority w:val="0"/>
    <w:rPr>
      <w:rFonts w:ascii="Times New Roman" w:hAnsi="Times New Roman" w:eastAsia="仿宋_GB2312" w:cs="Times New Roman"/>
      <w:sz w:val="24"/>
      <w:szCs w:val="24"/>
    </w:rPr>
  </w:style>
  <w:style w:type="paragraph" w:customStyle="1" w:styleId="356">
    <w:name w:val="Bibliography"/>
    <w:basedOn w:val="1"/>
    <w:next w:val="1"/>
    <w:semiHidden/>
    <w:unhideWhenUsed/>
    <w:uiPriority w:val="37"/>
    <w:pPr>
      <w:adjustRightInd w:val="0"/>
      <w:snapToGrid w:val="0"/>
    </w:pPr>
    <w:rPr>
      <w:rFonts w:cs="Times New Roman"/>
      <w:color w:val="auto"/>
      <w:szCs w:val="24"/>
    </w:rPr>
  </w:style>
  <w:style w:type="character" w:customStyle="1" w:styleId="357">
    <w:name w:val="尾注文本 Char"/>
    <w:basedOn w:val="90"/>
    <w:link w:val="52"/>
    <w:uiPriority w:val="0"/>
    <w:rPr>
      <w:rFonts w:ascii="Times New Roman" w:hAnsi="Times New Roman" w:eastAsia="仿宋_GB2312" w:cs="Times New Roman"/>
      <w:sz w:val="24"/>
      <w:szCs w:val="24"/>
    </w:rPr>
  </w:style>
  <w:style w:type="character" w:customStyle="1" w:styleId="358">
    <w:name w:val="信息标题 Char"/>
    <w:basedOn w:val="90"/>
    <w:link w:val="79"/>
    <w:uiPriority w:val="0"/>
    <w:rPr>
      <w:rFonts w:ascii="Cambria" w:hAnsi="Cambria" w:eastAsia="宋体" w:cs="Times New Roman"/>
      <w:sz w:val="24"/>
      <w:szCs w:val="24"/>
      <w:shd w:val="pct20" w:color="auto" w:fill="auto"/>
    </w:rPr>
  </w:style>
  <w:style w:type="paragraph" w:styleId="359">
    <w:name w:val="Quote"/>
    <w:basedOn w:val="1"/>
    <w:next w:val="1"/>
    <w:link w:val="360"/>
    <w:qFormat/>
    <w:uiPriority w:val="29"/>
    <w:pPr>
      <w:adjustRightInd w:val="0"/>
      <w:snapToGrid w:val="0"/>
    </w:pPr>
    <w:rPr>
      <w:rFonts w:cs="Times New Roman"/>
      <w:i/>
      <w:iCs/>
      <w:color w:val="000000"/>
      <w:szCs w:val="24"/>
    </w:rPr>
  </w:style>
  <w:style w:type="character" w:customStyle="1" w:styleId="360">
    <w:name w:val="引用 Char"/>
    <w:basedOn w:val="90"/>
    <w:link w:val="359"/>
    <w:uiPriority w:val="29"/>
    <w:rPr>
      <w:rFonts w:ascii="Times New Roman" w:hAnsi="Times New Roman" w:eastAsia="仿宋_GB2312" w:cs="Times New Roman"/>
      <w:i/>
      <w:iCs/>
      <w:color w:val="000000"/>
      <w:sz w:val="24"/>
      <w:szCs w:val="24"/>
    </w:rPr>
  </w:style>
  <w:style w:type="character" w:customStyle="1" w:styleId="361">
    <w:name w:val="正文首行缩进 2 Char"/>
    <w:basedOn w:val="161"/>
    <w:link w:val="87"/>
    <w:uiPriority w:val="0"/>
    <w:rPr>
      <w:rFonts w:ascii="Times New Roman" w:hAnsi="Times New Roman" w:eastAsia="仿宋_GB2312" w:cs="Times New Roman"/>
      <w:kern w:val="0"/>
      <w:sz w:val="24"/>
      <w:szCs w:val="24"/>
      <w:lang w:val="zh-CN"/>
    </w:rPr>
  </w:style>
  <w:style w:type="character" w:customStyle="1" w:styleId="362">
    <w:name w:val="正文文本 2 Char"/>
    <w:basedOn w:val="90"/>
    <w:link w:val="76"/>
    <w:uiPriority w:val="0"/>
    <w:rPr>
      <w:rFonts w:ascii="Times New Roman" w:hAnsi="Times New Roman" w:eastAsia="仿宋_GB2312" w:cs="Times New Roman"/>
      <w:sz w:val="24"/>
      <w:szCs w:val="24"/>
    </w:rPr>
  </w:style>
  <w:style w:type="character" w:customStyle="1" w:styleId="363">
    <w:name w:val="正文文本 3 Char"/>
    <w:basedOn w:val="90"/>
    <w:link w:val="31"/>
    <w:uiPriority w:val="0"/>
    <w:rPr>
      <w:rFonts w:ascii="Times New Roman" w:hAnsi="Times New Roman" w:eastAsia="仿宋_GB2312" w:cs="Times New Roman"/>
      <w:sz w:val="16"/>
      <w:szCs w:val="16"/>
    </w:rPr>
  </w:style>
  <w:style w:type="character" w:customStyle="1" w:styleId="364">
    <w:name w:val="正文文本缩进 3 Char"/>
    <w:basedOn w:val="90"/>
    <w:link w:val="70"/>
    <w:uiPriority w:val="0"/>
    <w:rPr>
      <w:rFonts w:ascii="Times New Roman" w:hAnsi="Times New Roman" w:eastAsia="仿宋_GB2312" w:cs="Times New Roman"/>
      <w:sz w:val="16"/>
      <w:szCs w:val="16"/>
    </w:rPr>
  </w:style>
  <w:style w:type="character" w:customStyle="1" w:styleId="365">
    <w:name w:val="注释标题 Char"/>
    <w:basedOn w:val="90"/>
    <w:link w:val="16"/>
    <w:uiPriority w:val="0"/>
    <w:rPr>
      <w:rFonts w:ascii="Times New Roman" w:hAnsi="Times New Roman" w:eastAsia="仿宋_GB2312" w:cs="Times New Roman"/>
      <w:sz w:val="24"/>
      <w:szCs w:val="24"/>
    </w:rPr>
  </w:style>
  <w:style w:type="paragraph" w:customStyle="1" w:styleId="366">
    <w:name w:val="图"/>
    <w:basedOn w:val="1"/>
    <w:link w:val="367"/>
    <w:qFormat/>
    <w:uiPriority w:val="0"/>
    <w:pPr>
      <w:ind w:firstLine="0" w:firstLineChars="0"/>
      <w:jc w:val="center"/>
    </w:pPr>
    <w:rPr>
      <w:rFonts w:eastAsia="仿宋" w:cs="Times New Roman"/>
      <w:b/>
      <w:color w:val="auto"/>
      <w:sz w:val="21"/>
    </w:rPr>
  </w:style>
  <w:style w:type="character" w:customStyle="1" w:styleId="367">
    <w:name w:val="图 Char"/>
    <w:link w:val="366"/>
    <w:uiPriority w:val="0"/>
    <w:rPr>
      <w:rFonts w:ascii="Times New Roman" w:hAnsi="Times New Roman" w:eastAsia="仿宋" w:cs="Times New Roman"/>
      <w:b/>
    </w:rPr>
  </w:style>
  <w:style w:type="paragraph" w:customStyle="1" w:styleId="368">
    <w:name w:val="Defaul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69">
    <w:name w:val="题目"/>
    <w:basedOn w:val="1"/>
    <w:uiPriority w:val="0"/>
    <w:pPr>
      <w:suppressAutoHyphens/>
      <w:ind w:firstLine="416" w:firstLineChars="0"/>
      <w:jc w:val="center"/>
    </w:pPr>
    <w:rPr>
      <w:rFonts w:eastAsia="黑体" w:cs="Times New Roman"/>
      <w:color w:val="auto"/>
      <w:spacing w:val="-1"/>
      <w:kern w:val="0"/>
      <w:sz w:val="40"/>
      <w:szCs w:val="21"/>
    </w:rPr>
  </w:style>
  <w:style w:type="character" w:customStyle="1" w:styleId="370">
    <w:name w:val="qb-content"/>
    <w:uiPriority w:val="0"/>
    <w:rPr>
      <w:rFonts w:cs="Times New Roman"/>
    </w:rPr>
  </w:style>
  <w:style w:type="character" w:customStyle="1" w:styleId="371">
    <w:name w:val="芮家村 Char"/>
    <w:link w:val="149"/>
    <w:uiPriority w:val="0"/>
    <w:rPr>
      <w:rFonts w:ascii="Times New Roman" w:hAnsi="Times New Roman" w:eastAsia="仿宋_GB2312" w:cs="Times New Roman"/>
      <w:sz w:val="24"/>
      <w:szCs w:val="24"/>
    </w:rPr>
  </w:style>
  <w:style w:type="character" w:customStyle="1" w:styleId="372">
    <w:name w:val="样式 1 + 加粗1 Char"/>
    <w:link w:val="373"/>
    <w:uiPriority w:val="0"/>
    <w:rPr>
      <w:rFonts w:eastAsia="宋体"/>
      <w:bCs/>
    </w:rPr>
  </w:style>
  <w:style w:type="paragraph" w:customStyle="1" w:styleId="373">
    <w:name w:val="样式 1 + 加粗1"/>
    <w:basedOn w:val="1"/>
    <w:link w:val="372"/>
    <w:uiPriority w:val="0"/>
    <w:pPr>
      <w:spacing w:line="400" w:lineRule="exact"/>
      <w:ind w:firstLine="0" w:firstLineChars="0"/>
      <w:jc w:val="center"/>
    </w:pPr>
    <w:rPr>
      <w:rFonts w:eastAsia="宋体" w:asciiTheme="minorHAnsi" w:hAnsiTheme="minorHAnsi"/>
      <w:bCs/>
      <w:color w:val="auto"/>
      <w:sz w:val="21"/>
    </w:rPr>
  </w:style>
  <w:style w:type="character" w:customStyle="1" w:styleId="374">
    <w:name w:val="表格表格 Char"/>
    <w:link w:val="114"/>
    <w:uiPriority w:val="0"/>
    <w:rPr>
      <w:rFonts w:ascii="Times New Roman" w:hAnsi="Times New Roman" w:eastAsia="仿宋_GB2312" w:cs="Times New Roman"/>
      <w:szCs w:val="24"/>
    </w:rPr>
  </w:style>
  <w:style w:type="character" w:customStyle="1" w:styleId="375">
    <w:name w:val="表格 Char Char"/>
    <w:uiPriority w:val="0"/>
    <w:rPr>
      <w:rFonts w:ascii="Times New Roman" w:hAnsi="Times New Roman" w:eastAsia="仿宋_GB2312"/>
      <w:kern w:val="2"/>
      <w:sz w:val="21"/>
      <w:szCs w:val="22"/>
      <w:lang w:bidi="ar-SA"/>
    </w:rPr>
  </w:style>
  <w:style w:type="paragraph" w:customStyle="1" w:styleId="376">
    <w:name w:val="正文加粗"/>
    <w:basedOn w:val="1"/>
    <w:link w:val="377"/>
    <w:qFormat/>
    <w:uiPriority w:val="0"/>
    <w:pPr>
      <w:ind w:firstLine="482"/>
    </w:pPr>
    <w:rPr>
      <w:rFonts w:cs="Times New Roman"/>
      <w:b/>
      <w:color w:val="auto"/>
    </w:rPr>
  </w:style>
  <w:style w:type="character" w:customStyle="1" w:styleId="377">
    <w:name w:val="正文加粗 Char"/>
    <w:basedOn w:val="90"/>
    <w:link w:val="376"/>
    <w:uiPriority w:val="0"/>
    <w:rPr>
      <w:rFonts w:ascii="Times New Roman" w:hAnsi="Times New Roman" w:eastAsia="仿宋_GB2312" w:cs="Times New Roman"/>
      <w:b/>
      <w:sz w:val="24"/>
    </w:rPr>
  </w:style>
  <w:style w:type="paragraph" w:customStyle="1" w:styleId="378">
    <w:name w:val="No Spacing1"/>
    <w:uiPriority w:val="99"/>
    <w:pPr>
      <w:widowControl w:val="0"/>
      <w:jc w:val="both"/>
    </w:pPr>
    <w:rPr>
      <w:rFonts w:ascii="Times New Roman" w:hAnsi="Times New Roman" w:eastAsia="仿宋_GB2312" w:cs="Times New Roman"/>
      <w:color w:val="000000"/>
      <w:kern w:val="2"/>
      <w:sz w:val="21"/>
      <w:szCs w:val="22"/>
      <w:lang w:val="en-US" w:eastAsia="zh-CN" w:bidi="ar-SA"/>
    </w:rPr>
  </w:style>
  <w:style w:type="table" w:customStyle="1" w:styleId="379">
    <w:name w:val="ld-表格主题11"/>
    <w:basedOn w:val="88"/>
    <w:qFormat/>
    <w:uiPriority w:val="0"/>
    <w:pPr>
      <w:widowControl w:val="0"/>
      <w:adjustRightInd w:val="0"/>
      <w:snapToGrid w:val="0"/>
      <w:spacing w:line="360" w:lineRule="auto"/>
      <w:ind w:firstLine="200" w:firstLineChars="200"/>
      <w:jc w:val="center"/>
    </w:pPr>
    <w:rPr>
      <w:rFonts w:ascii="Times New Roman" w:hAnsi="Times New Roman" w:eastAsia="宋体" w:cs="Times New Roman"/>
      <w:kern w:val="0"/>
      <w:sz w:val="20"/>
      <w:szCs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380">
    <w:name w:val="show-img-bd"/>
    <w:basedOn w:val="90"/>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oleObject" Target="embeddings/oleObject5.bin"/><Relationship Id="rId45" Type="http://schemas.openxmlformats.org/officeDocument/2006/relationships/image" Target="media/image27.wmf"/><Relationship Id="rId44" Type="http://schemas.openxmlformats.org/officeDocument/2006/relationships/oleObject" Target="embeddings/oleObject4.bin"/><Relationship Id="rId43" Type="http://schemas.openxmlformats.org/officeDocument/2006/relationships/image" Target="media/image26.wmf"/><Relationship Id="rId42" Type="http://schemas.openxmlformats.org/officeDocument/2006/relationships/oleObject" Target="embeddings/oleObject3.bin"/><Relationship Id="rId41" Type="http://schemas.openxmlformats.org/officeDocument/2006/relationships/image" Target="media/image25.w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oleObject" Target="embeddings/oleObject1.bin"/><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098"/>
    <customShpInfo spid="_x0000_s1093"/>
    <customShpInfo spid="_x0000_s1119"/>
    <customShpInfo spid="_x0000_s1095"/>
    <customShpInfo spid="_x0000_s1096"/>
    <customShpInfo spid="_x0000_s1097"/>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094"/>
    <customShpInfo spid="_x0000_s1034"/>
    <customShpInfo spid="_x0000_s1037"/>
    <customShpInfo spid="_x0000_s1038"/>
    <customShpInfo spid="_x0000_s1032"/>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F1724E-62F0-4EA8-A888-4AF5332FCE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112</Pages>
  <Words>11896</Words>
  <Characters>67810</Characters>
  <Lines>565</Lines>
  <Paragraphs>159</Paragraphs>
  <TotalTime>2587</TotalTime>
  <ScaleCrop>false</ScaleCrop>
  <LinksUpToDate>false</LinksUpToDate>
  <CharactersWithSpaces>79547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2020-03-21T04:38:00Z</dcterms:created>
  <dc:creator>Administrator</dc:creator>
  <cp:lastModifiedBy>岳俊</cp:lastModifiedBy>
  <dcterms:modified xsi:type="dcterms:W3CDTF">2024-08-19T01:54:11Z</dcterms:modified>
  <cp:revision>341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58A12E68D25542C79A79A66FD3C26A7C_12</vt:lpwstr>
  </property>
</Properties>
</file>