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rPr>
          <w:rFonts w:hint="eastAsia" w:ascii="宋体" w:hAnsi="宋体" w:eastAsia="方正仿宋_GBK"/>
          <w:sz w:val="32"/>
          <w:szCs w:val="32"/>
        </w:rPr>
      </w:pPr>
      <w:r>
        <w:rPr>
          <w:rFonts w:hint="eastAsia" w:ascii="宋体" w:hAnsi="宋体" w:eastAsia="黑体" w:cs="黑体"/>
          <w:sz w:val="32"/>
          <w:szCs w:val="32"/>
        </w:rPr>
        <w:t>附件1</w:t>
      </w:r>
    </w:p>
    <w:p>
      <w:pPr>
        <w:spacing w:line="560" w:lineRule="exact"/>
        <w:jc w:val="left"/>
        <w:rPr>
          <w:rFonts w:hint="eastAsia" w:ascii="宋体" w:hAnsi="宋体" w:eastAsia="黑体" w:cs="黑体"/>
          <w:sz w:val="32"/>
          <w:szCs w:val="32"/>
        </w:rPr>
      </w:pPr>
    </w:p>
    <w:p>
      <w:pPr>
        <w:spacing w:line="500" w:lineRule="exact"/>
        <w:jc w:val="center"/>
        <w:rPr>
          <w:rFonts w:hint="eastAsia" w:ascii="宋体" w:hAnsi="宋体" w:eastAsia="方正小标宋_GBK"/>
          <w:sz w:val="44"/>
          <w:szCs w:val="44"/>
        </w:rPr>
      </w:pPr>
      <w:r>
        <w:rPr>
          <w:rFonts w:hint="eastAsia" w:ascii="宋体" w:hAnsi="宋体" w:eastAsia="方正小标宋_GBK"/>
          <w:sz w:val="44"/>
          <w:szCs w:val="44"/>
        </w:rPr>
        <w:t>城区禁止驶入的区域范围及道路</w:t>
      </w:r>
    </w:p>
    <w:p>
      <w:pPr>
        <w:spacing w:line="500" w:lineRule="exact"/>
        <w:rPr>
          <w:rFonts w:hint="eastAsia" w:ascii="宋体" w:hAnsi="宋体" w:eastAsia="方正小标宋_GBK"/>
          <w:sz w:val="44"/>
          <w:szCs w:val="44"/>
        </w:rPr>
      </w:pPr>
      <w:r>
        <w:rPr>
          <w:rFonts w:hint="eastAsia" w:ascii="宋体" w:hAnsi="宋体" w:eastAsia="方正仿宋_GBK"/>
          <w:sz w:val="32"/>
          <w:szCs w:val="32"/>
        </w:rPr>
        <w:t>图一</w:t>
      </w:r>
    </w:p>
    <w:p>
      <w:pPr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481320" cy="4845050"/>
            <wp:effectExtent l="0" t="0" r="50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bright="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方正仿宋_GBK"/>
          <w:sz w:val="32"/>
          <w:szCs w:val="32"/>
        </w:rPr>
      </w:pPr>
      <w:r>
        <w:rPr>
          <w:rFonts w:hint="eastAsia" w:ascii="宋体" w:hAnsi="宋体" w:eastAsia="方正仿宋_GBK"/>
          <w:sz w:val="32"/>
          <w:szCs w:val="32"/>
        </w:rPr>
        <w:t>图示说明：</w:t>
      </w:r>
    </w:p>
    <w:p>
      <w:pPr>
        <w:ind w:firstLine="640" w:firstLineChars="200"/>
        <w:rPr>
          <w:rFonts w:hint="eastAsia" w:ascii="宋体" w:hAnsi="宋体" w:eastAsia="方正仿宋_GBK"/>
          <w:sz w:val="32"/>
          <w:szCs w:val="32"/>
        </w:rPr>
      </w:pPr>
      <w:r>
        <w:rPr>
          <w:rFonts w:hint="eastAsia" w:ascii="宋体" w:hAnsi="宋体" w:eastAsia="方正仿宋_GBK"/>
          <w:sz w:val="32"/>
          <w:szCs w:val="32"/>
        </w:rPr>
        <w:t>1．绿色道路、红色道路连接范围以内的区域禁止驶入。西至金孔雀大街—机场大道，南至环城南路—南蚌路—农垦路—营水路，东至环城东路—仙池路。</w:t>
      </w:r>
    </w:p>
    <w:p>
      <w:pPr>
        <w:ind w:firstLine="640" w:firstLineChars="200"/>
        <w:rPr>
          <w:rFonts w:hint="eastAsia" w:ascii="宋体" w:hAnsi="宋体" w:eastAsia="方正仿宋_GBK"/>
          <w:sz w:val="32"/>
          <w:szCs w:val="32"/>
        </w:rPr>
      </w:pPr>
      <w:r>
        <w:rPr>
          <w:rFonts w:hint="eastAsia" w:ascii="宋体" w:hAnsi="宋体" w:eastAsia="方正仿宋_GBK"/>
          <w:sz w:val="32"/>
          <w:szCs w:val="32"/>
        </w:rPr>
        <w:t>2．绿色道路为可以通行的道路，红色道路为禁止通行的道路。在连接范围的道路中，可以通行的道路为：环城东路—金孔雀大街—机场大道—环城南路—南蚌路（可以通行至农垦路）—农垦路（东段的南蚌路至营水路）—营水路。</w:t>
      </w:r>
    </w:p>
    <w:p>
      <w:r>
        <w:rPr>
          <w:rFonts w:hint="eastAsia" w:ascii="宋体" w:hAnsi="宋体" w:eastAsia="方正仿宋_GBK"/>
          <w:sz w:val="32"/>
          <w:szCs w:val="32"/>
        </w:rPr>
        <w:t>3．禁止通行的道路为：仙池路、南蚌路（与农垦路交叉路口以北）、营水路（与农垦路交叉路口以北）、泛亚壹城已经规划修建道路。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69476A"/>
    <w:rsid w:val="1369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2020-05-19T09:56:00Z</dcterms:created>
  <dc:creator>AppLeSeeD®</dc:creator>
  <cp:lastModifiedBy>AppLeSeeD®</cp:lastModifiedBy>
  <dcterms:modified xsi:type="dcterms:W3CDTF">2020-05-19T09:57:31Z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