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ind w:firstLine="880" w:firstLineChars="200"/>
        <w:textAlignment w:val="baseline"/>
        <w:rPr>
          <w:rFonts w:ascii="方正小标宋简体" w:hAnsi="方正小标宋简体" w:eastAsia="方正小标宋简体" w:cs="方正小标宋简体"/>
          <w:color w:val="000000"/>
          <w:kern w:val="0"/>
          <w:sz w:val="44"/>
          <w:szCs w:val="44"/>
          <w:shd w:val="clear" w:color="auto" w:fill="FFFFFF"/>
          <w:lang w:bidi="ar"/>
        </w:rPr>
      </w:pPr>
      <w:r>
        <w:rPr>
          <w:rFonts w:hint="eastAsia" w:ascii="方正小标宋简体" w:hAnsi="方正小标宋简体" w:eastAsia="方正小标宋简体" w:cs="方正小标宋简体"/>
          <w:color w:val="000000"/>
          <w:kern w:val="0"/>
          <w:sz w:val="44"/>
          <w:szCs w:val="44"/>
          <w:shd w:val="clear" w:color="auto" w:fill="FFFFFF"/>
          <w:lang w:bidi="ar"/>
        </w:rPr>
        <w:t>芒市档案局201</w:t>
      </w:r>
      <w:r>
        <w:rPr>
          <w:rFonts w:ascii="方正小标宋简体" w:hAnsi="方正小标宋简体" w:eastAsia="方正小标宋简体" w:cs="方正小标宋简体"/>
          <w:color w:val="000000"/>
          <w:kern w:val="0"/>
          <w:sz w:val="44"/>
          <w:szCs w:val="44"/>
          <w:shd w:val="clear" w:color="auto" w:fill="FFFFFF"/>
          <w:lang w:bidi="ar"/>
        </w:rPr>
        <w:t>7</w:t>
      </w:r>
      <w:r>
        <w:rPr>
          <w:rFonts w:hint="eastAsia" w:ascii="方正小标宋简体" w:hAnsi="方正小标宋简体" w:eastAsia="方正小标宋简体" w:cs="方正小标宋简体"/>
          <w:color w:val="000000"/>
          <w:kern w:val="0"/>
          <w:sz w:val="44"/>
          <w:szCs w:val="44"/>
          <w:shd w:val="clear" w:color="auto" w:fill="FFFFFF"/>
          <w:lang w:bidi="ar"/>
        </w:rPr>
        <w:t>年部门决算公开</w:t>
      </w:r>
    </w:p>
    <w:p>
      <w:pPr>
        <w:widowControl/>
        <w:shd w:val="clear" w:color="auto" w:fill="FFFFFF"/>
        <w:spacing w:line="500" w:lineRule="exact"/>
        <w:ind w:firstLine="2640" w:firstLineChars="600"/>
        <w:textAlignment w:val="baseline"/>
        <w:rPr>
          <w:rFonts w:ascii="方正小标宋简体" w:hAnsi="方正小标宋简体" w:eastAsia="方正小标宋简体" w:cs="方正小标宋简体"/>
          <w:color w:val="000000"/>
          <w:kern w:val="0"/>
          <w:sz w:val="44"/>
          <w:szCs w:val="44"/>
          <w:shd w:val="clear" w:color="auto" w:fill="FFFFFF"/>
          <w:lang w:bidi="ar"/>
        </w:rPr>
      </w:pPr>
      <w:r>
        <w:rPr>
          <w:rFonts w:hint="eastAsia" w:ascii="方正小标宋简体" w:hAnsi="方正小标宋简体" w:eastAsia="方正小标宋简体" w:cs="方正小标宋简体"/>
          <w:color w:val="000000"/>
          <w:kern w:val="0"/>
          <w:sz w:val="44"/>
          <w:szCs w:val="44"/>
          <w:shd w:val="clear" w:color="auto" w:fill="FFFFFF"/>
          <w:lang w:bidi="ar"/>
        </w:rPr>
        <w:t>补充说明</w:t>
      </w:r>
    </w:p>
    <w:p>
      <w:pPr>
        <w:snapToGrid w:val="0"/>
        <w:spacing w:line="600" w:lineRule="atLeast"/>
        <w:ind w:firstLine="640" w:firstLineChars="200"/>
        <w:rPr>
          <w:rFonts w:ascii="黑体" w:hAnsi="黑体" w:eastAsia="黑体" w:cs="黑体"/>
          <w:color w:val="000000"/>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重点绩效评价结果等预算绩效情况说明</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一、项目绩效完成情况</w:t>
      </w:r>
    </w:p>
    <w:p>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芒市国家综合档案馆项目款完成情况。年初结转结余207.84万元，年初预算57万元，年末决算支出248.26万元。</w:t>
      </w:r>
    </w:p>
    <w:p>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档案库室管理及维护费完成情况。年初预算20.30万元，年末支出20.30万元，经费使用达到预期效果，圆满完成档案工作任务。</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二、本单位绩效评价整体情况</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绩效目标完成来情况看，本年度单位绩效目标实现达到了预期效果。但还存在不足:一是对各项指标没有设置严谨明细的绩效评价表；二是对绩效工作了解不够深入，对单位绩效还不够重视，参与绩效评价积极性不够。以上不足将在以后的工作中进一步完善。</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名字解释</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 指本级财政当年拨付的资金。</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80" w:firstLineChars="150"/>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一般公共预算财政拨款：指</w:t>
      </w:r>
      <w:r>
        <w:rPr>
          <w:rFonts w:hint="eastAsia" w:ascii="仿宋_GB2312" w:hAnsi="仿宋_GB2312" w:eastAsia="仿宋_GB2312" w:cs="仿宋_GB2312"/>
          <w:sz w:val="32"/>
          <w:szCs w:val="32"/>
          <w:lang w:bidi="ar"/>
        </w:rPr>
        <w:t>政府凭借国家政治权力，以社会管理者身份筹集以税收为主体的财政收入，主要用于保障和改善民生、维持国家行政职能正常运转、保障国家安全等方面的拨款。</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政府性基金预算财政拨款：指</w:t>
      </w:r>
      <w:r>
        <w:rPr>
          <w:rFonts w:hint="eastAsia" w:ascii="仿宋_GB2312" w:hAnsi="仿宋_GB2312" w:eastAsia="仿宋_GB2312" w:cs="仿宋_GB2312"/>
          <w:sz w:val="32"/>
          <w:szCs w:val="32"/>
          <w:lang w:bidi="ar"/>
        </w:rPr>
        <w:t>国家通过向社会征收以及出让土地、发行彩票等方式取得收入，并专项用于支持特定基础设施建设和社会事业发展的财政拨款。</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（四）上级补助收入：指事业单位从主管部门和上级单位取得的非财政补助收入。</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（五）事业收入：指事业单位开展专业业务活动及其辅助活动取得的收入。</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 指除上述"财政拨款收入"、"事业收入"、等以外的收入。</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（七）基本支出：指单位为保障机构正常运转、完成日常工作任务而发生各项支出。即单位人员工资、日常公用经费、对个人和家庭补助等。</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（八）项目支出：指单位除基本支出之外为完成特定的工作任务或事业发展目标所发生的各项支出。</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(九)年初结转和结余: 指以前年度尚未完成、结转到本年按有关规定继续使用的资金。</w:t>
      </w:r>
    </w:p>
    <w:p>
      <w:pPr>
        <w:keepNext w:val="0"/>
        <w:keepLines w:val="0"/>
        <w:pageBreakBefore w:val="0"/>
        <w:kinsoku/>
        <w:wordWrap/>
        <w:overflowPunct/>
        <w:topLinePunct w:val="0"/>
        <w:autoSpaceDE/>
        <w:autoSpaceDN/>
        <w:bidi w:val="0"/>
        <w:adjustRightInd/>
        <w:spacing w:line="56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 指本年度或以前年度预算安排、因客观条件发生变化无法按原计划实施，需要延迟到以后年度按有关规定继续使用的资金。</w:t>
      </w:r>
    </w:p>
    <w:p>
      <w:pPr>
        <w:keepNext w:val="0"/>
        <w:keepLines w:val="0"/>
        <w:pageBreakBefore w:val="0"/>
        <w:kinsoku/>
        <w:wordWrap/>
        <w:overflowPunct/>
        <w:topLinePunct w:val="0"/>
        <w:autoSpaceDE/>
        <w:autoSpaceDN/>
        <w:bidi w:val="0"/>
        <w:adjustRightInd/>
        <w:spacing w:line="56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abstractNum w:abstractNumId="1">
    <w:nsid w:val="5C4966E7"/>
    <w:multiLevelType w:val="singleLevel"/>
    <w:tmpl w:val="5C4966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F7"/>
    <w:rsid w:val="000161CD"/>
    <w:rsid w:val="00121CD7"/>
    <w:rsid w:val="001B3BC1"/>
    <w:rsid w:val="005144AE"/>
    <w:rsid w:val="00790A9F"/>
    <w:rsid w:val="00AB5965"/>
    <w:rsid w:val="00EA3CBF"/>
    <w:rsid w:val="00F618F7"/>
    <w:rsid w:val="00F8204E"/>
    <w:rsid w:val="0B9F51EA"/>
    <w:rsid w:val="120723E8"/>
    <w:rsid w:val="1D8C042F"/>
    <w:rsid w:val="5F947430"/>
    <w:rsid w:val="5FFA0FD0"/>
    <w:rsid w:val="68E719F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7">
    <w:name w:val="font01"/>
    <w:basedOn w:val="5"/>
    <w:qFormat/>
    <w:uiPriority w:val="0"/>
    <w:rPr>
      <w:rFonts w:hint="default" w:ascii="Arial" w:hAnsi="Arial" w:cs="Arial"/>
      <w:color w:val="000000"/>
      <w:sz w:val="20"/>
      <w:szCs w:val="20"/>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页眉 字符"/>
    <w:basedOn w:val="5"/>
    <w:link w:val="3"/>
    <w:qFormat/>
    <w:uiPriority w:val="0"/>
    <w:rPr>
      <w:rFonts w:ascii="Times New Roman" w:hAnsi="Times New Roman" w:eastAsia="宋体" w:cs="Times New Roman"/>
      <w:kern w:val="2"/>
      <w:sz w:val="18"/>
      <w:szCs w:val="18"/>
    </w:rPr>
  </w:style>
  <w:style w:type="character" w:customStyle="1" w:styleId="10">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658</Words>
  <Characters>26</Characters>
  <Lines>1</Lines>
  <Paragraphs>1</Paragraphs>
  <ScaleCrop>false</ScaleCrop>
  <LinksUpToDate>false</LinksUpToDate>
  <CharactersWithSpaces>683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李夏</cp:lastModifiedBy>
  <dcterms:modified xsi:type="dcterms:W3CDTF">2019-01-24T07:31:52Z</dcterms:modified>
  <dc:title>芒市招商合作局2018年部门预算公开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