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atLeast"/>
        <w:ind w:firstLine="2200" w:firstLineChars="500"/>
        <w:rPr>
          <w:rFonts w:hint="eastAsia" w:ascii="仿宋_GB2312" w:hAnsi="仿宋" w:eastAsia="仿宋_GB2312"/>
          <w:sz w:val="44"/>
          <w:szCs w:val="44"/>
          <w:lang w:eastAsia="zh-CN"/>
        </w:rPr>
      </w:pPr>
      <w:r>
        <w:rPr>
          <w:rFonts w:hint="eastAsia" w:ascii="仿宋_GB2312" w:hAnsi="仿宋" w:eastAsia="仿宋_GB2312"/>
          <w:sz w:val="44"/>
          <w:szCs w:val="44"/>
          <w:lang w:eastAsia="zh-CN"/>
        </w:rPr>
        <w:t>部门决算公开补充</w:t>
      </w:r>
    </w:p>
    <w:p>
      <w:pPr>
        <w:snapToGrid w:val="0"/>
        <w:spacing w:line="600" w:lineRule="atLeast"/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第四部分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名字解释</w:t>
      </w:r>
    </w:p>
    <w:p>
      <w:pPr>
        <w:numPr>
          <w:ilvl w:val="0"/>
          <w:numId w:val="1"/>
        </w:numPr>
        <w:ind w:firstLine="480" w:firstLineChars="150"/>
        <w:rPr>
          <w:sz w:val="32"/>
          <w:szCs w:val="32"/>
        </w:rPr>
      </w:pPr>
      <w:r>
        <w:rPr>
          <w:sz w:val="32"/>
          <w:szCs w:val="32"/>
        </w:rPr>
        <w:t>财政拨款收入: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指本级财政当年拨付的资金。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right="0" w:firstLine="640" w:firstLineChars="150"/>
        <w:jc w:val="both"/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</w:pPr>
      <w:r>
        <w:rPr>
          <w:rFonts w:hint="eastAsia"/>
          <w:sz w:val="32"/>
          <w:szCs w:val="32"/>
        </w:rPr>
        <w:t>一般公共预算财政拨款</w:t>
      </w:r>
      <w:r>
        <w:rPr>
          <w:rFonts w:hint="eastAsia"/>
          <w:sz w:val="32"/>
          <w:szCs w:val="32"/>
          <w:lang w:eastAsia="zh-CN"/>
        </w:rPr>
        <w:t>：指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政府凭借国家政治权力，以社会管理者身份筹集以税收为主体的财政收入，主要用于保障和改善民生、维持国家行政职能正常运转、保障国家安全等方面的拨款。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right="0" w:firstLine="640" w:firstLineChars="15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政府性基金预算财政拨款</w:t>
      </w:r>
      <w:r>
        <w:rPr>
          <w:rFonts w:hint="eastAsia"/>
          <w:sz w:val="32"/>
          <w:szCs w:val="32"/>
          <w:lang w:eastAsia="zh-CN"/>
        </w:rPr>
        <w:t>：指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国家通过向社会征收以及出让土地、发行彩票等方式取得收入，并专项用于支持特定基础设施建设和社会事业发展的财政拨款。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（四）上级补助收入：指事业单位从主管部门和上级单位取得的非财政补助收入。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（五）事业收入：指事业单位开展专业业务活动及其辅助活动取得的收入。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（六）</w:t>
      </w:r>
      <w:r>
        <w:rPr>
          <w:sz w:val="32"/>
          <w:szCs w:val="32"/>
        </w:rPr>
        <w:t>其他收入: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指除上述"财政拨款收入"、"事业收入"、等以外的收入。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（七）基本支出：指单位为保障机构正常运转、完成日常工作任务而发生各项支出。即单位人员工资、日常公用经费、对个人和家庭补助等。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宋体" w:hAnsi="宋体" w:eastAsia="宋体" w:cs="Times New Roman"/>
          <w:kern w:val="2"/>
          <w:sz w:val="32"/>
          <w:szCs w:val="32"/>
          <w:lang w:val="en-US" w:eastAsia="zh-CN" w:bidi="ar"/>
        </w:rPr>
        <w:t>（八）项目支出：指单位</w:t>
      </w:r>
      <w:r>
        <w:rPr>
          <w:rFonts w:hint="eastAsia" w:ascii="宋体" w:hAnsi="宋体" w:eastAsia="宋体" w:cs="Times New Roman"/>
          <w:kern w:val="2"/>
          <w:sz w:val="32"/>
          <w:szCs w:val="32"/>
          <w:lang w:val="en-US" w:eastAsia="zh-CN" w:bidi="ar"/>
        </w:rPr>
        <w:t>除基本支出之外</w:t>
      </w:r>
      <w:r>
        <w:rPr>
          <w:rFonts w:hint="eastAsia" w:ascii="宋体" w:hAnsi="宋体" w:eastAsia="宋体" w:cs="Times New Roman"/>
          <w:kern w:val="2"/>
          <w:sz w:val="32"/>
          <w:szCs w:val="32"/>
          <w:lang w:val="en-US" w:eastAsia="zh-CN" w:bidi="ar"/>
        </w:rPr>
        <w:t>为完成特定的工作任务或事业发展目标所发生的各项支出。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>(</w:t>
      </w:r>
      <w:r>
        <w:rPr>
          <w:rFonts w:hint="eastAsia"/>
          <w:sz w:val="32"/>
          <w:szCs w:val="32"/>
          <w:lang w:eastAsia="zh-CN"/>
        </w:rPr>
        <w:t>九</w:t>
      </w:r>
      <w:r>
        <w:rPr>
          <w:sz w:val="32"/>
          <w:szCs w:val="32"/>
        </w:rPr>
        <w:t>)年初结转和结余: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指以前年度尚未完成、结转到本年按有关规定继续使用的资金。</w:t>
      </w:r>
    </w:p>
    <w:p>
      <w:pPr>
        <w:ind w:firstLine="800" w:firstLineChars="250"/>
        <w:rPr>
          <w:sz w:val="32"/>
          <w:szCs w:val="32"/>
        </w:rPr>
      </w:pPr>
      <w:r>
        <w:rPr>
          <w:sz w:val="32"/>
          <w:szCs w:val="32"/>
        </w:rPr>
        <w:t>(</w:t>
      </w:r>
      <w:r>
        <w:rPr>
          <w:rFonts w:hint="eastAsia"/>
          <w:sz w:val="32"/>
          <w:szCs w:val="32"/>
          <w:lang w:eastAsia="zh-CN"/>
        </w:rPr>
        <w:t>十</w:t>
      </w:r>
      <w:r>
        <w:rPr>
          <w:sz w:val="32"/>
          <w:szCs w:val="32"/>
        </w:rPr>
        <w:t>)年末结转和结余: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指本年度或以前年度预算安排、因客观条件发生变化无法按原计划实施，需要延迟到以后年度按有关规定继续使用的资金。</w:t>
      </w:r>
    </w:p>
    <w:p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sz w:val="32"/>
          <w:szCs w:val="32"/>
        </w:rPr>
        <w:t>(十</w:t>
      </w:r>
      <w:r>
        <w:rPr>
          <w:rFonts w:hint="eastAsia"/>
          <w:sz w:val="32"/>
          <w:szCs w:val="32"/>
          <w:lang w:eastAsia="zh-CN"/>
        </w:rPr>
        <w:t>一</w:t>
      </w:r>
      <w:r>
        <w:rPr>
          <w:sz w:val="32"/>
          <w:szCs w:val="32"/>
        </w:rPr>
        <w:t>)机关运行经费:</w:t>
      </w:r>
      <w:r>
        <w:rPr>
          <w:rFonts w:hint="eastAsia"/>
          <w:sz w:val="32"/>
          <w:szCs w:val="32"/>
        </w:rPr>
        <w:t xml:space="preserve"> 指</w:t>
      </w:r>
      <w:r>
        <w:rPr>
          <w:sz w:val="32"/>
          <w:szCs w:val="32"/>
        </w:rPr>
        <w:t>为保障行政单位(含参照公务员法管理的事业单位)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</w:t>
      </w:r>
      <w:r>
        <w:rPr>
          <w:rFonts w:hint="eastAsia"/>
          <w:sz w:val="32"/>
          <w:szCs w:val="32"/>
        </w:rPr>
        <w:t>。</w:t>
      </w:r>
      <w:bookmarkStart w:id="0" w:name="_GoBack"/>
      <w:bookmarkEnd w:id="0"/>
    </w:p>
    <w:p>
      <w:pPr>
        <w:spacing w:line="600" w:lineRule="exact"/>
        <w:rPr>
          <w:rFonts w:hint="eastAsia" w:ascii="仿宋_GB2312" w:hAnsi="宋体" w:eastAsia="仿宋_GB2312"/>
          <w:sz w:val="30"/>
          <w:szCs w:val="30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18" w:bottom="1588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584B2"/>
    <w:multiLevelType w:val="singleLevel"/>
    <w:tmpl w:val="5C4584B2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F2AD6"/>
    <w:rsid w:val="0B303A26"/>
    <w:rsid w:val="27EF2AD6"/>
    <w:rsid w:val="42F14F3B"/>
    <w:rsid w:val="4BD1597D"/>
    <w:rsid w:val="6C1E5DE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2019-01-21T02:34:00Z</dcterms:created>
  <dc:creator>Administrator</dc:creator>
  <cp:lastModifiedBy>Administrator</cp:lastModifiedBy>
  <dcterms:modified xsi:type="dcterms:W3CDTF">2019-01-21T08:52:18Z</dcterms:modified>
  <dc:title>备注：名字解释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